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1EEE9BA" w14:textId="024C1B1D" w:rsidR="00A1208A" w:rsidRDefault="00692182" w:rsidP="00CA1EE8">
      <w:pPr>
        <w:pStyle w:val="Title"/>
        <w:rPr>
          <w:color w:val="4472C4" w:themeColor="accent1"/>
        </w:rPr>
      </w:pPr>
      <w:bookmarkStart w:id="0" w:name="_GoBack"/>
      <w:bookmarkEnd w:id="0"/>
      <w:r>
        <w:rPr>
          <w:noProof/>
          <w:lang w:eastAsia="zh-CN"/>
        </w:rPr>
        <w:drawing>
          <wp:anchor distT="0" distB="0" distL="114300" distR="114300" simplePos="0" relativeHeight="251658250" behindDoc="0" locked="0" layoutInCell="1" allowOverlap="1" wp14:anchorId="27EBA6EF" wp14:editId="6B2A5B9B">
            <wp:simplePos x="0" y="0"/>
            <wp:positionH relativeFrom="margin">
              <wp:align>center</wp:align>
            </wp:positionH>
            <wp:positionV relativeFrom="paragraph">
              <wp:posOffset>182632</wp:posOffset>
            </wp:positionV>
            <wp:extent cx="3737113" cy="2046605"/>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
                      <a:extLst>
                        <a:ext uri="{28A0092B-C50C-407E-A947-70E740481C1C}">
                          <a14:useLocalDpi xmlns:a14="http://schemas.microsoft.com/office/drawing/2010/main" val="0"/>
                        </a:ext>
                      </a:extLst>
                    </a:blip>
                    <a:srcRect r="26266"/>
                    <a:stretch/>
                  </pic:blipFill>
                  <pic:spPr bwMode="auto">
                    <a:xfrm>
                      <a:off x="0" y="0"/>
                      <a:ext cx="3737113" cy="20466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2C1FF3E" w14:textId="6914730D" w:rsidR="00692182" w:rsidRDefault="00692182" w:rsidP="00692182"/>
    <w:p w14:paraId="58780403" w14:textId="2A6BBD5B" w:rsidR="00692182" w:rsidRDefault="00692182" w:rsidP="00692182"/>
    <w:p w14:paraId="77482770" w14:textId="261DEC40" w:rsidR="00692182" w:rsidRDefault="00692182" w:rsidP="00692182"/>
    <w:p w14:paraId="64FD10C4" w14:textId="5B790DE9" w:rsidR="00692182" w:rsidRDefault="00692182" w:rsidP="00692182"/>
    <w:p w14:paraId="4E179443" w14:textId="799FA867" w:rsidR="00692182" w:rsidRDefault="00692182" w:rsidP="00692182"/>
    <w:p w14:paraId="7D0C5DFE" w14:textId="5E7ECCBD" w:rsidR="00692182" w:rsidRDefault="00692182" w:rsidP="00692182"/>
    <w:p w14:paraId="4181450D" w14:textId="1742EE20" w:rsidR="00692182" w:rsidRDefault="00692182" w:rsidP="00692182"/>
    <w:p w14:paraId="05AD696D" w14:textId="55CF43DD" w:rsidR="00692182" w:rsidRPr="00692182" w:rsidRDefault="00692182" w:rsidP="00BE028E">
      <w:pPr>
        <w:pStyle w:val="Title"/>
        <w:jc w:val="center"/>
        <w:rPr>
          <w:b/>
          <w:bCs/>
          <w:sz w:val="72"/>
          <w:szCs w:val="72"/>
        </w:rPr>
      </w:pPr>
      <w:r w:rsidRPr="00692182">
        <w:rPr>
          <w:b/>
          <w:bCs/>
          <w:sz w:val="72"/>
          <w:szCs w:val="72"/>
        </w:rPr>
        <w:t>Investigating the role of tissue-engineered fibroblast-derived extracellular matrix in oral squamous cell carcinoma progression</w:t>
      </w:r>
    </w:p>
    <w:p w14:paraId="1695C0F7" w14:textId="0A188320" w:rsidR="00692182" w:rsidRDefault="00692182" w:rsidP="00692182"/>
    <w:p w14:paraId="696B095C" w14:textId="77777777" w:rsidR="00692182" w:rsidRPr="00692182" w:rsidRDefault="00692182" w:rsidP="00692182"/>
    <w:p w14:paraId="23B81FA5" w14:textId="6BA07820" w:rsidR="00A1208A" w:rsidRPr="004C6269" w:rsidRDefault="00692182" w:rsidP="00692182">
      <w:pPr>
        <w:pStyle w:val="Title"/>
        <w:jc w:val="center"/>
        <w:rPr>
          <w:b/>
          <w:bCs/>
          <w:color w:val="000000" w:themeColor="text1"/>
        </w:rPr>
      </w:pPr>
      <w:r w:rsidRPr="004C6269">
        <w:rPr>
          <w:b/>
          <w:bCs/>
          <w:color w:val="000000" w:themeColor="text1"/>
        </w:rPr>
        <w:t>Amy Leigh Harding</w:t>
      </w:r>
    </w:p>
    <w:p w14:paraId="22A9FB49" w14:textId="77777777" w:rsidR="00A1208A" w:rsidRDefault="00A1208A" w:rsidP="00CA1EE8">
      <w:pPr>
        <w:pStyle w:val="Title"/>
        <w:rPr>
          <w:color w:val="4472C4" w:themeColor="accent1"/>
        </w:rPr>
      </w:pPr>
    </w:p>
    <w:p w14:paraId="6EDDC7DF" w14:textId="46E765BD" w:rsidR="00692182" w:rsidRDefault="00692182" w:rsidP="00BE028E">
      <w:pPr>
        <w:jc w:val="center"/>
      </w:pPr>
      <w:r>
        <w:t>A thesis submitted in partial fulfilment of the requirements for the degree of Doctor of Philosophy</w:t>
      </w:r>
    </w:p>
    <w:p w14:paraId="3662C8D9" w14:textId="77777777" w:rsidR="004C6269" w:rsidRDefault="004C6269" w:rsidP="00BE028E">
      <w:pPr>
        <w:jc w:val="center"/>
      </w:pPr>
    </w:p>
    <w:p w14:paraId="2F348B62" w14:textId="28BB596F" w:rsidR="00BE028E" w:rsidRDefault="00BE028E" w:rsidP="004C6269">
      <w:pPr>
        <w:spacing w:after="0" w:line="240" w:lineRule="auto"/>
        <w:jc w:val="center"/>
      </w:pPr>
      <w:r>
        <w:t>The University of Sheffield</w:t>
      </w:r>
    </w:p>
    <w:p w14:paraId="63E147A2" w14:textId="798E3EBB" w:rsidR="00BE028E" w:rsidRDefault="00BE028E" w:rsidP="004C6269">
      <w:pPr>
        <w:spacing w:after="0" w:line="240" w:lineRule="auto"/>
        <w:jc w:val="center"/>
      </w:pPr>
      <w:r>
        <w:t>Faculty of Medicine, Dentistry and Health</w:t>
      </w:r>
    </w:p>
    <w:p w14:paraId="61099008" w14:textId="291D424C" w:rsidR="00BE028E" w:rsidRDefault="004C6269" w:rsidP="004C6269">
      <w:pPr>
        <w:jc w:val="center"/>
      </w:pPr>
      <w:r>
        <w:t>School of Clinical Dentistry</w:t>
      </w:r>
    </w:p>
    <w:p w14:paraId="628537F9" w14:textId="2BC1278C" w:rsidR="004C6269" w:rsidRDefault="004C6269" w:rsidP="00BE028E">
      <w:pPr>
        <w:jc w:val="center"/>
      </w:pPr>
    </w:p>
    <w:p w14:paraId="2AC6519A" w14:textId="6C14E569" w:rsidR="00A42A85" w:rsidRDefault="004C6269" w:rsidP="00BE5D9B">
      <w:pPr>
        <w:jc w:val="center"/>
        <w:sectPr w:rsidR="00A42A85" w:rsidSect="00500E84">
          <w:headerReference w:type="default" r:id="rId9"/>
          <w:footerReference w:type="default" r:id="rId10"/>
          <w:footerReference w:type="first" r:id="rId11"/>
          <w:pgSz w:w="11906" w:h="16838"/>
          <w:pgMar w:top="1440" w:right="1440" w:bottom="1440" w:left="1440" w:header="708" w:footer="708" w:gutter="0"/>
          <w:pgNumType w:fmt="upperRoman"/>
          <w:cols w:space="708"/>
          <w:titlePg/>
          <w:docGrid w:linePitch="360"/>
        </w:sectPr>
      </w:pPr>
      <w:r>
        <w:t>September 2</w:t>
      </w:r>
      <w:r w:rsidR="00A42A85">
        <w:t>01</w:t>
      </w:r>
      <w:r w:rsidR="00362C62">
        <w:t>9</w:t>
      </w:r>
    </w:p>
    <w:p w14:paraId="7D5DF2A3" w14:textId="7A13E977" w:rsidR="0027438D" w:rsidRPr="00EF5B47" w:rsidRDefault="0027438D" w:rsidP="00317BFB">
      <w:pPr>
        <w:pStyle w:val="Heading1"/>
        <w:rPr>
          <w:color w:val="auto"/>
          <w:sz w:val="44"/>
          <w:szCs w:val="44"/>
        </w:rPr>
      </w:pPr>
      <w:bookmarkStart w:id="1" w:name="_Toc34208230"/>
      <w:r w:rsidRPr="00EF5B47">
        <w:rPr>
          <w:sz w:val="44"/>
          <w:szCs w:val="44"/>
        </w:rPr>
        <w:lastRenderedPageBreak/>
        <w:t>Acknowledgements</w:t>
      </w:r>
      <w:bookmarkEnd w:id="1"/>
    </w:p>
    <w:p w14:paraId="79C82E39" w14:textId="77777777" w:rsidR="0027438D" w:rsidRPr="0027438D" w:rsidRDefault="0027438D" w:rsidP="0027438D"/>
    <w:p w14:paraId="71626E68" w14:textId="7CD06A52" w:rsidR="00C36895" w:rsidRPr="0027438D" w:rsidRDefault="00C36895" w:rsidP="00C36895">
      <w:pPr>
        <w:spacing w:line="480" w:lineRule="auto"/>
        <w:jc w:val="both"/>
        <w:rPr>
          <w:rFonts w:ascii="Arial" w:hAnsi="Arial" w:cs="Arial"/>
          <w:color w:val="595959" w:themeColor="text1" w:themeTint="A6"/>
        </w:rPr>
      </w:pPr>
      <w:r w:rsidRPr="0027438D">
        <w:rPr>
          <w:rFonts w:ascii="Arial" w:hAnsi="Arial" w:cs="Arial"/>
          <w:color w:val="595959" w:themeColor="text1" w:themeTint="A6"/>
        </w:rPr>
        <w:t xml:space="preserve">First and foremost, I would like to express my sincere gratitude to both my supervisors Dr. Helen Colley and </w:t>
      </w:r>
      <w:r w:rsidR="008000C1">
        <w:rPr>
          <w:rFonts w:ascii="Arial" w:hAnsi="Arial" w:cs="Arial"/>
          <w:color w:val="595959" w:themeColor="text1" w:themeTint="A6"/>
        </w:rPr>
        <w:t>Professor</w:t>
      </w:r>
      <w:r w:rsidRPr="0027438D">
        <w:rPr>
          <w:rFonts w:ascii="Arial" w:hAnsi="Arial" w:cs="Arial"/>
          <w:color w:val="595959" w:themeColor="text1" w:themeTint="A6"/>
        </w:rPr>
        <w:t xml:space="preserve"> Daniel Lambert for their continued support and encouragement, whilst undertaking this study</w:t>
      </w:r>
      <w:r>
        <w:rPr>
          <w:rFonts w:ascii="Arial" w:hAnsi="Arial" w:cs="Arial"/>
          <w:color w:val="595959" w:themeColor="text1" w:themeTint="A6"/>
        </w:rPr>
        <w:t>.</w:t>
      </w:r>
      <w:r w:rsidRPr="0027438D">
        <w:rPr>
          <w:rFonts w:ascii="Arial" w:hAnsi="Arial" w:cs="Arial"/>
          <w:color w:val="595959" w:themeColor="text1" w:themeTint="A6"/>
        </w:rPr>
        <w:t xml:space="preserve"> Helen, my genuine thanks for being both a mentor and a friend. You have been such a massive support, and your guidance during this process </w:t>
      </w:r>
      <w:r w:rsidR="00ED2805">
        <w:rPr>
          <w:rFonts w:ascii="Arial" w:hAnsi="Arial" w:cs="Arial"/>
          <w:color w:val="595959" w:themeColor="text1" w:themeTint="A6"/>
        </w:rPr>
        <w:t>was unwavering</w:t>
      </w:r>
      <w:r w:rsidRPr="0027438D">
        <w:rPr>
          <w:rFonts w:ascii="Arial" w:hAnsi="Arial" w:cs="Arial"/>
          <w:color w:val="595959" w:themeColor="text1" w:themeTint="A6"/>
        </w:rPr>
        <w:t xml:space="preserve">. I </w:t>
      </w:r>
      <w:r w:rsidR="00ED2805" w:rsidRPr="0027438D">
        <w:rPr>
          <w:rFonts w:ascii="Arial" w:hAnsi="Arial" w:cs="Arial"/>
          <w:color w:val="595959" w:themeColor="text1" w:themeTint="A6"/>
        </w:rPr>
        <w:t>cannot</w:t>
      </w:r>
      <w:r w:rsidRPr="0027438D">
        <w:rPr>
          <w:rFonts w:ascii="Arial" w:hAnsi="Arial" w:cs="Arial"/>
          <w:color w:val="595959" w:themeColor="text1" w:themeTint="A6"/>
        </w:rPr>
        <w:t xml:space="preserve"> thank you enough for encouraging me and helping me </w:t>
      </w:r>
      <w:r>
        <w:rPr>
          <w:rFonts w:ascii="Arial" w:hAnsi="Arial" w:cs="Arial"/>
          <w:color w:val="595959" w:themeColor="text1" w:themeTint="A6"/>
        </w:rPr>
        <w:t xml:space="preserve">progress </w:t>
      </w:r>
      <w:r w:rsidRPr="0027438D">
        <w:rPr>
          <w:rFonts w:ascii="Arial" w:hAnsi="Arial" w:cs="Arial"/>
          <w:color w:val="595959" w:themeColor="text1" w:themeTint="A6"/>
        </w:rPr>
        <w:t>with my career</w:t>
      </w:r>
      <w:r>
        <w:rPr>
          <w:rFonts w:ascii="Arial" w:hAnsi="Arial" w:cs="Arial"/>
          <w:color w:val="595959" w:themeColor="text1" w:themeTint="A6"/>
        </w:rPr>
        <w:t xml:space="preserve"> ambitions, in particular your support with applications, lab visits and opportunities to present; these are experiences I will never forget.</w:t>
      </w:r>
      <w:r w:rsidRPr="0027438D">
        <w:rPr>
          <w:rFonts w:ascii="Arial" w:hAnsi="Arial" w:cs="Arial"/>
          <w:color w:val="595959" w:themeColor="text1" w:themeTint="A6"/>
        </w:rPr>
        <w:t xml:space="preserve"> I couldn’t have asked for a better supervisor through-out this, and you’ve made this whole experience fun and worth the stresses at time</w:t>
      </w:r>
      <w:r>
        <w:rPr>
          <w:rFonts w:ascii="Arial" w:hAnsi="Arial" w:cs="Arial"/>
          <w:color w:val="595959" w:themeColor="text1" w:themeTint="A6"/>
        </w:rPr>
        <w:t>s</w:t>
      </w:r>
      <w:r w:rsidRPr="0027438D">
        <w:rPr>
          <w:rFonts w:ascii="Arial" w:hAnsi="Arial" w:cs="Arial"/>
          <w:color w:val="595959" w:themeColor="text1" w:themeTint="A6"/>
        </w:rPr>
        <w:t xml:space="preserve">. </w:t>
      </w:r>
      <w:r>
        <w:rPr>
          <w:rFonts w:ascii="Arial" w:hAnsi="Arial" w:cs="Arial"/>
          <w:color w:val="595959" w:themeColor="text1" w:themeTint="A6"/>
        </w:rPr>
        <w:t xml:space="preserve">I am so glad I got to be your first primary supervisee and I hope you’ve enjoyed your time </w:t>
      </w:r>
      <w:r w:rsidR="007B510E">
        <w:rPr>
          <w:rFonts w:ascii="Arial" w:hAnsi="Arial" w:cs="Arial"/>
          <w:color w:val="595959" w:themeColor="text1" w:themeTint="A6"/>
        </w:rPr>
        <w:t xml:space="preserve">on this project </w:t>
      </w:r>
      <w:r>
        <w:rPr>
          <w:rFonts w:ascii="Arial" w:hAnsi="Arial" w:cs="Arial"/>
          <w:color w:val="595959" w:themeColor="text1" w:themeTint="A6"/>
        </w:rPr>
        <w:t xml:space="preserve">as much as I have. Your door was always open, and the tea was always waiting! </w:t>
      </w:r>
      <w:r w:rsidRPr="0027438D">
        <w:rPr>
          <w:rFonts w:ascii="Arial" w:hAnsi="Arial" w:cs="Arial"/>
          <w:color w:val="595959" w:themeColor="text1" w:themeTint="A6"/>
        </w:rPr>
        <w:t xml:space="preserve">I will always be grateful to you. </w:t>
      </w:r>
    </w:p>
    <w:p w14:paraId="6832708F" w14:textId="45CE7900" w:rsidR="00C36895" w:rsidRDefault="00C36895" w:rsidP="00C36895">
      <w:pPr>
        <w:spacing w:line="480" w:lineRule="auto"/>
        <w:jc w:val="both"/>
        <w:rPr>
          <w:rFonts w:ascii="Arial" w:hAnsi="Arial" w:cs="Arial"/>
          <w:color w:val="595959" w:themeColor="text1" w:themeTint="A6"/>
        </w:rPr>
      </w:pPr>
      <w:r w:rsidRPr="0027438D">
        <w:rPr>
          <w:rFonts w:ascii="Arial" w:hAnsi="Arial" w:cs="Arial"/>
          <w:color w:val="595959" w:themeColor="text1" w:themeTint="A6"/>
        </w:rPr>
        <w:t>Dan</w:t>
      </w:r>
      <w:r>
        <w:rPr>
          <w:rFonts w:ascii="Arial" w:hAnsi="Arial" w:cs="Arial"/>
          <w:color w:val="595959" w:themeColor="text1" w:themeTint="A6"/>
        </w:rPr>
        <w:t>,</w:t>
      </w:r>
      <w:r w:rsidRPr="0027438D">
        <w:rPr>
          <w:rFonts w:ascii="Arial" w:hAnsi="Arial" w:cs="Arial"/>
          <w:color w:val="595959" w:themeColor="text1" w:themeTint="A6"/>
        </w:rPr>
        <w:t xml:space="preserve"> you were my first ever supervisor for my MSc (Res) project, and the reason I applied to work at the dental school. You are both kind and supportive and </w:t>
      </w:r>
      <w:r>
        <w:rPr>
          <w:rFonts w:ascii="Arial" w:hAnsi="Arial" w:cs="Arial"/>
          <w:color w:val="595959" w:themeColor="text1" w:themeTint="A6"/>
        </w:rPr>
        <w:t>incredibly enthusiastic. With your support and leadership, you helped me understand the value of great colleagues and more importantly what great supervisors should be, and because of this, I thoroughly enjoyed my time undertaking this work with you. I will always be in awe of just how much you</w:t>
      </w:r>
      <w:r w:rsidR="00A04B77">
        <w:rPr>
          <w:rFonts w:ascii="Arial" w:hAnsi="Arial" w:cs="Arial"/>
          <w:color w:val="595959" w:themeColor="text1" w:themeTint="A6"/>
        </w:rPr>
        <w:t xml:space="preserve"> do for the students </w:t>
      </w:r>
      <w:r w:rsidR="005B6822">
        <w:rPr>
          <w:rFonts w:ascii="Arial" w:hAnsi="Arial" w:cs="Arial"/>
          <w:color w:val="595959" w:themeColor="text1" w:themeTint="A6"/>
        </w:rPr>
        <w:t xml:space="preserve">(including myself) </w:t>
      </w:r>
      <w:r w:rsidR="00A04B77">
        <w:rPr>
          <w:rFonts w:ascii="Arial" w:hAnsi="Arial" w:cs="Arial"/>
          <w:color w:val="595959" w:themeColor="text1" w:themeTint="A6"/>
        </w:rPr>
        <w:t>within the dental school</w:t>
      </w:r>
      <w:r>
        <w:rPr>
          <w:rFonts w:ascii="Arial" w:hAnsi="Arial" w:cs="Arial"/>
          <w:color w:val="595959" w:themeColor="text1" w:themeTint="A6"/>
        </w:rPr>
        <w:t xml:space="preserve">. Once again, thank-you. </w:t>
      </w:r>
    </w:p>
    <w:p w14:paraId="721503A0" w14:textId="1C322B0A" w:rsidR="00C36895" w:rsidRDefault="00C36895" w:rsidP="00C36895">
      <w:pPr>
        <w:spacing w:line="480" w:lineRule="auto"/>
        <w:jc w:val="both"/>
        <w:rPr>
          <w:rFonts w:ascii="Arial" w:hAnsi="Arial" w:cs="Arial"/>
          <w:color w:val="595959" w:themeColor="text1" w:themeTint="A6"/>
        </w:rPr>
      </w:pPr>
      <w:r>
        <w:rPr>
          <w:rFonts w:ascii="Arial" w:hAnsi="Arial" w:cs="Arial"/>
          <w:color w:val="595959" w:themeColor="text1" w:themeTint="A6"/>
        </w:rPr>
        <w:t>Thanks to the fabulous technicians Brenka and Jaso</w:t>
      </w:r>
      <w:r w:rsidR="001D2711">
        <w:rPr>
          <w:rFonts w:ascii="Arial" w:hAnsi="Arial" w:cs="Arial"/>
          <w:color w:val="595959" w:themeColor="text1" w:themeTint="A6"/>
        </w:rPr>
        <w:t>n,</w:t>
      </w:r>
      <w:r>
        <w:rPr>
          <w:rFonts w:ascii="Arial" w:hAnsi="Arial" w:cs="Arial"/>
          <w:color w:val="595959" w:themeColor="text1" w:themeTint="A6"/>
        </w:rPr>
        <w:t xml:space="preserve"> you are both awesome. Always helpful, always good fun</w:t>
      </w:r>
      <w:r w:rsidR="001D2711">
        <w:rPr>
          <w:rFonts w:ascii="Arial" w:hAnsi="Arial" w:cs="Arial"/>
          <w:color w:val="595959" w:themeColor="text1" w:themeTint="A6"/>
        </w:rPr>
        <w:t xml:space="preserve"> and remain</w:t>
      </w:r>
      <w:r>
        <w:rPr>
          <w:rFonts w:ascii="Arial" w:hAnsi="Arial" w:cs="Arial"/>
          <w:color w:val="595959" w:themeColor="text1" w:themeTint="A6"/>
        </w:rPr>
        <w:t xml:space="preserve"> the pillars of a great lab environment, the Dental school is lucky to have you both. </w:t>
      </w:r>
      <w:r w:rsidR="00273932">
        <w:rPr>
          <w:rFonts w:ascii="Arial" w:hAnsi="Arial" w:cs="Arial"/>
          <w:color w:val="595959" w:themeColor="text1" w:themeTint="A6"/>
        </w:rPr>
        <w:t xml:space="preserve">I would like to acknowledge </w:t>
      </w:r>
      <w:r w:rsidR="00026F64">
        <w:rPr>
          <w:rFonts w:ascii="Arial" w:hAnsi="Arial" w:cs="Arial"/>
          <w:color w:val="595959" w:themeColor="text1" w:themeTint="A6"/>
        </w:rPr>
        <w:t>Colin Gr</w:t>
      </w:r>
      <w:r w:rsidR="000D069E">
        <w:rPr>
          <w:rFonts w:ascii="Arial" w:hAnsi="Arial" w:cs="Arial"/>
          <w:color w:val="595959" w:themeColor="text1" w:themeTint="A6"/>
        </w:rPr>
        <w:t>a</w:t>
      </w:r>
      <w:r w:rsidR="00026F64">
        <w:rPr>
          <w:rFonts w:ascii="Arial" w:hAnsi="Arial" w:cs="Arial"/>
          <w:color w:val="595959" w:themeColor="text1" w:themeTint="A6"/>
        </w:rPr>
        <w:t xml:space="preserve">y </w:t>
      </w:r>
      <w:r w:rsidR="00273932">
        <w:rPr>
          <w:rFonts w:ascii="Arial" w:hAnsi="Arial" w:cs="Arial"/>
          <w:color w:val="595959" w:themeColor="text1" w:themeTint="A6"/>
        </w:rPr>
        <w:t xml:space="preserve">for </w:t>
      </w:r>
      <w:r w:rsidR="000D069E">
        <w:rPr>
          <w:rFonts w:ascii="Arial" w:hAnsi="Arial" w:cs="Arial"/>
          <w:color w:val="595959" w:themeColor="text1" w:themeTint="A6"/>
        </w:rPr>
        <w:t xml:space="preserve">teaching me SHGM, </w:t>
      </w:r>
      <w:r w:rsidR="00664469">
        <w:rPr>
          <w:rFonts w:ascii="Arial" w:hAnsi="Arial" w:cs="Arial"/>
          <w:color w:val="595959" w:themeColor="text1" w:themeTint="A6"/>
        </w:rPr>
        <w:t xml:space="preserve">and Chris Hill for assistance with SEM.  </w:t>
      </w:r>
    </w:p>
    <w:p w14:paraId="5FC904C0" w14:textId="5B0022DE" w:rsidR="0027438D" w:rsidRPr="00511A89" w:rsidRDefault="008134CD" w:rsidP="002333EC">
      <w:pPr>
        <w:spacing w:line="480" w:lineRule="auto"/>
        <w:jc w:val="both"/>
        <w:rPr>
          <w:rFonts w:ascii="Arial" w:hAnsi="Arial" w:cs="Arial"/>
          <w:color w:val="595959" w:themeColor="text1" w:themeTint="A6"/>
        </w:rPr>
      </w:pPr>
      <w:r>
        <w:rPr>
          <w:rFonts w:ascii="Arial" w:hAnsi="Arial" w:cs="Arial"/>
          <w:color w:val="595959" w:themeColor="text1" w:themeTint="A6"/>
        </w:rPr>
        <w:t xml:space="preserve">Thanks, must be shown to the University of Sheffield and the Dental School, without both, this </w:t>
      </w:r>
      <w:r w:rsidR="00271443">
        <w:rPr>
          <w:rFonts w:ascii="Arial" w:hAnsi="Arial" w:cs="Arial"/>
          <w:color w:val="595959" w:themeColor="text1" w:themeTint="A6"/>
        </w:rPr>
        <w:t xml:space="preserve">work would not have been </w:t>
      </w:r>
      <w:r w:rsidR="00BE6AE2">
        <w:rPr>
          <w:rFonts w:ascii="Arial" w:hAnsi="Arial" w:cs="Arial"/>
          <w:color w:val="595959" w:themeColor="text1" w:themeTint="A6"/>
        </w:rPr>
        <w:t>achievable</w:t>
      </w:r>
      <w:r w:rsidR="00271443">
        <w:rPr>
          <w:rFonts w:ascii="Arial" w:hAnsi="Arial" w:cs="Arial"/>
          <w:color w:val="595959" w:themeColor="text1" w:themeTint="A6"/>
        </w:rPr>
        <w:t xml:space="preserve">. </w:t>
      </w:r>
      <w:r w:rsidR="00C36895">
        <w:rPr>
          <w:rFonts w:ascii="Arial" w:hAnsi="Arial" w:cs="Arial"/>
          <w:color w:val="595959" w:themeColor="text1" w:themeTint="A6"/>
        </w:rPr>
        <w:t xml:space="preserve">Some of this work would not have been possible without other colleagues and collaborators. </w:t>
      </w:r>
      <w:r w:rsidR="00A4538B">
        <w:rPr>
          <w:rFonts w:ascii="Arial" w:hAnsi="Arial" w:cs="Arial"/>
          <w:color w:val="595959" w:themeColor="text1" w:themeTint="A6"/>
        </w:rPr>
        <w:t xml:space="preserve">Thank-you to my </w:t>
      </w:r>
      <w:r w:rsidR="00404352">
        <w:rPr>
          <w:rFonts w:ascii="Arial" w:hAnsi="Arial" w:cs="Arial"/>
          <w:color w:val="595959" w:themeColor="text1" w:themeTint="A6"/>
        </w:rPr>
        <w:t xml:space="preserve">fellow students in particular </w:t>
      </w:r>
      <w:r w:rsidR="00404352">
        <w:rPr>
          <w:rFonts w:ascii="Arial" w:hAnsi="Arial" w:cs="Arial"/>
          <w:color w:val="595959" w:themeColor="text1" w:themeTint="A6"/>
        </w:rPr>
        <w:lastRenderedPageBreak/>
        <w:t>Hannah and Sven</w:t>
      </w:r>
      <w:r w:rsidR="001370CD">
        <w:rPr>
          <w:rFonts w:ascii="Arial" w:hAnsi="Arial" w:cs="Arial"/>
          <w:color w:val="595959" w:themeColor="text1" w:themeTint="A6"/>
        </w:rPr>
        <w:t>, meeting you both and spending time with you is by far one of the best things about this PhD</w:t>
      </w:r>
      <w:r w:rsidR="00A4538B">
        <w:rPr>
          <w:rFonts w:ascii="Arial" w:hAnsi="Arial" w:cs="Arial"/>
          <w:color w:val="595959" w:themeColor="text1" w:themeTint="A6"/>
        </w:rPr>
        <w:t>.</w:t>
      </w:r>
      <w:r w:rsidR="00404352">
        <w:rPr>
          <w:rFonts w:ascii="Arial" w:hAnsi="Arial" w:cs="Arial"/>
          <w:color w:val="595959" w:themeColor="text1" w:themeTint="A6"/>
        </w:rPr>
        <w:t xml:space="preserve"> </w:t>
      </w:r>
      <w:r w:rsidR="00C36895">
        <w:rPr>
          <w:rFonts w:ascii="Arial" w:hAnsi="Arial" w:cs="Arial"/>
          <w:color w:val="595959" w:themeColor="text1" w:themeTint="A6"/>
        </w:rPr>
        <w:t xml:space="preserve">Professor Keith Hunter, thank-you for always providing sound advice and answers to my many pathology questions. </w:t>
      </w:r>
      <w:r w:rsidR="0007681C">
        <w:rPr>
          <w:rFonts w:ascii="Arial" w:hAnsi="Arial" w:cs="Arial"/>
          <w:color w:val="595959" w:themeColor="text1" w:themeTint="A6"/>
        </w:rPr>
        <w:t xml:space="preserve">Dr. Daniel Frankel, for allowing me to visit you and undertake projects which have opened my eyes to </w:t>
      </w:r>
      <w:r w:rsidR="005343B1">
        <w:rPr>
          <w:rFonts w:ascii="Arial" w:hAnsi="Arial" w:cs="Arial"/>
          <w:color w:val="595959" w:themeColor="text1" w:themeTint="A6"/>
        </w:rPr>
        <w:t xml:space="preserve">the importance of collaborative work in research. </w:t>
      </w:r>
      <w:r w:rsidR="005652EF" w:rsidRPr="00511A89">
        <w:rPr>
          <w:rFonts w:ascii="Arial" w:hAnsi="Arial" w:cs="Arial"/>
          <w:color w:val="595959" w:themeColor="text1" w:themeTint="A6"/>
        </w:rPr>
        <w:t xml:space="preserve">Finally, </w:t>
      </w:r>
      <w:r w:rsidR="00C36895" w:rsidRPr="00511A89">
        <w:rPr>
          <w:rFonts w:ascii="Arial" w:hAnsi="Arial" w:cs="Arial"/>
          <w:color w:val="595959" w:themeColor="text1" w:themeTint="A6"/>
        </w:rPr>
        <w:t>I would like to extend my gratitude t</w:t>
      </w:r>
      <w:r w:rsidR="007636C1">
        <w:rPr>
          <w:rFonts w:ascii="Arial" w:hAnsi="Arial" w:cs="Arial"/>
          <w:color w:val="595959" w:themeColor="text1" w:themeTint="A6"/>
        </w:rPr>
        <w:t>o my</w:t>
      </w:r>
      <w:r w:rsidR="00C36895" w:rsidRPr="00511A89">
        <w:rPr>
          <w:rFonts w:ascii="Arial" w:hAnsi="Arial" w:cs="Arial"/>
          <w:color w:val="595959" w:themeColor="text1" w:themeTint="A6"/>
        </w:rPr>
        <w:t xml:space="preserve"> incredible family</w:t>
      </w:r>
      <w:r w:rsidR="00135DED">
        <w:rPr>
          <w:rFonts w:ascii="Arial" w:hAnsi="Arial" w:cs="Arial"/>
          <w:color w:val="595959" w:themeColor="text1" w:themeTint="A6"/>
        </w:rPr>
        <w:t>.</w:t>
      </w:r>
    </w:p>
    <w:p w14:paraId="4912C12D" w14:textId="6F89B63C" w:rsidR="00FE5848" w:rsidRDefault="00FE5848" w:rsidP="00FE5848"/>
    <w:p w14:paraId="1121024D" w14:textId="6DFC27C4" w:rsidR="00FE5848" w:rsidRDefault="00FE5848" w:rsidP="005C1288">
      <w:pPr>
        <w:spacing w:line="480" w:lineRule="auto"/>
        <w:jc w:val="center"/>
        <w:rPr>
          <w:rFonts w:ascii="Arial" w:hAnsi="Arial" w:cs="Arial"/>
          <w:color w:val="595959" w:themeColor="text1" w:themeTint="A6"/>
        </w:rPr>
      </w:pPr>
      <w:r w:rsidRPr="005C1288">
        <w:rPr>
          <w:rFonts w:ascii="Arial" w:hAnsi="Arial" w:cs="Arial"/>
          <w:color w:val="595959" w:themeColor="text1" w:themeTint="A6"/>
        </w:rPr>
        <w:t>This thesis is dedicated to the memory of Grampa Bill</w:t>
      </w:r>
      <w:r w:rsidR="00A2149A">
        <w:rPr>
          <w:rFonts w:ascii="Arial" w:hAnsi="Arial" w:cs="Arial"/>
          <w:color w:val="595959" w:themeColor="text1" w:themeTint="A6"/>
        </w:rPr>
        <w:t>.</w:t>
      </w:r>
    </w:p>
    <w:p w14:paraId="7D8E7E1D" w14:textId="7BEC4169" w:rsidR="008D6C4C" w:rsidRPr="005C1288" w:rsidRDefault="008D6C4C" w:rsidP="005C1288">
      <w:pPr>
        <w:spacing w:line="480" w:lineRule="auto"/>
        <w:jc w:val="center"/>
        <w:rPr>
          <w:rFonts w:ascii="Arial" w:hAnsi="Arial" w:cs="Arial"/>
          <w:color w:val="595959" w:themeColor="text1" w:themeTint="A6"/>
        </w:rPr>
      </w:pPr>
      <w:r>
        <w:rPr>
          <w:rFonts w:ascii="Arial" w:hAnsi="Arial" w:cs="Arial"/>
          <w:color w:val="595959" w:themeColor="text1" w:themeTint="A6"/>
        </w:rPr>
        <w:t>(William Alfred Hopkins 1</w:t>
      </w:r>
      <w:r w:rsidR="00AA0B31">
        <w:rPr>
          <w:rFonts w:ascii="Arial" w:hAnsi="Arial" w:cs="Arial"/>
          <w:color w:val="595959" w:themeColor="text1" w:themeTint="A6"/>
        </w:rPr>
        <w:t>9</w:t>
      </w:r>
      <w:r w:rsidR="001D0E7D">
        <w:rPr>
          <w:rFonts w:ascii="Arial" w:hAnsi="Arial" w:cs="Arial"/>
          <w:color w:val="595959" w:themeColor="text1" w:themeTint="A6"/>
        </w:rPr>
        <w:t>2</w:t>
      </w:r>
      <w:r w:rsidR="000A43B0">
        <w:rPr>
          <w:rFonts w:ascii="Arial" w:hAnsi="Arial" w:cs="Arial"/>
          <w:color w:val="595959" w:themeColor="text1" w:themeTint="A6"/>
        </w:rPr>
        <w:t>5</w:t>
      </w:r>
      <w:r w:rsidR="00AA0B31">
        <w:rPr>
          <w:rFonts w:ascii="Arial" w:hAnsi="Arial" w:cs="Arial"/>
          <w:color w:val="595959" w:themeColor="text1" w:themeTint="A6"/>
        </w:rPr>
        <w:t>-2</w:t>
      </w:r>
      <w:r w:rsidR="004C02EE">
        <w:rPr>
          <w:rFonts w:ascii="Arial" w:hAnsi="Arial" w:cs="Arial"/>
          <w:color w:val="595959" w:themeColor="text1" w:themeTint="A6"/>
        </w:rPr>
        <w:t>01</w:t>
      </w:r>
      <w:r w:rsidR="00AA0B31">
        <w:rPr>
          <w:rFonts w:ascii="Arial" w:hAnsi="Arial" w:cs="Arial"/>
          <w:color w:val="595959" w:themeColor="text1" w:themeTint="A6"/>
        </w:rPr>
        <w:t>6</w:t>
      </w:r>
      <w:r w:rsidR="004C02EE">
        <w:rPr>
          <w:rFonts w:ascii="Arial" w:hAnsi="Arial" w:cs="Arial"/>
          <w:color w:val="595959" w:themeColor="text1" w:themeTint="A6"/>
        </w:rPr>
        <w:t>)</w:t>
      </w:r>
    </w:p>
    <w:p w14:paraId="3E848645" w14:textId="77777777" w:rsidR="00E17C5A" w:rsidRPr="00C07158" w:rsidRDefault="00E17C5A" w:rsidP="00C07158">
      <w:pPr>
        <w:jc w:val="center"/>
        <w:rPr>
          <w:rFonts w:ascii="Arial" w:hAnsi="Arial" w:cs="Arial"/>
          <w:color w:val="595959" w:themeColor="text1" w:themeTint="A6"/>
        </w:rPr>
      </w:pPr>
    </w:p>
    <w:p w14:paraId="41B99C3B" w14:textId="08AB6718" w:rsidR="00281367" w:rsidRDefault="00281367" w:rsidP="00281367"/>
    <w:p w14:paraId="329EA729" w14:textId="0B7FA684" w:rsidR="00281367" w:rsidRDefault="00281367" w:rsidP="00281367"/>
    <w:p w14:paraId="3B23C888" w14:textId="66D0D42F" w:rsidR="00281367" w:rsidRDefault="00281367" w:rsidP="00281367"/>
    <w:p w14:paraId="7468F38D" w14:textId="79545850" w:rsidR="00281367" w:rsidRDefault="00281367" w:rsidP="00281367"/>
    <w:p w14:paraId="33CCEB13" w14:textId="77777777" w:rsidR="00281367" w:rsidRPr="00281367" w:rsidRDefault="00281367" w:rsidP="00281367"/>
    <w:p w14:paraId="413F6709" w14:textId="77777777" w:rsidR="0027438D" w:rsidRDefault="0027438D" w:rsidP="004C6269">
      <w:pPr>
        <w:pStyle w:val="Title"/>
        <w:rPr>
          <w:color w:val="4472C4" w:themeColor="accent1"/>
        </w:rPr>
      </w:pPr>
    </w:p>
    <w:p w14:paraId="6B79628B" w14:textId="77777777" w:rsidR="0027438D" w:rsidRDefault="0027438D" w:rsidP="004C6269">
      <w:pPr>
        <w:pStyle w:val="Title"/>
        <w:rPr>
          <w:color w:val="4472C4" w:themeColor="accent1"/>
        </w:rPr>
      </w:pPr>
    </w:p>
    <w:p w14:paraId="16BA5B92" w14:textId="77777777" w:rsidR="0027438D" w:rsidRDefault="0027438D" w:rsidP="004C6269">
      <w:pPr>
        <w:pStyle w:val="Title"/>
        <w:rPr>
          <w:color w:val="4472C4" w:themeColor="accent1"/>
        </w:rPr>
      </w:pPr>
    </w:p>
    <w:p w14:paraId="6E33CD93" w14:textId="77777777" w:rsidR="0027438D" w:rsidRDefault="0027438D" w:rsidP="004C6269">
      <w:pPr>
        <w:pStyle w:val="Title"/>
        <w:rPr>
          <w:color w:val="4472C4" w:themeColor="accent1"/>
        </w:rPr>
      </w:pPr>
    </w:p>
    <w:p w14:paraId="61377420" w14:textId="77777777" w:rsidR="0027438D" w:rsidRDefault="0027438D" w:rsidP="004C6269">
      <w:pPr>
        <w:pStyle w:val="Title"/>
        <w:rPr>
          <w:color w:val="4472C4" w:themeColor="accent1"/>
        </w:rPr>
      </w:pPr>
    </w:p>
    <w:p w14:paraId="01EC8FF6" w14:textId="066AB930" w:rsidR="006457AC" w:rsidRDefault="006457AC" w:rsidP="004C6269">
      <w:pPr>
        <w:pStyle w:val="Title"/>
        <w:rPr>
          <w:color w:val="4472C4" w:themeColor="accent1"/>
        </w:rPr>
      </w:pPr>
    </w:p>
    <w:p w14:paraId="474F0CCD" w14:textId="53372388" w:rsidR="00110E2D" w:rsidRDefault="00110E2D" w:rsidP="00110E2D"/>
    <w:p w14:paraId="055AF792" w14:textId="0DD84361" w:rsidR="002333EC" w:rsidRDefault="002333EC" w:rsidP="00110E2D"/>
    <w:p w14:paraId="3C9DA194" w14:textId="064C6D3B" w:rsidR="002333EC" w:rsidRDefault="002333EC" w:rsidP="00110E2D"/>
    <w:p w14:paraId="3D072855" w14:textId="77777777" w:rsidR="002333EC" w:rsidRPr="00110E2D" w:rsidRDefault="002333EC" w:rsidP="00110E2D"/>
    <w:p w14:paraId="485EE100" w14:textId="77777777" w:rsidR="00362C62" w:rsidRPr="00362C62" w:rsidRDefault="00362C62" w:rsidP="00362C62"/>
    <w:p w14:paraId="2BFEA597" w14:textId="5FDB7A38" w:rsidR="004C6269" w:rsidRPr="00927315" w:rsidRDefault="004C6269" w:rsidP="00317BFB">
      <w:pPr>
        <w:pStyle w:val="Title"/>
        <w:outlineLvl w:val="0"/>
        <w:rPr>
          <w:color w:val="4472C4" w:themeColor="accent1"/>
          <w:sz w:val="44"/>
          <w:szCs w:val="44"/>
        </w:rPr>
      </w:pPr>
      <w:bookmarkStart w:id="2" w:name="_Toc34208231"/>
      <w:r w:rsidRPr="00927315">
        <w:rPr>
          <w:color w:val="4472C4" w:themeColor="accent1"/>
          <w:sz w:val="44"/>
          <w:szCs w:val="44"/>
        </w:rPr>
        <w:lastRenderedPageBreak/>
        <w:t>Oral presentations</w:t>
      </w:r>
      <w:bookmarkEnd w:id="2"/>
    </w:p>
    <w:p w14:paraId="632351EB" w14:textId="77777777" w:rsidR="004C6269" w:rsidRPr="003061B7" w:rsidRDefault="004C6269" w:rsidP="004C6269">
      <w:pPr>
        <w:rPr>
          <w:color w:val="595959" w:themeColor="text1" w:themeTint="A6"/>
        </w:rPr>
      </w:pPr>
    </w:p>
    <w:p w14:paraId="5D0A9553" w14:textId="023CCC19" w:rsidR="004C6269" w:rsidRPr="00581E5C" w:rsidRDefault="004C6269" w:rsidP="00581E5C">
      <w:pPr>
        <w:spacing w:line="360" w:lineRule="auto"/>
        <w:jc w:val="both"/>
        <w:rPr>
          <w:rFonts w:ascii="Arial" w:hAnsi="Arial" w:cs="Arial"/>
          <w:color w:val="595959" w:themeColor="text1" w:themeTint="A6"/>
        </w:rPr>
      </w:pPr>
      <w:r w:rsidRPr="00581E5C">
        <w:rPr>
          <w:rFonts w:ascii="Arial" w:hAnsi="Arial" w:cs="Arial"/>
          <w:color w:val="595959" w:themeColor="text1" w:themeTint="A6"/>
        </w:rPr>
        <w:t>‘Novel tissue-engineered constructs to elucidate the role of fibroblast-derived ECM in OSCC progression.’ B</w:t>
      </w:r>
      <w:r w:rsidR="00DD3980">
        <w:rPr>
          <w:rFonts w:ascii="Arial" w:hAnsi="Arial" w:cs="Arial"/>
          <w:color w:val="595959" w:themeColor="text1" w:themeTint="A6"/>
        </w:rPr>
        <w:t>ritish Society of Oral and Dental Research (BSODR)</w:t>
      </w:r>
      <w:r w:rsidRPr="00581E5C">
        <w:rPr>
          <w:rFonts w:ascii="Arial" w:hAnsi="Arial" w:cs="Arial"/>
          <w:color w:val="595959" w:themeColor="text1" w:themeTint="A6"/>
        </w:rPr>
        <w:t xml:space="preserve">, Plymouth, UK (2017). </w:t>
      </w:r>
    </w:p>
    <w:p w14:paraId="7A0F775A" w14:textId="77777777" w:rsidR="004C6269" w:rsidRPr="00581E5C" w:rsidRDefault="004C6269" w:rsidP="00581E5C">
      <w:pPr>
        <w:spacing w:line="360" w:lineRule="auto"/>
        <w:jc w:val="both"/>
        <w:rPr>
          <w:rFonts w:ascii="Arial" w:hAnsi="Arial" w:cs="Arial"/>
          <w:color w:val="595959" w:themeColor="text1" w:themeTint="A6"/>
        </w:rPr>
      </w:pPr>
      <w:r w:rsidRPr="00581E5C">
        <w:rPr>
          <w:rFonts w:ascii="Arial" w:hAnsi="Arial" w:cs="Arial"/>
          <w:color w:val="595959" w:themeColor="text1" w:themeTint="A6"/>
        </w:rPr>
        <w:t xml:space="preserve">‘Investigating the role of the ECM in OSCC progression using novel primary fibroblast-derived tissue-engineered ECM constructs.’ BACR, Birmingham, UK (2017). </w:t>
      </w:r>
    </w:p>
    <w:p w14:paraId="3E62AE9B" w14:textId="77777777" w:rsidR="004C6269" w:rsidRPr="00581E5C" w:rsidRDefault="004C6269" w:rsidP="00581E5C">
      <w:pPr>
        <w:spacing w:line="360" w:lineRule="auto"/>
        <w:jc w:val="both"/>
        <w:rPr>
          <w:rFonts w:ascii="Arial" w:hAnsi="Arial" w:cs="Arial"/>
          <w:color w:val="595959" w:themeColor="text1" w:themeTint="A6"/>
        </w:rPr>
      </w:pPr>
      <w:r w:rsidRPr="00581E5C">
        <w:rPr>
          <w:rFonts w:ascii="Arial" w:hAnsi="Arial" w:cs="Arial"/>
          <w:color w:val="595959" w:themeColor="text1" w:themeTint="A6"/>
        </w:rPr>
        <w:t xml:space="preserve">‘Novel tissue-engineered constructs to elucidate the role of fibroblast-derived ECM in OSCC progression.’ SCRC, Sheffield, UK (2017). </w:t>
      </w:r>
    </w:p>
    <w:p w14:paraId="6AD15456" w14:textId="77777777" w:rsidR="004C6269" w:rsidRPr="00581E5C" w:rsidRDefault="004C6269" w:rsidP="00581E5C">
      <w:pPr>
        <w:spacing w:line="360" w:lineRule="auto"/>
        <w:jc w:val="both"/>
        <w:rPr>
          <w:rFonts w:ascii="Arial" w:hAnsi="Arial" w:cs="Arial"/>
          <w:color w:val="595959" w:themeColor="text1" w:themeTint="A6"/>
        </w:rPr>
      </w:pPr>
      <w:r w:rsidRPr="00581E5C">
        <w:rPr>
          <w:rFonts w:ascii="Arial" w:hAnsi="Arial" w:cs="Arial"/>
          <w:color w:val="595959" w:themeColor="text1" w:themeTint="A6"/>
        </w:rPr>
        <w:t>‘Fibroblast-derived oral mucosa equivalent models and their uses to investigate the ECM in OSCC progression.’ BiTEG, Leeds University, UK (2017).</w:t>
      </w:r>
    </w:p>
    <w:p w14:paraId="53AACD79" w14:textId="06B27DE8" w:rsidR="003061B7" w:rsidRPr="00581E5C" w:rsidRDefault="003061B7" w:rsidP="00581E5C">
      <w:pPr>
        <w:spacing w:line="360" w:lineRule="auto"/>
        <w:jc w:val="both"/>
        <w:rPr>
          <w:rFonts w:ascii="Arial" w:hAnsi="Arial" w:cs="Arial"/>
          <w:color w:val="595959" w:themeColor="text1" w:themeTint="A6"/>
        </w:rPr>
      </w:pPr>
      <w:r w:rsidRPr="00581E5C">
        <w:rPr>
          <w:rFonts w:ascii="Arial" w:hAnsi="Arial" w:cs="Arial"/>
          <w:color w:val="595959" w:themeColor="text1" w:themeTint="A6"/>
        </w:rPr>
        <w:t xml:space="preserve">‘Generating fibroblast-derived 3D native scaffolds to examine the role of the extracellular matrix in oral cancer progression’. TCES, Keele University, </w:t>
      </w:r>
      <w:r w:rsidR="001C7D6F">
        <w:rPr>
          <w:rFonts w:ascii="Arial" w:hAnsi="Arial" w:cs="Arial"/>
          <w:color w:val="595959" w:themeColor="text1" w:themeTint="A6"/>
        </w:rPr>
        <w:t xml:space="preserve">UK </w:t>
      </w:r>
      <w:r w:rsidRPr="00581E5C">
        <w:rPr>
          <w:rFonts w:ascii="Arial" w:hAnsi="Arial" w:cs="Arial"/>
          <w:color w:val="595959" w:themeColor="text1" w:themeTint="A6"/>
        </w:rPr>
        <w:t xml:space="preserve">(2018). </w:t>
      </w:r>
    </w:p>
    <w:p w14:paraId="7AF2DB8D" w14:textId="2D419E03" w:rsidR="003061B7" w:rsidRPr="00581E5C" w:rsidRDefault="003061B7" w:rsidP="00581E5C">
      <w:pPr>
        <w:spacing w:line="360" w:lineRule="auto"/>
        <w:jc w:val="both"/>
        <w:rPr>
          <w:rFonts w:ascii="Arial" w:hAnsi="Arial" w:cs="Arial"/>
          <w:color w:val="595959" w:themeColor="text1" w:themeTint="A6"/>
        </w:rPr>
      </w:pPr>
      <w:r w:rsidRPr="00581E5C">
        <w:rPr>
          <w:rFonts w:ascii="Arial" w:hAnsi="Arial" w:cs="Arial"/>
          <w:color w:val="595959" w:themeColor="text1" w:themeTint="A6"/>
        </w:rPr>
        <w:t xml:space="preserve">‘Novel primary fibroblast-derived 3D constructs to examine the role of the extracellular matrix in oral cancer progression’. TERMIS Kyoto, Japan, (2018). </w:t>
      </w:r>
    </w:p>
    <w:p w14:paraId="5DA813FD" w14:textId="056F5908" w:rsidR="004C6269" w:rsidRPr="00581E5C" w:rsidRDefault="003061B7" w:rsidP="00581E5C">
      <w:pPr>
        <w:spacing w:line="360" w:lineRule="auto"/>
        <w:jc w:val="both"/>
        <w:rPr>
          <w:rFonts w:ascii="Arial" w:hAnsi="Arial" w:cs="Arial"/>
          <w:color w:val="595959" w:themeColor="text1" w:themeTint="A6"/>
        </w:rPr>
      </w:pPr>
      <w:r w:rsidRPr="00581E5C">
        <w:rPr>
          <w:rFonts w:ascii="Arial" w:hAnsi="Arial" w:cs="Arial"/>
          <w:color w:val="595959" w:themeColor="text1" w:themeTint="A6"/>
        </w:rPr>
        <w:t xml:space="preserve">‘The role of the ECM in oral cancer’ </w:t>
      </w:r>
      <w:r w:rsidR="004C6269" w:rsidRPr="00581E5C">
        <w:rPr>
          <w:rFonts w:ascii="Arial" w:hAnsi="Arial" w:cs="Arial"/>
          <w:color w:val="595959" w:themeColor="text1" w:themeTint="A6"/>
        </w:rPr>
        <w:t>IADR</w:t>
      </w:r>
      <w:r w:rsidR="001F1C63" w:rsidRPr="00581E5C">
        <w:rPr>
          <w:rFonts w:ascii="Arial" w:hAnsi="Arial" w:cs="Arial"/>
          <w:color w:val="595959" w:themeColor="text1" w:themeTint="A6"/>
        </w:rPr>
        <w:t xml:space="preserve"> Hatton-Unilever prize</w:t>
      </w:r>
      <w:r w:rsidRPr="00581E5C">
        <w:rPr>
          <w:rFonts w:ascii="Arial" w:hAnsi="Arial" w:cs="Arial"/>
          <w:color w:val="595959" w:themeColor="text1" w:themeTint="A6"/>
        </w:rPr>
        <w:t xml:space="preserve">, </w:t>
      </w:r>
      <w:r w:rsidR="00BB7FB4">
        <w:rPr>
          <w:rFonts w:ascii="Arial" w:hAnsi="Arial" w:cs="Arial"/>
          <w:color w:val="595959" w:themeColor="text1" w:themeTint="A6"/>
        </w:rPr>
        <w:t xml:space="preserve">Vancouver, </w:t>
      </w:r>
      <w:r w:rsidRPr="00581E5C">
        <w:rPr>
          <w:rFonts w:ascii="Arial" w:hAnsi="Arial" w:cs="Arial"/>
          <w:color w:val="595959" w:themeColor="text1" w:themeTint="A6"/>
        </w:rPr>
        <w:t>Canada, (2019).</w:t>
      </w:r>
      <w:r w:rsidR="001F1C63" w:rsidRPr="00581E5C">
        <w:rPr>
          <w:rFonts w:ascii="Arial" w:hAnsi="Arial" w:cs="Arial"/>
          <w:color w:val="595959" w:themeColor="text1" w:themeTint="A6"/>
        </w:rPr>
        <w:t xml:space="preserve"> </w:t>
      </w:r>
    </w:p>
    <w:p w14:paraId="53C93F8E" w14:textId="77777777" w:rsidR="004C6269" w:rsidRPr="00927315" w:rsidRDefault="004C6269" w:rsidP="00317BFB">
      <w:pPr>
        <w:pStyle w:val="Title"/>
        <w:outlineLvl w:val="0"/>
        <w:rPr>
          <w:color w:val="4472C4" w:themeColor="accent1"/>
          <w:sz w:val="44"/>
          <w:szCs w:val="44"/>
        </w:rPr>
      </w:pPr>
      <w:bookmarkStart w:id="3" w:name="_Toc34208232"/>
      <w:r w:rsidRPr="00927315">
        <w:rPr>
          <w:color w:val="4472C4" w:themeColor="accent1"/>
          <w:sz w:val="44"/>
          <w:szCs w:val="44"/>
        </w:rPr>
        <w:t>Poster presentations</w:t>
      </w:r>
      <w:bookmarkEnd w:id="3"/>
    </w:p>
    <w:p w14:paraId="6A9817C1" w14:textId="77777777" w:rsidR="004C6269" w:rsidRPr="007F4BEA" w:rsidRDefault="004C6269" w:rsidP="004C6269"/>
    <w:p w14:paraId="67D439E7" w14:textId="489731F6" w:rsidR="004C6269" w:rsidRPr="00581E5C" w:rsidRDefault="004C6269" w:rsidP="00581E5C">
      <w:pPr>
        <w:spacing w:line="360" w:lineRule="auto"/>
        <w:jc w:val="both"/>
        <w:rPr>
          <w:rFonts w:ascii="Arial" w:hAnsi="Arial" w:cs="Arial"/>
          <w:color w:val="595959" w:themeColor="text1" w:themeTint="A6"/>
        </w:rPr>
      </w:pPr>
      <w:r w:rsidRPr="00581E5C">
        <w:rPr>
          <w:rFonts w:ascii="Arial" w:hAnsi="Arial" w:cs="Arial"/>
          <w:color w:val="595959" w:themeColor="text1" w:themeTint="A6"/>
        </w:rPr>
        <w:t xml:space="preserve">‘Novel tissue-engineered constructs to elucidate the role of fibroblast-derived ECM in OSCC progression.’ BiTEG, Durham, UK (2016). </w:t>
      </w:r>
    </w:p>
    <w:p w14:paraId="6B64796A" w14:textId="2F3D7CF0" w:rsidR="004C6269" w:rsidRPr="00581E5C" w:rsidRDefault="00581E5C" w:rsidP="00581E5C">
      <w:pPr>
        <w:spacing w:line="360" w:lineRule="auto"/>
        <w:jc w:val="both"/>
        <w:rPr>
          <w:rFonts w:ascii="Arial" w:hAnsi="Arial" w:cs="Arial"/>
          <w:color w:val="595959" w:themeColor="text1" w:themeTint="A6"/>
        </w:rPr>
      </w:pPr>
      <w:r w:rsidRPr="00581E5C">
        <w:rPr>
          <w:rFonts w:ascii="Arial" w:hAnsi="Arial" w:cs="Arial"/>
          <w:color w:val="595959" w:themeColor="text1" w:themeTint="A6"/>
          <w:lang w:val="en-US"/>
        </w:rPr>
        <w:t>‘Tissue-engineered models to study extracellular matrix: tumour interactions in oral cancer’.</w:t>
      </w:r>
      <w:r w:rsidRPr="00581E5C">
        <w:rPr>
          <w:rFonts w:ascii="Arial" w:hAnsi="Arial" w:cs="Arial"/>
          <w:color w:val="595959" w:themeColor="text1" w:themeTint="A6"/>
        </w:rPr>
        <w:t xml:space="preserve"> </w:t>
      </w:r>
      <w:r w:rsidR="004C6269" w:rsidRPr="00581E5C">
        <w:rPr>
          <w:rFonts w:ascii="Arial" w:hAnsi="Arial" w:cs="Arial"/>
          <w:color w:val="595959" w:themeColor="text1" w:themeTint="A6"/>
        </w:rPr>
        <w:t>TCES</w:t>
      </w:r>
      <w:r w:rsidRPr="00581E5C">
        <w:rPr>
          <w:rFonts w:ascii="Arial" w:hAnsi="Arial" w:cs="Arial"/>
          <w:color w:val="595959" w:themeColor="text1" w:themeTint="A6"/>
        </w:rPr>
        <w:t xml:space="preserve">, Nottingham, UK (2019). </w:t>
      </w:r>
    </w:p>
    <w:p w14:paraId="0F481B55" w14:textId="2D899510" w:rsidR="001F1C63" w:rsidRPr="00581E5C" w:rsidRDefault="003061B7" w:rsidP="00581E5C">
      <w:pPr>
        <w:spacing w:line="360" w:lineRule="auto"/>
        <w:jc w:val="both"/>
        <w:rPr>
          <w:rFonts w:ascii="Arial" w:hAnsi="Arial" w:cs="Arial"/>
          <w:color w:val="595959" w:themeColor="text1" w:themeTint="A6"/>
        </w:rPr>
      </w:pPr>
      <w:r w:rsidRPr="00581E5C">
        <w:rPr>
          <w:rFonts w:ascii="Arial" w:hAnsi="Arial" w:cs="Arial"/>
          <w:color w:val="595959" w:themeColor="text1" w:themeTint="A6"/>
        </w:rPr>
        <w:t xml:space="preserve">‘The role of the ECM in oral cancer’ </w:t>
      </w:r>
      <w:r w:rsidR="001F1C63" w:rsidRPr="00581E5C">
        <w:rPr>
          <w:rFonts w:ascii="Arial" w:hAnsi="Arial" w:cs="Arial"/>
          <w:color w:val="595959" w:themeColor="text1" w:themeTint="A6"/>
        </w:rPr>
        <w:t>IADR</w:t>
      </w:r>
      <w:r w:rsidRPr="00581E5C">
        <w:rPr>
          <w:rFonts w:ascii="Arial" w:hAnsi="Arial" w:cs="Arial"/>
          <w:color w:val="595959" w:themeColor="text1" w:themeTint="A6"/>
        </w:rPr>
        <w:t>,</w:t>
      </w:r>
      <w:r w:rsidR="005C3DCC">
        <w:rPr>
          <w:rFonts w:ascii="Arial" w:hAnsi="Arial" w:cs="Arial"/>
          <w:color w:val="595959" w:themeColor="text1" w:themeTint="A6"/>
        </w:rPr>
        <w:t xml:space="preserve"> Vancouver,</w:t>
      </w:r>
      <w:r w:rsidRPr="00581E5C">
        <w:rPr>
          <w:rFonts w:ascii="Arial" w:hAnsi="Arial" w:cs="Arial"/>
          <w:color w:val="595959" w:themeColor="text1" w:themeTint="A6"/>
        </w:rPr>
        <w:t xml:space="preserve"> Canada</w:t>
      </w:r>
      <w:r w:rsidR="00882A30">
        <w:rPr>
          <w:rFonts w:ascii="Arial" w:hAnsi="Arial" w:cs="Arial"/>
          <w:color w:val="595959" w:themeColor="text1" w:themeTint="A6"/>
        </w:rPr>
        <w:t xml:space="preserve"> </w:t>
      </w:r>
      <w:r w:rsidRPr="00581E5C">
        <w:rPr>
          <w:rFonts w:ascii="Arial" w:hAnsi="Arial" w:cs="Arial"/>
          <w:color w:val="595959" w:themeColor="text1" w:themeTint="A6"/>
        </w:rPr>
        <w:t xml:space="preserve">(2019). </w:t>
      </w:r>
    </w:p>
    <w:p w14:paraId="31E3152C" w14:textId="6A190C27" w:rsidR="004C6269" w:rsidRPr="00927315" w:rsidRDefault="004C6269" w:rsidP="00317BFB">
      <w:pPr>
        <w:pStyle w:val="Title"/>
        <w:outlineLvl w:val="0"/>
        <w:rPr>
          <w:rFonts w:cs="Arial"/>
          <w:color w:val="4472C4" w:themeColor="accent1"/>
          <w:sz w:val="44"/>
          <w:szCs w:val="44"/>
        </w:rPr>
      </w:pPr>
      <w:bookmarkStart w:id="4" w:name="_Toc34208233"/>
      <w:r w:rsidRPr="00927315">
        <w:rPr>
          <w:rFonts w:cs="Arial"/>
          <w:color w:val="4472C4" w:themeColor="accent1"/>
          <w:sz w:val="44"/>
          <w:szCs w:val="44"/>
        </w:rPr>
        <w:t>Prizes</w:t>
      </w:r>
      <w:bookmarkEnd w:id="4"/>
    </w:p>
    <w:p w14:paraId="435A4E0B" w14:textId="77777777" w:rsidR="004C6269" w:rsidRPr="003F5FE0" w:rsidRDefault="004C6269" w:rsidP="004C6269"/>
    <w:p w14:paraId="5B734774" w14:textId="28769329" w:rsidR="004C6269" w:rsidRPr="00581E5C" w:rsidRDefault="004C6269" w:rsidP="00581E5C">
      <w:pPr>
        <w:spacing w:line="360" w:lineRule="auto"/>
        <w:jc w:val="both"/>
        <w:rPr>
          <w:rFonts w:ascii="Arial" w:hAnsi="Arial" w:cs="Arial"/>
          <w:color w:val="595959" w:themeColor="text1" w:themeTint="A6"/>
        </w:rPr>
      </w:pPr>
      <w:r w:rsidRPr="00581E5C">
        <w:rPr>
          <w:rFonts w:ascii="Arial" w:hAnsi="Arial" w:cs="Arial"/>
          <w:color w:val="595959" w:themeColor="text1" w:themeTint="A6"/>
        </w:rPr>
        <w:t>‘First Prize; oral presentation for School of clinical Dentistry PGR day’ The University of Sheffield, UK</w:t>
      </w:r>
      <w:r w:rsidR="002D3A98">
        <w:rPr>
          <w:rFonts w:ascii="Arial" w:hAnsi="Arial" w:cs="Arial"/>
          <w:color w:val="595959" w:themeColor="text1" w:themeTint="A6"/>
        </w:rPr>
        <w:t xml:space="preserve"> (2016).</w:t>
      </w:r>
    </w:p>
    <w:p w14:paraId="7A70D3E2" w14:textId="77000F58" w:rsidR="004C6269" w:rsidRPr="00581E5C" w:rsidRDefault="004C6269" w:rsidP="00581E5C">
      <w:pPr>
        <w:spacing w:line="360" w:lineRule="auto"/>
        <w:jc w:val="both"/>
        <w:rPr>
          <w:rFonts w:ascii="Arial" w:hAnsi="Arial" w:cs="Arial"/>
          <w:color w:val="595959" w:themeColor="text1" w:themeTint="A6"/>
        </w:rPr>
      </w:pPr>
      <w:r w:rsidRPr="00581E5C">
        <w:rPr>
          <w:rFonts w:ascii="Arial" w:hAnsi="Arial" w:cs="Arial"/>
          <w:color w:val="595959" w:themeColor="text1" w:themeTint="A6"/>
        </w:rPr>
        <w:t>‘People’s choice for best oral presentation’ 19</w:t>
      </w:r>
      <w:r w:rsidRPr="00581E5C">
        <w:rPr>
          <w:rFonts w:ascii="Arial" w:hAnsi="Arial" w:cs="Arial"/>
          <w:color w:val="595959" w:themeColor="text1" w:themeTint="A6"/>
          <w:vertAlign w:val="superscript"/>
        </w:rPr>
        <w:t>th</w:t>
      </w:r>
      <w:r w:rsidRPr="00581E5C">
        <w:rPr>
          <w:rFonts w:ascii="Arial" w:hAnsi="Arial" w:cs="Arial"/>
          <w:color w:val="595959" w:themeColor="text1" w:themeTint="A6"/>
        </w:rPr>
        <w:t xml:space="preserve"> Annual White Rose, Biomaterials and Tissue Engineering Group. Leeds University, UK (2017). </w:t>
      </w:r>
    </w:p>
    <w:p w14:paraId="557D87C7" w14:textId="77777777" w:rsidR="004C6269" w:rsidRPr="00581E5C" w:rsidRDefault="004C6269" w:rsidP="00581E5C">
      <w:pPr>
        <w:spacing w:line="360" w:lineRule="auto"/>
        <w:jc w:val="both"/>
        <w:rPr>
          <w:rFonts w:ascii="Arial" w:hAnsi="Arial" w:cs="Arial"/>
          <w:color w:val="595959" w:themeColor="text1" w:themeTint="A6"/>
        </w:rPr>
      </w:pPr>
      <w:r w:rsidRPr="00581E5C">
        <w:rPr>
          <w:rFonts w:ascii="Arial" w:hAnsi="Arial" w:cs="Arial"/>
          <w:color w:val="595959" w:themeColor="text1" w:themeTint="A6"/>
        </w:rPr>
        <w:t xml:space="preserve">‘Oral Medicine and Oral Pathology Prize for Oral presentation.’ BSODR Annual Scientific Meeting, Plymouth, UK. (2017). </w:t>
      </w:r>
    </w:p>
    <w:p w14:paraId="4BCEAEBD" w14:textId="389A5AF4" w:rsidR="004C6269" w:rsidRPr="00581E5C" w:rsidRDefault="004C6269" w:rsidP="00581E5C">
      <w:pPr>
        <w:spacing w:line="360" w:lineRule="auto"/>
        <w:jc w:val="both"/>
        <w:rPr>
          <w:rFonts w:ascii="Arial" w:hAnsi="Arial" w:cs="Arial"/>
          <w:color w:val="595959" w:themeColor="text1" w:themeTint="A6"/>
        </w:rPr>
      </w:pPr>
      <w:r w:rsidRPr="00581E5C">
        <w:rPr>
          <w:rFonts w:ascii="Arial" w:hAnsi="Arial" w:cs="Arial"/>
          <w:color w:val="595959" w:themeColor="text1" w:themeTint="A6"/>
        </w:rPr>
        <w:lastRenderedPageBreak/>
        <w:t xml:space="preserve">‘BSODR Senior Colgate Prize.’ IADR, London, UK (2018). </w:t>
      </w:r>
    </w:p>
    <w:p w14:paraId="14A0124B" w14:textId="455471FF" w:rsidR="004C6269" w:rsidRPr="00581E5C" w:rsidRDefault="004C6269" w:rsidP="00581E5C">
      <w:pPr>
        <w:spacing w:line="360" w:lineRule="auto"/>
        <w:jc w:val="both"/>
        <w:rPr>
          <w:rFonts w:ascii="Arial" w:hAnsi="Arial" w:cs="Arial"/>
          <w:color w:val="595959" w:themeColor="text1" w:themeTint="A6"/>
        </w:rPr>
      </w:pPr>
      <w:r w:rsidRPr="00581E5C">
        <w:rPr>
          <w:rFonts w:ascii="Arial" w:hAnsi="Arial" w:cs="Arial"/>
          <w:color w:val="595959" w:themeColor="text1" w:themeTint="A6"/>
        </w:rPr>
        <w:t>‘Poster competition (2</w:t>
      </w:r>
      <w:r w:rsidRPr="00581E5C">
        <w:rPr>
          <w:rFonts w:ascii="Arial" w:hAnsi="Arial" w:cs="Arial"/>
          <w:color w:val="595959" w:themeColor="text1" w:themeTint="A6"/>
          <w:vertAlign w:val="superscript"/>
        </w:rPr>
        <w:t>nd</w:t>
      </w:r>
      <w:r w:rsidRPr="00581E5C">
        <w:rPr>
          <w:rFonts w:ascii="Arial" w:hAnsi="Arial" w:cs="Arial"/>
          <w:color w:val="595959" w:themeColor="text1" w:themeTint="A6"/>
        </w:rPr>
        <w:t xml:space="preserve"> prize), 3D BioNet, The University of Sheffield, UK (2019). </w:t>
      </w:r>
    </w:p>
    <w:p w14:paraId="53127382" w14:textId="77777777" w:rsidR="004C6269" w:rsidRPr="00741BC3" w:rsidRDefault="004C6269" w:rsidP="00317BFB">
      <w:pPr>
        <w:pStyle w:val="Title"/>
        <w:outlineLvl w:val="0"/>
        <w:rPr>
          <w:rFonts w:cs="Arial"/>
          <w:color w:val="4472C4" w:themeColor="accent1"/>
          <w:sz w:val="44"/>
          <w:szCs w:val="44"/>
        </w:rPr>
      </w:pPr>
      <w:bookmarkStart w:id="5" w:name="_Toc34208234"/>
      <w:r w:rsidRPr="00741BC3">
        <w:rPr>
          <w:rFonts w:cs="Arial"/>
          <w:color w:val="4472C4" w:themeColor="accent1"/>
          <w:sz w:val="44"/>
          <w:szCs w:val="44"/>
        </w:rPr>
        <w:t>Manuscripts</w:t>
      </w:r>
      <w:bookmarkEnd w:id="5"/>
    </w:p>
    <w:p w14:paraId="05E61CD2" w14:textId="77777777" w:rsidR="004C6269" w:rsidRPr="00581E5C" w:rsidRDefault="004C6269" w:rsidP="00581E5C">
      <w:pPr>
        <w:spacing w:line="360" w:lineRule="auto"/>
        <w:rPr>
          <w:rFonts w:ascii="Arial" w:hAnsi="Arial" w:cs="Arial"/>
          <w:color w:val="595959" w:themeColor="text1" w:themeTint="A6"/>
        </w:rPr>
      </w:pPr>
    </w:p>
    <w:p w14:paraId="67EC488D" w14:textId="7F2CDAB5" w:rsidR="004C6269" w:rsidRDefault="004C6269" w:rsidP="00581E5C">
      <w:pPr>
        <w:spacing w:line="360" w:lineRule="auto"/>
        <w:jc w:val="both"/>
        <w:rPr>
          <w:rFonts w:ascii="Arial" w:hAnsi="Arial" w:cs="Arial"/>
          <w:color w:val="595959" w:themeColor="text1" w:themeTint="A6"/>
        </w:rPr>
      </w:pPr>
      <w:r w:rsidRPr="00581E5C">
        <w:rPr>
          <w:rFonts w:ascii="Arial" w:hAnsi="Arial" w:cs="Arial"/>
          <w:color w:val="595959" w:themeColor="text1" w:themeTint="A6"/>
        </w:rPr>
        <w:t xml:space="preserve">KYFFIN JA, Sharma P, Leedalec J, Colley HE, Murdoch C, </w:t>
      </w:r>
      <w:r w:rsidRPr="00581E5C">
        <w:rPr>
          <w:rFonts w:ascii="Arial" w:hAnsi="Arial" w:cs="Arial"/>
          <w:color w:val="595959" w:themeColor="text1" w:themeTint="A6"/>
          <w:u w:val="single"/>
        </w:rPr>
        <w:t>Harding AL</w:t>
      </w:r>
      <w:r w:rsidRPr="00581E5C">
        <w:rPr>
          <w:rFonts w:ascii="Arial" w:hAnsi="Arial" w:cs="Arial"/>
          <w:color w:val="595959" w:themeColor="text1" w:themeTint="A6"/>
        </w:rPr>
        <w:t xml:space="preserve">, Mistry P, and Webb SD (2019). ‘Characterisation of a functional rat hepatocyte spheroid model’. </w:t>
      </w:r>
      <w:r w:rsidRPr="00581E5C">
        <w:rPr>
          <w:rFonts w:ascii="Arial" w:hAnsi="Arial" w:cs="Arial"/>
          <w:i/>
          <w:color w:val="595959" w:themeColor="text1" w:themeTint="A6"/>
        </w:rPr>
        <w:t>Toxicology in vitro</w:t>
      </w:r>
      <w:r w:rsidR="00906DDD" w:rsidRPr="00906DDD">
        <w:rPr>
          <w:rFonts w:ascii="Arial" w:hAnsi="Arial" w:cs="Arial"/>
          <w:color w:val="595959" w:themeColor="text1" w:themeTint="A6"/>
        </w:rPr>
        <w:t>;</w:t>
      </w:r>
      <w:r w:rsidR="00906DDD">
        <w:rPr>
          <w:rFonts w:ascii="Arial" w:hAnsi="Arial" w:cs="Arial"/>
          <w:color w:val="595959" w:themeColor="text1" w:themeTint="A6"/>
        </w:rPr>
        <w:t xml:space="preserve"> </w:t>
      </w:r>
      <w:r w:rsidR="00906DDD" w:rsidRPr="00906DDD">
        <w:rPr>
          <w:rFonts w:ascii="Arial" w:hAnsi="Arial" w:cs="Arial"/>
          <w:b/>
          <w:bCs/>
          <w:color w:val="595959" w:themeColor="text1" w:themeTint="A6"/>
        </w:rPr>
        <w:t>55</w:t>
      </w:r>
      <w:r w:rsidR="00906DDD" w:rsidRPr="00906DDD">
        <w:rPr>
          <w:rFonts w:ascii="Arial" w:hAnsi="Arial" w:cs="Arial"/>
          <w:color w:val="595959" w:themeColor="text1" w:themeTint="A6"/>
        </w:rPr>
        <w:t>:160-172</w:t>
      </w:r>
      <w:r w:rsidR="00906DDD">
        <w:rPr>
          <w:rFonts w:ascii="Arial" w:hAnsi="Arial" w:cs="Arial"/>
          <w:color w:val="595959" w:themeColor="text1" w:themeTint="A6"/>
        </w:rPr>
        <w:t>.</w:t>
      </w:r>
    </w:p>
    <w:p w14:paraId="76CF419E" w14:textId="61D214A0" w:rsidR="00B90B84" w:rsidRPr="00661C4F" w:rsidRDefault="00CA21B7" w:rsidP="00581E5C">
      <w:pPr>
        <w:spacing w:line="360" w:lineRule="auto"/>
        <w:jc w:val="both"/>
        <w:rPr>
          <w:rFonts w:ascii="Arial" w:hAnsi="Arial" w:cs="Arial"/>
          <w:color w:val="595959" w:themeColor="text1" w:themeTint="A6"/>
        </w:rPr>
      </w:pPr>
      <w:r w:rsidRPr="00661C4F">
        <w:rPr>
          <w:rFonts w:ascii="Arial" w:hAnsi="Arial" w:cs="Arial"/>
          <w:color w:val="595959" w:themeColor="text1" w:themeTint="A6"/>
        </w:rPr>
        <w:t>LEEDALE</w:t>
      </w:r>
      <w:r w:rsidR="004178F7" w:rsidRPr="00661C4F">
        <w:rPr>
          <w:rFonts w:ascii="Arial" w:hAnsi="Arial" w:cs="Arial"/>
          <w:color w:val="595959" w:themeColor="text1" w:themeTint="A6"/>
        </w:rPr>
        <w:t>, J</w:t>
      </w:r>
      <w:r w:rsidR="00A538DB" w:rsidRPr="00661C4F">
        <w:rPr>
          <w:rFonts w:ascii="Arial" w:hAnsi="Arial" w:cs="Arial"/>
          <w:color w:val="595959" w:themeColor="text1" w:themeTint="A6"/>
        </w:rPr>
        <w:t>A, Kyffin, J</w:t>
      </w:r>
      <w:r w:rsidR="00D621EB" w:rsidRPr="00661C4F">
        <w:rPr>
          <w:rFonts w:ascii="Arial" w:hAnsi="Arial" w:cs="Arial"/>
          <w:color w:val="595959" w:themeColor="text1" w:themeTint="A6"/>
        </w:rPr>
        <w:t xml:space="preserve">A, </w:t>
      </w:r>
      <w:r w:rsidR="005536C3" w:rsidRPr="00661C4F">
        <w:rPr>
          <w:rFonts w:ascii="Arial" w:hAnsi="Arial" w:cs="Arial"/>
          <w:color w:val="595959" w:themeColor="text1" w:themeTint="A6"/>
          <w:u w:val="single"/>
        </w:rPr>
        <w:t>Harding AL</w:t>
      </w:r>
      <w:r w:rsidR="005536C3" w:rsidRPr="00661C4F">
        <w:rPr>
          <w:rFonts w:ascii="Arial" w:hAnsi="Arial" w:cs="Arial"/>
          <w:color w:val="595959" w:themeColor="text1" w:themeTint="A6"/>
        </w:rPr>
        <w:t>, Colley,</w:t>
      </w:r>
      <w:r w:rsidR="00AD7BA1" w:rsidRPr="00661C4F">
        <w:rPr>
          <w:rFonts w:ascii="Arial" w:hAnsi="Arial" w:cs="Arial"/>
          <w:color w:val="595959" w:themeColor="text1" w:themeTint="A6"/>
        </w:rPr>
        <w:t xml:space="preserve"> HE, Murdoch </w:t>
      </w:r>
      <w:r w:rsidR="00892792" w:rsidRPr="00661C4F">
        <w:rPr>
          <w:rFonts w:ascii="Arial" w:hAnsi="Arial" w:cs="Arial"/>
          <w:color w:val="595959" w:themeColor="text1" w:themeTint="A6"/>
        </w:rPr>
        <w:t>C, Sharma, P, Williams DP, Webb SD and Bearon</w:t>
      </w:r>
      <w:r w:rsidR="007A2621" w:rsidRPr="00661C4F">
        <w:rPr>
          <w:rFonts w:ascii="Arial" w:hAnsi="Arial" w:cs="Arial"/>
          <w:color w:val="595959" w:themeColor="text1" w:themeTint="A6"/>
        </w:rPr>
        <w:t xml:space="preserve"> RN</w:t>
      </w:r>
      <w:r w:rsidR="00D60983" w:rsidRPr="00661C4F">
        <w:rPr>
          <w:rFonts w:ascii="Arial" w:hAnsi="Arial" w:cs="Arial"/>
          <w:color w:val="595959" w:themeColor="text1" w:themeTint="A6"/>
        </w:rPr>
        <w:t xml:space="preserve"> (2020). </w:t>
      </w:r>
      <w:r w:rsidR="0088686F" w:rsidRPr="00661C4F">
        <w:rPr>
          <w:rFonts w:ascii="Arial" w:hAnsi="Arial" w:cs="Arial"/>
          <w:color w:val="595959" w:themeColor="text1" w:themeTint="A6"/>
        </w:rPr>
        <w:t xml:space="preserve">‘Multiscale modelling of drug transport and metabolism in liver spheroids.’ </w:t>
      </w:r>
      <w:r w:rsidR="00670A18" w:rsidRPr="00661C4F">
        <w:rPr>
          <w:rFonts w:ascii="Arial" w:hAnsi="Arial" w:cs="Arial"/>
          <w:i/>
          <w:iCs/>
          <w:color w:val="595959" w:themeColor="text1" w:themeTint="A6"/>
        </w:rPr>
        <w:t>Interface focus,</w:t>
      </w:r>
      <w:r w:rsidR="00D9355C" w:rsidRPr="00661C4F">
        <w:rPr>
          <w:rFonts w:ascii="Arial" w:hAnsi="Arial" w:cs="Arial"/>
          <w:b/>
          <w:bCs/>
          <w:color w:val="595959" w:themeColor="text1" w:themeTint="A6"/>
        </w:rPr>
        <w:t>10</w:t>
      </w:r>
      <w:r w:rsidR="00D9355C" w:rsidRPr="00661C4F">
        <w:rPr>
          <w:rFonts w:ascii="Arial" w:hAnsi="Arial" w:cs="Arial"/>
          <w:color w:val="595959" w:themeColor="text1" w:themeTint="A6"/>
        </w:rPr>
        <w:t xml:space="preserve">: </w:t>
      </w:r>
      <w:r w:rsidR="001B70CB" w:rsidRPr="00661C4F">
        <w:rPr>
          <w:rFonts w:ascii="Arial" w:hAnsi="Arial" w:cs="Arial"/>
          <w:color w:val="595959" w:themeColor="text1" w:themeTint="A6"/>
        </w:rPr>
        <w:t xml:space="preserve">20190041. </w:t>
      </w:r>
    </w:p>
    <w:p w14:paraId="6EA84620" w14:textId="57B4EF71" w:rsidR="004C6269" w:rsidRPr="00661C4F" w:rsidRDefault="004C6269" w:rsidP="00581E5C">
      <w:pPr>
        <w:spacing w:line="360" w:lineRule="auto"/>
        <w:jc w:val="both"/>
        <w:rPr>
          <w:rFonts w:ascii="Arial" w:hAnsi="Arial" w:cs="Arial"/>
          <w:color w:val="595959" w:themeColor="text1" w:themeTint="A6"/>
        </w:rPr>
      </w:pPr>
      <w:r w:rsidRPr="00661C4F">
        <w:rPr>
          <w:rFonts w:ascii="Arial" w:hAnsi="Arial" w:cs="Arial"/>
          <w:color w:val="595959" w:themeColor="text1" w:themeTint="A6"/>
        </w:rPr>
        <w:t xml:space="preserve">MARIÑO-CRESPO Ó, Cuevas-Álvarez E, </w:t>
      </w:r>
      <w:r w:rsidRPr="00661C4F">
        <w:rPr>
          <w:rFonts w:ascii="Arial" w:hAnsi="Arial" w:cs="Arial"/>
          <w:color w:val="595959" w:themeColor="text1" w:themeTint="A6"/>
          <w:u w:val="single"/>
        </w:rPr>
        <w:t>Harding AL</w:t>
      </w:r>
      <w:r w:rsidRPr="00661C4F">
        <w:rPr>
          <w:rFonts w:ascii="Arial" w:hAnsi="Arial" w:cs="Arial"/>
          <w:color w:val="595959" w:themeColor="text1" w:themeTint="A6"/>
        </w:rPr>
        <w:t xml:space="preserve">, Murdoch C, Fernández-Briera A, and Gil-Martín E (2019). ‘Haptoglobin expression in human colorectal cancer.’ </w:t>
      </w:r>
      <w:hyperlink r:id="rId12" w:tooltip="Histology and histopathology." w:history="1">
        <w:r w:rsidR="00581E5C" w:rsidRPr="00661C4F">
          <w:rPr>
            <w:rStyle w:val="Hyperlink"/>
            <w:rFonts w:ascii="Arial" w:hAnsi="Arial" w:cs="Arial"/>
            <w:i/>
            <w:iCs/>
            <w:color w:val="595959" w:themeColor="text1" w:themeTint="A6"/>
            <w:u w:val="none"/>
          </w:rPr>
          <w:t>Histol Histopathol.</w:t>
        </w:r>
      </w:hyperlink>
      <w:r w:rsidR="00581E5C" w:rsidRPr="00661C4F">
        <w:rPr>
          <w:rFonts w:ascii="Arial" w:hAnsi="Arial" w:cs="Arial"/>
          <w:color w:val="595959" w:themeColor="text1" w:themeTint="A6"/>
        </w:rPr>
        <w:t xml:space="preserve"> </w:t>
      </w:r>
      <w:r w:rsidR="00581E5C" w:rsidRPr="00661C4F">
        <w:rPr>
          <w:rFonts w:ascii="Arial" w:hAnsi="Arial" w:cs="Arial"/>
          <w:b/>
          <w:bCs/>
          <w:color w:val="595959" w:themeColor="text1" w:themeTint="A6"/>
        </w:rPr>
        <w:t>34</w:t>
      </w:r>
      <w:r w:rsidR="00581E5C" w:rsidRPr="00661C4F">
        <w:rPr>
          <w:rFonts w:ascii="Arial" w:hAnsi="Arial" w:cs="Arial"/>
          <w:color w:val="595959" w:themeColor="text1" w:themeTint="A6"/>
        </w:rPr>
        <w:t>(8):953-963.</w:t>
      </w:r>
    </w:p>
    <w:p w14:paraId="2F9D7998" w14:textId="77777777" w:rsidR="00362C62" w:rsidRDefault="00362C62" w:rsidP="00581E5C">
      <w:pPr>
        <w:sectPr w:rsidR="00362C62" w:rsidSect="00E8708D">
          <w:footerReference w:type="first" r:id="rId13"/>
          <w:pgSz w:w="11906" w:h="16838"/>
          <w:pgMar w:top="1440" w:right="1440" w:bottom="1440" w:left="1440" w:header="708" w:footer="708" w:gutter="0"/>
          <w:pgNumType w:fmt="upperRoman"/>
          <w:cols w:space="708"/>
          <w:docGrid w:linePitch="360"/>
        </w:sectPr>
      </w:pPr>
    </w:p>
    <w:p w14:paraId="3C03B8DA" w14:textId="09337412" w:rsidR="00AD4AD5" w:rsidRPr="00741BC3" w:rsidRDefault="00AD4AD5" w:rsidP="00317BFB">
      <w:pPr>
        <w:pStyle w:val="Title"/>
        <w:rPr>
          <w:color w:val="4472C4" w:themeColor="accent1"/>
          <w:sz w:val="44"/>
          <w:szCs w:val="44"/>
        </w:rPr>
      </w:pPr>
      <w:bookmarkStart w:id="6" w:name="_Hlk496877315"/>
      <w:r w:rsidRPr="00741BC3">
        <w:rPr>
          <w:color w:val="4472C4" w:themeColor="accent1"/>
          <w:sz w:val="44"/>
          <w:szCs w:val="44"/>
        </w:rPr>
        <w:lastRenderedPageBreak/>
        <w:t>Table of contents</w:t>
      </w:r>
    </w:p>
    <w:p w14:paraId="15F885AC" w14:textId="7A2CD49F" w:rsidR="00AD4AD5" w:rsidRDefault="00AD4AD5" w:rsidP="00AD4AD5"/>
    <w:p w14:paraId="7CAD5EDE" w14:textId="3CA88123" w:rsidR="008A47AC" w:rsidRDefault="00601C49">
      <w:pPr>
        <w:pStyle w:val="TOC1"/>
        <w:rPr>
          <w:rFonts w:eastAsiaTheme="minorEastAsia"/>
          <w:b w:val="0"/>
          <w:bCs w:val="0"/>
          <w:lang w:eastAsia="en-GB"/>
        </w:rPr>
      </w:pPr>
      <w:r w:rsidRPr="004617DE">
        <w:rPr>
          <w:rFonts w:ascii="Arial" w:hAnsi="Arial" w:cs="Arial"/>
          <w:b w:val="0"/>
          <w:bCs w:val="0"/>
        </w:rPr>
        <w:fldChar w:fldCharType="begin"/>
      </w:r>
      <w:r w:rsidRPr="004617DE">
        <w:rPr>
          <w:rFonts w:ascii="Arial" w:hAnsi="Arial" w:cs="Arial"/>
          <w:b w:val="0"/>
          <w:bCs w:val="0"/>
        </w:rPr>
        <w:instrText xml:space="preserve"> TOC \o \h \z \u </w:instrText>
      </w:r>
      <w:r w:rsidRPr="004617DE">
        <w:rPr>
          <w:rFonts w:ascii="Arial" w:hAnsi="Arial" w:cs="Arial"/>
          <w:b w:val="0"/>
          <w:bCs w:val="0"/>
        </w:rPr>
        <w:fldChar w:fldCharType="separate"/>
      </w:r>
      <w:hyperlink w:anchor="_Toc34208230" w:history="1">
        <w:r w:rsidR="008A47AC" w:rsidRPr="00793E8D">
          <w:rPr>
            <w:rStyle w:val="Hyperlink"/>
          </w:rPr>
          <w:t>Acknowledgements</w:t>
        </w:r>
        <w:r w:rsidR="008A47AC">
          <w:rPr>
            <w:webHidden/>
          </w:rPr>
          <w:tab/>
        </w:r>
        <w:r w:rsidR="008A47AC">
          <w:rPr>
            <w:webHidden/>
          </w:rPr>
          <w:fldChar w:fldCharType="begin"/>
        </w:r>
        <w:r w:rsidR="008A47AC">
          <w:rPr>
            <w:webHidden/>
          </w:rPr>
          <w:instrText xml:space="preserve"> PAGEREF _Toc34208230 \h </w:instrText>
        </w:r>
        <w:r w:rsidR="008A47AC">
          <w:rPr>
            <w:webHidden/>
          </w:rPr>
        </w:r>
        <w:r w:rsidR="008A47AC">
          <w:rPr>
            <w:webHidden/>
          </w:rPr>
          <w:fldChar w:fldCharType="separate"/>
        </w:r>
        <w:r w:rsidR="00E57BFA">
          <w:rPr>
            <w:webHidden/>
          </w:rPr>
          <w:t>II</w:t>
        </w:r>
        <w:r w:rsidR="008A47AC">
          <w:rPr>
            <w:webHidden/>
          </w:rPr>
          <w:fldChar w:fldCharType="end"/>
        </w:r>
      </w:hyperlink>
    </w:p>
    <w:p w14:paraId="221D5499" w14:textId="259051B8" w:rsidR="008A47AC" w:rsidRDefault="007B378B">
      <w:pPr>
        <w:pStyle w:val="TOC1"/>
        <w:rPr>
          <w:rFonts w:eastAsiaTheme="minorEastAsia"/>
          <w:b w:val="0"/>
          <w:bCs w:val="0"/>
          <w:lang w:eastAsia="en-GB"/>
        </w:rPr>
      </w:pPr>
      <w:hyperlink w:anchor="_Toc34208231" w:history="1">
        <w:r w:rsidR="008A47AC" w:rsidRPr="00793E8D">
          <w:rPr>
            <w:rStyle w:val="Hyperlink"/>
          </w:rPr>
          <w:t>Oral presentations</w:t>
        </w:r>
        <w:r w:rsidR="008A47AC">
          <w:rPr>
            <w:webHidden/>
          </w:rPr>
          <w:tab/>
        </w:r>
        <w:r w:rsidR="008A47AC">
          <w:rPr>
            <w:webHidden/>
          </w:rPr>
          <w:fldChar w:fldCharType="begin"/>
        </w:r>
        <w:r w:rsidR="008A47AC">
          <w:rPr>
            <w:webHidden/>
          </w:rPr>
          <w:instrText xml:space="preserve"> PAGEREF _Toc34208231 \h </w:instrText>
        </w:r>
        <w:r w:rsidR="008A47AC">
          <w:rPr>
            <w:webHidden/>
          </w:rPr>
        </w:r>
        <w:r w:rsidR="008A47AC">
          <w:rPr>
            <w:webHidden/>
          </w:rPr>
          <w:fldChar w:fldCharType="separate"/>
        </w:r>
        <w:r w:rsidR="00E57BFA">
          <w:rPr>
            <w:webHidden/>
          </w:rPr>
          <w:t>IV</w:t>
        </w:r>
        <w:r w:rsidR="008A47AC">
          <w:rPr>
            <w:webHidden/>
          </w:rPr>
          <w:fldChar w:fldCharType="end"/>
        </w:r>
      </w:hyperlink>
    </w:p>
    <w:p w14:paraId="5A43456D" w14:textId="6D0CF905" w:rsidR="008A47AC" w:rsidRDefault="007B378B">
      <w:pPr>
        <w:pStyle w:val="TOC1"/>
        <w:rPr>
          <w:rFonts w:eastAsiaTheme="minorEastAsia"/>
          <w:b w:val="0"/>
          <w:bCs w:val="0"/>
          <w:lang w:eastAsia="en-GB"/>
        </w:rPr>
      </w:pPr>
      <w:hyperlink w:anchor="_Toc34208232" w:history="1">
        <w:r w:rsidR="008A47AC" w:rsidRPr="00793E8D">
          <w:rPr>
            <w:rStyle w:val="Hyperlink"/>
          </w:rPr>
          <w:t>Poster presentations</w:t>
        </w:r>
        <w:r w:rsidR="008A47AC">
          <w:rPr>
            <w:webHidden/>
          </w:rPr>
          <w:tab/>
        </w:r>
        <w:r w:rsidR="008A47AC">
          <w:rPr>
            <w:webHidden/>
          </w:rPr>
          <w:fldChar w:fldCharType="begin"/>
        </w:r>
        <w:r w:rsidR="008A47AC">
          <w:rPr>
            <w:webHidden/>
          </w:rPr>
          <w:instrText xml:space="preserve"> PAGEREF _Toc34208232 \h </w:instrText>
        </w:r>
        <w:r w:rsidR="008A47AC">
          <w:rPr>
            <w:webHidden/>
          </w:rPr>
        </w:r>
        <w:r w:rsidR="008A47AC">
          <w:rPr>
            <w:webHidden/>
          </w:rPr>
          <w:fldChar w:fldCharType="separate"/>
        </w:r>
        <w:r w:rsidR="00E57BFA">
          <w:rPr>
            <w:webHidden/>
          </w:rPr>
          <w:t>IV</w:t>
        </w:r>
        <w:r w:rsidR="008A47AC">
          <w:rPr>
            <w:webHidden/>
          </w:rPr>
          <w:fldChar w:fldCharType="end"/>
        </w:r>
      </w:hyperlink>
    </w:p>
    <w:p w14:paraId="61CB4A40" w14:textId="6EA8AB27" w:rsidR="008A47AC" w:rsidRDefault="007B378B">
      <w:pPr>
        <w:pStyle w:val="TOC1"/>
        <w:rPr>
          <w:rFonts w:eastAsiaTheme="minorEastAsia"/>
          <w:b w:val="0"/>
          <w:bCs w:val="0"/>
          <w:lang w:eastAsia="en-GB"/>
        </w:rPr>
      </w:pPr>
      <w:hyperlink w:anchor="_Toc34208233" w:history="1">
        <w:r w:rsidR="008A47AC" w:rsidRPr="00793E8D">
          <w:rPr>
            <w:rStyle w:val="Hyperlink"/>
            <w:rFonts w:cs="Arial"/>
          </w:rPr>
          <w:t>Prizes</w:t>
        </w:r>
        <w:r w:rsidR="008A47AC">
          <w:rPr>
            <w:webHidden/>
          </w:rPr>
          <w:tab/>
        </w:r>
        <w:r w:rsidR="008A47AC">
          <w:rPr>
            <w:webHidden/>
          </w:rPr>
          <w:fldChar w:fldCharType="begin"/>
        </w:r>
        <w:r w:rsidR="008A47AC">
          <w:rPr>
            <w:webHidden/>
          </w:rPr>
          <w:instrText xml:space="preserve"> PAGEREF _Toc34208233 \h </w:instrText>
        </w:r>
        <w:r w:rsidR="008A47AC">
          <w:rPr>
            <w:webHidden/>
          </w:rPr>
        </w:r>
        <w:r w:rsidR="008A47AC">
          <w:rPr>
            <w:webHidden/>
          </w:rPr>
          <w:fldChar w:fldCharType="separate"/>
        </w:r>
        <w:r w:rsidR="00E57BFA">
          <w:rPr>
            <w:webHidden/>
          </w:rPr>
          <w:t>IV</w:t>
        </w:r>
        <w:r w:rsidR="008A47AC">
          <w:rPr>
            <w:webHidden/>
          </w:rPr>
          <w:fldChar w:fldCharType="end"/>
        </w:r>
      </w:hyperlink>
    </w:p>
    <w:p w14:paraId="4EEC696B" w14:textId="36A31805" w:rsidR="008A47AC" w:rsidRDefault="007B378B">
      <w:pPr>
        <w:pStyle w:val="TOC1"/>
        <w:rPr>
          <w:rFonts w:eastAsiaTheme="minorEastAsia"/>
          <w:b w:val="0"/>
          <w:bCs w:val="0"/>
          <w:lang w:eastAsia="en-GB"/>
        </w:rPr>
      </w:pPr>
      <w:hyperlink w:anchor="_Toc34208234" w:history="1">
        <w:r w:rsidR="008A47AC" w:rsidRPr="00793E8D">
          <w:rPr>
            <w:rStyle w:val="Hyperlink"/>
            <w:rFonts w:cs="Arial"/>
          </w:rPr>
          <w:t>Manuscripts</w:t>
        </w:r>
        <w:r w:rsidR="008A47AC">
          <w:rPr>
            <w:webHidden/>
          </w:rPr>
          <w:tab/>
        </w:r>
        <w:r w:rsidR="008A47AC">
          <w:rPr>
            <w:webHidden/>
          </w:rPr>
          <w:fldChar w:fldCharType="begin"/>
        </w:r>
        <w:r w:rsidR="008A47AC">
          <w:rPr>
            <w:webHidden/>
          </w:rPr>
          <w:instrText xml:space="preserve"> PAGEREF _Toc34208234 \h </w:instrText>
        </w:r>
        <w:r w:rsidR="008A47AC">
          <w:rPr>
            <w:webHidden/>
          </w:rPr>
        </w:r>
        <w:r w:rsidR="008A47AC">
          <w:rPr>
            <w:webHidden/>
          </w:rPr>
          <w:fldChar w:fldCharType="separate"/>
        </w:r>
        <w:r w:rsidR="00E57BFA">
          <w:rPr>
            <w:webHidden/>
          </w:rPr>
          <w:t>V</w:t>
        </w:r>
        <w:r w:rsidR="008A47AC">
          <w:rPr>
            <w:webHidden/>
          </w:rPr>
          <w:fldChar w:fldCharType="end"/>
        </w:r>
      </w:hyperlink>
    </w:p>
    <w:p w14:paraId="5E95047D" w14:textId="2B53030A" w:rsidR="008A47AC" w:rsidRDefault="007B378B">
      <w:pPr>
        <w:pStyle w:val="TOC1"/>
        <w:rPr>
          <w:rFonts w:eastAsiaTheme="minorEastAsia"/>
          <w:b w:val="0"/>
          <w:bCs w:val="0"/>
          <w:lang w:eastAsia="en-GB"/>
        </w:rPr>
      </w:pPr>
      <w:hyperlink w:anchor="_Toc34208235" w:history="1">
        <w:r w:rsidR="008A47AC" w:rsidRPr="00793E8D">
          <w:rPr>
            <w:rStyle w:val="Hyperlink"/>
          </w:rPr>
          <w:t>List of tables</w:t>
        </w:r>
        <w:r w:rsidR="008A47AC">
          <w:rPr>
            <w:webHidden/>
          </w:rPr>
          <w:tab/>
        </w:r>
        <w:r w:rsidR="008A47AC">
          <w:rPr>
            <w:webHidden/>
          </w:rPr>
          <w:fldChar w:fldCharType="begin"/>
        </w:r>
        <w:r w:rsidR="008A47AC">
          <w:rPr>
            <w:webHidden/>
          </w:rPr>
          <w:instrText xml:space="preserve"> PAGEREF _Toc34208235 \h </w:instrText>
        </w:r>
        <w:r w:rsidR="008A47AC">
          <w:rPr>
            <w:webHidden/>
          </w:rPr>
        </w:r>
        <w:r w:rsidR="008A47AC">
          <w:rPr>
            <w:webHidden/>
          </w:rPr>
          <w:fldChar w:fldCharType="separate"/>
        </w:r>
        <w:r w:rsidR="00E57BFA">
          <w:rPr>
            <w:webHidden/>
          </w:rPr>
          <w:t>- 16 -</w:t>
        </w:r>
        <w:r w:rsidR="008A47AC">
          <w:rPr>
            <w:webHidden/>
          </w:rPr>
          <w:fldChar w:fldCharType="end"/>
        </w:r>
      </w:hyperlink>
    </w:p>
    <w:p w14:paraId="15DA085A" w14:textId="19BC1178" w:rsidR="008A47AC" w:rsidRDefault="007B378B">
      <w:pPr>
        <w:pStyle w:val="TOC1"/>
        <w:rPr>
          <w:rFonts w:eastAsiaTheme="minorEastAsia"/>
          <w:b w:val="0"/>
          <w:bCs w:val="0"/>
          <w:lang w:eastAsia="en-GB"/>
        </w:rPr>
      </w:pPr>
      <w:hyperlink w:anchor="_Toc34208236" w:history="1">
        <w:r w:rsidR="008A47AC" w:rsidRPr="00793E8D">
          <w:rPr>
            <w:rStyle w:val="Hyperlink"/>
          </w:rPr>
          <w:t>Abbreviations</w:t>
        </w:r>
        <w:r w:rsidR="008A47AC">
          <w:rPr>
            <w:webHidden/>
          </w:rPr>
          <w:tab/>
        </w:r>
        <w:r w:rsidR="008A47AC">
          <w:rPr>
            <w:webHidden/>
          </w:rPr>
          <w:fldChar w:fldCharType="begin"/>
        </w:r>
        <w:r w:rsidR="008A47AC">
          <w:rPr>
            <w:webHidden/>
          </w:rPr>
          <w:instrText xml:space="preserve"> PAGEREF _Toc34208236 \h </w:instrText>
        </w:r>
        <w:r w:rsidR="008A47AC">
          <w:rPr>
            <w:webHidden/>
          </w:rPr>
        </w:r>
        <w:r w:rsidR="008A47AC">
          <w:rPr>
            <w:webHidden/>
          </w:rPr>
          <w:fldChar w:fldCharType="separate"/>
        </w:r>
        <w:r w:rsidR="00E57BFA">
          <w:rPr>
            <w:webHidden/>
          </w:rPr>
          <w:t>- 17 -</w:t>
        </w:r>
        <w:r w:rsidR="008A47AC">
          <w:rPr>
            <w:webHidden/>
          </w:rPr>
          <w:fldChar w:fldCharType="end"/>
        </w:r>
      </w:hyperlink>
    </w:p>
    <w:p w14:paraId="687F2F79" w14:textId="422B7045" w:rsidR="008A47AC" w:rsidRDefault="007B378B">
      <w:pPr>
        <w:pStyle w:val="TOC1"/>
        <w:rPr>
          <w:rFonts w:eastAsiaTheme="minorEastAsia"/>
          <w:b w:val="0"/>
          <w:bCs w:val="0"/>
          <w:lang w:eastAsia="en-GB"/>
        </w:rPr>
      </w:pPr>
      <w:hyperlink w:anchor="_Toc34208237" w:history="1">
        <w:r w:rsidR="008A47AC" w:rsidRPr="00793E8D">
          <w:rPr>
            <w:rStyle w:val="Hyperlink"/>
          </w:rPr>
          <w:t>Abstract</w:t>
        </w:r>
        <w:r w:rsidR="008A47AC">
          <w:rPr>
            <w:webHidden/>
          </w:rPr>
          <w:tab/>
        </w:r>
        <w:r w:rsidR="008A47AC">
          <w:rPr>
            <w:webHidden/>
          </w:rPr>
          <w:fldChar w:fldCharType="begin"/>
        </w:r>
        <w:r w:rsidR="008A47AC">
          <w:rPr>
            <w:webHidden/>
          </w:rPr>
          <w:instrText xml:space="preserve"> PAGEREF _Toc34208237 \h </w:instrText>
        </w:r>
        <w:r w:rsidR="008A47AC">
          <w:rPr>
            <w:webHidden/>
          </w:rPr>
        </w:r>
        <w:r w:rsidR="008A47AC">
          <w:rPr>
            <w:webHidden/>
          </w:rPr>
          <w:fldChar w:fldCharType="separate"/>
        </w:r>
        <w:r w:rsidR="00E57BFA">
          <w:rPr>
            <w:webHidden/>
          </w:rPr>
          <w:t>- 20 -</w:t>
        </w:r>
        <w:r w:rsidR="008A47AC">
          <w:rPr>
            <w:webHidden/>
          </w:rPr>
          <w:fldChar w:fldCharType="end"/>
        </w:r>
      </w:hyperlink>
    </w:p>
    <w:p w14:paraId="724D196F" w14:textId="7664FA08" w:rsidR="008A47AC" w:rsidRDefault="007B378B">
      <w:pPr>
        <w:pStyle w:val="TOC1"/>
        <w:rPr>
          <w:rFonts w:eastAsiaTheme="minorEastAsia"/>
          <w:b w:val="0"/>
          <w:bCs w:val="0"/>
          <w:lang w:eastAsia="en-GB"/>
        </w:rPr>
      </w:pPr>
      <w:hyperlink w:anchor="_Toc34208238" w:history="1">
        <w:r w:rsidR="008A47AC" w:rsidRPr="00793E8D">
          <w:rPr>
            <w:rStyle w:val="Hyperlink"/>
          </w:rPr>
          <w:t>Chapter 1</w:t>
        </w:r>
        <w:r w:rsidR="008A47AC">
          <w:rPr>
            <w:webHidden/>
          </w:rPr>
          <w:tab/>
        </w:r>
        <w:r w:rsidR="008A47AC">
          <w:rPr>
            <w:webHidden/>
          </w:rPr>
          <w:fldChar w:fldCharType="begin"/>
        </w:r>
        <w:r w:rsidR="008A47AC">
          <w:rPr>
            <w:webHidden/>
          </w:rPr>
          <w:instrText xml:space="preserve"> PAGEREF _Toc34208238 \h </w:instrText>
        </w:r>
        <w:r w:rsidR="008A47AC">
          <w:rPr>
            <w:webHidden/>
          </w:rPr>
        </w:r>
        <w:r w:rsidR="008A47AC">
          <w:rPr>
            <w:webHidden/>
          </w:rPr>
          <w:fldChar w:fldCharType="separate"/>
        </w:r>
        <w:r w:rsidR="00E57BFA">
          <w:rPr>
            <w:webHidden/>
          </w:rPr>
          <w:t>- 22 -</w:t>
        </w:r>
        <w:r w:rsidR="008A47AC">
          <w:rPr>
            <w:webHidden/>
          </w:rPr>
          <w:fldChar w:fldCharType="end"/>
        </w:r>
      </w:hyperlink>
    </w:p>
    <w:p w14:paraId="12D5A76C" w14:textId="126977B6" w:rsidR="008A47AC" w:rsidRDefault="007B378B">
      <w:pPr>
        <w:pStyle w:val="TOC1"/>
        <w:rPr>
          <w:rFonts w:eastAsiaTheme="minorEastAsia"/>
          <w:b w:val="0"/>
          <w:bCs w:val="0"/>
          <w:lang w:eastAsia="en-GB"/>
        </w:rPr>
      </w:pPr>
      <w:hyperlink w:anchor="_Toc34208239" w:history="1">
        <w:r w:rsidR="008A47AC" w:rsidRPr="00793E8D">
          <w:rPr>
            <w:rStyle w:val="Hyperlink"/>
          </w:rPr>
          <w:t>Introduction</w:t>
        </w:r>
        <w:r w:rsidR="008A47AC">
          <w:rPr>
            <w:webHidden/>
          </w:rPr>
          <w:tab/>
        </w:r>
        <w:r w:rsidR="008A47AC">
          <w:rPr>
            <w:webHidden/>
          </w:rPr>
          <w:fldChar w:fldCharType="begin"/>
        </w:r>
        <w:r w:rsidR="008A47AC">
          <w:rPr>
            <w:webHidden/>
          </w:rPr>
          <w:instrText xml:space="preserve"> PAGEREF _Toc34208239 \h </w:instrText>
        </w:r>
        <w:r w:rsidR="008A47AC">
          <w:rPr>
            <w:webHidden/>
          </w:rPr>
        </w:r>
        <w:r w:rsidR="008A47AC">
          <w:rPr>
            <w:webHidden/>
          </w:rPr>
          <w:fldChar w:fldCharType="separate"/>
        </w:r>
        <w:r w:rsidR="00E57BFA">
          <w:rPr>
            <w:webHidden/>
          </w:rPr>
          <w:t>- 22 -</w:t>
        </w:r>
        <w:r w:rsidR="008A47AC">
          <w:rPr>
            <w:webHidden/>
          </w:rPr>
          <w:fldChar w:fldCharType="end"/>
        </w:r>
      </w:hyperlink>
    </w:p>
    <w:p w14:paraId="29848386" w14:textId="05C674AD" w:rsidR="008A47AC" w:rsidRDefault="007B378B">
      <w:pPr>
        <w:pStyle w:val="TOC2"/>
        <w:tabs>
          <w:tab w:val="right" w:leader="dot" w:pos="9016"/>
        </w:tabs>
        <w:rPr>
          <w:rFonts w:eastAsiaTheme="minorEastAsia"/>
          <w:noProof/>
          <w:lang w:eastAsia="en-GB"/>
        </w:rPr>
      </w:pPr>
      <w:hyperlink w:anchor="_Toc34208240" w:history="1">
        <w:r w:rsidR="008A47AC" w:rsidRPr="00793E8D">
          <w:rPr>
            <w:rStyle w:val="Hyperlink"/>
            <w:rFonts w:ascii="Arial" w:hAnsi="Arial" w:cs="Arial"/>
            <w:noProof/>
          </w:rPr>
          <w:t>1.1 The clinical challenge; oral cancer</w:t>
        </w:r>
        <w:r w:rsidR="008A47AC">
          <w:rPr>
            <w:noProof/>
            <w:webHidden/>
          </w:rPr>
          <w:tab/>
        </w:r>
        <w:r w:rsidR="008A47AC">
          <w:rPr>
            <w:noProof/>
            <w:webHidden/>
          </w:rPr>
          <w:fldChar w:fldCharType="begin"/>
        </w:r>
        <w:r w:rsidR="008A47AC">
          <w:rPr>
            <w:noProof/>
            <w:webHidden/>
          </w:rPr>
          <w:instrText xml:space="preserve"> PAGEREF _Toc34208240 \h </w:instrText>
        </w:r>
        <w:r w:rsidR="008A47AC">
          <w:rPr>
            <w:noProof/>
            <w:webHidden/>
          </w:rPr>
        </w:r>
        <w:r w:rsidR="008A47AC">
          <w:rPr>
            <w:noProof/>
            <w:webHidden/>
          </w:rPr>
          <w:fldChar w:fldCharType="separate"/>
        </w:r>
        <w:r w:rsidR="00E57BFA">
          <w:rPr>
            <w:noProof/>
            <w:webHidden/>
          </w:rPr>
          <w:t>- 23 -</w:t>
        </w:r>
        <w:r w:rsidR="008A47AC">
          <w:rPr>
            <w:noProof/>
            <w:webHidden/>
          </w:rPr>
          <w:fldChar w:fldCharType="end"/>
        </w:r>
      </w:hyperlink>
    </w:p>
    <w:p w14:paraId="5BB66260" w14:textId="49EF5180" w:rsidR="008A47AC" w:rsidRDefault="007B378B">
      <w:pPr>
        <w:pStyle w:val="TOC3"/>
        <w:tabs>
          <w:tab w:val="left" w:pos="1320"/>
          <w:tab w:val="right" w:leader="dot" w:pos="9016"/>
        </w:tabs>
        <w:rPr>
          <w:rFonts w:eastAsiaTheme="minorEastAsia"/>
          <w:noProof/>
          <w:lang w:eastAsia="en-GB"/>
        </w:rPr>
      </w:pPr>
      <w:hyperlink w:anchor="_Toc34208241" w:history="1">
        <w:r w:rsidR="008A47AC" w:rsidRPr="00793E8D">
          <w:rPr>
            <w:rStyle w:val="Hyperlink"/>
            <w:rFonts w:ascii="Arial" w:hAnsi="Arial" w:cs="Arial"/>
            <w:i/>
            <w:noProof/>
          </w:rPr>
          <w:t>1.1.1</w:t>
        </w:r>
        <w:r w:rsidR="008A47AC">
          <w:rPr>
            <w:rFonts w:eastAsiaTheme="minorEastAsia"/>
            <w:noProof/>
            <w:lang w:eastAsia="en-GB"/>
          </w:rPr>
          <w:tab/>
        </w:r>
        <w:r w:rsidR="008A47AC" w:rsidRPr="00793E8D">
          <w:rPr>
            <w:rStyle w:val="Hyperlink"/>
            <w:rFonts w:ascii="Arial" w:hAnsi="Arial" w:cs="Arial"/>
            <w:i/>
            <w:noProof/>
          </w:rPr>
          <w:t>The hallmarks of cancer</w:t>
        </w:r>
        <w:r w:rsidR="008A47AC">
          <w:rPr>
            <w:noProof/>
            <w:webHidden/>
          </w:rPr>
          <w:tab/>
        </w:r>
        <w:r w:rsidR="008A47AC">
          <w:rPr>
            <w:noProof/>
            <w:webHidden/>
          </w:rPr>
          <w:fldChar w:fldCharType="begin"/>
        </w:r>
        <w:r w:rsidR="008A47AC">
          <w:rPr>
            <w:noProof/>
            <w:webHidden/>
          </w:rPr>
          <w:instrText xml:space="preserve"> PAGEREF _Toc34208241 \h </w:instrText>
        </w:r>
        <w:r w:rsidR="008A47AC">
          <w:rPr>
            <w:noProof/>
            <w:webHidden/>
          </w:rPr>
        </w:r>
        <w:r w:rsidR="008A47AC">
          <w:rPr>
            <w:noProof/>
            <w:webHidden/>
          </w:rPr>
          <w:fldChar w:fldCharType="separate"/>
        </w:r>
        <w:r w:rsidR="00E57BFA">
          <w:rPr>
            <w:noProof/>
            <w:webHidden/>
          </w:rPr>
          <w:t>- 23 -</w:t>
        </w:r>
        <w:r w:rsidR="008A47AC">
          <w:rPr>
            <w:noProof/>
            <w:webHidden/>
          </w:rPr>
          <w:fldChar w:fldCharType="end"/>
        </w:r>
      </w:hyperlink>
    </w:p>
    <w:p w14:paraId="7EE8EDA3" w14:textId="617DDDD4" w:rsidR="008A47AC" w:rsidRDefault="007B378B">
      <w:pPr>
        <w:pStyle w:val="TOC2"/>
        <w:tabs>
          <w:tab w:val="left" w:pos="880"/>
          <w:tab w:val="right" w:leader="dot" w:pos="9016"/>
        </w:tabs>
        <w:rPr>
          <w:rFonts w:eastAsiaTheme="minorEastAsia"/>
          <w:noProof/>
          <w:lang w:eastAsia="en-GB"/>
        </w:rPr>
      </w:pPr>
      <w:hyperlink w:anchor="_Toc34208242" w:history="1">
        <w:r w:rsidR="008A47AC" w:rsidRPr="00793E8D">
          <w:rPr>
            <w:rStyle w:val="Hyperlink"/>
            <w:rFonts w:ascii="Arial" w:hAnsi="Arial" w:cs="Arial"/>
            <w:noProof/>
          </w:rPr>
          <w:t>1.2</w:t>
        </w:r>
        <w:r w:rsidR="008A47AC">
          <w:rPr>
            <w:rFonts w:eastAsiaTheme="minorEastAsia"/>
            <w:noProof/>
            <w:lang w:eastAsia="en-GB"/>
          </w:rPr>
          <w:tab/>
        </w:r>
        <w:r w:rsidR="008A47AC" w:rsidRPr="00793E8D">
          <w:rPr>
            <w:rStyle w:val="Hyperlink"/>
            <w:rFonts w:ascii="Arial" w:hAnsi="Arial" w:cs="Arial"/>
            <w:noProof/>
          </w:rPr>
          <w:t>The extracellular matrix</w:t>
        </w:r>
        <w:r w:rsidR="008A47AC">
          <w:rPr>
            <w:noProof/>
            <w:webHidden/>
          </w:rPr>
          <w:tab/>
        </w:r>
        <w:r w:rsidR="008A47AC">
          <w:rPr>
            <w:noProof/>
            <w:webHidden/>
          </w:rPr>
          <w:fldChar w:fldCharType="begin"/>
        </w:r>
        <w:r w:rsidR="008A47AC">
          <w:rPr>
            <w:noProof/>
            <w:webHidden/>
          </w:rPr>
          <w:instrText xml:space="preserve"> PAGEREF _Toc34208242 \h </w:instrText>
        </w:r>
        <w:r w:rsidR="008A47AC">
          <w:rPr>
            <w:noProof/>
            <w:webHidden/>
          </w:rPr>
        </w:r>
        <w:r w:rsidR="008A47AC">
          <w:rPr>
            <w:noProof/>
            <w:webHidden/>
          </w:rPr>
          <w:fldChar w:fldCharType="separate"/>
        </w:r>
        <w:r w:rsidR="00E57BFA">
          <w:rPr>
            <w:noProof/>
            <w:webHidden/>
          </w:rPr>
          <w:t>- 24 -</w:t>
        </w:r>
        <w:r w:rsidR="008A47AC">
          <w:rPr>
            <w:noProof/>
            <w:webHidden/>
          </w:rPr>
          <w:fldChar w:fldCharType="end"/>
        </w:r>
      </w:hyperlink>
    </w:p>
    <w:p w14:paraId="48F19494" w14:textId="76707B9B" w:rsidR="008A47AC" w:rsidRDefault="007B378B">
      <w:pPr>
        <w:pStyle w:val="TOC3"/>
        <w:tabs>
          <w:tab w:val="left" w:pos="1320"/>
          <w:tab w:val="right" w:leader="dot" w:pos="9016"/>
        </w:tabs>
        <w:rPr>
          <w:rFonts w:eastAsiaTheme="minorEastAsia"/>
          <w:noProof/>
          <w:lang w:eastAsia="en-GB"/>
        </w:rPr>
      </w:pPr>
      <w:hyperlink w:anchor="_Toc34208243" w:history="1">
        <w:r w:rsidR="008A47AC" w:rsidRPr="00793E8D">
          <w:rPr>
            <w:rStyle w:val="Hyperlink"/>
            <w:rFonts w:ascii="Arial" w:hAnsi="Arial" w:cs="Arial"/>
            <w:i/>
            <w:noProof/>
          </w:rPr>
          <w:t>1.2.1</w:t>
        </w:r>
        <w:r w:rsidR="008A47AC">
          <w:rPr>
            <w:rFonts w:eastAsiaTheme="minorEastAsia"/>
            <w:noProof/>
            <w:lang w:eastAsia="en-GB"/>
          </w:rPr>
          <w:tab/>
        </w:r>
        <w:r w:rsidR="008A47AC" w:rsidRPr="00793E8D">
          <w:rPr>
            <w:rStyle w:val="Hyperlink"/>
            <w:rFonts w:ascii="Arial" w:hAnsi="Arial" w:cs="Arial"/>
            <w:i/>
            <w:noProof/>
          </w:rPr>
          <w:t>Oral tissue and the ECM in homeostasis</w:t>
        </w:r>
        <w:r w:rsidR="008A47AC">
          <w:rPr>
            <w:noProof/>
            <w:webHidden/>
          </w:rPr>
          <w:tab/>
        </w:r>
        <w:r w:rsidR="008A47AC">
          <w:rPr>
            <w:noProof/>
            <w:webHidden/>
          </w:rPr>
          <w:fldChar w:fldCharType="begin"/>
        </w:r>
        <w:r w:rsidR="008A47AC">
          <w:rPr>
            <w:noProof/>
            <w:webHidden/>
          </w:rPr>
          <w:instrText xml:space="preserve"> PAGEREF _Toc34208243 \h </w:instrText>
        </w:r>
        <w:r w:rsidR="008A47AC">
          <w:rPr>
            <w:noProof/>
            <w:webHidden/>
          </w:rPr>
        </w:r>
        <w:r w:rsidR="008A47AC">
          <w:rPr>
            <w:noProof/>
            <w:webHidden/>
          </w:rPr>
          <w:fldChar w:fldCharType="separate"/>
        </w:r>
        <w:r w:rsidR="00E57BFA">
          <w:rPr>
            <w:noProof/>
            <w:webHidden/>
          </w:rPr>
          <w:t>- 24 -</w:t>
        </w:r>
        <w:r w:rsidR="008A47AC">
          <w:rPr>
            <w:noProof/>
            <w:webHidden/>
          </w:rPr>
          <w:fldChar w:fldCharType="end"/>
        </w:r>
      </w:hyperlink>
    </w:p>
    <w:p w14:paraId="76DDD019" w14:textId="2341F827" w:rsidR="008A47AC" w:rsidRDefault="007B378B">
      <w:pPr>
        <w:pStyle w:val="TOC3"/>
        <w:tabs>
          <w:tab w:val="left" w:pos="1320"/>
          <w:tab w:val="right" w:leader="dot" w:pos="9016"/>
        </w:tabs>
        <w:rPr>
          <w:rFonts w:eastAsiaTheme="minorEastAsia"/>
          <w:noProof/>
          <w:lang w:eastAsia="en-GB"/>
        </w:rPr>
      </w:pPr>
      <w:hyperlink w:anchor="_Toc34208244" w:history="1">
        <w:r w:rsidR="008A47AC" w:rsidRPr="00793E8D">
          <w:rPr>
            <w:rStyle w:val="Hyperlink"/>
            <w:rFonts w:ascii="Arial" w:hAnsi="Arial" w:cs="Arial"/>
            <w:i/>
            <w:iCs/>
            <w:noProof/>
          </w:rPr>
          <w:t>1.2.2</w:t>
        </w:r>
        <w:r w:rsidR="008A47AC">
          <w:rPr>
            <w:rFonts w:eastAsiaTheme="minorEastAsia"/>
            <w:noProof/>
            <w:lang w:eastAsia="en-GB"/>
          </w:rPr>
          <w:tab/>
        </w:r>
        <w:r w:rsidR="008A47AC" w:rsidRPr="00793E8D">
          <w:rPr>
            <w:rStyle w:val="Hyperlink"/>
            <w:rFonts w:ascii="Arial" w:hAnsi="Arial" w:cs="Arial"/>
            <w:i/>
            <w:iCs/>
            <w:noProof/>
          </w:rPr>
          <w:t>Biochemical roles of the ECM</w:t>
        </w:r>
        <w:r w:rsidR="008A47AC">
          <w:rPr>
            <w:noProof/>
            <w:webHidden/>
          </w:rPr>
          <w:tab/>
        </w:r>
        <w:r w:rsidR="008A47AC">
          <w:rPr>
            <w:noProof/>
            <w:webHidden/>
          </w:rPr>
          <w:fldChar w:fldCharType="begin"/>
        </w:r>
        <w:r w:rsidR="008A47AC">
          <w:rPr>
            <w:noProof/>
            <w:webHidden/>
          </w:rPr>
          <w:instrText xml:space="preserve"> PAGEREF _Toc34208244 \h </w:instrText>
        </w:r>
        <w:r w:rsidR="008A47AC">
          <w:rPr>
            <w:noProof/>
            <w:webHidden/>
          </w:rPr>
        </w:r>
        <w:r w:rsidR="008A47AC">
          <w:rPr>
            <w:noProof/>
            <w:webHidden/>
          </w:rPr>
          <w:fldChar w:fldCharType="separate"/>
        </w:r>
        <w:r w:rsidR="00E57BFA">
          <w:rPr>
            <w:noProof/>
            <w:webHidden/>
          </w:rPr>
          <w:t>- 25 -</w:t>
        </w:r>
        <w:r w:rsidR="008A47AC">
          <w:rPr>
            <w:noProof/>
            <w:webHidden/>
          </w:rPr>
          <w:fldChar w:fldCharType="end"/>
        </w:r>
      </w:hyperlink>
    </w:p>
    <w:p w14:paraId="36854339" w14:textId="1FD47B2C" w:rsidR="008A47AC" w:rsidRDefault="007B378B">
      <w:pPr>
        <w:pStyle w:val="TOC3"/>
        <w:tabs>
          <w:tab w:val="left" w:pos="1320"/>
          <w:tab w:val="right" w:leader="dot" w:pos="9016"/>
        </w:tabs>
        <w:rPr>
          <w:rFonts w:eastAsiaTheme="minorEastAsia"/>
          <w:noProof/>
          <w:lang w:eastAsia="en-GB"/>
        </w:rPr>
      </w:pPr>
      <w:hyperlink w:anchor="_Toc34208245" w:history="1">
        <w:r w:rsidR="008A47AC" w:rsidRPr="00793E8D">
          <w:rPr>
            <w:rStyle w:val="Hyperlink"/>
            <w:rFonts w:ascii="Arial" w:hAnsi="Arial" w:cs="Arial"/>
            <w:i/>
            <w:iCs/>
            <w:noProof/>
          </w:rPr>
          <w:t>1.2.3</w:t>
        </w:r>
        <w:r w:rsidR="008A47AC">
          <w:rPr>
            <w:rFonts w:eastAsiaTheme="minorEastAsia"/>
            <w:noProof/>
            <w:lang w:eastAsia="en-GB"/>
          </w:rPr>
          <w:tab/>
        </w:r>
        <w:r w:rsidR="008A47AC" w:rsidRPr="00793E8D">
          <w:rPr>
            <w:rStyle w:val="Hyperlink"/>
            <w:rFonts w:ascii="Arial" w:hAnsi="Arial" w:cs="Arial"/>
            <w:i/>
            <w:iCs/>
            <w:noProof/>
          </w:rPr>
          <w:t>Mechanical roles of the ECM</w:t>
        </w:r>
        <w:r w:rsidR="008A47AC">
          <w:rPr>
            <w:noProof/>
            <w:webHidden/>
          </w:rPr>
          <w:tab/>
        </w:r>
        <w:r w:rsidR="008A47AC">
          <w:rPr>
            <w:noProof/>
            <w:webHidden/>
          </w:rPr>
          <w:fldChar w:fldCharType="begin"/>
        </w:r>
        <w:r w:rsidR="008A47AC">
          <w:rPr>
            <w:noProof/>
            <w:webHidden/>
          </w:rPr>
          <w:instrText xml:space="preserve"> PAGEREF _Toc34208245 \h </w:instrText>
        </w:r>
        <w:r w:rsidR="008A47AC">
          <w:rPr>
            <w:noProof/>
            <w:webHidden/>
          </w:rPr>
        </w:r>
        <w:r w:rsidR="008A47AC">
          <w:rPr>
            <w:noProof/>
            <w:webHidden/>
          </w:rPr>
          <w:fldChar w:fldCharType="separate"/>
        </w:r>
        <w:r w:rsidR="00E57BFA">
          <w:rPr>
            <w:noProof/>
            <w:webHidden/>
          </w:rPr>
          <w:t>- 26 -</w:t>
        </w:r>
        <w:r w:rsidR="008A47AC">
          <w:rPr>
            <w:noProof/>
            <w:webHidden/>
          </w:rPr>
          <w:fldChar w:fldCharType="end"/>
        </w:r>
      </w:hyperlink>
    </w:p>
    <w:p w14:paraId="3170AA2A" w14:textId="7130E3AA" w:rsidR="008A47AC" w:rsidRDefault="007B378B">
      <w:pPr>
        <w:pStyle w:val="TOC3"/>
        <w:tabs>
          <w:tab w:val="left" w:pos="1320"/>
          <w:tab w:val="right" w:leader="dot" w:pos="9016"/>
        </w:tabs>
        <w:rPr>
          <w:rFonts w:eastAsiaTheme="minorEastAsia"/>
          <w:noProof/>
          <w:lang w:eastAsia="en-GB"/>
        </w:rPr>
      </w:pPr>
      <w:hyperlink w:anchor="_Toc34208246" w:history="1">
        <w:r w:rsidR="008A47AC" w:rsidRPr="00793E8D">
          <w:rPr>
            <w:rStyle w:val="Hyperlink"/>
            <w:rFonts w:ascii="Arial" w:hAnsi="Arial" w:cs="Arial"/>
            <w:i/>
            <w:iCs/>
            <w:noProof/>
          </w:rPr>
          <w:t>1.2.4</w:t>
        </w:r>
        <w:r w:rsidR="008A47AC">
          <w:rPr>
            <w:rFonts w:eastAsiaTheme="minorEastAsia"/>
            <w:noProof/>
            <w:lang w:eastAsia="en-GB"/>
          </w:rPr>
          <w:tab/>
        </w:r>
        <w:r w:rsidR="008A47AC" w:rsidRPr="00793E8D">
          <w:rPr>
            <w:rStyle w:val="Hyperlink"/>
            <w:rFonts w:ascii="Arial" w:hAnsi="Arial" w:cs="Arial"/>
            <w:i/>
            <w:iCs/>
            <w:noProof/>
          </w:rPr>
          <w:t>ECM physical components; structure, function and interactions</w:t>
        </w:r>
        <w:r w:rsidR="008A47AC">
          <w:rPr>
            <w:noProof/>
            <w:webHidden/>
          </w:rPr>
          <w:tab/>
        </w:r>
        <w:r w:rsidR="008A47AC">
          <w:rPr>
            <w:noProof/>
            <w:webHidden/>
          </w:rPr>
          <w:fldChar w:fldCharType="begin"/>
        </w:r>
        <w:r w:rsidR="008A47AC">
          <w:rPr>
            <w:noProof/>
            <w:webHidden/>
          </w:rPr>
          <w:instrText xml:space="preserve"> PAGEREF _Toc34208246 \h </w:instrText>
        </w:r>
        <w:r w:rsidR="008A47AC">
          <w:rPr>
            <w:noProof/>
            <w:webHidden/>
          </w:rPr>
        </w:r>
        <w:r w:rsidR="008A47AC">
          <w:rPr>
            <w:noProof/>
            <w:webHidden/>
          </w:rPr>
          <w:fldChar w:fldCharType="separate"/>
        </w:r>
        <w:r w:rsidR="00E57BFA">
          <w:rPr>
            <w:noProof/>
            <w:webHidden/>
          </w:rPr>
          <w:t>- 27 -</w:t>
        </w:r>
        <w:r w:rsidR="008A47AC">
          <w:rPr>
            <w:noProof/>
            <w:webHidden/>
          </w:rPr>
          <w:fldChar w:fldCharType="end"/>
        </w:r>
      </w:hyperlink>
    </w:p>
    <w:p w14:paraId="4A3CD989" w14:textId="0001573A" w:rsidR="008A47AC" w:rsidRDefault="007B378B">
      <w:pPr>
        <w:pStyle w:val="TOC2"/>
        <w:tabs>
          <w:tab w:val="left" w:pos="880"/>
          <w:tab w:val="right" w:leader="dot" w:pos="9016"/>
        </w:tabs>
        <w:rPr>
          <w:rFonts w:eastAsiaTheme="minorEastAsia"/>
          <w:noProof/>
          <w:lang w:eastAsia="en-GB"/>
        </w:rPr>
      </w:pPr>
      <w:hyperlink w:anchor="_Toc34208247" w:history="1">
        <w:r w:rsidR="008A47AC" w:rsidRPr="00793E8D">
          <w:rPr>
            <w:rStyle w:val="Hyperlink"/>
            <w:rFonts w:ascii="Arial" w:hAnsi="Arial" w:cs="Arial"/>
            <w:noProof/>
          </w:rPr>
          <w:t>1.3</w:t>
        </w:r>
        <w:r w:rsidR="008A47AC">
          <w:rPr>
            <w:rFonts w:eastAsiaTheme="minorEastAsia"/>
            <w:noProof/>
            <w:lang w:eastAsia="en-GB"/>
          </w:rPr>
          <w:tab/>
        </w:r>
        <w:r w:rsidR="008A47AC" w:rsidRPr="00793E8D">
          <w:rPr>
            <w:rStyle w:val="Hyperlink"/>
            <w:rFonts w:ascii="Arial" w:hAnsi="Arial" w:cs="Arial"/>
            <w:noProof/>
          </w:rPr>
          <w:t>The role of the ECM in oral cancer</w:t>
        </w:r>
        <w:r w:rsidR="008A47AC">
          <w:rPr>
            <w:noProof/>
            <w:webHidden/>
          </w:rPr>
          <w:tab/>
        </w:r>
        <w:r w:rsidR="008A47AC">
          <w:rPr>
            <w:noProof/>
            <w:webHidden/>
          </w:rPr>
          <w:fldChar w:fldCharType="begin"/>
        </w:r>
        <w:r w:rsidR="008A47AC">
          <w:rPr>
            <w:noProof/>
            <w:webHidden/>
          </w:rPr>
          <w:instrText xml:space="preserve"> PAGEREF _Toc34208247 \h </w:instrText>
        </w:r>
        <w:r w:rsidR="008A47AC">
          <w:rPr>
            <w:noProof/>
            <w:webHidden/>
          </w:rPr>
        </w:r>
        <w:r w:rsidR="008A47AC">
          <w:rPr>
            <w:noProof/>
            <w:webHidden/>
          </w:rPr>
          <w:fldChar w:fldCharType="separate"/>
        </w:r>
        <w:r w:rsidR="00E57BFA">
          <w:rPr>
            <w:noProof/>
            <w:webHidden/>
          </w:rPr>
          <w:t>- 32 -</w:t>
        </w:r>
        <w:r w:rsidR="008A47AC">
          <w:rPr>
            <w:noProof/>
            <w:webHidden/>
          </w:rPr>
          <w:fldChar w:fldCharType="end"/>
        </w:r>
      </w:hyperlink>
    </w:p>
    <w:p w14:paraId="1B72332A" w14:textId="067A6A5D" w:rsidR="008A47AC" w:rsidRDefault="007B378B">
      <w:pPr>
        <w:pStyle w:val="TOC3"/>
        <w:tabs>
          <w:tab w:val="left" w:pos="1320"/>
          <w:tab w:val="right" w:leader="dot" w:pos="9016"/>
        </w:tabs>
        <w:rPr>
          <w:rFonts w:eastAsiaTheme="minorEastAsia"/>
          <w:noProof/>
          <w:lang w:eastAsia="en-GB"/>
        </w:rPr>
      </w:pPr>
      <w:hyperlink w:anchor="_Toc34208248" w:history="1">
        <w:r w:rsidR="008A47AC" w:rsidRPr="00793E8D">
          <w:rPr>
            <w:rStyle w:val="Hyperlink"/>
            <w:rFonts w:ascii="Arial" w:hAnsi="Arial" w:cs="Arial"/>
            <w:i/>
            <w:iCs/>
            <w:noProof/>
          </w:rPr>
          <w:t>1.3.1</w:t>
        </w:r>
        <w:r w:rsidR="008A47AC">
          <w:rPr>
            <w:rFonts w:eastAsiaTheme="minorEastAsia"/>
            <w:noProof/>
            <w:lang w:eastAsia="en-GB"/>
          </w:rPr>
          <w:tab/>
        </w:r>
        <w:r w:rsidR="008A47AC" w:rsidRPr="00793E8D">
          <w:rPr>
            <w:rStyle w:val="Hyperlink"/>
            <w:rFonts w:ascii="Arial" w:hAnsi="Arial" w:cs="Arial"/>
            <w:i/>
            <w:iCs/>
            <w:noProof/>
          </w:rPr>
          <w:t>Cancer-associated fibroblasts; the story</w:t>
        </w:r>
        <w:r w:rsidR="008A47AC">
          <w:rPr>
            <w:noProof/>
            <w:webHidden/>
          </w:rPr>
          <w:tab/>
        </w:r>
        <w:r w:rsidR="008A47AC">
          <w:rPr>
            <w:noProof/>
            <w:webHidden/>
          </w:rPr>
          <w:fldChar w:fldCharType="begin"/>
        </w:r>
        <w:r w:rsidR="008A47AC">
          <w:rPr>
            <w:noProof/>
            <w:webHidden/>
          </w:rPr>
          <w:instrText xml:space="preserve"> PAGEREF _Toc34208248 \h </w:instrText>
        </w:r>
        <w:r w:rsidR="008A47AC">
          <w:rPr>
            <w:noProof/>
            <w:webHidden/>
          </w:rPr>
        </w:r>
        <w:r w:rsidR="008A47AC">
          <w:rPr>
            <w:noProof/>
            <w:webHidden/>
          </w:rPr>
          <w:fldChar w:fldCharType="separate"/>
        </w:r>
        <w:r w:rsidR="00E57BFA">
          <w:rPr>
            <w:noProof/>
            <w:webHidden/>
          </w:rPr>
          <w:t>- 33 -</w:t>
        </w:r>
        <w:r w:rsidR="008A47AC">
          <w:rPr>
            <w:noProof/>
            <w:webHidden/>
          </w:rPr>
          <w:fldChar w:fldCharType="end"/>
        </w:r>
      </w:hyperlink>
    </w:p>
    <w:p w14:paraId="0721964C" w14:textId="74A2E984" w:rsidR="008A47AC" w:rsidRDefault="007B378B">
      <w:pPr>
        <w:pStyle w:val="TOC4"/>
        <w:tabs>
          <w:tab w:val="left" w:pos="1760"/>
          <w:tab w:val="right" w:leader="dot" w:pos="9016"/>
        </w:tabs>
        <w:rPr>
          <w:rFonts w:eastAsiaTheme="minorEastAsia"/>
          <w:noProof/>
          <w:lang w:eastAsia="en-GB"/>
        </w:rPr>
      </w:pPr>
      <w:hyperlink w:anchor="_Toc34208249" w:history="1">
        <w:r w:rsidR="008A47AC" w:rsidRPr="00793E8D">
          <w:rPr>
            <w:rStyle w:val="Hyperlink"/>
            <w:rFonts w:ascii="Arial" w:hAnsi="Arial" w:cs="Arial"/>
            <w:noProof/>
          </w:rPr>
          <w:t>1.3.1.1</w:t>
        </w:r>
        <w:r w:rsidR="008A47AC">
          <w:rPr>
            <w:rFonts w:eastAsiaTheme="minorEastAsia"/>
            <w:noProof/>
            <w:lang w:eastAsia="en-GB"/>
          </w:rPr>
          <w:tab/>
        </w:r>
        <w:r w:rsidR="008A47AC" w:rsidRPr="00793E8D">
          <w:rPr>
            <w:rStyle w:val="Hyperlink"/>
            <w:rFonts w:ascii="Arial" w:hAnsi="Arial" w:cs="Arial"/>
            <w:noProof/>
          </w:rPr>
          <w:t>Definition, origin, and activation</w:t>
        </w:r>
        <w:r w:rsidR="008A47AC">
          <w:rPr>
            <w:noProof/>
            <w:webHidden/>
          </w:rPr>
          <w:tab/>
        </w:r>
        <w:r w:rsidR="008A47AC">
          <w:rPr>
            <w:noProof/>
            <w:webHidden/>
          </w:rPr>
          <w:fldChar w:fldCharType="begin"/>
        </w:r>
        <w:r w:rsidR="008A47AC">
          <w:rPr>
            <w:noProof/>
            <w:webHidden/>
          </w:rPr>
          <w:instrText xml:space="preserve"> PAGEREF _Toc34208249 \h </w:instrText>
        </w:r>
        <w:r w:rsidR="008A47AC">
          <w:rPr>
            <w:noProof/>
            <w:webHidden/>
          </w:rPr>
        </w:r>
        <w:r w:rsidR="008A47AC">
          <w:rPr>
            <w:noProof/>
            <w:webHidden/>
          </w:rPr>
          <w:fldChar w:fldCharType="separate"/>
        </w:r>
        <w:r w:rsidR="00E57BFA">
          <w:rPr>
            <w:noProof/>
            <w:webHidden/>
          </w:rPr>
          <w:t>- 33 -</w:t>
        </w:r>
        <w:r w:rsidR="008A47AC">
          <w:rPr>
            <w:noProof/>
            <w:webHidden/>
          </w:rPr>
          <w:fldChar w:fldCharType="end"/>
        </w:r>
      </w:hyperlink>
    </w:p>
    <w:p w14:paraId="2E8F9264" w14:textId="051AC363" w:rsidR="008A47AC" w:rsidRDefault="007B378B">
      <w:pPr>
        <w:pStyle w:val="TOC4"/>
        <w:tabs>
          <w:tab w:val="left" w:pos="1760"/>
          <w:tab w:val="right" w:leader="dot" w:pos="9016"/>
        </w:tabs>
        <w:rPr>
          <w:rFonts w:eastAsiaTheme="minorEastAsia"/>
          <w:noProof/>
          <w:lang w:eastAsia="en-GB"/>
        </w:rPr>
      </w:pPr>
      <w:hyperlink w:anchor="_Toc34208250" w:history="1">
        <w:r w:rsidR="008A47AC" w:rsidRPr="00793E8D">
          <w:rPr>
            <w:rStyle w:val="Hyperlink"/>
            <w:rFonts w:ascii="Arial" w:hAnsi="Arial" w:cs="Arial"/>
            <w:noProof/>
          </w:rPr>
          <w:t>1.3.1.2</w:t>
        </w:r>
        <w:r w:rsidR="008A47AC">
          <w:rPr>
            <w:rFonts w:eastAsiaTheme="minorEastAsia"/>
            <w:noProof/>
            <w:lang w:eastAsia="en-GB"/>
          </w:rPr>
          <w:tab/>
        </w:r>
        <w:r w:rsidR="008A47AC" w:rsidRPr="00793E8D">
          <w:rPr>
            <w:rStyle w:val="Hyperlink"/>
            <w:rFonts w:ascii="Arial" w:hAnsi="Arial" w:cs="Arial"/>
            <w:noProof/>
          </w:rPr>
          <w:t>Role in cancer fibrosis- the desmoplastic reaction</w:t>
        </w:r>
        <w:r w:rsidR="008A47AC">
          <w:rPr>
            <w:noProof/>
            <w:webHidden/>
          </w:rPr>
          <w:tab/>
        </w:r>
        <w:r w:rsidR="008A47AC">
          <w:rPr>
            <w:noProof/>
            <w:webHidden/>
          </w:rPr>
          <w:fldChar w:fldCharType="begin"/>
        </w:r>
        <w:r w:rsidR="008A47AC">
          <w:rPr>
            <w:noProof/>
            <w:webHidden/>
          </w:rPr>
          <w:instrText xml:space="preserve"> PAGEREF _Toc34208250 \h </w:instrText>
        </w:r>
        <w:r w:rsidR="008A47AC">
          <w:rPr>
            <w:noProof/>
            <w:webHidden/>
          </w:rPr>
        </w:r>
        <w:r w:rsidR="008A47AC">
          <w:rPr>
            <w:noProof/>
            <w:webHidden/>
          </w:rPr>
          <w:fldChar w:fldCharType="separate"/>
        </w:r>
        <w:r w:rsidR="00E57BFA">
          <w:rPr>
            <w:noProof/>
            <w:webHidden/>
          </w:rPr>
          <w:t>- 35 -</w:t>
        </w:r>
        <w:r w:rsidR="008A47AC">
          <w:rPr>
            <w:noProof/>
            <w:webHidden/>
          </w:rPr>
          <w:fldChar w:fldCharType="end"/>
        </w:r>
      </w:hyperlink>
    </w:p>
    <w:p w14:paraId="54EFC352" w14:textId="4C51B681" w:rsidR="008A47AC" w:rsidRDefault="007B378B">
      <w:pPr>
        <w:pStyle w:val="TOC4"/>
        <w:tabs>
          <w:tab w:val="right" w:leader="dot" w:pos="9016"/>
        </w:tabs>
        <w:rPr>
          <w:rFonts w:eastAsiaTheme="minorEastAsia"/>
          <w:noProof/>
          <w:lang w:eastAsia="en-GB"/>
        </w:rPr>
      </w:pPr>
      <w:hyperlink w:anchor="_Toc34208251" w:history="1">
        <w:r w:rsidR="008A47AC" w:rsidRPr="00793E8D">
          <w:rPr>
            <w:rStyle w:val="Hyperlink"/>
            <w:rFonts w:ascii="Arial" w:hAnsi="Arial" w:cs="Arial"/>
            <w:noProof/>
          </w:rPr>
          <w:t>1.3.1.3 CAF phenotype and heterogeneity</w:t>
        </w:r>
        <w:r w:rsidR="008A47AC">
          <w:rPr>
            <w:noProof/>
            <w:webHidden/>
          </w:rPr>
          <w:tab/>
        </w:r>
        <w:r w:rsidR="008A47AC">
          <w:rPr>
            <w:noProof/>
            <w:webHidden/>
          </w:rPr>
          <w:fldChar w:fldCharType="begin"/>
        </w:r>
        <w:r w:rsidR="008A47AC">
          <w:rPr>
            <w:noProof/>
            <w:webHidden/>
          </w:rPr>
          <w:instrText xml:space="preserve"> PAGEREF _Toc34208251 \h </w:instrText>
        </w:r>
        <w:r w:rsidR="008A47AC">
          <w:rPr>
            <w:noProof/>
            <w:webHidden/>
          </w:rPr>
        </w:r>
        <w:r w:rsidR="008A47AC">
          <w:rPr>
            <w:noProof/>
            <w:webHidden/>
          </w:rPr>
          <w:fldChar w:fldCharType="separate"/>
        </w:r>
        <w:r w:rsidR="00E57BFA">
          <w:rPr>
            <w:noProof/>
            <w:webHidden/>
          </w:rPr>
          <w:t>- 36 -</w:t>
        </w:r>
        <w:r w:rsidR="008A47AC">
          <w:rPr>
            <w:noProof/>
            <w:webHidden/>
          </w:rPr>
          <w:fldChar w:fldCharType="end"/>
        </w:r>
      </w:hyperlink>
    </w:p>
    <w:p w14:paraId="0D24F516" w14:textId="491805B2" w:rsidR="008A47AC" w:rsidRDefault="007B378B">
      <w:pPr>
        <w:pStyle w:val="TOC4"/>
        <w:tabs>
          <w:tab w:val="right" w:leader="dot" w:pos="9016"/>
        </w:tabs>
        <w:rPr>
          <w:rFonts w:eastAsiaTheme="minorEastAsia"/>
          <w:noProof/>
          <w:lang w:eastAsia="en-GB"/>
        </w:rPr>
      </w:pPr>
      <w:hyperlink w:anchor="_Toc34208252" w:history="1">
        <w:r w:rsidR="008A47AC" w:rsidRPr="00793E8D">
          <w:rPr>
            <w:rStyle w:val="Hyperlink"/>
            <w:rFonts w:ascii="Arial" w:hAnsi="Arial" w:cs="Arial"/>
            <w:noProof/>
          </w:rPr>
          <w:t>1.3.1.4 Epigenetic regulation of CAF</w:t>
        </w:r>
        <w:r w:rsidR="008A47AC">
          <w:rPr>
            <w:noProof/>
            <w:webHidden/>
          </w:rPr>
          <w:tab/>
        </w:r>
        <w:r w:rsidR="008A47AC">
          <w:rPr>
            <w:noProof/>
            <w:webHidden/>
          </w:rPr>
          <w:fldChar w:fldCharType="begin"/>
        </w:r>
        <w:r w:rsidR="008A47AC">
          <w:rPr>
            <w:noProof/>
            <w:webHidden/>
          </w:rPr>
          <w:instrText xml:space="preserve"> PAGEREF _Toc34208252 \h </w:instrText>
        </w:r>
        <w:r w:rsidR="008A47AC">
          <w:rPr>
            <w:noProof/>
            <w:webHidden/>
          </w:rPr>
        </w:r>
        <w:r w:rsidR="008A47AC">
          <w:rPr>
            <w:noProof/>
            <w:webHidden/>
          </w:rPr>
          <w:fldChar w:fldCharType="separate"/>
        </w:r>
        <w:r w:rsidR="00E57BFA">
          <w:rPr>
            <w:noProof/>
            <w:webHidden/>
          </w:rPr>
          <w:t>- 37 -</w:t>
        </w:r>
        <w:r w:rsidR="008A47AC">
          <w:rPr>
            <w:noProof/>
            <w:webHidden/>
          </w:rPr>
          <w:fldChar w:fldCharType="end"/>
        </w:r>
      </w:hyperlink>
    </w:p>
    <w:p w14:paraId="5DDB0DBB" w14:textId="327F2F6E" w:rsidR="008A47AC" w:rsidRDefault="007B378B">
      <w:pPr>
        <w:pStyle w:val="TOC4"/>
        <w:tabs>
          <w:tab w:val="right" w:leader="dot" w:pos="9016"/>
        </w:tabs>
        <w:rPr>
          <w:rFonts w:eastAsiaTheme="minorEastAsia"/>
          <w:noProof/>
          <w:lang w:eastAsia="en-GB"/>
        </w:rPr>
      </w:pPr>
      <w:hyperlink w:anchor="_Toc34208253" w:history="1">
        <w:r w:rsidR="008A47AC" w:rsidRPr="00793E8D">
          <w:rPr>
            <w:rStyle w:val="Hyperlink"/>
            <w:rFonts w:ascii="Arial" w:hAnsi="Arial" w:cs="Arial"/>
            <w:noProof/>
          </w:rPr>
          <w:t>1.3.1.5 CAF in tumorigenesis</w:t>
        </w:r>
        <w:r w:rsidR="008A47AC">
          <w:rPr>
            <w:noProof/>
            <w:webHidden/>
          </w:rPr>
          <w:tab/>
        </w:r>
        <w:r w:rsidR="008A47AC">
          <w:rPr>
            <w:noProof/>
            <w:webHidden/>
          </w:rPr>
          <w:fldChar w:fldCharType="begin"/>
        </w:r>
        <w:r w:rsidR="008A47AC">
          <w:rPr>
            <w:noProof/>
            <w:webHidden/>
          </w:rPr>
          <w:instrText xml:space="preserve"> PAGEREF _Toc34208253 \h </w:instrText>
        </w:r>
        <w:r w:rsidR="008A47AC">
          <w:rPr>
            <w:noProof/>
            <w:webHidden/>
          </w:rPr>
        </w:r>
        <w:r w:rsidR="008A47AC">
          <w:rPr>
            <w:noProof/>
            <w:webHidden/>
          </w:rPr>
          <w:fldChar w:fldCharType="separate"/>
        </w:r>
        <w:r w:rsidR="00E57BFA">
          <w:rPr>
            <w:noProof/>
            <w:webHidden/>
          </w:rPr>
          <w:t>- 37 -</w:t>
        </w:r>
        <w:r w:rsidR="008A47AC">
          <w:rPr>
            <w:noProof/>
            <w:webHidden/>
          </w:rPr>
          <w:fldChar w:fldCharType="end"/>
        </w:r>
      </w:hyperlink>
    </w:p>
    <w:p w14:paraId="37AA9660" w14:textId="6BB59581" w:rsidR="008A47AC" w:rsidRDefault="007B378B">
      <w:pPr>
        <w:pStyle w:val="TOC4"/>
        <w:tabs>
          <w:tab w:val="right" w:leader="dot" w:pos="9016"/>
        </w:tabs>
        <w:rPr>
          <w:rFonts w:eastAsiaTheme="minorEastAsia"/>
          <w:noProof/>
          <w:lang w:eastAsia="en-GB"/>
        </w:rPr>
      </w:pPr>
      <w:hyperlink w:anchor="_Toc34208254" w:history="1">
        <w:r w:rsidR="008A47AC" w:rsidRPr="00793E8D">
          <w:rPr>
            <w:rStyle w:val="Hyperlink"/>
            <w:rFonts w:ascii="Arial" w:hAnsi="Arial" w:cs="Arial"/>
            <w:noProof/>
          </w:rPr>
          <w:t>1.3.1.6 Fibroblast senescence and CAF Phenotype</w:t>
        </w:r>
        <w:r w:rsidR="008A47AC">
          <w:rPr>
            <w:noProof/>
            <w:webHidden/>
          </w:rPr>
          <w:tab/>
        </w:r>
        <w:r w:rsidR="008A47AC">
          <w:rPr>
            <w:noProof/>
            <w:webHidden/>
          </w:rPr>
          <w:fldChar w:fldCharType="begin"/>
        </w:r>
        <w:r w:rsidR="008A47AC">
          <w:rPr>
            <w:noProof/>
            <w:webHidden/>
          </w:rPr>
          <w:instrText xml:space="preserve"> PAGEREF _Toc34208254 \h </w:instrText>
        </w:r>
        <w:r w:rsidR="008A47AC">
          <w:rPr>
            <w:noProof/>
            <w:webHidden/>
          </w:rPr>
        </w:r>
        <w:r w:rsidR="008A47AC">
          <w:rPr>
            <w:noProof/>
            <w:webHidden/>
          </w:rPr>
          <w:fldChar w:fldCharType="separate"/>
        </w:r>
        <w:r w:rsidR="00E57BFA">
          <w:rPr>
            <w:noProof/>
            <w:webHidden/>
          </w:rPr>
          <w:t>- 38 -</w:t>
        </w:r>
        <w:r w:rsidR="008A47AC">
          <w:rPr>
            <w:noProof/>
            <w:webHidden/>
          </w:rPr>
          <w:fldChar w:fldCharType="end"/>
        </w:r>
      </w:hyperlink>
    </w:p>
    <w:p w14:paraId="2657B9BE" w14:textId="0CBD4A69" w:rsidR="008A47AC" w:rsidRDefault="007B378B">
      <w:pPr>
        <w:pStyle w:val="TOC3"/>
        <w:tabs>
          <w:tab w:val="left" w:pos="1320"/>
          <w:tab w:val="right" w:leader="dot" w:pos="9016"/>
        </w:tabs>
        <w:rPr>
          <w:rFonts w:eastAsiaTheme="minorEastAsia"/>
          <w:noProof/>
          <w:lang w:eastAsia="en-GB"/>
        </w:rPr>
      </w:pPr>
      <w:hyperlink w:anchor="_Toc34208255" w:history="1">
        <w:r w:rsidR="008A47AC" w:rsidRPr="00793E8D">
          <w:rPr>
            <w:rStyle w:val="Hyperlink"/>
            <w:rFonts w:ascii="Arial" w:hAnsi="Arial" w:cs="Arial"/>
            <w:i/>
            <w:iCs/>
            <w:noProof/>
          </w:rPr>
          <w:t>1.3.2</w:t>
        </w:r>
        <w:r w:rsidR="008A47AC">
          <w:rPr>
            <w:rFonts w:eastAsiaTheme="minorEastAsia"/>
            <w:noProof/>
            <w:lang w:eastAsia="en-GB"/>
          </w:rPr>
          <w:tab/>
        </w:r>
        <w:r w:rsidR="008A47AC" w:rsidRPr="00793E8D">
          <w:rPr>
            <w:rStyle w:val="Hyperlink"/>
            <w:rFonts w:ascii="Arial" w:hAnsi="Arial" w:cs="Arial"/>
            <w:i/>
            <w:iCs/>
            <w:noProof/>
          </w:rPr>
          <w:t>The ECM and sustaining proliferative signalling</w:t>
        </w:r>
        <w:r w:rsidR="008A47AC">
          <w:rPr>
            <w:noProof/>
            <w:webHidden/>
          </w:rPr>
          <w:tab/>
        </w:r>
        <w:r w:rsidR="008A47AC">
          <w:rPr>
            <w:noProof/>
            <w:webHidden/>
          </w:rPr>
          <w:fldChar w:fldCharType="begin"/>
        </w:r>
        <w:r w:rsidR="008A47AC">
          <w:rPr>
            <w:noProof/>
            <w:webHidden/>
          </w:rPr>
          <w:instrText xml:space="preserve"> PAGEREF _Toc34208255 \h </w:instrText>
        </w:r>
        <w:r w:rsidR="008A47AC">
          <w:rPr>
            <w:noProof/>
            <w:webHidden/>
          </w:rPr>
        </w:r>
        <w:r w:rsidR="008A47AC">
          <w:rPr>
            <w:noProof/>
            <w:webHidden/>
          </w:rPr>
          <w:fldChar w:fldCharType="separate"/>
        </w:r>
        <w:r w:rsidR="00E57BFA">
          <w:rPr>
            <w:noProof/>
            <w:webHidden/>
          </w:rPr>
          <w:t>- 39 -</w:t>
        </w:r>
        <w:r w:rsidR="008A47AC">
          <w:rPr>
            <w:noProof/>
            <w:webHidden/>
          </w:rPr>
          <w:fldChar w:fldCharType="end"/>
        </w:r>
      </w:hyperlink>
    </w:p>
    <w:p w14:paraId="0E7D71D6" w14:textId="245C251D" w:rsidR="008A47AC" w:rsidRDefault="007B378B">
      <w:pPr>
        <w:pStyle w:val="TOC3"/>
        <w:tabs>
          <w:tab w:val="left" w:pos="1320"/>
          <w:tab w:val="right" w:leader="dot" w:pos="9016"/>
        </w:tabs>
        <w:rPr>
          <w:rFonts w:eastAsiaTheme="minorEastAsia"/>
          <w:noProof/>
          <w:lang w:eastAsia="en-GB"/>
        </w:rPr>
      </w:pPr>
      <w:hyperlink w:anchor="_Toc34208256" w:history="1">
        <w:r w:rsidR="008A47AC" w:rsidRPr="00793E8D">
          <w:rPr>
            <w:rStyle w:val="Hyperlink"/>
            <w:rFonts w:ascii="Arial" w:hAnsi="Arial" w:cs="Arial"/>
            <w:i/>
            <w:iCs/>
            <w:noProof/>
          </w:rPr>
          <w:t>1.3.3</w:t>
        </w:r>
        <w:r w:rsidR="008A47AC">
          <w:rPr>
            <w:rFonts w:eastAsiaTheme="minorEastAsia"/>
            <w:noProof/>
            <w:lang w:eastAsia="en-GB"/>
          </w:rPr>
          <w:tab/>
        </w:r>
        <w:r w:rsidR="008A47AC" w:rsidRPr="00793E8D">
          <w:rPr>
            <w:rStyle w:val="Hyperlink"/>
            <w:rFonts w:ascii="Arial" w:hAnsi="Arial" w:cs="Arial"/>
            <w:i/>
            <w:iCs/>
            <w:noProof/>
          </w:rPr>
          <w:t>ECM mechanical function in cancer</w:t>
        </w:r>
        <w:r w:rsidR="008A47AC">
          <w:rPr>
            <w:noProof/>
            <w:webHidden/>
          </w:rPr>
          <w:tab/>
        </w:r>
        <w:r w:rsidR="008A47AC">
          <w:rPr>
            <w:noProof/>
            <w:webHidden/>
          </w:rPr>
          <w:fldChar w:fldCharType="begin"/>
        </w:r>
        <w:r w:rsidR="008A47AC">
          <w:rPr>
            <w:noProof/>
            <w:webHidden/>
          </w:rPr>
          <w:instrText xml:space="preserve"> PAGEREF _Toc34208256 \h </w:instrText>
        </w:r>
        <w:r w:rsidR="008A47AC">
          <w:rPr>
            <w:noProof/>
            <w:webHidden/>
          </w:rPr>
        </w:r>
        <w:r w:rsidR="008A47AC">
          <w:rPr>
            <w:noProof/>
            <w:webHidden/>
          </w:rPr>
          <w:fldChar w:fldCharType="separate"/>
        </w:r>
        <w:r w:rsidR="00E57BFA">
          <w:rPr>
            <w:noProof/>
            <w:webHidden/>
          </w:rPr>
          <w:t>- 39 -</w:t>
        </w:r>
        <w:r w:rsidR="008A47AC">
          <w:rPr>
            <w:noProof/>
            <w:webHidden/>
          </w:rPr>
          <w:fldChar w:fldCharType="end"/>
        </w:r>
      </w:hyperlink>
    </w:p>
    <w:p w14:paraId="7D84E0FA" w14:textId="2C005098" w:rsidR="008A47AC" w:rsidRDefault="007B378B">
      <w:pPr>
        <w:pStyle w:val="TOC3"/>
        <w:tabs>
          <w:tab w:val="left" w:pos="1320"/>
          <w:tab w:val="right" w:leader="dot" w:pos="9016"/>
        </w:tabs>
        <w:rPr>
          <w:rFonts w:eastAsiaTheme="minorEastAsia"/>
          <w:noProof/>
          <w:lang w:eastAsia="en-GB"/>
        </w:rPr>
      </w:pPr>
      <w:hyperlink w:anchor="_Toc34208257" w:history="1">
        <w:r w:rsidR="008A47AC" w:rsidRPr="00793E8D">
          <w:rPr>
            <w:rStyle w:val="Hyperlink"/>
            <w:rFonts w:ascii="Arial" w:hAnsi="Arial" w:cs="Arial"/>
            <w:i/>
            <w:iCs/>
            <w:noProof/>
          </w:rPr>
          <w:t>1.3.4</w:t>
        </w:r>
        <w:r w:rsidR="008A47AC">
          <w:rPr>
            <w:rFonts w:eastAsiaTheme="minorEastAsia"/>
            <w:noProof/>
            <w:lang w:eastAsia="en-GB"/>
          </w:rPr>
          <w:tab/>
        </w:r>
        <w:r w:rsidR="008A47AC" w:rsidRPr="00793E8D">
          <w:rPr>
            <w:rStyle w:val="Hyperlink"/>
            <w:rFonts w:ascii="Arial" w:hAnsi="Arial" w:cs="Arial"/>
            <w:i/>
            <w:iCs/>
            <w:noProof/>
          </w:rPr>
          <w:t>Biophysical roles of the ECM in cancer</w:t>
        </w:r>
        <w:r w:rsidR="008A47AC">
          <w:rPr>
            <w:noProof/>
            <w:webHidden/>
          </w:rPr>
          <w:tab/>
        </w:r>
        <w:r w:rsidR="008A47AC">
          <w:rPr>
            <w:noProof/>
            <w:webHidden/>
          </w:rPr>
          <w:fldChar w:fldCharType="begin"/>
        </w:r>
        <w:r w:rsidR="008A47AC">
          <w:rPr>
            <w:noProof/>
            <w:webHidden/>
          </w:rPr>
          <w:instrText xml:space="preserve"> PAGEREF _Toc34208257 \h </w:instrText>
        </w:r>
        <w:r w:rsidR="008A47AC">
          <w:rPr>
            <w:noProof/>
            <w:webHidden/>
          </w:rPr>
        </w:r>
        <w:r w:rsidR="008A47AC">
          <w:rPr>
            <w:noProof/>
            <w:webHidden/>
          </w:rPr>
          <w:fldChar w:fldCharType="separate"/>
        </w:r>
        <w:r w:rsidR="00E57BFA">
          <w:rPr>
            <w:noProof/>
            <w:webHidden/>
          </w:rPr>
          <w:t>- 42 -</w:t>
        </w:r>
        <w:r w:rsidR="008A47AC">
          <w:rPr>
            <w:noProof/>
            <w:webHidden/>
          </w:rPr>
          <w:fldChar w:fldCharType="end"/>
        </w:r>
      </w:hyperlink>
    </w:p>
    <w:p w14:paraId="6DB7C689" w14:textId="337E1470" w:rsidR="008A47AC" w:rsidRDefault="007B378B">
      <w:pPr>
        <w:pStyle w:val="TOC3"/>
        <w:tabs>
          <w:tab w:val="left" w:pos="1320"/>
          <w:tab w:val="right" w:leader="dot" w:pos="9016"/>
        </w:tabs>
        <w:rPr>
          <w:rFonts w:eastAsiaTheme="minorEastAsia"/>
          <w:noProof/>
          <w:lang w:eastAsia="en-GB"/>
        </w:rPr>
      </w:pPr>
      <w:hyperlink w:anchor="_Toc34208258" w:history="1">
        <w:r w:rsidR="008A47AC" w:rsidRPr="00793E8D">
          <w:rPr>
            <w:rStyle w:val="Hyperlink"/>
            <w:rFonts w:ascii="Arial" w:hAnsi="Arial" w:cs="Arial"/>
            <w:i/>
            <w:iCs/>
            <w:noProof/>
          </w:rPr>
          <w:t>1.3.5</w:t>
        </w:r>
        <w:r w:rsidR="008A47AC">
          <w:rPr>
            <w:rFonts w:eastAsiaTheme="minorEastAsia"/>
            <w:noProof/>
            <w:lang w:eastAsia="en-GB"/>
          </w:rPr>
          <w:tab/>
        </w:r>
        <w:r w:rsidR="008A47AC" w:rsidRPr="00793E8D">
          <w:rPr>
            <w:rStyle w:val="Hyperlink"/>
            <w:rFonts w:ascii="Arial" w:hAnsi="Arial" w:cs="Arial"/>
            <w:i/>
            <w:iCs/>
            <w:noProof/>
          </w:rPr>
          <w:t>The ECM in resisting cell death</w:t>
        </w:r>
        <w:r w:rsidR="008A47AC">
          <w:rPr>
            <w:noProof/>
            <w:webHidden/>
          </w:rPr>
          <w:tab/>
        </w:r>
        <w:r w:rsidR="008A47AC">
          <w:rPr>
            <w:noProof/>
            <w:webHidden/>
          </w:rPr>
          <w:fldChar w:fldCharType="begin"/>
        </w:r>
        <w:r w:rsidR="008A47AC">
          <w:rPr>
            <w:noProof/>
            <w:webHidden/>
          </w:rPr>
          <w:instrText xml:space="preserve"> PAGEREF _Toc34208258 \h </w:instrText>
        </w:r>
        <w:r w:rsidR="008A47AC">
          <w:rPr>
            <w:noProof/>
            <w:webHidden/>
          </w:rPr>
        </w:r>
        <w:r w:rsidR="008A47AC">
          <w:rPr>
            <w:noProof/>
            <w:webHidden/>
          </w:rPr>
          <w:fldChar w:fldCharType="separate"/>
        </w:r>
        <w:r w:rsidR="00E57BFA">
          <w:rPr>
            <w:noProof/>
            <w:webHidden/>
          </w:rPr>
          <w:t>- 42 -</w:t>
        </w:r>
        <w:r w:rsidR="008A47AC">
          <w:rPr>
            <w:noProof/>
            <w:webHidden/>
          </w:rPr>
          <w:fldChar w:fldCharType="end"/>
        </w:r>
      </w:hyperlink>
    </w:p>
    <w:p w14:paraId="3E486F61" w14:textId="4A4DD3BB" w:rsidR="008A47AC" w:rsidRDefault="007B378B">
      <w:pPr>
        <w:pStyle w:val="TOC3"/>
        <w:tabs>
          <w:tab w:val="left" w:pos="1320"/>
          <w:tab w:val="right" w:leader="dot" w:pos="9016"/>
        </w:tabs>
        <w:rPr>
          <w:rFonts w:eastAsiaTheme="minorEastAsia"/>
          <w:noProof/>
          <w:lang w:eastAsia="en-GB"/>
        </w:rPr>
      </w:pPr>
      <w:hyperlink w:anchor="_Toc34208259" w:history="1">
        <w:r w:rsidR="008A47AC" w:rsidRPr="00793E8D">
          <w:rPr>
            <w:rStyle w:val="Hyperlink"/>
            <w:rFonts w:ascii="Arial" w:hAnsi="Arial" w:cs="Arial"/>
            <w:i/>
            <w:iCs/>
            <w:noProof/>
          </w:rPr>
          <w:t>1.3.6</w:t>
        </w:r>
        <w:r w:rsidR="008A47AC">
          <w:rPr>
            <w:rFonts w:eastAsiaTheme="minorEastAsia"/>
            <w:noProof/>
            <w:lang w:eastAsia="en-GB"/>
          </w:rPr>
          <w:tab/>
        </w:r>
        <w:r w:rsidR="008A47AC" w:rsidRPr="00793E8D">
          <w:rPr>
            <w:rStyle w:val="Hyperlink"/>
            <w:rFonts w:ascii="Arial" w:hAnsi="Arial" w:cs="Arial"/>
            <w:i/>
            <w:iCs/>
            <w:noProof/>
          </w:rPr>
          <w:t>The ECM in enabling replicative immortality</w:t>
        </w:r>
        <w:r w:rsidR="008A47AC">
          <w:rPr>
            <w:noProof/>
            <w:webHidden/>
          </w:rPr>
          <w:tab/>
        </w:r>
        <w:r w:rsidR="008A47AC">
          <w:rPr>
            <w:noProof/>
            <w:webHidden/>
          </w:rPr>
          <w:fldChar w:fldCharType="begin"/>
        </w:r>
        <w:r w:rsidR="008A47AC">
          <w:rPr>
            <w:noProof/>
            <w:webHidden/>
          </w:rPr>
          <w:instrText xml:space="preserve"> PAGEREF _Toc34208259 \h </w:instrText>
        </w:r>
        <w:r w:rsidR="008A47AC">
          <w:rPr>
            <w:noProof/>
            <w:webHidden/>
          </w:rPr>
        </w:r>
        <w:r w:rsidR="008A47AC">
          <w:rPr>
            <w:noProof/>
            <w:webHidden/>
          </w:rPr>
          <w:fldChar w:fldCharType="separate"/>
        </w:r>
        <w:r w:rsidR="00E57BFA">
          <w:rPr>
            <w:noProof/>
            <w:webHidden/>
          </w:rPr>
          <w:t>- 43 -</w:t>
        </w:r>
        <w:r w:rsidR="008A47AC">
          <w:rPr>
            <w:noProof/>
            <w:webHidden/>
          </w:rPr>
          <w:fldChar w:fldCharType="end"/>
        </w:r>
      </w:hyperlink>
    </w:p>
    <w:p w14:paraId="7BE5AE95" w14:textId="44131F30" w:rsidR="008A47AC" w:rsidRDefault="007B378B">
      <w:pPr>
        <w:pStyle w:val="TOC3"/>
        <w:tabs>
          <w:tab w:val="left" w:pos="1320"/>
          <w:tab w:val="right" w:leader="dot" w:pos="9016"/>
        </w:tabs>
        <w:rPr>
          <w:rFonts w:eastAsiaTheme="minorEastAsia"/>
          <w:noProof/>
          <w:lang w:eastAsia="en-GB"/>
        </w:rPr>
      </w:pPr>
      <w:hyperlink w:anchor="_Toc34208260" w:history="1">
        <w:r w:rsidR="008A47AC" w:rsidRPr="00793E8D">
          <w:rPr>
            <w:rStyle w:val="Hyperlink"/>
            <w:rFonts w:ascii="Arial" w:hAnsi="Arial" w:cs="Arial"/>
            <w:i/>
            <w:iCs/>
            <w:noProof/>
          </w:rPr>
          <w:t>1.3.7</w:t>
        </w:r>
        <w:r w:rsidR="008A47AC">
          <w:rPr>
            <w:rFonts w:eastAsiaTheme="minorEastAsia"/>
            <w:noProof/>
            <w:lang w:eastAsia="en-GB"/>
          </w:rPr>
          <w:tab/>
        </w:r>
        <w:r w:rsidR="008A47AC" w:rsidRPr="00793E8D">
          <w:rPr>
            <w:rStyle w:val="Hyperlink"/>
            <w:rFonts w:ascii="Arial" w:hAnsi="Arial" w:cs="Arial"/>
            <w:i/>
            <w:iCs/>
            <w:noProof/>
          </w:rPr>
          <w:t>The ECM and sustained angiogenesis</w:t>
        </w:r>
        <w:r w:rsidR="008A47AC">
          <w:rPr>
            <w:noProof/>
            <w:webHidden/>
          </w:rPr>
          <w:tab/>
        </w:r>
        <w:r w:rsidR="008A47AC">
          <w:rPr>
            <w:noProof/>
            <w:webHidden/>
          </w:rPr>
          <w:fldChar w:fldCharType="begin"/>
        </w:r>
        <w:r w:rsidR="008A47AC">
          <w:rPr>
            <w:noProof/>
            <w:webHidden/>
          </w:rPr>
          <w:instrText xml:space="preserve"> PAGEREF _Toc34208260 \h </w:instrText>
        </w:r>
        <w:r w:rsidR="008A47AC">
          <w:rPr>
            <w:noProof/>
            <w:webHidden/>
          </w:rPr>
        </w:r>
        <w:r w:rsidR="008A47AC">
          <w:rPr>
            <w:noProof/>
            <w:webHidden/>
          </w:rPr>
          <w:fldChar w:fldCharType="separate"/>
        </w:r>
        <w:r w:rsidR="00E57BFA">
          <w:rPr>
            <w:noProof/>
            <w:webHidden/>
          </w:rPr>
          <w:t>- 43 -</w:t>
        </w:r>
        <w:r w:rsidR="008A47AC">
          <w:rPr>
            <w:noProof/>
            <w:webHidden/>
          </w:rPr>
          <w:fldChar w:fldCharType="end"/>
        </w:r>
      </w:hyperlink>
    </w:p>
    <w:p w14:paraId="35677BDF" w14:textId="1B0AA0EF" w:rsidR="008A47AC" w:rsidRDefault="007B378B">
      <w:pPr>
        <w:pStyle w:val="TOC3"/>
        <w:tabs>
          <w:tab w:val="left" w:pos="1320"/>
          <w:tab w:val="right" w:leader="dot" w:pos="9016"/>
        </w:tabs>
        <w:rPr>
          <w:rFonts w:eastAsiaTheme="minorEastAsia"/>
          <w:noProof/>
          <w:lang w:eastAsia="en-GB"/>
        </w:rPr>
      </w:pPr>
      <w:hyperlink w:anchor="_Toc34208261" w:history="1">
        <w:r w:rsidR="008A47AC" w:rsidRPr="00793E8D">
          <w:rPr>
            <w:rStyle w:val="Hyperlink"/>
            <w:rFonts w:ascii="Arial" w:hAnsi="Arial" w:cs="Arial"/>
            <w:i/>
            <w:iCs/>
            <w:noProof/>
          </w:rPr>
          <w:t>1.3.8</w:t>
        </w:r>
        <w:r w:rsidR="008A47AC">
          <w:rPr>
            <w:rFonts w:eastAsiaTheme="minorEastAsia"/>
            <w:noProof/>
            <w:lang w:eastAsia="en-GB"/>
          </w:rPr>
          <w:tab/>
        </w:r>
        <w:r w:rsidR="008A47AC" w:rsidRPr="00793E8D">
          <w:rPr>
            <w:rStyle w:val="Hyperlink"/>
            <w:rFonts w:ascii="Arial" w:hAnsi="Arial" w:cs="Arial"/>
            <w:i/>
            <w:iCs/>
            <w:noProof/>
          </w:rPr>
          <w:t>The ECM and evasion of growth suppressors</w:t>
        </w:r>
        <w:r w:rsidR="008A47AC">
          <w:rPr>
            <w:noProof/>
            <w:webHidden/>
          </w:rPr>
          <w:tab/>
        </w:r>
        <w:r w:rsidR="008A47AC">
          <w:rPr>
            <w:noProof/>
            <w:webHidden/>
          </w:rPr>
          <w:fldChar w:fldCharType="begin"/>
        </w:r>
        <w:r w:rsidR="008A47AC">
          <w:rPr>
            <w:noProof/>
            <w:webHidden/>
          </w:rPr>
          <w:instrText xml:space="preserve"> PAGEREF _Toc34208261 \h </w:instrText>
        </w:r>
        <w:r w:rsidR="008A47AC">
          <w:rPr>
            <w:noProof/>
            <w:webHidden/>
          </w:rPr>
        </w:r>
        <w:r w:rsidR="008A47AC">
          <w:rPr>
            <w:noProof/>
            <w:webHidden/>
          </w:rPr>
          <w:fldChar w:fldCharType="separate"/>
        </w:r>
        <w:r w:rsidR="00E57BFA">
          <w:rPr>
            <w:noProof/>
            <w:webHidden/>
          </w:rPr>
          <w:t>- 44 -</w:t>
        </w:r>
        <w:r w:rsidR="008A47AC">
          <w:rPr>
            <w:noProof/>
            <w:webHidden/>
          </w:rPr>
          <w:fldChar w:fldCharType="end"/>
        </w:r>
      </w:hyperlink>
    </w:p>
    <w:p w14:paraId="5E07E9A9" w14:textId="277F3954" w:rsidR="008A47AC" w:rsidRDefault="007B378B">
      <w:pPr>
        <w:pStyle w:val="TOC3"/>
        <w:tabs>
          <w:tab w:val="left" w:pos="1320"/>
          <w:tab w:val="right" w:leader="dot" w:pos="9016"/>
        </w:tabs>
        <w:rPr>
          <w:rFonts w:eastAsiaTheme="minorEastAsia"/>
          <w:noProof/>
          <w:lang w:eastAsia="en-GB"/>
        </w:rPr>
      </w:pPr>
      <w:hyperlink w:anchor="_Toc34208262" w:history="1">
        <w:r w:rsidR="008A47AC" w:rsidRPr="00793E8D">
          <w:rPr>
            <w:rStyle w:val="Hyperlink"/>
            <w:rFonts w:ascii="Arial" w:hAnsi="Arial" w:cs="Arial"/>
            <w:i/>
            <w:iCs/>
            <w:noProof/>
          </w:rPr>
          <w:t>1.3.9</w:t>
        </w:r>
        <w:r w:rsidR="008A47AC">
          <w:rPr>
            <w:rFonts w:eastAsiaTheme="minorEastAsia"/>
            <w:noProof/>
            <w:lang w:eastAsia="en-GB"/>
          </w:rPr>
          <w:tab/>
        </w:r>
        <w:r w:rsidR="008A47AC" w:rsidRPr="00793E8D">
          <w:rPr>
            <w:rStyle w:val="Hyperlink"/>
            <w:rFonts w:ascii="Arial" w:hAnsi="Arial" w:cs="Arial"/>
            <w:i/>
            <w:iCs/>
            <w:noProof/>
          </w:rPr>
          <w:t>The ECM in aiding invasion and metastasis</w:t>
        </w:r>
        <w:r w:rsidR="008A47AC">
          <w:rPr>
            <w:noProof/>
            <w:webHidden/>
          </w:rPr>
          <w:tab/>
        </w:r>
        <w:r w:rsidR="008A47AC">
          <w:rPr>
            <w:noProof/>
            <w:webHidden/>
          </w:rPr>
          <w:fldChar w:fldCharType="begin"/>
        </w:r>
        <w:r w:rsidR="008A47AC">
          <w:rPr>
            <w:noProof/>
            <w:webHidden/>
          </w:rPr>
          <w:instrText xml:space="preserve"> PAGEREF _Toc34208262 \h </w:instrText>
        </w:r>
        <w:r w:rsidR="008A47AC">
          <w:rPr>
            <w:noProof/>
            <w:webHidden/>
          </w:rPr>
        </w:r>
        <w:r w:rsidR="008A47AC">
          <w:rPr>
            <w:noProof/>
            <w:webHidden/>
          </w:rPr>
          <w:fldChar w:fldCharType="separate"/>
        </w:r>
        <w:r w:rsidR="00E57BFA">
          <w:rPr>
            <w:noProof/>
            <w:webHidden/>
          </w:rPr>
          <w:t>- 44 -</w:t>
        </w:r>
        <w:r w:rsidR="008A47AC">
          <w:rPr>
            <w:noProof/>
            <w:webHidden/>
          </w:rPr>
          <w:fldChar w:fldCharType="end"/>
        </w:r>
      </w:hyperlink>
    </w:p>
    <w:p w14:paraId="709BD574" w14:textId="30334545" w:rsidR="008A47AC" w:rsidRDefault="007B378B">
      <w:pPr>
        <w:pStyle w:val="TOC3"/>
        <w:tabs>
          <w:tab w:val="left" w:pos="1320"/>
          <w:tab w:val="right" w:leader="dot" w:pos="9016"/>
        </w:tabs>
        <w:rPr>
          <w:rFonts w:eastAsiaTheme="minorEastAsia"/>
          <w:noProof/>
          <w:lang w:eastAsia="en-GB"/>
        </w:rPr>
      </w:pPr>
      <w:hyperlink w:anchor="_Toc34208263" w:history="1">
        <w:r w:rsidR="008A47AC" w:rsidRPr="00793E8D">
          <w:rPr>
            <w:rStyle w:val="Hyperlink"/>
            <w:rFonts w:ascii="Arial" w:hAnsi="Arial" w:cs="Arial"/>
            <w:i/>
            <w:iCs/>
            <w:noProof/>
          </w:rPr>
          <w:t>1.3.10</w:t>
        </w:r>
        <w:r w:rsidR="008A47AC">
          <w:rPr>
            <w:rFonts w:eastAsiaTheme="minorEastAsia"/>
            <w:noProof/>
            <w:lang w:eastAsia="en-GB"/>
          </w:rPr>
          <w:tab/>
        </w:r>
        <w:r w:rsidR="008A47AC" w:rsidRPr="00793E8D">
          <w:rPr>
            <w:rStyle w:val="Hyperlink"/>
            <w:rFonts w:ascii="Arial" w:hAnsi="Arial" w:cs="Arial"/>
            <w:i/>
            <w:iCs/>
            <w:noProof/>
          </w:rPr>
          <w:t>ECM impact on the emerging hallmarks; evading immune destruction and deregulating cellular energetics</w:t>
        </w:r>
        <w:r w:rsidR="008A47AC">
          <w:rPr>
            <w:noProof/>
            <w:webHidden/>
          </w:rPr>
          <w:tab/>
        </w:r>
        <w:r w:rsidR="008A47AC">
          <w:rPr>
            <w:noProof/>
            <w:webHidden/>
          </w:rPr>
          <w:fldChar w:fldCharType="begin"/>
        </w:r>
        <w:r w:rsidR="008A47AC">
          <w:rPr>
            <w:noProof/>
            <w:webHidden/>
          </w:rPr>
          <w:instrText xml:space="preserve"> PAGEREF _Toc34208263 \h </w:instrText>
        </w:r>
        <w:r w:rsidR="008A47AC">
          <w:rPr>
            <w:noProof/>
            <w:webHidden/>
          </w:rPr>
        </w:r>
        <w:r w:rsidR="008A47AC">
          <w:rPr>
            <w:noProof/>
            <w:webHidden/>
          </w:rPr>
          <w:fldChar w:fldCharType="separate"/>
        </w:r>
        <w:r w:rsidR="00E57BFA">
          <w:rPr>
            <w:noProof/>
            <w:webHidden/>
          </w:rPr>
          <w:t>- 46 -</w:t>
        </w:r>
        <w:r w:rsidR="008A47AC">
          <w:rPr>
            <w:noProof/>
            <w:webHidden/>
          </w:rPr>
          <w:fldChar w:fldCharType="end"/>
        </w:r>
      </w:hyperlink>
    </w:p>
    <w:p w14:paraId="2558B3E9" w14:textId="10055D6F" w:rsidR="008A47AC" w:rsidRDefault="007B378B">
      <w:pPr>
        <w:pStyle w:val="TOC3"/>
        <w:tabs>
          <w:tab w:val="left" w:pos="1320"/>
          <w:tab w:val="right" w:leader="dot" w:pos="9016"/>
        </w:tabs>
        <w:rPr>
          <w:rFonts w:eastAsiaTheme="minorEastAsia"/>
          <w:noProof/>
          <w:lang w:eastAsia="en-GB"/>
        </w:rPr>
      </w:pPr>
      <w:hyperlink w:anchor="_Toc34208264" w:history="1">
        <w:r w:rsidR="008A47AC" w:rsidRPr="00793E8D">
          <w:rPr>
            <w:rStyle w:val="Hyperlink"/>
            <w:rFonts w:ascii="Arial" w:hAnsi="Arial" w:cs="Arial"/>
            <w:i/>
            <w:iCs/>
            <w:noProof/>
          </w:rPr>
          <w:t>1.3.11</w:t>
        </w:r>
        <w:r w:rsidR="008A47AC">
          <w:rPr>
            <w:rFonts w:eastAsiaTheme="minorEastAsia"/>
            <w:noProof/>
            <w:lang w:eastAsia="en-GB"/>
          </w:rPr>
          <w:tab/>
        </w:r>
        <w:r w:rsidR="008A47AC" w:rsidRPr="00793E8D">
          <w:rPr>
            <w:rStyle w:val="Hyperlink"/>
            <w:rFonts w:ascii="Arial" w:hAnsi="Arial" w:cs="Arial"/>
            <w:i/>
            <w:iCs/>
            <w:noProof/>
          </w:rPr>
          <w:t>ECM signalling in cancer</w:t>
        </w:r>
        <w:r w:rsidR="008A47AC">
          <w:rPr>
            <w:noProof/>
            <w:webHidden/>
          </w:rPr>
          <w:tab/>
        </w:r>
        <w:r w:rsidR="008A47AC">
          <w:rPr>
            <w:noProof/>
            <w:webHidden/>
          </w:rPr>
          <w:fldChar w:fldCharType="begin"/>
        </w:r>
        <w:r w:rsidR="008A47AC">
          <w:rPr>
            <w:noProof/>
            <w:webHidden/>
          </w:rPr>
          <w:instrText xml:space="preserve"> PAGEREF _Toc34208264 \h </w:instrText>
        </w:r>
        <w:r w:rsidR="008A47AC">
          <w:rPr>
            <w:noProof/>
            <w:webHidden/>
          </w:rPr>
        </w:r>
        <w:r w:rsidR="008A47AC">
          <w:rPr>
            <w:noProof/>
            <w:webHidden/>
          </w:rPr>
          <w:fldChar w:fldCharType="separate"/>
        </w:r>
        <w:r w:rsidR="00E57BFA">
          <w:rPr>
            <w:noProof/>
            <w:webHidden/>
          </w:rPr>
          <w:t>- 46 -</w:t>
        </w:r>
        <w:r w:rsidR="008A47AC">
          <w:rPr>
            <w:noProof/>
            <w:webHidden/>
          </w:rPr>
          <w:fldChar w:fldCharType="end"/>
        </w:r>
      </w:hyperlink>
    </w:p>
    <w:p w14:paraId="56FAB35B" w14:textId="3A8764B5" w:rsidR="008A47AC" w:rsidRDefault="007B378B">
      <w:pPr>
        <w:pStyle w:val="TOC2"/>
        <w:tabs>
          <w:tab w:val="left" w:pos="880"/>
          <w:tab w:val="right" w:leader="dot" w:pos="9016"/>
        </w:tabs>
        <w:rPr>
          <w:rFonts w:eastAsiaTheme="minorEastAsia"/>
          <w:noProof/>
          <w:lang w:eastAsia="en-GB"/>
        </w:rPr>
      </w:pPr>
      <w:hyperlink w:anchor="_Toc34208265" w:history="1">
        <w:r w:rsidR="008A47AC" w:rsidRPr="00793E8D">
          <w:rPr>
            <w:rStyle w:val="Hyperlink"/>
            <w:rFonts w:ascii="Arial" w:hAnsi="Arial" w:cs="Arial"/>
            <w:noProof/>
            <w:lang w:val="it-IT"/>
          </w:rPr>
          <w:t>1.4</w:t>
        </w:r>
        <w:r w:rsidR="008A47AC">
          <w:rPr>
            <w:rFonts w:eastAsiaTheme="minorEastAsia"/>
            <w:noProof/>
            <w:lang w:eastAsia="en-GB"/>
          </w:rPr>
          <w:tab/>
        </w:r>
        <w:r w:rsidR="008A47AC" w:rsidRPr="00793E8D">
          <w:rPr>
            <w:rStyle w:val="Hyperlink"/>
            <w:rFonts w:ascii="Arial" w:hAnsi="Arial" w:cs="Arial"/>
            <w:noProof/>
            <w:lang w:val="it-IT"/>
          </w:rPr>
          <w:t xml:space="preserve">Modelling the oral stroma </w:t>
        </w:r>
        <w:r w:rsidR="008A47AC" w:rsidRPr="00793E8D">
          <w:rPr>
            <w:rStyle w:val="Hyperlink"/>
            <w:rFonts w:ascii="Arial" w:hAnsi="Arial" w:cs="Arial"/>
            <w:i/>
            <w:iCs/>
            <w:noProof/>
            <w:lang w:val="it-IT"/>
          </w:rPr>
          <w:t>in vitro</w:t>
        </w:r>
        <w:r w:rsidR="008A47AC">
          <w:rPr>
            <w:noProof/>
            <w:webHidden/>
          </w:rPr>
          <w:tab/>
        </w:r>
        <w:r w:rsidR="008A47AC">
          <w:rPr>
            <w:noProof/>
            <w:webHidden/>
          </w:rPr>
          <w:fldChar w:fldCharType="begin"/>
        </w:r>
        <w:r w:rsidR="008A47AC">
          <w:rPr>
            <w:noProof/>
            <w:webHidden/>
          </w:rPr>
          <w:instrText xml:space="preserve"> PAGEREF _Toc34208265 \h </w:instrText>
        </w:r>
        <w:r w:rsidR="008A47AC">
          <w:rPr>
            <w:noProof/>
            <w:webHidden/>
          </w:rPr>
        </w:r>
        <w:r w:rsidR="008A47AC">
          <w:rPr>
            <w:noProof/>
            <w:webHidden/>
          </w:rPr>
          <w:fldChar w:fldCharType="separate"/>
        </w:r>
        <w:r w:rsidR="00E57BFA">
          <w:rPr>
            <w:noProof/>
            <w:webHidden/>
          </w:rPr>
          <w:t>- 47 -</w:t>
        </w:r>
        <w:r w:rsidR="008A47AC">
          <w:rPr>
            <w:noProof/>
            <w:webHidden/>
          </w:rPr>
          <w:fldChar w:fldCharType="end"/>
        </w:r>
      </w:hyperlink>
    </w:p>
    <w:p w14:paraId="6ABF8F5C" w14:textId="6D252D5D" w:rsidR="008A47AC" w:rsidRDefault="007B378B">
      <w:pPr>
        <w:pStyle w:val="TOC3"/>
        <w:tabs>
          <w:tab w:val="right" w:leader="dot" w:pos="9016"/>
        </w:tabs>
        <w:rPr>
          <w:rFonts w:eastAsiaTheme="minorEastAsia"/>
          <w:noProof/>
          <w:lang w:eastAsia="en-GB"/>
        </w:rPr>
      </w:pPr>
      <w:hyperlink w:anchor="_Toc34208266" w:history="1">
        <w:r w:rsidR="008A47AC" w:rsidRPr="00793E8D">
          <w:rPr>
            <w:rStyle w:val="Hyperlink"/>
            <w:rFonts w:ascii="Arial" w:hAnsi="Arial" w:cs="Arial"/>
            <w:i/>
            <w:noProof/>
          </w:rPr>
          <w:t>1.4.1 Monolayer cultures</w:t>
        </w:r>
        <w:r w:rsidR="008A47AC">
          <w:rPr>
            <w:noProof/>
            <w:webHidden/>
          </w:rPr>
          <w:tab/>
        </w:r>
        <w:r w:rsidR="008A47AC">
          <w:rPr>
            <w:noProof/>
            <w:webHidden/>
          </w:rPr>
          <w:fldChar w:fldCharType="begin"/>
        </w:r>
        <w:r w:rsidR="008A47AC">
          <w:rPr>
            <w:noProof/>
            <w:webHidden/>
          </w:rPr>
          <w:instrText xml:space="preserve"> PAGEREF _Toc34208266 \h </w:instrText>
        </w:r>
        <w:r w:rsidR="008A47AC">
          <w:rPr>
            <w:noProof/>
            <w:webHidden/>
          </w:rPr>
        </w:r>
        <w:r w:rsidR="008A47AC">
          <w:rPr>
            <w:noProof/>
            <w:webHidden/>
          </w:rPr>
          <w:fldChar w:fldCharType="separate"/>
        </w:r>
        <w:r w:rsidR="00E57BFA">
          <w:rPr>
            <w:noProof/>
            <w:webHidden/>
          </w:rPr>
          <w:t>- 47 -</w:t>
        </w:r>
        <w:r w:rsidR="008A47AC">
          <w:rPr>
            <w:noProof/>
            <w:webHidden/>
          </w:rPr>
          <w:fldChar w:fldCharType="end"/>
        </w:r>
      </w:hyperlink>
    </w:p>
    <w:p w14:paraId="51EBAC70" w14:textId="2672569D" w:rsidR="008A47AC" w:rsidRDefault="007B378B">
      <w:pPr>
        <w:pStyle w:val="TOC3"/>
        <w:tabs>
          <w:tab w:val="right" w:leader="dot" w:pos="9016"/>
        </w:tabs>
        <w:rPr>
          <w:rFonts w:eastAsiaTheme="minorEastAsia"/>
          <w:noProof/>
          <w:lang w:eastAsia="en-GB"/>
        </w:rPr>
      </w:pPr>
      <w:hyperlink w:anchor="_Toc34208267" w:history="1">
        <w:r w:rsidR="008A47AC" w:rsidRPr="00793E8D">
          <w:rPr>
            <w:rStyle w:val="Hyperlink"/>
            <w:rFonts w:ascii="Arial" w:hAnsi="Arial" w:cs="Arial"/>
            <w:i/>
            <w:noProof/>
            <w:lang w:val="sv-SE"/>
          </w:rPr>
          <w:t>1.4.2 Three-dimensional models</w:t>
        </w:r>
        <w:r w:rsidR="008A47AC">
          <w:rPr>
            <w:noProof/>
            <w:webHidden/>
          </w:rPr>
          <w:tab/>
        </w:r>
        <w:r w:rsidR="008A47AC">
          <w:rPr>
            <w:noProof/>
            <w:webHidden/>
          </w:rPr>
          <w:fldChar w:fldCharType="begin"/>
        </w:r>
        <w:r w:rsidR="008A47AC">
          <w:rPr>
            <w:noProof/>
            <w:webHidden/>
          </w:rPr>
          <w:instrText xml:space="preserve"> PAGEREF _Toc34208267 \h </w:instrText>
        </w:r>
        <w:r w:rsidR="008A47AC">
          <w:rPr>
            <w:noProof/>
            <w:webHidden/>
          </w:rPr>
        </w:r>
        <w:r w:rsidR="008A47AC">
          <w:rPr>
            <w:noProof/>
            <w:webHidden/>
          </w:rPr>
          <w:fldChar w:fldCharType="separate"/>
        </w:r>
        <w:r w:rsidR="00E57BFA">
          <w:rPr>
            <w:noProof/>
            <w:webHidden/>
          </w:rPr>
          <w:t>- 48 -</w:t>
        </w:r>
        <w:r w:rsidR="008A47AC">
          <w:rPr>
            <w:noProof/>
            <w:webHidden/>
          </w:rPr>
          <w:fldChar w:fldCharType="end"/>
        </w:r>
      </w:hyperlink>
    </w:p>
    <w:p w14:paraId="594333BB" w14:textId="1E004A8B" w:rsidR="008A47AC" w:rsidRDefault="007B378B">
      <w:pPr>
        <w:pStyle w:val="TOC4"/>
        <w:tabs>
          <w:tab w:val="right" w:leader="dot" w:pos="9016"/>
        </w:tabs>
        <w:rPr>
          <w:rFonts w:eastAsiaTheme="minorEastAsia"/>
          <w:noProof/>
          <w:lang w:eastAsia="en-GB"/>
        </w:rPr>
      </w:pPr>
      <w:hyperlink w:anchor="_Toc34208268" w:history="1">
        <w:r w:rsidR="008A47AC" w:rsidRPr="00793E8D">
          <w:rPr>
            <w:rStyle w:val="Hyperlink"/>
            <w:rFonts w:ascii="Arial" w:hAnsi="Arial" w:cs="Arial"/>
            <w:noProof/>
            <w:lang w:val="sv-SE"/>
          </w:rPr>
          <w:t>1.4.2.1 Patient-derived xenograft models</w:t>
        </w:r>
        <w:r w:rsidR="008A47AC">
          <w:rPr>
            <w:noProof/>
            <w:webHidden/>
          </w:rPr>
          <w:tab/>
        </w:r>
        <w:r w:rsidR="008A47AC">
          <w:rPr>
            <w:noProof/>
            <w:webHidden/>
          </w:rPr>
          <w:fldChar w:fldCharType="begin"/>
        </w:r>
        <w:r w:rsidR="008A47AC">
          <w:rPr>
            <w:noProof/>
            <w:webHidden/>
          </w:rPr>
          <w:instrText xml:space="preserve"> PAGEREF _Toc34208268 \h </w:instrText>
        </w:r>
        <w:r w:rsidR="008A47AC">
          <w:rPr>
            <w:noProof/>
            <w:webHidden/>
          </w:rPr>
        </w:r>
        <w:r w:rsidR="008A47AC">
          <w:rPr>
            <w:noProof/>
            <w:webHidden/>
          </w:rPr>
          <w:fldChar w:fldCharType="separate"/>
        </w:r>
        <w:r w:rsidR="00E57BFA">
          <w:rPr>
            <w:noProof/>
            <w:webHidden/>
          </w:rPr>
          <w:t>- 48 -</w:t>
        </w:r>
        <w:r w:rsidR="008A47AC">
          <w:rPr>
            <w:noProof/>
            <w:webHidden/>
          </w:rPr>
          <w:fldChar w:fldCharType="end"/>
        </w:r>
      </w:hyperlink>
    </w:p>
    <w:p w14:paraId="02246E1F" w14:textId="6FEF3175" w:rsidR="008A47AC" w:rsidRDefault="007B378B">
      <w:pPr>
        <w:pStyle w:val="TOC4"/>
        <w:tabs>
          <w:tab w:val="right" w:leader="dot" w:pos="9016"/>
        </w:tabs>
        <w:rPr>
          <w:rFonts w:eastAsiaTheme="minorEastAsia"/>
          <w:noProof/>
          <w:lang w:eastAsia="en-GB"/>
        </w:rPr>
      </w:pPr>
      <w:hyperlink w:anchor="_Toc34208269" w:history="1">
        <w:r w:rsidR="008A47AC" w:rsidRPr="00793E8D">
          <w:rPr>
            <w:rStyle w:val="Hyperlink"/>
            <w:rFonts w:ascii="Arial" w:hAnsi="Arial" w:cs="Arial"/>
            <w:noProof/>
          </w:rPr>
          <w:t>1.4.2.2 Tumour Spheroids</w:t>
        </w:r>
        <w:r w:rsidR="008A47AC">
          <w:rPr>
            <w:noProof/>
            <w:webHidden/>
          </w:rPr>
          <w:tab/>
        </w:r>
        <w:r w:rsidR="008A47AC">
          <w:rPr>
            <w:noProof/>
            <w:webHidden/>
          </w:rPr>
          <w:fldChar w:fldCharType="begin"/>
        </w:r>
        <w:r w:rsidR="008A47AC">
          <w:rPr>
            <w:noProof/>
            <w:webHidden/>
          </w:rPr>
          <w:instrText xml:space="preserve"> PAGEREF _Toc34208269 \h </w:instrText>
        </w:r>
        <w:r w:rsidR="008A47AC">
          <w:rPr>
            <w:noProof/>
            <w:webHidden/>
          </w:rPr>
        </w:r>
        <w:r w:rsidR="008A47AC">
          <w:rPr>
            <w:noProof/>
            <w:webHidden/>
          </w:rPr>
          <w:fldChar w:fldCharType="separate"/>
        </w:r>
        <w:r w:rsidR="00E57BFA">
          <w:rPr>
            <w:noProof/>
            <w:webHidden/>
          </w:rPr>
          <w:t>- 49 -</w:t>
        </w:r>
        <w:r w:rsidR="008A47AC">
          <w:rPr>
            <w:noProof/>
            <w:webHidden/>
          </w:rPr>
          <w:fldChar w:fldCharType="end"/>
        </w:r>
      </w:hyperlink>
    </w:p>
    <w:p w14:paraId="4AA13EED" w14:textId="0302D99E" w:rsidR="008A47AC" w:rsidRDefault="007B378B">
      <w:pPr>
        <w:pStyle w:val="TOC4"/>
        <w:tabs>
          <w:tab w:val="right" w:leader="dot" w:pos="9016"/>
        </w:tabs>
        <w:rPr>
          <w:rFonts w:eastAsiaTheme="minorEastAsia"/>
          <w:noProof/>
          <w:lang w:eastAsia="en-GB"/>
        </w:rPr>
      </w:pPr>
      <w:hyperlink w:anchor="_Toc34208270" w:history="1">
        <w:r w:rsidR="008A47AC" w:rsidRPr="00793E8D">
          <w:rPr>
            <w:rStyle w:val="Hyperlink"/>
            <w:rFonts w:ascii="Arial" w:hAnsi="Arial" w:cs="Arial"/>
            <w:noProof/>
          </w:rPr>
          <w:t>1.4.2.3 Scaffold-based tissue-engineered 3D tumour models</w:t>
        </w:r>
        <w:r w:rsidR="008A47AC">
          <w:rPr>
            <w:noProof/>
            <w:webHidden/>
          </w:rPr>
          <w:tab/>
        </w:r>
        <w:r w:rsidR="008A47AC">
          <w:rPr>
            <w:noProof/>
            <w:webHidden/>
          </w:rPr>
          <w:fldChar w:fldCharType="begin"/>
        </w:r>
        <w:r w:rsidR="008A47AC">
          <w:rPr>
            <w:noProof/>
            <w:webHidden/>
          </w:rPr>
          <w:instrText xml:space="preserve"> PAGEREF _Toc34208270 \h </w:instrText>
        </w:r>
        <w:r w:rsidR="008A47AC">
          <w:rPr>
            <w:noProof/>
            <w:webHidden/>
          </w:rPr>
        </w:r>
        <w:r w:rsidR="008A47AC">
          <w:rPr>
            <w:noProof/>
            <w:webHidden/>
          </w:rPr>
          <w:fldChar w:fldCharType="separate"/>
        </w:r>
        <w:r w:rsidR="00E57BFA">
          <w:rPr>
            <w:noProof/>
            <w:webHidden/>
          </w:rPr>
          <w:t>- 50 -</w:t>
        </w:r>
        <w:r w:rsidR="008A47AC">
          <w:rPr>
            <w:noProof/>
            <w:webHidden/>
          </w:rPr>
          <w:fldChar w:fldCharType="end"/>
        </w:r>
      </w:hyperlink>
    </w:p>
    <w:p w14:paraId="26F7F5A0" w14:textId="396D62B3" w:rsidR="008A47AC" w:rsidRDefault="007B378B">
      <w:pPr>
        <w:pStyle w:val="TOC5"/>
        <w:rPr>
          <w:rFonts w:eastAsiaTheme="minorEastAsia"/>
          <w:noProof/>
          <w:lang w:eastAsia="en-GB"/>
        </w:rPr>
      </w:pPr>
      <w:hyperlink w:anchor="_Toc34208271" w:history="1">
        <w:r w:rsidR="008A47AC" w:rsidRPr="00793E8D">
          <w:rPr>
            <w:rStyle w:val="Hyperlink"/>
            <w:rFonts w:ascii="Arial" w:hAnsi="Arial" w:cs="Arial"/>
            <w:i/>
            <w:noProof/>
          </w:rPr>
          <w:t>1.4.2.3.1 Natural scaffolds</w:t>
        </w:r>
        <w:r w:rsidR="008A47AC">
          <w:rPr>
            <w:noProof/>
            <w:webHidden/>
          </w:rPr>
          <w:tab/>
        </w:r>
        <w:r w:rsidR="008A47AC">
          <w:rPr>
            <w:noProof/>
            <w:webHidden/>
          </w:rPr>
          <w:fldChar w:fldCharType="begin"/>
        </w:r>
        <w:r w:rsidR="008A47AC">
          <w:rPr>
            <w:noProof/>
            <w:webHidden/>
          </w:rPr>
          <w:instrText xml:space="preserve"> PAGEREF _Toc34208271 \h </w:instrText>
        </w:r>
        <w:r w:rsidR="008A47AC">
          <w:rPr>
            <w:noProof/>
            <w:webHidden/>
          </w:rPr>
        </w:r>
        <w:r w:rsidR="008A47AC">
          <w:rPr>
            <w:noProof/>
            <w:webHidden/>
          </w:rPr>
          <w:fldChar w:fldCharType="separate"/>
        </w:r>
        <w:r w:rsidR="00E57BFA">
          <w:rPr>
            <w:noProof/>
            <w:webHidden/>
          </w:rPr>
          <w:t>- 50 -</w:t>
        </w:r>
        <w:r w:rsidR="008A47AC">
          <w:rPr>
            <w:noProof/>
            <w:webHidden/>
          </w:rPr>
          <w:fldChar w:fldCharType="end"/>
        </w:r>
      </w:hyperlink>
    </w:p>
    <w:p w14:paraId="1196B858" w14:textId="52A08137" w:rsidR="008A47AC" w:rsidRDefault="007B378B">
      <w:pPr>
        <w:pStyle w:val="TOC5"/>
        <w:rPr>
          <w:rFonts w:eastAsiaTheme="minorEastAsia"/>
          <w:noProof/>
          <w:lang w:eastAsia="en-GB"/>
        </w:rPr>
      </w:pPr>
      <w:hyperlink w:anchor="_Toc34208272" w:history="1">
        <w:r w:rsidR="008A47AC" w:rsidRPr="00793E8D">
          <w:rPr>
            <w:rStyle w:val="Hyperlink"/>
            <w:rFonts w:ascii="Arial" w:hAnsi="Arial" w:cs="Arial"/>
            <w:i/>
            <w:iCs/>
            <w:noProof/>
          </w:rPr>
          <w:t>1.4.2.3.2 Cell-derived matrices</w:t>
        </w:r>
        <w:r w:rsidR="008A47AC">
          <w:rPr>
            <w:noProof/>
            <w:webHidden/>
          </w:rPr>
          <w:tab/>
        </w:r>
        <w:r w:rsidR="008A47AC">
          <w:rPr>
            <w:noProof/>
            <w:webHidden/>
          </w:rPr>
          <w:fldChar w:fldCharType="begin"/>
        </w:r>
        <w:r w:rsidR="008A47AC">
          <w:rPr>
            <w:noProof/>
            <w:webHidden/>
          </w:rPr>
          <w:instrText xml:space="preserve"> PAGEREF _Toc34208272 \h </w:instrText>
        </w:r>
        <w:r w:rsidR="008A47AC">
          <w:rPr>
            <w:noProof/>
            <w:webHidden/>
          </w:rPr>
        </w:r>
        <w:r w:rsidR="008A47AC">
          <w:rPr>
            <w:noProof/>
            <w:webHidden/>
          </w:rPr>
          <w:fldChar w:fldCharType="separate"/>
        </w:r>
        <w:r w:rsidR="00E57BFA">
          <w:rPr>
            <w:noProof/>
            <w:webHidden/>
          </w:rPr>
          <w:t>- 52 -</w:t>
        </w:r>
        <w:r w:rsidR="008A47AC">
          <w:rPr>
            <w:noProof/>
            <w:webHidden/>
          </w:rPr>
          <w:fldChar w:fldCharType="end"/>
        </w:r>
      </w:hyperlink>
    </w:p>
    <w:p w14:paraId="5E2ACACE" w14:textId="33DD92CE" w:rsidR="008A47AC" w:rsidRDefault="007B378B">
      <w:pPr>
        <w:pStyle w:val="TOC5"/>
        <w:rPr>
          <w:rFonts w:eastAsiaTheme="minorEastAsia"/>
          <w:noProof/>
          <w:lang w:eastAsia="en-GB"/>
        </w:rPr>
      </w:pPr>
      <w:hyperlink w:anchor="_Toc34208273" w:history="1">
        <w:r w:rsidR="008A47AC" w:rsidRPr="00793E8D">
          <w:rPr>
            <w:rStyle w:val="Hyperlink"/>
            <w:rFonts w:ascii="Arial" w:hAnsi="Arial" w:cs="Arial"/>
            <w:i/>
            <w:iCs/>
            <w:noProof/>
          </w:rPr>
          <w:t>1.4.2.3.3 Tissue-derived matrices</w:t>
        </w:r>
        <w:r w:rsidR="008A47AC">
          <w:rPr>
            <w:noProof/>
            <w:webHidden/>
          </w:rPr>
          <w:tab/>
        </w:r>
        <w:r w:rsidR="008A47AC">
          <w:rPr>
            <w:noProof/>
            <w:webHidden/>
          </w:rPr>
          <w:fldChar w:fldCharType="begin"/>
        </w:r>
        <w:r w:rsidR="008A47AC">
          <w:rPr>
            <w:noProof/>
            <w:webHidden/>
          </w:rPr>
          <w:instrText xml:space="preserve"> PAGEREF _Toc34208273 \h </w:instrText>
        </w:r>
        <w:r w:rsidR="008A47AC">
          <w:rPr>
            <w:noProof/>
            <w:webHidden/>
          </w:rPr>
        </w:r>
        <w:r w:rsidR="008A47AC">
          <w:rPr>
            <w:noProof/>
            <w:webHidden/>
          </w:rPr>
          <w:fldChar w:fldCharType="separate"/>
        </w:r>
        <w:r w:rsidR="00E57BFA">
          <w:rPr>
            <w:noProof/>
            <w:webHidden/>
          </w:rPr>
          <w:t>- 53 -</w:t>
        </w:r>
        <w:r w:rsidR="008A47AC">
          <w:rPr>
            <w:noProof/>
            <w:webHidden/>
          </w:rPr>
          <w:fldChar w:fldCharType="end"/>
        </w:r>
      </w:hyperlink>
    </w:p>
    <w:p w14:paraId="2AB31B93" w14:textId="2FD2DE49" w:rsidR="008A47AC" w:rsidRDefault="007B378B">
      <w:pPr>
        <w:pStyle w:val="TOC5"/>
        <w:rPr>
          <w:rFonts w:eastAsiaTheme="minorEastAsia"/>
          <w:noProof/>
          <w:lang w:eastAsia="en-GB"/>
        </w:rPr>
      </w:pPr>
      <w:hyperlink w:anchor="_Toc34208274" w:history="1">
        <w:r w:rsidR="008A47AC" w:rsidRPr="00793E8D">
          <w:rPr>
            <w:rStyle w:val="Hyperlink"/>
            <w:rFonts w:ascii="Arial" w:hAnsi="Arial" w:cs="Arial"/>
            <w:i/>
            <w:iCs/>
            <w:noProof/>
          </w:rPr>
          <w:t>1.4.2.3.4 Synthetic scaffolds</w:t>
        </w:r>
        <w:r w:rsidR="008A47AC">
          <w:rPr>
            <w:noProof/>
            <w:webHidden/>
          </w:rPr>
          <w:tab/>
        </w:r>
        <w:r w:rsidR="008A47AC">
          <w:rPr>
            <w:noProof/>
            <w:webHidden/>
          </w:rPr>
          <w:fldChar w:fldCharType="begin"/>
        </w:r>
        <w:r w:rsidR="008A47AC">
          <w:rPr>
            <w:noProof/>
            <w:webHidden/>
          </w:rPr>
          <w:instrText xml:space="preserve"> PAGEREF _Toc34208274 \h </w:instrText>
        </w:r>
        <w:r w:rsidR="008A47AC">
          <w:rPr>
            <w:noProof/>
            <w:webHidden/>
          </w:rPr>
        </w:r>
        <w:r w:rsidR="008A47AC">
          <w:rPr>
            <w:noProof/>
            <w:webHidden/>
          </w:rPr>
          <w:fldChar w:fldCharType="separate"/>
        </w:r>
        <w:r w:rsidR="00E57BFA">
          <w:rPr>
            <w:noProof/>
            <w:webHidden/>
          </w:rPr>
          <w:t>- 54 -</w:t>
        </w:r>
        <w:r w:rsidR="008A47AC">
          <w:rPr>
            <w:noProof/>
            <w:webHidden/>
          </w:rPr>
          <w:fldChar w:fldCharType="end"/>
        </w:r>
      </w:hyperlink>
    </w:p>
    <w:p w14:paraId="3435AEF8" w14:textId="537CB5C5" w:rsidR="008A47AC" w:rsidRDefault="007B378B">
      <w:pPr>
        <w:pStyle w:val="TOC3"/>
        <w:tabs>
          <w:tab w:val="right" w:leader="dot" w:pos="9016"/>
        </w:tabs>
        <w:rPr>
          <w:rFonts w:eastAsiaTheme="minorEastAsia"/>
          <w:noProof/>
          <w:lang w:eastAsia="en-GB"/>
        </w:rPr>
      </w:pPr>
      <w:hyperlink w:anchor="_Toc34208275" w:history="1">
        <w:r w:rsidR="008A47AC" w:rsidRPr="00793E8D">
          <w:rPr>
            <w:rStyle w:val="Hyperlink"/>
            <w:rFonts w:ascii="Arial" w:hAnsi="Arial" w:cs="Arial"/>
            <w:iCs/>
            <w:noProof/>
          </w:rPr>
          <w:t xml:space="preserve">1.4.3 Further tissue-engineered </w:t>
        </w:r>
        <w:r w:rsidR="008A47AC" w:rsidRPr="00793E8D">
          <w:rPr>
            <w:rStyle w:val="Hyperlink"/>
            <w:rFonts w:ascii="Arial" w:hAnsi="Arial" w:cs="Arial"/>
            <w:i/>
            <w:noProof/>
          </w:rPr>
          <w:t xml:space="preserve">in vitro </w:t>
        </w:r>
        <w:r w:rsidR="008A47AC" w:rsidRPr="00793E8D">
          <w:rPr>
            <w:rStyle w:val="Hyperlink"/>
            <w:rFonts w:ascii="Arial" w:hAnsi="Arial" w:cs="Arial"/>
            <w:iCs/>
            <w:noProof/>
          </w:rPr>
          <w:t>approaches for modelling oral carcinoma</w:t>
        </w:r>
        <w:r w:rsidR="008A47AC">
          <w:rPr>
            <w:noProof/>
            <w:webHidden/>
          </w:rPr>
          <w:tab/>
        </w:r>
        <w:r w:rsidR="008A47AC">
          <w:rPr>
            <w:noProof/>
            <w:webHidden/>
          </w:rPr>
          <w:fldChar w:fldCharType="begin"/>
        </w:r>
        <w:r w:rsidR="008A47AC">
          <w:rPr>
            <w:noProof/>
            <w:webHidden/>
          </w:rPr>
          <w:instrText xml:space="preserve"> PAGEREF _Toc34208275 \h </w:instrText>
        </w:r>
        <w:r w:rsidR="008A47AC">
          <w:rPr>
            <w:noProof/>
            <w:webHidden/>
          </w:rPr>
        </w:r>
        <w:r w:rsidR="008A47AC">
          <w:rPr>
            <w:noProof/>
            <w:webHidden/>
          </w:rPr>
          <w:fldChar w:fldCharType="separate"/>
        </w:r>
        <w:r w:rsidR="00E57BFA">
          <w:rPr>
            <w:noProof/>
            <w:webHidden/>
          </w:rPr>
          <w:t>- 55 -</w:t>
        </w:r>
        <w:r w:rsidR="008A47AC">
          <w:rPr>
            <w:noProof/>
            <w:webHidden/>
          </w:rPr>
          <w:fldChar w:fldCharType="end"/>
        </w:r>
      </w:hyperlink>
    </w:p>
    <w:p w14:paraId="0A862E66" w14:textId="6FA9EA7B" w:rsidR="008A47AC" w:rsidRDefault="007B378B">
      <w:pPr>
        <w:pStyle w:val="TOC4"/>
        <w:tabs>
          <w:tab w:val="right" w:leader="dot" w:pos="9016"/>
        </w:tabs>
        <w:rPr>
          <w:rFonts w:eastAsiaTheme="minorEastAsia"/>
          <w:noProof/>
          <w:lang w:eastAsia="en-GB"/>
        </w:rPr>
      </w:pPr>
      <w:hyperlink w:anchor="_Toc34208276" w:history="1">
        <w:r w:rsidR="008A47AC" w:rsidRPr="00793E8D">
          <w:rPr>
            <w:rStyle w:val="Hyperlink"/>
            <w:rFonts w:ascii="Arial" w:hAnsi="Arial" w:cs="Arial"/>
            <w:noProof/>
          </w:rPr>
          <w:t>1.4.3.1 Fibroblast-derived matrices</w:t>
        </w:r>
        <w:r w:rsidR="008A47AC">
          <w:rPr>
            <w:noProof/>
            <w:webHidden/>
          </w:rPr>
          <w:tab/>
        </w:r>
        <w:r w:rsidR="008A47AC">
          <w:rPr>
            <w:noProof/>
            <w:webHidden/>
          </w:rPr>
          <w:fldChar w:fldCharType="begin"/>
        </w:r>
        <w:r w:rsidR="008A47AC">
          <w:rPr>
            <w:noProof/>
            <w:webHidden/>
          </w:rPr>
          <w:instrText xml:space="preserve"> PAGEREF _Toc34208276 \h </w:instrText>
        </w:r>
        <w:r w:rsidR="008A47AC">
          <w:rPr>
            <w:noProof/>
            <w:webHidden/>
          </w:rPr>
        </w:r>
        <w:r w:rsidR="008A47AC">
          <w:rPr>
            <w:noProof/>
            <w:webHidden/>
          </w:rPr>
          <w:fldChar w:fldCharType="separate"/>
        </w:r>
        <w:r w:rsidR="00E57BFA">
          <w:rPr>
            <w:noProof/>
            <w:webHidden/>
          </w:rPr>
          <w:t>- 55 -</w:t>
        </w:r>
        <w:r w:rsidR="008A47AC">
          <w:rPr>
            <w:noProof/>
            <w:webHidden/>
          </w:rPr>
          <w:fldChar w:fldCharType="end"/>
        </w:r>
      </w:hyperlink>
    </w:p>
    <w:p w14:paraId="58AEAB69" w14:textId="53B10ADE" w:rsidR="008A47AC" w:rsidRDefault="007B378B">
      <w:pPr>
        <w:pStyle w:val="TOC2"/>
        <w:tabs>
          <w:tab w:val="left" w:pos="880"/>
          <w:tab w:val="right" w:leader="dot" w:pos="9016"/>
        </w:tabs>
        <w:rPr>
          <w:rFonts w:eastAsiaTheme="minorEastAsia"/>
          <w:noProof/>
          <w:lang w:eastAsia="en-GB"/>
        </w:rPr>
      </w:pPr>
      <w:hyperlink w:anchor="_Toc34208277" w:history="1">
        <w:r w:rsidR="008A47AC" w:rsidRPr="00793E8D">
          <w:rPr>
            <w:rStyle w:val="Hyperlink"/>
            <w:rFonts w:ascii="Arial" w:hAnsi="Arial" w:cs="Arial"/>
            <w:iCs/>
            <w:noProof/>
          </w:rPr>
          <w:t>1.5</w:t>
        </w:r>
        <w:r w:rsidR="008A47AC">
          <w:rPr>
            <w:rFonts w:eastAsiaTheme="minorEastAsia"/>
            <w:noProof/>
            <w:lang w:eastAsia="en-GB"/>
          </w:rPr>
          <w:tab/>
        </w:r>
        <w:r w:rsidR="008A47AC" w:rsidRPr="00793E8D">
          <w:rPr>
            <w:rStyle w:val="Hyperlink"/>
            <w:rFonts w:ascii="Arial" w:hAnsi="Arial" w:cs="Arial"/>
            <w:iCs/>
            <w:noProof/>
          </w:rPr>
          <w:t>Concluding remarks and study rationale</w:t>
        </w:r>
        <w:r w:rsidR="008A47AC">
          <w:rPr>
            <w:noProof/>
            <w:webHidden/>
          </w:rPr>
          <w:tab/>
        </w:r>
        <w:r w:rsidR="008A47AC">
          <w:rPr>
            <w:noProof/>
            <w:webHidden/>
          </w:rPr>
          <w:fldChar w:fldCharType="begin"/>
        </w:r>
        <w:r w:rsidR="008A47AC">
          <w:rPr>
            <w:noProof/>
            <w:webHidden/>
          </w:rPr>
          <w:instrText xml:space="preserve"> PAGEREF _Toc34208277 \h </w:instrText>
        </w:r>
        <w:r w:rsidR="008A47AC">
          <w:rPr>
            <w:noProof/>
            <w:webHidden/>
          </w:rPr>
        </w:r>
        <w:r w:rsidR="008A47AC">
          <w:rPr>
            <w:noProof/>
            <w:webHidden/>
          </w:rPr>
          <w:fldChar w:fldCharType="separate"/>
        </w:r>
        <w:r w:rsidR="00E57BFA">
          <w:rPr>
            <w:noProof/>
            <w:webHidden/>
          </w:rPr>
          <w:t>- 57 -</w:t>
        </w:r>
        <w:r w:rsidR="008A47AC">
          <w:rPr>
            <w:noProof/>
            <w:webHidden/>
          </w:rPr>
          <w:fldChar w:fldCharType="end"/>
        </w:r>
      </w:hyperlink>
    </w:p>
    <w:p w14:paraId="3FF2C95D" w14:textId="33EDEAA0" w:rsidR="008A47AC" w:rsidRDefault="007B378B">
      <w:pPr>
        <w:pStyle w:val="TOC3"/>
        <w:tabs>
          <w:tab w:val="right" w:leader="dot" w:pos="9016"/>
        </w:tabs>
        <w:rPr>
          <w:rFonts w:eastAsiaTheme="minorEastAsia"/>
          <w:noProof/>
          <w:lang w:eastAsia="en-GB"/>
        </w:rPr>
      </w:pPr>
      <w:hyperlink w:anchor="_Toc34208278" w:history="1">
        <w:r w:rsidR="008A47AC" w:rsidRPr="00793E8D">
          <w:rPr>
            <w:rStyle w:val="Hyperlink"/>
            <w:rFonts w:ascii="Arial" w:hAnsi="Arial" w:cs="Arial"/>
            <w:noProof/>
          </w:rPr>
          <w:t>1.5.1 Hypothesis</w:t>
        </w:r>
        <w:r w:rsidR="008A47AC">
          <w:rPr>
            <w:noProof/>
            <w:webHidden/>
          </w:rPr>
          <w:tab/>
        </w:r>
        <w:r w:rsidR="008A47AC">
          <w:rPr>
            <w:noProof/>
            <w:webHidden/>
          </w:rPr>
          <w:fldChar w:fldCharType="begin"/>
        </w:r>
        <w:r w:rsidR="008A47AC">
          <w:rPr>
            <w:noProof/>
            <w:webHidden/>
          </w:rPr>
          <w:instrText xml:space="preserve"> PAGEREF _Toc34208278 \h </w:instrText>
        </w:r>
        <w:r w:rsidR="008A47AC">
          <w:rPr>
            <w:noProof/>
            <w:webHidden/>
          </w:rPr>
        </w:r>
        <w:r w:rsidR="008A47AC">
          <w:rPr>
            <w:noProof/>
            <w:webHidden/>
          </w:rPr>
          <w:fldChar w:fldCharType="separate"/>
        </w:r>
        <w:r w:rsidR="00E57BFA">
          <w:rPr>
            <w:noProof/>
            <w:webHidden/>
          </w:rPr>
          <w:t>- 58 -</w:t>
        </w:r>
        <w:r w:rsidR="008A47AC">
          <w:rPr>
            <w:noProof/>
            <w:webHidden/>
          </w:rPr>
          <w:fldChar w:fldCharType="end"/>
        </w:r>
      </w:hyperlink>
    </w:p>
    <w:p w14:paraId="6023D60A" w14:textId="702599E4" w:rsidR="008A47AC" w:rsidRDefault="007B378B">
      <w:pPr>
        <w:pStyle w:val="TOC3"/>
        <w:tabs>
          <w:tab w:val="right" w:leader="dot" w:pos="9016"/>
        </w:tabs>
        <w:rPr>
          <w:rFonts w:eastAsiaTheme="minorEastAsia"/>
          <w:noProof/>
          <w:lang w:eastAsia="en-GB"/>
        </w:rPr>
      </w:pPr>
      <w:hyperlink w:anchor="_Toc34208279" w:history="1">
        <w:r w:rsidR="008A47AC" w:rsidRPr="00793E8D">
          <w:rPr>
            <w:rStyle w:val="Hyperlink"/>
            <w:rFonts w:ascii="Arial" w:hAnsi="Arial" w:cs="Arial"/>
            <w:noProof/>
          </w:rPr>
          <w:t>1.5.2 Aims and objectives</w:t>
        </w:r>
        <w:r w:rsidR="008A47AC">
          <w:rPr>
            <w:noProof/>
            <w:webHidden/>
          </w:rPr>
          <w:tab/>
        </w:r>
        <w:r w:rsidR="008A47AC">
          <w:rPr>
            <w:noProof/>
            <w:webHidden/>
          </w:rPr>
          <w:fldChar w:fldCharType="begin"/>
        </w:r>
        <w:r w:rsidR="008A47AC">
          <w:rPr>
            <w:noProof/>
            <w:webHidden/>
          </w:rPr>
          <w:instrText xml:space="preserve"> PAGEREF _Toc34208279 \h </w:instrText>
        </w:r>
        <w:r w:rsidR="008A47AC">
          <w:rPr>
            <w:noProof/>
            <w:webHidden/>
          </w:rPr>
        </w:r>
        <w:r w:rsidR="008A47AC">
          <w:rPr>
            <w:noProof/>
            <w:webHidden/>
          </w:rPr>
          <w:fldChar w:fldCharType="separate"/>
        </w:r>
        <w:r w:rsidR="00E57BFA">
          <w:rPr>
            <w:noProof/>
            <w:webHidden/>
          </w:rPr>
          <w:t>- 58 -</w:t>
        </w:r>
        <w:r w:rsidR="008A47AC">
          <w:rPr>
            <w:noProof/>
            <w:webHidden/>
          </w:rPr>
          <w:fldChar w:fldCharType="end"/>
        </w:r>
      </w:hyperlink>
    </w:p>
    <w:p w14:paraId="59D734FE" w14:textId="7168EC19" w:rsidR="008A47AC" w:rsidRDefault="007B378B">
      <w:pPr>
        <w:pStyle w:val="TOC1"/>
        <w:rPr>
          <w:rFonts w:eastAsiaTheme="minorEastAsia"/>
          <w:b w:val="0"/>
          <w:bCs w:val="0"/>
          <w:lang w:eastAsia="en-GB"/>
        </w:rPr>
      </w:pPr>
      <w:hyperlink w:anchor="_Toc34208280" w:history="1">
        <w:r w:rsidR="008A47AC" w:rsidRPr="00793E8D">
          <w:rPr>
            <w:rStyle w:val="Hyperlink"/>
          </w:rPr>
          <w:t>Chapter 2</w:t>
        </w:r>
        <w:r w:rsidR="008A47AC">
          <w:rPr>
            <w:webHidden/>
          </w:rPr>
          <w:tab/>
        </w:r>
        <w:r w:rsidR="008A47AC">
          <w:rPr>
            <w:webHidden/>
          </w:rPr>
          <w:fldChar w:fldCharType="begin"/>
        </w:r>
        <w:r w:rsidR="008A47AC">
          <w:rPr>
            <w:webHidden/>
          </w:rPr>
          <w:instrText xml:space="preserve"> PAGEREF _Toc34208280 \h </w:instrText>
        </w:r>
        <w:r w:rsidR="008A47AC">
          <w:rPr>
            <w:webHidden/>
          </w:rPr>
        </w:r>
        <w:r w:rsidR="008A47AC">
          <w:rPr>
            <w:webHidden/>
          </w:rPr>
          <w:fldChar w:fldCharType="separate"/>
        </w:r>
        <w:r w:rsidR="00E57BFA">
          <w:rPr>
            <w:webHidden/>
          </w:rPr>
          <w:t>- 60 -</w:t>
        </w:r>
        <w:r w:rsidR="008A47AC">
          <w:rPr>
            <w:webHidden/>
          </w:rPr>
          <w:fldChar w:fldCharType="end"/>
        </w:r>
      </w:hyperlink>
    </w:p>
    <w:p w14:paraId="3018DBAD" w14:textId="7F2213EC" w:rsidR="008A47AC" w:rsidRDefault="007B378B">
      <w:pPr>
        <w:pStyle w:val="TOC1"/>
        <w:rPr>
          <w:rFonts w:eastAsiaTheme="minorEastAsia"/>
          <w:b w:val="0"/>
          <w:bCs w:val="0"/>
          <w:lang w:eastAsia="en-GB"/>
        </w:rPr>
      </w:pPr>
      <w:hyperlink w:anchor="_Toc34208281" w:history="1">
        <w:r w:rsidR="008A47AC" w:rsidRPr="00793E8D">
          <w:rPr>
            <w:rStyle w:val="Hyperlink"/>
          </w:rPr>
          <w:t>Materials and Methods</w:t>
        </w:r>
        <w:r w:rsidR="008A47AC">
          <w:rPr>
            <w:webHidden/>
          </w:rPr>
          <w:tab/>
        </w:r>
        <w:r w:rsidR="008A47AC">
          <w:rPr>
            <w:webHidden/>
          </w:rPr>
          <w:fldChar w:fldCharType="begin"/>
        </w:r>
        <w:r w:rsidR="008A47AC">
          <w:rPr>
            <w:webHidden/>
          </w:rPr>
          <w:instrText xml:space="preserve"> PAGEREF _Toc34208281 \h </w:instrText>
        </w:r>
        <w:r w:rsidR="008A47AC">
          <w:rPr>
            <w:webHidden/>
          </w:rPr>
        </w:r>
        <w:r w:rsidR="008A47AC">
          <w:rPr>
            <w:webHidden/>
          </w:rPr>
          <w:fldChar w:fldCharType="separate"/>
        </w:r>
        <w:r w:rsidR="00E57BFA">
          <w:rPr>
            <w:webHidden/>
          </w:rPr>
          <w:t>- 60 -</w:t>
        </w:r>
        <w:r w:rsidR="008A47AC">
          <w:rPr>
            <w:webHidden/>
          </w:rPr>
          <w:fldChar w:fldCharType="end"/>
        </w:r>
      </w:hyperlink>
    </w:p>
    <w:p w14:paraId="44B048CD" w14:textId="501C1FB9" w:rsidR="008A47AC" w:rsidRDefault="007B378B">
      <w:pPr>
        <w:pStyle w:val="TOC2"/>
        <w:tabs>
          <w:tab w:val="right" w:leader="dot" w:pos="9016"/>
        </w:tabs>
        <w:rPr>
          <w:rFonts w:eastAsiaTheme="minorEastAsia"/>
          <w:noProof/>
          <w:lang w:eastAsia="en-GB"/>
        </w:rPr>
      </w:pPr>
      <w:hyperlink w:anchor="_Toc34208282" w:history="1">
        <w:r w:rsidR="008A47AC" w:rsidRPr="00793E8D">
          <w:rPr>
            <w:rStyle w:val="Hyperlink"/>
            <w:rFonts w:ascii="Arial" w:hAnsi="Arial" w:cs="Arial"/>
            <w:b/>
            <w:bCs/>
            <w:noProof/>
            <w:lang w:val="en-US"/>
          </w:rPr>
          <w:t>2.1 Materials</w:t>
        </w:r>
        <w:r w:rsidR="008A47AC">
          <w:rPr>
            <w:noProof/>
            <w:webHidden/>
          </w:rPr>
          <w:tab/>
        </w:r>
        <w:r w:rsidR="008A47AC">
          <w:rPr>
            <w:noProof/>
            <w:webHidden/>
          </w:rPr>
          <w:fldChar w:fldCharType="begin"/>
        </w:r>
        <w:r w:rsidR="008A47AC">
          <w:rPr>
            <w:noProof/>
            <w:webHidden/>
          </w:rPr>
          <w:instrText xml:space="preserve"> PAGEREF _Toc34208282 \h </w:instrText>
        </w:r>
        <w:r w:rsidR="008A47AC">
          <w:rPr>
            <w:noProof/>
            <w:webHidden/>
          </w:rPr>
        </w:r>
        <w:r w:rsidR="008A47AC">
          <w:rPr>
            <w:noProof/>
            <w:webHidden/>
          </w:rPr>
          <w:fldChar w:fldCharType="separate"/>
        </w:r>
        <w:r w:rsidR="00E57BFA">
          <w:rPr>
            <w:noProof/>
            <w:webHidden/>
          </w:rPr>
          <w:t>- 61 -</w:t>
        </w:r>
        <w:r w:rsidR="008A47AC">
          <w:rPr>
            <w:noProof/>
            <w:webHidden/>
          </w:rPr>
          <w:fldChar w:fldCharType="end"/>
        </w:r>
      </w:hyperlink>
    </w:p>
    <w:p w14:paraId="39E5A8DB" w14:textId="4C1353CF" w:rsidR="008A47AC" w:rsidRDefault="007B378B">
      <w:pPr>
        <w:pStyle w:val="TOC3"/>
        <w:tabs>
          <w:tab w:val="right" w:leader="dot" w:pos="9016"/>
        </w:tabs>
        <w:rPr>
          <w:rFonts w:eastAsiaTheme="minorEastAsia"/>
          <w:noProof/>
          <w:lang w:eastAsia="en-GB"/>
        </w:rPr>
      </w:pPr>
      <w:hyperlink w:anchor="_Toc34208283" w:history="1">
        <w:r w:rsidR="008A47AC" w:rsidRPr="00793E8D">
          <w:rPr>
            <w:rStyle w:val="Hyperlink"/>
            <w:rFonts w:ascii="Arial" w:hAnsi="Arial" w:cs="Arial"/>
            <w:i/>
            <w:iCs/>
            <w:noProof/>
            <w:lang w:val="en-US"/>
          </w:rPr>
          <w:t>2.1.2 Growth factors and inhibitors</w:t>
        </w:r>
        <w:r w:rsidR="008A47AC">
          <w:rPr>
            <w:noProof/>
            <w:webHidden/>
          </w:rPr>
          <w:tab/>
        </w:r>
        <w:r w:rsidR="008A47AC">
          <w:rPr>
            <w:noProof/>
            <w:webHidden/>
          </w:rPr>
          <w:fldChar w:fldCharType="begin"/>
        </w:r>
        <w:r w:rsidR="008A47AC">
          <w:rPr>
            <w:noProof/>
            <w:webHidden/>
          </w:rPr>
          <w:instrText xml:space="preserve"> PAGEREF _Toc34208283 \h </w:instrText>
        </w:r>
        <w:r w:rsidR="008A47AC">
          <w:rPr>
            <w:noProof/>
            <w:webHidden/>
          </w:rPr>
        </w:r>
        <w:r w:rsidR="008A47AC">
          <w:rPr>
            <w:noProof/>
            <w:webHidden/>
          </w:rPr>
          <w:fldChar w:fldCharType="separate"/>
        </w:r>
        <w:r w:rsidR="00E57BFA">
          <w:rPr>
            <w:noProof/>
            <w:webHidden/>
          </w:rPr>
          <w:t>- 62 -</w:t>
        </w:r>
        <w:r w:rsidR="008A47AC">
          <w:rPr>
            <w:noProof/>
            <w:webHidden/>
          </w:rPr>
          <w:fldChar w:fldCharType="end"/>
        </w:r>
      </w:hyperlink>
    </w:p>
    <w:p w14:paraId="3A8B9EDE" w14:textId="6CE138E4" w:rsidR="008A47AC" w:rsidRDefault="007B378B">
      <w:pPr>
        <w:pStyle w:val="TOC3"/>
        <w:tabs>
          <w:tab w:val="right" w:leader="dot" w:pos="9016"/>
        </w:tabs>
        <w:rPr>
          <w:rFonts w:eastAsiaTheme="minorEastAsia"/>
          <w:noProof/>
          <w:lang w:eastAsia="en-GB"/>
        </w:rPr>
      </w:pPr>
      <w:hyperlink w:anchor="_Toc34208284" w:history="1">
        <w:r w:rsidR="008A47AC" w:rsidRPr="00793E8D">
          <w:rPr>
            <w:rStyle w:val="Hyperlink"/>
            <w:rFonts w:ascii="Arial" w:hAnsi="Arial" w:cs="Arial"/>
            <w:i/>
            <w:iCs/>
            <w:noProof/>
            <w:lang w:val="en-US"/>
          </w:rPr>
          <w:t>2.1.3 Kits</w:t>
        </w:r>
        <w:r w:rsidR="008A47AC">
          <w:rPr>
            <w:noProof/>
            <w:webHidden/>
          </w:rPr>
          <w:tab/>
        </w:r>
        <w:r w:rsidR="008A47AC">
          <w:rPr>
            <w:noProof/>
            <w:webHidden/>
          </w:rPr>
          <w:fldChar w:fldCharType="begin"/>
        </w:r>
        <w:r w:rsidR="008A47AC">
          <w:rPr>
            <w:noProof/>
            <w:webHidden/>
          </w:rPr>
          <w:instrText xml:space="preserve"> PAGEREF _Toc34208284 \h </w:instrText>
        </w:r>
        <w:r w:rsidR="008A47AC">
          <w:rPr>
            <w:noProof/>
            <w:webHidden/>
          </w:rPr>
        </w:r>
        <w:r w:rsidR="008A47AC">
          <w:rPr>
            <w:noProof/>
            <w:webHidden/>
          </w:rPr>
          <w:fldChar w:fldCharType="separate"/>
        </w:r>
        <w:r w:rsidR="00E57BFA">
          <w:rPr>
            <w:noProof/>
            <w:webHidden/>
          </w:rPr>
          <w:t>- 62 -</w:t>
        </w:r>
        <w:r w:rsidR="008A47AC">
          <w:rPr>
            <w:noProof/>
            <w:webHidden/>
          </w:rPr>
          <w:fldChar w:fldCharType="end"/>
        </w:r>
      </w:hyperlink>
    </w:p>
    <w:p w14:paraId="195A852A" w14:textId="073B362C" w:rsidR="008A47AC" w:rsidRDefault="007B378B">
      <w:pPr>
        <w:pStyle w:val="TOC3"/>
        <w:tabs>
          <w:tab w:val="right" w:leader="dot" w:pos="9016"/>
        </w:tabs>
        <w:rPr>
          <w:rFonts w:eastAsiaTheme="minorEastAsia"/>
          <w:noProof/>
          <w:lang w:eastAsia="en-GB"/>
        </w:rPr>
      </w:pPr>
      <w:hyperlink w:anchor="_Toc34208285" w:history="1">
        <w:r w:rsidR="008A47AC" w:rsidRPr="00793E8D">
          <w:rPr>
            <w:rStyle w:val="Hyperlink"/>
            <w:rFonts w:ascii="Arial" w:hAnsi="Arial" w:cs="Arial"/>
            <w:i/>
            <w:iCs/>
            <w:noProof/>
            <w:lang w:val="es-ES_tradnl"/>
          </w:rPr>
          <w:t>2.1.4 Consumables</w:t>
        </w:r>
        <w:r w:rsidR="008A47AC">
          <w:rPr>
            <w:noProof/>
            <w:webHidden/>
          </w:rPr>
          <w:tab/>
        </w:r>
        <w:r w:rsidR="008A47AC">
          <w:rPr>
            <w:noProof/>
            <w:webHidden/>
          </w:rPr>
          <w:fldChar w:fldCharType="begin"/>
        </w:r>
        <w:r w:rsidR="008A47AC">
          <w:rPr>
            <w:noProof/>
            <w:webHidden/>
          </w:rPr>
          <w:instrText xml:space="preserve"> PAGEREF _Toc34208285 \h </w:instrText>
        </w:r>
        <w:r w:rsidR="008A47AC">
          <w:rPr>
            <w:noProof/>
            <w:webHidden/>
          </w:rPr>
        </w:r>
        <w:r w:rsidR="008A47AC">
          <w:rPr>
            <w:noProof/>
            <w:webHidden/>
          </w:rPr>
          <w:fldChar w:fldCharType="separate"/>
        </w:r>
        <w:r w:rsidR="00E57BFA">
          <w:rPr>
            <w:noProof/>
            <w:webHidden/>
          </w:rPr>
          <w:t>- 63 -</w:t>
        </w:r>
        <w:r w:rsidR="008A47AC">
          <w:rPr>
            <w:noProof/>
            <w:webHidden/>
          </w:rPr>
          <w:fldChar w:fldCharType="end"/>
        </w:r>
      </w:hyperlink>
    </w:p>
    <w:p w14:paraId="40B35FEB" w14:textId="7B145741" w:rsidR="008A47AC" w:rsidRDefault="007B378B">
      <w:pPr>
        <w:pStyle w:val="TOC3"/>
        <w:tabs>
          <w:tab w:val="right" w:leader="dot" w:pos="9016"/>
        </w:tabs>
        <w:rPr>
          <w:rFonts w:eastAsiaTheme="minorEastAsia"/>
          <w:noProof/>
          <w:lang w:eastAsia="en-GB"/>
        </w:rPr>
      </w:pPr>
      <w:hyperlink w:anchor="_Toc34208286" w:history="1">
        <w:r w:rsidR="008A47AC" w:rsidRPr="00793E8D">
          <w:rPr>
            <w:rStyle w:val="Hyperlink"/>
            <w:rFonts w:ascii="Arial" w:hAnsi="Arial" w:cs="Arial"/>
            <w:i/>
            <w:iCs/>
            <w:noProof/>
            <w:lang w:val="en-US"/>
          </w:rPr>
          <w:t>2.1.5 Equipment</w:t>
        </w:r>
        <w:r w:rsidR="008A47AC">
          <w:rPr>
            <w:noProof/>
            <w:webHidden/>
          </w:rPr>
          <w:tab/>
        </w:r>
        <w:r w:rsidR="008A47AC">
          <w:rPr>
            <w:noProof/>
            <w:webHidden/>
          </w:rPr>
          <w:fldChar w:fldCharType="begin"/>
        </w:r>
        <w:r w:rsidR="008A47AC">
          <w:rPr>
            <w:noProof/>
            <w:webHidden/>
          </w:rPr>
          <w:instrText xml:space="preserve"> PAGEREF _Toc34208286 \h </w:instrText>
        </w:r>
        <w:r w:rsidR="008A47AC">
          <w:rPr>
            <w:noProof/>
            <w:webHidden/>
          </w:rPr>
        </w:r>
        <w:r w:rsidR="008A47AC">
          <w:rPr>
            <w:noProof/>
            <w:webHidden/>
          </w:rPr>
          <w:fldChar w:fldCharType="separate"/>
        </w:r>
        <w:r w:rsidR="00E57BFA">
          <w:rPr>
            <w:noProof/>
            <w:webHidden/>
          </w:rPr>
          <w:t>- 64 -</w:t>
        </w:r>
        <w:r w:rsidR="008A47AC">
          <w:rPr>
            <w:noProof/>
            <w:webHidden/>
          </w:rPr>
          <w:fldChar w:fldCharType="end"/>
        </w:r>
      </w:hyperlink>
    </w:p>
    <w:p w14:paraId="3C739509" w14:textId="60FE0F20" w:rsidR="008A47AC" w:rsidRDefault="007B378B">
      <w:pPr>
        <w:pStyle w:val="TOC3"/>
        <w:tabs>
          <w:tab w:val="right" w:leader="dot" w:pos="9016"/>
        </w:tabs>
        <w:rPr>
          <w:rFonts w:eastAsiaTheme="minorEastAsia"/>
          <w:noProof/>
          <w:lang w:eastAsia="en-GB"/>
        </w:rPr>
      </w:pPr>
      <w:hyperlink w:anchor="_Toc34208287" w:history="1">
        <w:r w:rsidR="008A47AC" w:rsidRPr="00793E8D">
          <w:rPr>
            <w:rStyle w:val="Hyperlink"/>
            <w:rFonts w:ascii="Arial" w:hAnsi="Arial" w:cs="Arial"/>
            <w:i/>
            <w:iCs/>
            <w:noProof/>
            <w:lang w:val="en-US"/>
          </w:rPr>
          <w:t>2.1.6 Software</w:t>
        </w:r>
        <w:r w:rsidR="008A47AC">
          <w:rPr>
            <w:noProof/>
            <w:webHidden/>
          </w:rPr>
          <w:tab/>
        </w:r>
        <w:r w:rsidR="008A47AC">
          <w:rPr>
            <w:noProof/>
            <w:webHidden/>
          </w:rPr>
          <w:fldChar w:fldCharType="begin"/>
        </w:r>
        <w:r w:rsidR="008A47AC">
          <w:rPr>
            <w:noProof/>
            <w:webHidden/>
          </w:rPr>
          <w:instrText xml:space="preserve"> PAGEREF _Toc34208287 \h </w:instrText>
        </w:r>
        <w:r w:rsidR="008A47AC">
          <w:rPr>
            <w:noProof/>
            <w:webHidden/>
          </w:rPr>
        </w:r>
        <w:r w:rsidR="008A47AC">
          <w:rPr>
            <w:noProof/>
            <w:webHidden/>
          </w:rPr>
          <w:fldChar w:fldCharType="separate"/>
        </w:r>
        <w:r w:rsidR="00E57BFA">
          <w:rPr>
            <w:noProof/>
            <w:webHidden/>
          </w:rPr>
          <w:t>- 66 -</w:t>
        </w:r>
        <w:r w:rsidR="008A47AC">
          <w:rPr>
            <w:noProof/>
            <w:webHidden/>
          </w:rPr>
          <w:fldChar w:fldCharType="end"/>
        </w:r>
      </w:hyperlink>
    </w:p>
    <w:p w14:paraId="39294BDE" w14:textId="79C5F110" w:rsidR="008A47AC" w:rsidRDefault="007B378B">
      <w:pPr>
        <w:pStyle w:val="TOC3"/>
        <w:tabs>
          <w:tab w:val="right" w:leader="dot" w:pos="9016"/>
        </w:tabs>
        <w:rPr>
          <w:rFonts w:eastAsiaTheme="minorEastAsia"/>
          <w:noProof/>
          <w:lang w:eastAsia="en-GB"/>
        </w:rPr>
      </w:pPr>
      <w:hyperlink w:anchor="_Toc34208288" w:history="1">
        <w:r w:rsidR="008A47AC" w:rsidRPr="00793E8D">
          <w:rPr>
            <w:rStyle w:val="Hyperlink"/>
            <w:rFonts w:ascii="Arial" w:hAnsi="Arial" w:cs="Arial"/>
            <w:i/>
            <w:iCs/>
            <w:noProof/>
            <w:lang w:val="en-US"/>
          </w:rPr>
          <w:t>2.1.7 Web-links for major suppliers</w:t>
        </w:r>
        <w:r w:rsidR="008A47AC">
          <w:rPr>
            <w:noProof/>
            <w:webHidden/>
          </w:rPr>
          <w:tab/>
        </w:r>
        <w:r w:rsidR="008A47AC">
          <w:rPr>
            <w:noProof/>
            <w:webHidden/>
          </w:rPr>
          <w:fldChar w:fldCharType="begin"/>
        </w:r>
        <w:r w:rsidR="008A47AC">
          <w:rPr>
            <w:noProof/>
            <w:webHidden/>
          </w:rPr>
          <w:instrText xml:space="preserve"> PAGEREF _Toc34208288 \h </w:instrText>
        </w:r>
        <w:r w:rsidR="008A47AC">
          <w:rPr>
            <w:noProof/>
            <w:webHidden/>
          </w:rPr>
        </w:r>
        <w:r w:rsidR="008A47AC">
          <w:rPr>
            <w:noProof/>
            <w:webHidden/>
          </w:rPr>
          <w:fldChar w:fldCharType="separate"/>
        </w:r>
        <w:r w:rsidR="00E57BFA">
          <w:rPr>
            <w:noProof/>
            <w:webHidden/>
          </w:rPr>
          <w:t>- 66 -</w:t>
        </w:r>
        <w:r w:rsidR="008A47AC">
          <w:rPr>
            <w:noProof/>
            <w:webHidden/>
          </w:rPr>
          <w:fldChar w:fldCharType="end"/>
        </w:r>
      </w:hyperlink>
    </w:p>
    <w:p w14:paraId="00505613" w14:textId="4438339F" w:rsidR="008A47AC" w:rsidRDefault="007B378B">
      <w:pPr>
        <w:pStyle w:val="TOC2"/>
        <w:tabs>
          <w:tab w:val="right" w:leader="dot" w:pos="9016"/>
        </w:tabs>
        <w:rPr>
          <w:rFonts w:eastAsiaTheme="minorEastAsia"/>
          <w:noProof/>
          <w:lang w:eastAsia="en-GB"/>
        </w:rPr>
      </w:pPr>
      <w:hyperlink w:anchor="_Toc34208289" w:history="1">
        <w:r w:rsidR="008A47AC" w:rsidRPr="00793E8D">
          <w:rPr>
            <w:rStyle w:val="Hyperlink"/>
            <w:rFonts w:ascii="Arial" w:hAnsi="Arial" w:cs="Arial"/>
            <w:b/>
            <w:bCs/>
            <w:noProof/>
            <w:lang w:val="en-US"/>
          </w:rPr>
          <w:t>2.2 Methods</w:t>
        </w:r>
        <w:r w:rsidR="008A47AC">
          <w:rPr>
            <w:noProof/>
            <w:webHidden/>
          </w:rPr>
          <w:tab/>
        </w:r>
        <w:r w:rsidR="008A47AC">
          <w:rPr>
            <w:noProof/>
            <w:webHidden/>
          </w:rPr>
          <w:fldChar w:fldCharType="begin"/>
        </w:r>
        <w:r w:rsidR="008A47AC">
          <w:rPr>
            <w:noProof/>
            <w:webHidden/>
          </w:rPr>
          <w:instrText xml:space="preserve"> PAGEREF _Toc34208289 \h </w:instrText>
        </w:r>
        <w:r w:rsidR="008A47AC">
          <w:rPr>
            <w:noProof/>
            <w:webHidden/>
          </w:rPr>
        </w:r>
        <w:r w:rsidR="008A47AC">
          <w:rPr>
            <w:noProof/>
            <w:webHidden/>
          </w:rPr>
          <w:fldChar w:fldCharType="separate"/>
        </w:r>
        <w:r w:rsidR="00E57BFA">
          <w:rPr>
            <w:noProof/>
            <w:webHidden/>
          </w:rPr>
          <w:t>- 67 -</w:t>
        </w:r>
        <w:r w:rsidR="008A47AC">
          <w:rPr>
            <w:noProof/>
            <w:webHidden/>
          </w:rPr>
          <w:fldChar w:fldCharType="end"/>
        </w:r>
      </w:hyperlink>
    </w:p>
    <w:p w14:paraId="2502C2E3" w14:textId="02D4F62A" w:rsidR="008A47AC" w:rsidRDefault="007B378B">
      <w:pPr>
        <w:pStyle w:val="TOC3"/>
        <w:tabs>
          <w:tab w:val="right" w:leader="dot" w:pos="9016"/>
        </w:tabs>
        <w:rPr>
          <w:rFonts w:eastAsiaTheme="minorEastAsia"/>
          <w:noProof/>
          <w:lang w:eastAsia="en-GB"/>
        </w:rPr>
      </w:pPr>
      <w:hyperlink w:anchor="_Toc34208290" w:history="1">
        <w:r w:rsidR="008A47AC" w:rsidRPr="00793E8D">
          <w:rPr>
            <w:rStyle w:val="Hyperlink"/>
            <w:rFonts w:ascii="Arial" w:hAnsi="Arial" w:cs="Arial"/>
            <w:noProof/>
            <w:lang w:val="en-US"/>
          </w:rPr>
          <w:t>2.2.1 Cell culture</w:t>
        </w:r>
        <w:r w:rsidR="008A47AC">
          <w:rPr>
            <w:noProof/>
            <w:webHidden/>
          </w:rPr>
          <w:tab/>
        </w:r>
        <w:r w:rsidR="008A47AC">
          <w:rPr>
            <w:noProof/>
            <w:webHidden/>
          </w:rPr>
          <w:fldChar w:fldCharType="begin"/>
        </w:r>
        <w:r w:rsidR="008A47AC">
          <w:rPr>
            <w:noProof/>
            <w:webHidden/>
          </w:rPr>
          <w:instrText xml:space="preserve"> PAGEREF _Toc34208290 \h </w:instrText>
        </w:r>
        <w:r w:rsidR="008A47AC">
          <w:rPr>
            <w:noProof/>
            <w:webHidden/>
          </w:rPr>
        </w:r>
        <w:r w:rsidR="008A47AC">
          <w:rPr>
            <w:noProof/>
            <w:webHidden/>
          </w:rPr>
          <w:fldChar w:fldCharType="separate"/>
        </w:r>
        <w:r w:rsidR="00E57BFA">
          <w:rPr>
            <w:noProof/>
            <w:webHidden/>
          </w:rPr>
          <w:t>- 67 -</w:t>
        </w:r>
        <w:r w:rsidR="008A47AC">
          <w:rPr>
            <w:noProof/>
            <w:webHidden/>
          </w:rPr>
          <w:fldChar w:fldCharType="end"/>
        </w:r>
      </w:hyperlink>
    </w:p>
    <w:p w14:paraId="75FB49D7" w14:textId="41EF2EF1" w:rsidR="008A47AC" w:rsidRDefault="007B378B">
      <w:pPr>
        <w:pStyle w:val="TOC3"/>
        <w:tabs>
          <w:tab w:val="right" w:leader="dot" w:pos="9016"/>
        </w:tabs>
        <w:rPr>
          <w:rFonts w:eastAsiaTheme="minorEastAsia"/>
          <w:noProof/>
          <w:lang w:eastAsia="en-GB"/>
        </w:rPr>
      </w:pPr>
      <w:hyperlink w:anchor="_Toc34208291" w:history="1">
        <w:r w:rsidR="008A47AC" w:rsidRPr="00793E8D">
          <w:rPr>
            <w:rStyle w:val="Hyperlink"/>
            <w:rFonts w:ascii="Arial" w:eastAsiaTheme="majorEastAsia" w:hAnsi="Arial" w:cs="Arial"/>
            <w:noProof/>
            <w:lang w:val="en-US"/>
          </w:rPr>
          <w:t>2.2.2. Culture media</w:t>
        </w:r>
        <w:r w:rsidR="008A47AC">
          <w:rPr>
            <w:noProof/>
            <w:webHidden/>
          </w:rPr>
          <w:tab/>
        </w:r>
        <w:r w:rsidR="008A47AC">
          <w:rPr>
            <w:noProof/>
            <w:webHidden/>
          </w:rPr>
          <w:fldChar w:fldCharType="begin"/>
        </w:r>
        <w:r w:rsidR="008A47AC">
          <w:rPr>
            <w:noProof/>
            <w:webHidden/>
          </w:rPr>
          <w:instrText xml:space="preserve"> PAGEREF _Toc34208291 \h </w:instrText>
        </w:r>
        <w:r w:rsidR="008A47AC">
          <w:rPr>
            <w:noProof/>
            <w:webHidden/>
          </w:rPr>
        </w:r>
        <w:r w:rsidR="008A47AC">
          <w:rPr>
            <w:noProof/>
            <w:webHidden/>
          </w:rPr>
          <w:fldChar w:fldCharType="separate"/>
        </w:r>
        <w:r w:rsidR="00E57BFA">
          <w:rPr>
            <w:noProof/>
            <w:webHidden/>
          </w:rPr>
          <w:t>- 67 -</w:t>
        </w:r>
        <w:r w:rsidR="008A47AC">
          <w:rPr>
            <w:noProof/>
            <w:webHidden/>
          </w:rPr>
          <w:fldChar w:fldCharType="end"/>
        </w:r>
      </w:hyperlink>
    </w:p>
    <w:p w14:paraId="444CC15B" w14:textId="6D19DDF2" w:rsidR="008A47AC" w:rsidRDefault="007B378B">
      <w:pPr>
        <w:pStyle w:val="TOC4"/>
        <w:tabs>
          <w:tab w:val="right" w:leader="dot" w:pos="9016"/>
        </w:tabs>
        <w:rPr>
          <w:rFonts w:eastAsiaTheme="minorEastAsia"/>
          <w:noProof/>
          <w:lang w:eastAsia="en-GB"/>
        </w:rPr>
      </w:pPr>
      <w:hyperlink w:anchor="_Toc34208292" w:history="1">
        <w:r w:rsidR="008A47AC" w:rsidRPr="00793E8D">
          <w:rPr>
            <w:rStyle w:val="Hyperlink"/>
            <w:rFonts w:ascii="Arial" w:hAnsi="Arial" w:cs="Arial"/>
            <w:noProof/>
            <w:lang w:val="en-US"/>
          </w:rPr>
          <w:t>2.2.2.1 Preparation of cell culture media for oral fibroblasts</w:t>
        </w:r>
        <w:r w:rsidR="008A47AC">
          <w:rPr>
            <w:noProof/>
            <w:webHidden/>
          </w:rPr>
          <w:tab/>
        </w:r>
        <w:r w:rsidR="008A47AC">
          <w:rPr>
            <w:noProof/>
            <w:webHidden/>
          </w:rPr>
          <w:fldChar w:fldCharType="begin"/>
        </w:r>
        <w:r w:rsidR="008A47AC">
          <w:rPr>
            <w:noProof/>
            <w:webHidden/>
          </w:rPr>
          <w:instrText xml:space="preserve"> PAGEREF _Toc34208292 \h </w:instrText>
        </w:r>
        <w:r w:rsidR="008A47AC">
          <w:rPr>
            <w:noProof/>
            <w:webHidden/>
          </w:rPr>
        </w:r>
        <w:r w:rsidR="008A47AC">
          <w:rPr>
            <w:noProof/>
            <w:webHidden/>
          </w:rPr>
          <w:fldChar w:fldCharType="separate"/>
        </w:r>
        <w:r w:rsidR="00E57BFA">
          <w:rPr>
            <w:noProof/>
            <w:webHidden/>
          </w:rPr>
          <w:t>- 67 -</w:t>
        </w:r>
        <w:r w:rsidR="008A47AC">
          <w:rPr>
            <w:noProof/>
            <w:webHidden/>
          </w:rPr>
          <w:fldChar w:fldCharType="end"/>
        </w:r>
      </w:hyperlink>
    </w:p>
    <w:p w14:paraId="4FA28A76" w14:textId="6D78ACD2" w:rsidR="008A47AC" w:rsidRDefault="007B378B">
      <w:pPr>
        <w:pStyle w:val="TOC4"/>
        <w:tabs>
          <w:tab w:val="right" w:leader="dot" w:pos="9016"/>
        </w:tabs>
        <w:rPr>
          <w:rFonts w:eastAsiaTheme="minorEastAsia"/>
          <w:noProof/>
          <w:lang w:eastAsia="en-GB"/>
        </w:rPr>
      </w:pPr>
      <w:hyperlink w:anchor="_Toc34208293" w:history="1">
        <w:r w:rsidR="008A47AC" w:rsidRPr="00793E8D">
          <w:rPr>
            <w:rStyle w:val="Hyperlink"/>
            <w:rFonts w:ascii="Arial" w:hAnsi="Arial" w:cs="Arial"/>
            <w:noProof/>
            <w:lang w:val="en-US"/>
          </w:rPr>
          <w:t>2.2.2.2 Preparation of serum free media and transport media</w:t>
        </w:r>
        <w:r w:rsidR="008A47AC">
          <w:rPr>
            <w:noProof/>
            <w:webHidden/>
          </w:rPr>
          <w:tab/>
        </w:r>
        <w:r w:rsidR="008A47AC">
          <w:rPr>
            <w:noProof/>
            <w:webHidden/>
          </w:rPr>
          <w:fldChar w:fldCharType="begin"/>
        </w:r>
        <w:r w:rsidR="008A47AC">
          <w:rPr>
            <w:noProof/>
            <w:webHidden/>
          </w:rPr>
          <w:instrText xml:space="preserve"> PAGEREF _Toc34208293 \h </w:instrText>
        </w:r>
        <w:r w:rsidR="008A47AC">
          <w:rPr>
            <w:noProof/>
            <w:webHidden/>
          </w:rPr>
        </w:r>
        <w:r w:rsidR="008A47AC">
          <w:rPr>
            <w:noProof/>
            <w:webHidden/>
          </w:rPr>
          <w:fldChar w:fldCharType="separate"/>
        </w:r>
        <w:r w:rsidR="00E57BFA">
          <w:rPr>
            <w:noProof/>
            <w:webHidden/>
          </w:rPr>
          <w:t>- 68 -</w:t>
        </w:r>
        <w:r w:rsidR="008A47AC">
          <w:rPr>
            <w:noProof/>
            <w:webHidden/>
          </w:rPr>
          <w:fldChar w:fldCharType="end"/>
        </w:r>
      </w:hyperlink>
    </w:p>
    <w:p w14:paraId="29A6B8DF" w14:textId="6F4EA012" w:rsidR="008A47AC" w:rsidRDefault="007B378B">
      <w:pPr>
        <w:pStyle w:val="TOC4"/>
        <w:tabs>
          <w:tab w:val="right" w:leader="dot" w:pos="9016"/>
        </w:tabs>
        <w:rPr>
          <w:rFonts w:eastAsiaTheme="minorEastAsia"/>
          <w:noProof/>
          <w:lang w:eastAsia="en-GB"/>
        </w:rPr>
      </w:pPr>
      <w:hyperlink w:anchor="_Toc34208294" w:history="1">
        <w:r w:rsidR="008A47AC" w:rsidRPr="00793E8D">
          <w:rPr>
            <w:rStyle w:val="Hyperlink"/>
            <w:rFonts w:ascii="Arial" w:hAnsi="Arial" w:cs="Arial"/>
            <w:noProof/>
            <w:lang w:val="en-US"/>
          </w:rPr>
          <w:t>2.2.2.3 Preparation of cell culture media for fibroblast-derived matrices</w:t>
        </w:r>
        <w:r w:rsidR="008A47AC">
          <w:rPr>
            <w:noProof/>
            <w:webHidden/>
          </w:rPr>
          <w:tab/>
        </w:r>
        <w:r w:rsidR="008A47AC">
          <w:rPr>
            <w:noProof/>
            <w:webHidden/>
          </w:rPr>
          <w:fldChar w:fldCharType="begin"/>
        </w:r>
        <w:r w:rsidR="008A47AC">
          <w:rPr>
            <w:noProof/>
            <w:webHidden/>
          </w:rPr>
          <w:instrText xml:space="preserve"> PAGEREF _Toc34208294 \h </w:instrText>
        </w:r>
        <w:r w:rsidR="008A47AC">
          <w:rPr>
            <w:noProof/>
            <w:webHidden/>
          </w:rPr>
        </w:r>
        <w:r w:rsidR="008A47AC">
          <w:rPr>
            <w:noProof/>
            <w:webHidden/>
          </w:rPr>
          <w:fldChar w:fldCharType="separate"/>
        </w:r>
        <w:r w:rsidR="00E57BFA">
          <w:rPr>
            <w:noProof/>
            <w:webHidden/>
          </w:rPr>
          <w:t>- 68 -</w:t>
        </w:r>
        <w:r w:rsidR="008A47AC">
          <w:rPr>
            <w:noProof/>
            <w:webHidden/>
          </w:rPr>
          <w:fldChar w:fldCharType="end"/>
        </w:r>
      </w:hyperlink>
    </w:p>
    <w:p w14:paraId="7C0EFAFB" w14:textId="14FF3688" w:rsidR="008A47AC" w:rsidRDefault="007B378B">
      <w:pPr>
        <w:pStyle w:val="TOC4"/>
        <w:tabs>
          <w:tab w:val="right" w:leader="dot" w:pos="9016"/>
        </w:tabs>
        <w:rPr>
          <w:rFonts w:eastAsiaTheme="minorEastAsia"/>
          <w:noProof/>
          <w:lang w:eastAsia="en-GB"/>
        </w:rPr>
      </w:pPr>
      <w:hyperlink w:anchor="_Toc34208295" w:history="1">
        <w:r w:rsidR="008A47AC" w:rsidRPr="00793E8D">
          <w:rPr>
            <w:rStyle w:val="Hyperlink"/>
            <w:rFonts w:ascii="Arial" w:hAnsi="Arial" w:cs="Arial"/>
            <w:noProof/>
            <w:lang w:val="en-US"/>
          </w:rPr>
          <w:t>2.2.2.4 Preparation of cell culture media for oral keratinoctyes</w:t>
        </w:r>
        <w:r w:rsidR="008A47AC">
          <w:rPr>
            <w:noProof/>
            <w:webHidden/>
          </w:rPr>
          <w:tab/>
        </w:r>
        <w:r w:rsidR="008A47AC">
          <w:rPr>
            <w:noProof/>
            <w:webHidden/>
          </w:rPr>
          <w:fldChar w:fldCharType="begin"/>
        </w:r>
        <w:r w:rsidR="008A47AC">
          <w:rPr>
            <w:noProof/>
            <w:webHidden/>
          </w:rPr>
          <w:instrText xml:space="preserve"> PAGEREF _Toc34208295 \h </w:instrText>
        </w:r>
        <w:r w:rsidR="008A47AC">
          <w:rPr>
            <w:noProof/>
            <w:webHidden/>
          </w:rPr>
        </w:r>
        <w:r w:rsidR="008A47AC">
          <w:rPr>
            <w:noProof/>
            <w:webHidden/>
          </w:rPr>
          <w:fldChar w:fldCharType="separate"/>
        </w:r>
        <w:r w:rsidR="00E57BFA">
          <w:rPr>
            <w:noProof/>
            <w:webHidden/>
          </w:rPr>
          <w:t>- 69 -</w:t>
        </w:r>
        <w:r w:rsidR="008A47AC">
          <w:rPr>
            <w:noProof/>
            <w:webHidden/>
          </w:rPr>
          <w:fldChar w:fldCharType="end"/>
        </w:r>
      </w:hyperlink>
    </w:p>
    <w:p w14:paraId="65BF6352" w14:textId="0EF78A76" w:rsidR="008A47AC" w:rsidRDefault="007B378B">
      <w:pPr>
        <w:pStyle w:val="TOC3"/>
        <w:tabs>
          <w:tab w:val="right" w:leader="dot" w:pos="9016"/>
        </w:tabs>
        <w:rPr>
          <w:rFonts w:eastAsiaTheme="minorEastAsia"/>
          <w:noProof/>
          <w:lang w:eastAsia="en-GB"/>
        </w:rPr>
      </w:pPr>
      <w:hyperlink w:anchor="_Toc34208296" w:history="1">
        <w:r w:rsidR="008A47AC" w:rsidRPr="00793E8D">
          <w:rPr>
            <w:rStyle w:val="Hyperlink"/>
            <w:rFonts w:ascii="Arial" w:hAnsi="Arial" w:cs="Arial"/>
            <w:noProof/>
            <w:lang w:val="en-US"/>
          </w:rPr>
          <w:t>2.2.3 Cell types</w:t>
        </w:r>
        <w:r w:rsidR="008A47AC">
          <w:rPr>
            <w:noProof/>
            <w:webHidden/>
          </w:rPr>
          <w:tab/>
        </w:r>
        <w:r w:rsidR="008A47AC">
          <w:rPr>
            <w:noProof/>
            <w:webHidden/>
          </w:rPr>
          <w:fldChar w:fldCharType="begin"/>
        </w:r>
        <w:r w:rsidR="008A47AC">
          <w:rPr>
            <w:noProof/>
            <w:webHidden/>
          </w:rPr>
          <w:instrText xml:space="preserve"> PAGEREF _Toc34208296 \h </w:instrText>
        </w:r>
        <w:r w:rsidR="008A47AC">
          <w:rPr>
            <w:noProof/>
            <w:webHidden/>
          </w:rPr>
        </w:r>
        <w:r w:rsidR="008A47AC">
          <w:rPr>
            <w:noProof/>
            <w:webHidden/>
          </w:rPr>
          <w:fldChar w:fldCharType="separate"/>
        </w:r>
        <w:r w:rsidR="00E57BFA">
          <w:rPr>
            <w:noProof/>
            <w:webHidden/>
          </w:rPr>
          <w:t>- 70 -</w:t>
        </w:r>
        <w:r w:rsidR="008A47AC">
          <w:rPr>
            <w:noProof/>
            <w:webHidden/>
          </w:rPr>
          <w:fldChar w:fldCharType="end"/>
        </w:r>
      </w:hyperlink>
    </w:p>
    <w:p w14:paraId="7A522F9B" w14:textId="6E09DFDB" w:rsidR="008A47AC" w:rsidRDefault="007B378B">
      <w:pPr>
        <w:pStyle w:val="TOC4"/>
        <w:tabs>
          <w:tab w:val="right" w:leader="dot" w:pos="9016"/>
        </w:tabs>
        <w:rPr>
          <w:rFonts w:eastAsiaTheme="minorEastAsia"/>
          <w:noProof/>
          <w:lang w:eastAsia="en-GB"/>
        </w:rPr>
      </w:pPr>
      <w:hyperlink w:anchor="_Toc34208297" w:history="1">
        <w:r w:rsidR="008A47AC" w:rsidRPr="00793E8D">
          <w:rPr>
            <w:rStyle w:val="Hyperlink"/>
            <w:rFonts w:ascii="Arial" w:hAnsi="Arial" w:cs="Arial"/>
            <w:noProof/>
            <w:lang w:val="en-US"/>
          </w:rPr>
          <w:t>2.2.3.1 Isolation of normal and cancer-associated fibroblasts</w:t>
        </w:r>
        <w:r w:rsidR="008A47AC">
          <w:rPr>
            <w:noProof/>
            <w:webHidden/>
          </w:rPr>
          <w:tab/>
        </w:r>
        <w:r w:rsidR="008A47AC">
          <w:rPr>
            <w:noProof/>
            <w:webHidden/>
          </w:rPr>
          <w:fldChar w:fldCharType="begin"/>
        </w:r>
        <w:r w:rsidR="008A47AC">
          <w:rPr>
            <w:noProof/>
            <w:webHidden/>
          </w:rPr>
          <w:instrText xml:space="preserve"> PAGEREF _Toc34208297 \h </w:instrText>
        </w:r>
        <w:r w:rsidR="008A47AC">
          <w:rPr>
            <w:noProof/>
            <w:webHidden/>
          </w:rPr>
        </w:r>
        <w:r w:rsidR="008A47AC">
          <w:rPr>
            <w:noProof/>
            <w:webHidden/>
          </w:rPr>
          <w:fldChar w:fldCharType="separate"/>
        </w:r>
        <w:r w:rsidR="00E57BFA">
          <w:rPr>
            <w:noProof/>
            <w:webHidden/>
          </w:rPr>
          <w:t>- 70 -</w:t>
        </w:r>
        <w:r w:rsidR="008A47AC">
          <w:rPr>
            <w:noProof/>
            <w:webHidden/>
          </w:rPr>
          <w:fldChar w:fldCharType="end"/>
        </w:r>
      </w:hyperlink>
    </w:p>
    <w:p w14:paraId="3DF93FF3" w14:textId="5532D173" w:rsidR="008A47AC" w:rsidRDefault="007B378B">
      <w:pPr>
        <w:pStyle w:val="TOC4"/>
        <w:tabs>
          <w:tab w:val="right" w:leader="dot" w:pos="9016"/>
        </w:tabs>
        <w:rPr>
          <w:rFonts w:eastAsiaTheme="minorEastAsia"/>
          <w:noProof/>
          <w:lang w:eastAsia="en-GB"/>
        </w:rPr>
      </w:pPr>
      <w:hyperlink w:anchor="_Toc34208298" w:history="1">
        <w:r w:rsidR="008A47AC" w:rsidRPr="00793E8D">
          <w:rPr>
            <w:rStyle w:val="Hyperlink"/>
            <w:rFonts w:ascii="Arial" w:hAnsi="Arial" w:cs="Arial"/>
            <w:noProof/>
            <w:shd w:val="clear" w:color="auto" w:fill="FFFFFF"/>
            <w:lang w:val="en-US"/>
          </w:rPr>
          <w:t>2.2.3.2 Cells used in this study</w:t>
        </w:r>
        <w:r w:rsidR="008A47AC">
          <w:rPr>
            <w:noProof/>
            <w:webHidden/>
          </w:rPr>
          <w:tab/>
        </w:r>
        <w:r w:rsidR="008A47AC">
          <w:rPr>
            <w:noProof/>
            <w:webHidden/>
          </w:rPr>
          <w:fldChar w:fldCharType="begin"/>
        </w:r>
        <w:r w:rsidR="008A47AC">
          <w:rPr>
            <w:noProof/>
            <w:webHidden/>
          </w:rPr>
          <w:instrText xml:space="preserve"> PAGEREF _Toc34208298 \h </w:instrText>
        </w:r>
        <w:r w:rsidR="008A47AC">
          <w:rPr>
            <w:noProof/>
            <w:webHidden/>
          </w:rPr>
        </w:r>
        <w:r w:rsidR="008A47AC">
          <w:rPr>
            <w:noProof/>
            <w:webHidden/>
          </w:rPr>
          <w:fldChar w:fldCharType="separate"/>
        </w:r>
        <w:r w:rsidR="00E57BFA">
          <w:rPr>
            <w:noProof/>
            <w:webHidden/>
          </w:rPr>
          <w:t>- 70 -</w:t>
        </w:r>
        <w:r w:rsidR="008A47AC">
          <w:rPr>
            <w:noProof/>
            <w:webHidden/>
          </w:rPr>
          <w:fldChar w:fldCharType="end"/>
        </w:r>
      </w:hyperlink>
    </w:p>
    <w:p w14:paraId="1E1723D2" w14:textId="45D048A5" w:rsidR="008A47AC" w:rsidRDefault="007B378B">
      <w:pPr>
        <w:pStyle w:val="TOC3"/>
        <w:tabs>
          <w:tab w:val="right" w:leader="dot" w:pos="9016"/>
        </w:tabs>
        <w:rPr>
          <w:rFonts w:eastAsiaTheme="minorEastAsia"/>
          <w:noProof/>
          <w:lang w:eastAsia="en-GB"/>
        </w:rPr>
      </w:pPr>
      <w:hyperlink w:anchor="_Toc34208299" w:history="1">
        <w:r w:rsidR="008A47AC" w:rsidRPr="00793E8D">
          <w:rPr>
            <w:rStyle w:val="Hyperlink"/>
            <w:rFonts w:ascii="Arial" w:hAnsi="Arial" w:cs="Arial"/>
            <w:noProof/>
            <w:lang w:val="en-US"/>
          </w:rPr>
          <w:t>2.2.4 Cell maintenance</w:t>
        </w:r>
        <w:r w:rsidR="008A47AC">
          <w:rPr>
            <w:noProof/>
            <w:webHidden/>
          </w:rPr>
          <w:tab/>
        </w:r>
        <w:r w:rsidR="008A47AC">
          <w:rPr>
            <w:noProof/>
            <w:webHidden/>
          </w:rPr>
          <w:fldChar w:fldCharType="begin"/>
        </w:r>
        <w:r w:rsidR="008A47AC">
          <w:rPr>
            <w:noProof/>
            <w:webHidden/>
          </w:rPr>
          <w:instrText xml:space="preserve"> PAGEREF _Toc34208299 \h </w:instrText>
        </w:r>
        <w:r w:rsidR="008A47AC">
          <w:rPr>
            <w:noProof/>
            <w:webHidden/>
          </w:rPr>
        </w:r>
        <w:r w:rsidR="008A47AC">
          <w:rPr>
            <w:noProof/>
            <w:webHidden/>
          </w:rPr>
          <w:fldChar w:fldCharType="separate"/>
        </w:r>
        <w:r w:rsidR="00E57BFA">
          <w:rPr>
            <w:noProof/>
            <w:webHidden/>
          </w:rPr>
          <w:t>- 71 -</w:t>
        </w:r>
        <w:r w:rsidR="008A47AC">
          <w:rPr>
            <w:noProof/>
            <w:webHidden/>
          </w:rPr>
          <w:fldChar w:fldCharType="end"/>
        </w:r>
      </w:hyperlink>
    </w:p>
    <w:p w14:paraId="78C60142" w14:textId="5B508270" w:rsidR="008A47AC" w:rsidRDefault="007B378B">
      <w:pPr>
        <w:pStyle w:val="TOC4"/>
        <w:tabs>
          <w:tab w:val="right" w:leader="dot" w:pos="9016"/>
        </w:tabs>
        <w:rPr>
          <w:rFonts w:eastAsiaTheme="minorEastAsia"/>
          <w:noProof/>
          <w:lang w:eastAsia="en-GB"/>
        </w:rPr>
      </w:pPr>
      <w:hyperlink w:anchor="_Toc34208300" w:history="1">
        <w:r w:rsidR="008A47AC" w:rsidRPr="00793E8D">
          <w:rPr>
            <w:rStyle w:val="Hyperlink"/>
            <w:rFonts w:ascii="Arial" w:hAnsi="Arial" w:cs="Arial"/>
            <w:noProof/>
            <w:lang w:val="en-US"/>
          </w:rPr>
          <w:t>2.2.4.1 Cell passaging</w:t>
        </w:r>
        <w:r w:rsidR="008A47AC">
          <w:rPr>
            <w:noProof/>
            <w:webHidden/>
          </w:rPr>
          <w:tab/>
        </w:r>
        <w:r w:rsidR="008A47AC">
          <w:rPr>
            <w:noProof/>
            <w:webHidden/>
          </w:rPr>
          <w:fldChar w:fldCharType="begin"/>
        </w:r>
        <w:r w:rsidR="008A47AC">
          <w:rPr>
            <w:noProof/>
            <w:webHidden/>
          </w:rPr>
          <w:instrText xml:space="preserve"> PAGEREF _Toc34208300 \h </w:instrText>
        </w:r>
        <w:r w:rsidR="008A47AC">
          <w:rPr>
            <w:noProof/>
            <w:webHidden/>
          </w:rPr>
        </w:r>
        <w:r w:rsidR="008A47AC">
          <w:rPr>
            <w:noProof/>
            <w:webHidden/>
          </w:rPr>
          <w:fldChar w:fldCharType="separate"/>
        </w:r>
        <w:r w:rsidR="00E57BFA">
          <w:rPr>
            <w:noProof/>
            <w:webHidden/>
          </w:rPr>
          <w:t>- 71 -</w:t>
        </w:r>
        <w:r w:rsidR="008A47AC">
          <w:rPr>
            <w:noProof/>
            <w:webHidden/>
          </w:rPr>
          <w:fldChar w:fldCharType="end"/>
        </w:r>
      </w:hyperlink>
    </w:p>
    <w:p w14:paraId="5F2B363D" w14:textId="7AFB9A65" w:rsidR="008A47AC" w:rsidRDefault="007B378B">
      <w:pPr>
        <w:pStyle w:val="TOC4"/>
        <w:tabs>
          <w:tab w:val="right" w:leader="dot" w:pos="9016"/>
        </w:tabs>
        <w:rPr>
          <w:rFonts w:eastAsiaTheme="minorEastAsia"/>
          <w:noProof/>
          <w:lang w:eastAsia="en-GB"/>
        </w:rPr>
      </w:pPr>
      <w:hyperlink w:anchor="_Toc34208301" w:history="1">
        <w:r w:rsidR="008A47AC" w:rsidRPr="00793E8D">
          <w:rPr>
            <w:rStyle w:val="Hyperlink"/>
            <w:rFonts w:ascii="Arial" w:hAnsi="Arial" w:cs="Arial"/>
            <w:bCs/>
            <w:noProof/>
            <w:lang w:val="en-US"/>
          </w:rPr>
          <w:t>2.2.4.2 Counting cells</w:t>
        </w:r>
        <w:r w:rsidR="008A47AC">
          <w:rPr>
            <w:noProof/>
            <w:webHidden/>
          </w:rPr>
          <w:tab/>
        </w:r>
        <w:r w:rsidR="008A47AC">
          <w:rPr>
            <w:noProof/>
            <w:webHidden/>
          </w:rPr>
          <w:fldChar w:fldCharType="begin"/>
        </w:r>
        <w:r w:rsidR="008A47AC">
          <w:rPr>
            <w:noProof/>
            <w:webHidden/>
          </w:rPr>
          <w:instrText xml:space="preserve"> PAGEREF _Toc34208301 \h </w:instrText>
        </w:r>
        <w:r w:rsidR="008A47AC">
          <w:rPr>
            <w:noProof/>
            <w:webHidden/>
          </w:rPr>
        </w:r>
        <w:r w:rsidR="008A47AC">
          <w:rPr>
            <w:noProof/>
            <w:webHidden/>
          </w:rPr>
          <w:fldChar w:fldCharType="separate"/>
        </w:r>
        <w:r w:rsidR="00E57BFA">
          <w:rPr>
            <w:noProof/>
            <w:webHidden/>
          </w:rPr>
          <w:t>- 72 -</w:t>
        </w:r>
        <w:r w:rsidR="008A47AC">
          <w:rPr>
            <w:noProof/>
            <w:webHidden/>
          </w:rPr>
          <w:fldChar w:fldCharType="end"/>
        </w:r>
      </w:hyperlink>
    </w:p>
    <w:p w14:paraId="17CCA658" w14:textId="5427EF9A" w:rsidR="008A47AC" w:rsidRDefault="007B378B">
      <w:pPr>
        <w:pStyle w:val="TOC4"/>
        <w:tabs>
          <w:tab w:val="right" w:leader="dot" w:pos="9016"/>
        </w:tabs>
        <w:rPr>
          <w:rFonts w:eastAsiaTheme="minorEastAsia"/>
          <w:noProof/>
          <w:lang w:eastAsia="en-GB"/>
        </w:rPr>
      </w:pPr>
      <w:hyperlink w:anchor="_Toc34208302" w:history="1">
        <w:r w:rsidR="008A47AC" w:rsidRPr="00793E8D">
          <w:rPr>
            <w:rStyle w:val="Hyperlink"/>
            <w:rFonts w:ascii="Arial" w:hAnsi="Arial" w:cs="Arial"/>
            <w:bCs/>
            <w:noProof/>
            <w:lang w:val="en-US"/>
          </w:rPr>
          <w:t>2.2.4.3 Freezing cells for cryo-preservation</w:t>
        </w:r>
        <w:r w:rsidR="008A47AC">
          <w:rPr>
            <w:noProof/>
            <w:webHidden/>
          </w:rPr>
          <w:tab/>
        </w:r>
        <w:r w:rsidR="008A47AC">
          <w:rPr>
            <w:noProof/>
            <w:webHidden/>
          </w:rPr>
          <w:fldChar w:fldCharType="begin"/>
        </w:r>
        <w:r w:rsidR="008A47AC">
          <w:rPr>
            <w:noProof/>
            <w:webHidden/>
          </w:rPr>
          <w:instrText xml:space="preserve"> PAGEREF _Toc34208302 \h </w:instrText>
        </w:r>
        <w:r w:rsidR="008A47AC">
          <w:rPr>
            <w:noProof/>
            <w:webHidden/>
          </w:rPr>
        </w:r>
        <w:r w:rsidR="008A47AC">
          <w:rPr>
            <w:noProof/>
            <w:webHidden/>
          </w:rPr>
          <w:fldChar w:fldCharType="separate"/>
        </w:r>
        <w:r w:rsidR="00E57BFA">
          <w:rPr>
            <w:noProof/>
            <w:webHidden/>
          </w:rPr>
          <w:t>- 72 -</w:t>
        </w:r>
        <w:r w:rsidR="008A47AC">
          <w:rPr>
            <w:noProof/>
            <w:webHidden/>
          </w:rPr>
          <w:fldChar w:fldCharType="end"/>
        </w:r>
      </w:hyperlink>
    </w:p>
    <w:p w14:paraId="21162BD4" w14:textId="2B33DC34" w:rsidR="008A47AC" w:rsidRDefault="007B378B">
      <w:pPr>
        <w:pStyle w:val="TOC4"/>
        <w:tabs>
          <w:tab w:val="right" w:leader="dot" w:pos="9016"/>
        </w:tabs>
        <w:rPr>
          <w:rFonts w:eastAsiaTheme="minorEastAsia"/>
          <w:noProof/>
          <w:lang w:eastAsia="en-GB"/>
        </w:rPr>
      </w:pPr>
      <w:hyperlink w:anchor="_Toc34208303" w:history="1">
        <w:r w:rsidR="008A47AC" w:rsidRPr="00793E8D">
          <w:rPr>
            <w:rStyle w:val="Hyperlink"/>
            <w:rFonts w:ascii="Arial" w:hAnsi="Arial" w:cs="Arial"/>
            <w:bCs/>
            <w:noProof/>
            <w:lang w:val="en-US"/>
          </w:rPr>
          <w:t>2.2.4.4 Thawing cells</w:t>
        </w:r>
        <w:r w:rsidR="008A47AC">
          <w:rPr>
            <w:noProof/>
            <w:webHidden/>
          </w:rPr>
          <w:tab/>
        </w:r>
        <w:r w:rsidR="008A47AC">
          <w:rPr>
            <w:noProof/>
            <w:webHidden/>
          </w:rPr>
          <w:fldChar w:fldCharType="begin"/>
        </w:r>
        <w:r w:rsidR="008A47AC">
          <w:rPr>
            <w:noProof/>
            <w:webHidden/>
          </w:rPr>
          <w:instrText xml:space="preserve"> PAGEREF _Toc34208303 \h </w:instrText>
        </w:r>
        <w:r w:rsidR="008A47AC">
          <w:rPr>
            <w:noProof/>
            <w:webHidden/>
          </w:rPr>
        </w:r>
        <w:r w:rsidR="008A47AC">
          <w:rPr>
            <w:noProof/>
            <w:webHidden/>
          </w:rPr>
          <w:fldChar w:fldCharType="separate"/>
        </w:r>
        <w:r w:rsidR="00E57BFA">
          <w:rPr>
            <w:noProof/>
            <w:webHidden/>
          </w:rPr>
          <w:t>- 72 -</w:t>
        </w:r>
        <w:r w:rsidR="008A47AC">
          <w:rPr>
            <w:noProof/>
            <w:webHidden/>
          </w:rPr>
          <w:fldChar w:fldCharType="end"/>
        </w:r>
      </w:hyperlink>
    </w:p>
    <w:p w14:paraId="6A9C1DC8" w14:textId="588C257B" w:rsidR="008A47AC" w:rsidRDefault="007B378B">
      <w:pPr>
        <w:pStyle w:val="TOC3"/>
        <w:tabs>
          <w:tab w:val="right" w:leader="dot" w:pos="9016"/>
        </w:tabs>
        <w:rPr>
          <w:rFonts w:eastAsiaTheme="minorEastAsia"/>
          <w:noProof/>
          <w:lang w:eastAsia="en-GB"/>
        </w:rPr>
      </w:pPr>
      <w:hyperlink w:anchor="_Toc34208304" w:history="1">
        <w:r w:rsidR="008A47AC" w:rsidRPr="00793E8D">
          <w:rPr>
            <w:rStyle w:val="Hyperlink"/>
            <w:rFonts w:ascii="Arial" w:hAnsi="Arial" w:cs="Arial"/>
            <w:noProof/>
            <w:lang w:val="en-US"/>
          </w:rPr>
          <w:t>2.2.5 Fibroblast analysis</w:t>
        </w:r>
        <w:r w:rsidR="008A47AC">
          <w:rPr>
            <w:noProof/>
            <w:webHidden/>
          </w:rPr>
          <w:tab/>
        </w:r>
        <w:r w:rsidR="008A47AC">
          <w:rPr>
            <w:noProof/>
            <w:webHidden/>
          </w:rPr>
          <w:fldChar w:fldCharType="begin"/>
        </w:r>
        <w:r w:rsidR="008A47AC">
          <w:rPr>
            <w:noProof/>
            <w:webHidden/>
          </w:rPr>
          <w:instrText xml:space="preserve"> PAGEREF _Toc34208304 \h </w:instrText>
        </w:r>
        <w:r w:rsidR="008A47AC">
          <w:rPr>
            <w:noProof/>
            <w:webHidden/>
          </w:rPr>
        </w:r>
        <w:r w:rsidR="008A47AC">
          <w:rPr>
            <w:noProof/>
            <w:webHidden/>
          </w:rPr>
          <w:fldChar w:fldCharType="separate"/>
        </w:r>
        <w:r w:rsidR="00E57BFA">
          <w:rPr>
            <w:noProof/>
            <w:webHidden/>
          </w:rPr>
          <w:t>- 72 -</w:t>
        </w:r>
        <w:r w:rsidR="008A47AC">
          <w:rPr>
            <w:noProof/>
            <w:webHidden/>
          </w:rPr>
          <w:fldChar w:fldCharType="end"/>
        </w:r>
      </w:hyperlink>
    </w:p>
    <w:p w14:paraId="022F8396" w14:textId="3168A849" w:rsidR="008A47AC" w:rsidRDefault="007B378B">
      <w:pPr>
        <w:pStyle w:val="TOC4"/>
        <w:tabs>
          <w:tab w:val="right" w:leader="dot" w:pos="9016"/>
        </w:tabs>
        <w:rPr>
          <w:rFonts w:eastAsiaTheme="minorEastAsia"/>
          <w:noProof/>
          <w:lang w:eastAsia="en-GB"/>
        </w:rPr>
      </w:pPr>
      <w:hyperlink w:anchor="_Toc34208305" w:history="1">
        <w:r w:rsidR="008A47AC" w:rsidRPr="00793E8D">
          <w:rPr>
            <w:rStyle w:val="Hyperlink"/>
            <w:rFonts w:ascii="Arial" w:hAnsi="Arial" w:cs="Arial"/>
            <w:bCs/>
            <w:noProof/>
            <w:lang w:val="en-US"/>
          </w:rPr>
          <w:t>2.2.5.1 Fibroblast differentiation protocol</w:t>
        </w:r>
        <w:r w:rsidR="008A47AC">
          <w:rPr>
            <w:noProof/>
            <w:webHidden/>
          </w:rPr>
          <w:tab/>
        </w:r>
        <w:r w:rsidR="008A47AC">
          <w:rPr>
            <w:noProof/>
            <w:webHidden/>
          </w:rPr>
          <w:fldChar w:fldCharType="begin"/>
        </w:r>
        <w:r w:rsidR="008A47AC">
          <w:rPr>
            <w:noProof/>
            <w:webHidden/>
          </w:rPr>
          <w:instrText xml:space="preserve"> PAGEREF _Toc34208305 \h </w:instrText>
        </w:r>
        <w:r w:rsidR="008A47AC">
          <w:rPr>
            <w:noProof/>
            <w:webHidden/>
          </w:rPr>
        </w:r>
        <w:r w:rsidR="008A47AC">
          <w:rPr>
            <w:noProof/>
            <w:webHidden/>
          </w:rPr>
          <w:fldChar w:fldCharType="separate"/>
        </w:r>
        <w:r w:rsidR="00E57BFA">
          <w:rPr>
            <w:noProof/>
            <w:webHidden/>
          </w:rPr>
          <w:t>- 72 -</w:t>
        </w:r>
        <w:r w:rsidR="008A47AC">
          <w:rPr>
            <w:noProof/>
            <w:webHidden/>
          </w:rPr>
          <w:fldChar w:fldCharType="end"/>
        </w:r>
      </w:hyperlink>
    </w:p>
    <w:p w14:paraId="73D7C39E" w14:textId="606236F0" w:rsidR="008A47AC" w:rsidRDefault="007B378B">
      <w:pPr>
        <w:pStyle w:val="TOC4"/>
        <w:tabs>
          <w:tab w:val="right" w:leader="dot" w:pos="9016"/>
        </w:tabs>
        <w:rPr>
          <w:rFonts w:eastAsiaTheme="minorEastAsia"/>
          <w:noProof/>
          <w:lang w:eastAsia="en-GB"/>
        </w:rPr>
      </w:pPr>
      <w:hyperlink w:anchor="_Toc34208306" w:history="1">
        <w:r w:rsidR="008A47AC" w:rsidRPr="00793E8D">
          <w:rPr>
            <w:rStyle w:val="Hyperlink"/>
            <w:rFonts w:ascii="Arial" w:hAnsi="Arial" w:cs="Arial"/>
            <w:bCs/>
            <w:noProof/>
          </w:rPr>
          <w:t>2.2.5.2 Drug assay development on 2D fibroblast cultures</w:t>
        </w:r>
        <w:r w:rsidR="008A47AC">
          <w:rPr>
            <w:noProof/>
            <w:webHidden/>
          </w:rPr>
          <w:tab/>
        </w:r>
        <w:r w:rsidR="008A47AC">
          <w:rPr>
            <w:noProof/>
            <w:webHidden/>
          </w:rPr>
          <w:fldChar w:fldCharType="begin"/>
        </w:r>
        <w:r w:rsidR="008A47AC">
          <w:rPr>
            <w:noProof/>
            <w:webHidden/>
          </w:rPr>
          <w:instrText xml:space="preserve"> PAGEREF _Toc34208306 \h </w:instrText>
        </w:r>
        <w:r w:rsidR="008A47AC">
          <w:rPr>
            <w:noProof/>
            <w:webHidden/>
          </w:rPr>
        </w:r>
        <w:r w:rsidR="008A47AC">
          <w:rPr>
            <w:noProof/>
            <w:webHidden/>
          </w:rPr>
          <w:fldChar w:fldCharType="separate"/>
        </w:r>
        <w:r w:rsidR="00E57BFA">
          <w:rPr>
            <w:noProof/>
            <w:webHidden/>
          </w:rPr>
          <w:t>- 73 -</w:t>
        </w:r>
        <w:r w:rsidR="008A47AC">
          <w:rPr>
            <w:noProof/>
            <w:webHidden/>
          </w:rPr>
          <w:fldChar w:fldCharType="end"/>
        </w:r>
      </w:hyperlink>
    </w:p>
    <w:p w14:paraId="37787219" w14:textId="3875FB6B" w:rsidR="008A47AC" w:rsidRDefault="007B378B">
      <w:pPr>
        <w:pStyle w:val="TOC3"/>
        <w:tabs>
          <w:tab w:val="right" w:leader="dot" w:pos="9016"/>
        </w:tabs>
        <w:rPr>
          <w:rFonts w:eastAsiaTheme="minorEastAsia"/>
          <w:noProof/>
          <w:lang w:eastAsia="en-GB"/>
        </w:rPr>
      </w:pPr>
      <w:hyperlink w:anchor="_Toc34208307" w:history="1">
        <w:r w:rsidR="008A47AC" w:rsidRPr="00793E8D">
          <w:rPr>
            <w:rStyle w:val="Hyperlink"/>
            <w:rFonts w:ascii="Arial" w:hAnsi="Arial" w:cs="Arial"/>
            <w:noProof/>
            <w:lang w:val="en-US"/>
          </w:rPr>
          <w:t>2.2.6 Development of tissue-engineered models</w:t>
        </w:r>
        <w:r w:rsidR="008A47AC">
          <w:rPr>
            <w:noProof/>
            <w:webHidden/>
          </w:rPr>
          <w:tab/>
        </w:r>
        <w:r w:rsidR="008A47AC">
          <w:rPr>
            <w:noProof/>
            <w:webHidden/>
          </w:rPr>
          <w:fldChar w:fldCharType="begin"/>
        </w:r>
        <w:r w:rsidR="008A47AC">
          <w:rPr>
            <w:noProof/>
            <w:webHidden/>
          </w:rPr>
          <w:instrText xml:space="preserve"> PAGEREF _Toc34208307 \h </w:instrText>
        </w:r>
        <w:r w:rsidR="008A47AC">
          <w:rPr>
            <w:noProof/>
            <w:webHidden/>
          </w:rPr>
        </w:r>
        <w:r w:rsidR="008A47AC">
          <w:rPr>
            <w:noProof/>
            <w:webHidden/>
          </w:rPr>
          <w:fldChar w:fldCharType="separate"/>
        </w:r>
        <w:r w:rsidR="00E57BFA">
          <w:rPr>
            <w:noProof/>
            <w:webHidden/>
          </w:rPr>
          <w:t>- 74 -</w:t>
        </w:r>
        <w:r w:rsidR="008A47AC">
          <w:rPr>
            <w:noProof/>
            <w:webHidden/>
          </w:rPr>
          <w:fldChar w:fldCharType="end"/>
        </w:r>
      </w:hyperlink>
    </w:p>
    <w:p w14:paraId="22BDF0A4" w14:textId="6E1E3316" w:rsidR="008A47AC" w:rsidRDefault="007B378B">
      <w:pPr>
        <w:pStyle w:val="TOC4"/>
        <w:tabs>
          <w:tab w:val="right" w:leader="dot" w:pos="9016"/>
        </w:tabs>
        <w:rPr>
          <w:rFonts w:eastAsiaTheme="minorEastAsia"/>
          <w:noProof/>
          <w:lang w:eastAsia="en-GB"/>
        </w:rPr>
      </w:pPr>
      <w:hyperlink w:anchor="_Toc34208308" w:history="1">
        <w:r w:rsidR="008A47AC" w:rsidRPr="00793E8D">
          <w:rPr>
            <w:rStyle w:val="Hyperlink"/>
            <w:rFonts w:ascii="Arial" w:hAnsi="Arial" w:cs="Arial"/>
            <w:noProof/>
            <w:lang w:val="en-US"/>
          </w:rPr>
          <w:t>2.2.6.1 Generation of fibroblast-derived matrices</w:t>
        </w:r>
        <w:r w:rsidR="008A47AC">
          <w:rPr>
            <w:noProof/>
            <w:webHidden/>
          </w:rPr>
          <w:tab/>
        </w:r>
        <w:r w:rsidR="008A47AC">
          <w:rPr>
            <w:noProof/>
            <w:webHidden/>
          </w:rPr>
          <w:fldChar w:fldCharType="begin"/>
        </w:r>
        <w:r w:rsidR="008A47AC">
          <w:rPr>
            <w:noProof/>
            <w:webHidden/>
          </w:rPr>
          <w:instrText xml:space="preserve"> PAGEREF _Toc34208308 \h </w:instrText>
        </w:r>
        <w:r w:rsidR="008A47AC">
          <w:rPr>
            <w:noProof/>
            <w:webHidden/>
          </w:rPr>
        </w:r>
        <w:r w:rsidR="008A47AC">
          <w:rPr>
            <w:noProof/>
            <w:webHidden/>
          </w:rPr>
          <w:fldChar w:fldCharType="separate"/>
        </w:r>
        <w:r w:rsidR="00E57BFA">
          <w:rPr>
            <w:noProof/>
            <w:webHidden/>
          </w:rPr>
          <w:t>- 74 -</w:t>
        </w:r>
        <w:r w:rsidR="008A47AC">
          <w:rPr>
            <w:noProof/>
            <w:webHidden/>
          </w:rPr>
          <w:fldChar w:fldCharType="end"/>
        </w:r>
      </w:hyperlink>
    </w:p>
    <w:p w14:paraId="6BC588F6" w14:textId="26749BA4" w:rsidR="008A47AC" w:rsidRDefault="007B378B">
      <w:pPr>
        <w:pStyle w:val="TOC4"/>
        <w:tabs>
          <w:tab w:val="right" w:leader="dot" w:pos="9016"/>
        </w:tabs>
        <w:rPr>
          <w:rFonts w:eastAsiaTheme="minorEastAsia"/>
          <w:noProof/>
          <w:lang w:eastAsia="en-GB"/>
        </w:rPr>
      </w:pPr>
      <w:hyperlink w:anchor="_Toc34208309" w:history="1">
        <w:r w:rsidR="008A47AC" w:rsidRPr="00793E8D">
          <w:rPr>
            <w:rStyle w:val="Hyperlink"/>
            <w:rFonts w:ascii="Arial" w:hAnsi="Arial" w:cs="Arial"/>
            <w:noProof/>
            <w:lang w:val="en-US"/>
          </w:rPr>
          <w:t>2.2.6.2 Generation of fibroblast-derived matrices for large organotypic inserts</w:t>
        </w:r>
        <w:r w:rsidR="008A47AC">
          <w:rPr>
            <w:noProof/>
            <w:webHidden/>
          </w:rPr>
          <w:tab/>
        </w:r>
        <w:r w:rsidR="008A47AC">
          <w:rPr>
            <w:noProof/>
            <w:webHidden/>
          </w:rPr>
          <w:fldChar w:fldCharType="begin"/>
        </w:r>
        <w:r w:rsidR="008A47AC">
          <w:rPr>
            <w:noProof/>
            <w:webHidden/>
          </w:rPr>
          <w:instrText xml:space="preserve"> PAGEREF _Toc34208309 \h </w:instrText>
        </w:r>
        <w:r w:rsidR="008A47AC">
          <w:rPr>
            <w:noProof/>
            <w:webHidden/>
          </w:rPr>
        </w:r>
        <w:r w:rsidR="008A47AC">
          <w:rPr>
            <w:noProof/>
            <w:webHidden/>
          </w:rPr>
          <w:fldChar w:fldCharType="separate"/>
        </w:r>
        <w:r w:rsidR="00E57BFA">
          <w:rPr>
            <w:noProof/>
            <w:webHidden/>
          </w:rPr>
          <w:t>- 76 -</w:t>
        </w:r>
        <w:r w:rsidR="008A47AC">
          <w:rPr>
            <w:noProof/>
            <w:webHidden/>
          </w:rPr>
          <w:fldChar w:fldCharType="end"/>
        </w:r>
      </w:hyperlink>
    </w:p>
    <w:p w14:paraId="142426DA" w14:textId="7105DBE1" w:rsidR="008A47AC" w:rsidRDefault="007B378B">
      <w:pPr>
        <w:pStyle w:val="TOC4"/>
        <w:tabs>
          <w:tab w:val="right" w:leader="dot" w:pos="9016"/>
        </w:tabs>
        <w:rPr>
          <w:rFonts w:eastAsiaTheme="minorEastAsia"/>
          <w:noProof/>
          <w:lang w:eastAsia="en-GB"/>
        </w:rPr>
      </w:pPr>
      <w:hyperlink w:anchor="_Toc34208310" w:history="1">
        <w:r w:rsidR="008A47AC" w:rsidRPr="00793E8D">
          <w:rPr>
            <w:rStyle w:val="Hyperlink"/>
            <w:rFonts w:ascii="Arial" w:hAnsi="Arial" w:cs="Arial"/>
            <w:bCs/>
            <w:noProof/>
          </w:rPr>
          <w:t>2.2.6.3 Generation of full thickness fibroblast-derived matrix oral mucosa equivalents using fibroblast-derived matrices</w:t>
        </w:r>
        <w:r w:rsidR="008A47AC">
          <w:rPr>
            <w:noProof/>
            <w:webHidden/>
          </w:rPr>
          <w:tab/>
        </w:r>
        <w:r w:rsidR="008A47AC">
          <w:rPr>
            <w:noProof/>
            <w:webHidden/>
          </w:rPr>
          <w:fldChar w:fldCharType="begin"/>
        </w:r>
        <w:r w:rsidR="008A47AC">
          <w:rPr>
            <w:noProof/>
            <w:webHidden/>
          </w:rPr>
          <w:instrText xml:space="preserve"> PAGEREF _Toc34208310 \h </w:instrText>
        </w:r>
        <w:r w:rsidR="008A47AC">
          <w:rPr>
            <w:noProof/>
            <w:webHidden/>
          </w:rPr>
        </w:r>
        <w:r w:rsidR="008A47AC">
          <w:rPr>
            <w:noProof/>
            <w:webHidden/>
          </w:rPr>
          <w:fldChar w:fldCharType="separate"/>
        </w:r>
        <w:r w:rsidR="00E57BFA">
          <w:rPr>
            <w:noProof/>
            <w:webHidden/>
          </w:rPr>
          <w:t>- 78 -</w:t>
        </w:r>
        <w:r w:rsidR="008A47AC">
          <w:rPr>
            <w:noProof/>
            <w:webHidden/>
          </w:rPr>
          <w:fldChar w:fldCharType="end"/>
        </w:r>
      </w:hyperlink>
    </w:p>
    <w:p w14:paraId="49F338CF" w14:textId="5DF4D03B" w:rsidR="008A47AC" w:rsidRDefault="007B378B">
      <w:pPr>
        <w:pStyle w:val="TOC3"/>
        <w:tabs>
          <w:tab w:val="right" w:leader="dot" w:pos="9016"/>
        </w:tabs>
        <w:rPr>
          <w:rFonts w:eastAsiaTheme="minorEastAsia"/>
          <w:noProof/>
          <w:lang w:eastAsia="en-GB"/>
        </w:rPr>
      </w:pPr>
      <w:hyperlink w:anchor="_Toc34208311" w:history="1">
        <w:r w:rsidR="008A47AC" w:rsidRPr="00793E8D">
          <w:rPr>
            <w:rStyle w:val="Hyperlink"/>
            <w:rFonts w:ascii="Arial" w:hAnsi="Arial" w:cs="Arial"/>
            <w:noProof/>
            <w:lang w:val="en-US"/>
          </w:rPr>
          <w:t>2.2.7 Molecular analysis</w:t>
        </w:r>
        <w:r w:rsidR="008A47AC">
          <w:rPr>
            <w:noProof/>
            <w:webHidden/>
          </w:rPr>
          <w:tab/>
        </w:r>
        <w:r w:rsidR="008A47AC">
          <w:rPr>
            <w:noProof/>
            <w:webHidden/>
          </w:rPr>
          <w:fldChar w:fldCharType="begin"/>
        </w:r>
        <w:r w:rsidR="008A47AC">
          <w:rPr>
            <w:noProof/>
            <w:webHidden/>
          </w:rPr>
          <w:instrText xml:space="preserve"> PAGEREF _Toc34208311 \h </w:instrText>
        </w:r>
        <w:r w:rsidR="008A47AC">
          <w:rPr>
            <w:noProof/>
            <w:webHidden/>
          </w:rPr>
        </w:r>
        <w:r w:rsidR="008A47AC">
          <w:rPr>
            <w:noProof/>
            <w:webHidden/>
          </w:rPr>
          <w:fldChar w:fldCharType="separate"/>
        </w:r>
        <w:r w:rsidR="00E57BFA">
          <w:rPr>
            <w:noProof/>
            <w:webHidden/>
          </w:rPr>
          <w:t>- 80 -</w:t>
        </w:r>
        <w:r w:rsidR="008A47AC">
          <w:rPr>
            <w:noProof/>
            <w:webHidden/>
          </w:rPr>
          <w:fldChar w:fldCharType="end"/>
        </w:r>
      </w:hyperlink>
    </w:p>
    <w:p w14:paraId="12D73F35" w14:textId="6180D880" w:rsidR="008A47AC" w:rsidRDefault="007B378B">
      <w:pPr>
        <w:pStyle w:val="TOC4"/>
        <w:tabs>
          <w:tab w:val="right" w:leader="dot" w:pos="9016"/>
        </w:tabs>
        <w:rPr>
          <w:rFonts w:eastAsiaTheme="minorEastAsia"/>
          <w:noProof/>
          <w:lang w:eastAsia="en-GB"/>
        </w:rPr>
      </w:pPr>
      <w:hyperlink w:anchor="_Toc34208312" w:history="1">
        <w:r w:rsidR="008A47AC" w:rsidRPr="00793E8D">
          <w:rPr>
            <w:rStyle w:val="Hyperlink"/>
            <w:rFonts w:ascii="Arial" w:hAnsi="Arial" w:cs="Arial"/>
            <w:noProof/>
            <w:lang w:val="en-US"/>
          </w:rPr>
          <w:t>2.2.7.1 Isolating RNA</w:t>
        </w:r>
        <w:r w:rsidR="008A47AC">
          <w:rPr>
            <w:noProof/>
            <w:webHidden/>
          </w:rPr>
          <w:tab/>
        </w:r>
        <w:r w:rsidR="008A47AC">
          <w:rPr>
            <w:noProof/>
            <w:webHidden/>
          </w:rPr>
          <w:fldChar w:fldCharType="begin"/>
        </w:r>
        <w:r w:rsidR="008A47AC">
          <w:rPr>
            <w:noProof/>
            <w:webHidden/>
          </w:rPr>
          <w:instrText xml:space="preserve"> PAGEREF _Toc34208312 \h </w:instrText>
        </w:r>
        <w:r w:rsidR="008A47AC">
          <w:rPr>
            <w:noProof/>
            <w:webHidden/>
          </w:rPr>
        </w:r>
        <w:r w:rsidR="008A47AC">
          <w:rPr>
            <w:noProof/>
            <w:webHidden/>
          </w:rPr>
          <w:fldChar w:fldCharType="separate"/>
        </w:r>
        <w:r w:rsidR="00E57BFA">
          <w:rPr>
            <w:noProof/>
            <w:webHidden/>
          </w:rPr>
          <w:t>- 80 -</w:t>
        </w:r>
        <w:r w:rsidR="008A47AC">
          <w:rPr>
            <w:noProof/>
            <w:webHidden/>
          </w:rPr>
          <w:fldChar w:fldCharType="end"/>
        </w:r>
      </w:hyperlink>
    </w:p>
    <w:p w14:paraId="66A09E35" w14:textId="0D4932E0" w:rsidR="008A47AC" w:rsidRDefault="007B378B">
      <w:pPr>
        <w:pStyle w:val="TOC5"/>
        <w:rPr>
          <w:rFonts w:eastAsiaTheme="minorEastAsia"/>
          <w:noProof/>
          <w:lang w:eastAsia="en-GB"/>
        </w:rPr>
      </w:pPr>
      <w:hyperlink w:anchor="_Toc34208313" w:history="1">
        <w:r w:rsidR="008A47AC" w:rsidRPr="00793E8D">
          <w:rPr>
            <w:rStyle w:val="Hyperlink"/>
            <w:rFonts w:ascii="Arial" w:hAnsi="Arial" w:cs="Arial"/>
            <w:iCs/>
            <w:noProof/>
            <w:lang w:val="en-US"/>
          </w:rPr>
          <w:t>2.2.7.1.1 RNA extraction on monolayers</w:t>
        </w:r>
        <w:r w:rsidR="008A47AC">
          <w:rPr>
            <w:noProof/>
            <w:webHidden/>
          </w:rPr>
          <w:tab/>
        </w:r>
        <w:r w:rsidR="008A47AC">
          <w:rPr>
            <w:noProof/>
            <w:webHidden/>
          </w:rPr>
          <w:fldChar w:fldCharType="begin"/>
        </w:r>
        <w:r w:rsidR="008A47AC">
          <w:rPr>
            <w:noProof/>
            <w:webHidden/>
          </w:rPr>
          <w:instrText xml:space="preserve"> PAGEREF _Toc34208313 \h </w:instrText>
        </w:r>
        <w:r w:rsidR="008A47AC">
          <w:rPr>
            <w:noProof/>
            <w:webHidden/>
          </w:rPr>
        </w:r>
        <w:r w:rsidR="008A47AC">
          <w:rPr>
            <w:noProof/>
            <w:webHidden/>
          </w:rPr>
          <w:fldChar w:fldCharType="separate"/>
        </w:r>
        <w:r w:rsidR="00E57BFA">
          <w:rPr>
            <w:noProof/>
            <w:webHidden/>
          </w:rPr>
          <w:t>- 80 -</w:t>
        </w:r>
        <w:r w:rsidR="008A47AC">
          <w:rPr>
            <w:noProof/>
            <w:webHidden/>
          </w:rPr>
          <w:fldChar w:fldCharType="end"/>
        </w:r>
      </w:hyperlink>
    </w:p>
    <w:p w14:paraId="3AE23BCF" w14:textId="1F7F127B" w:rsidR="008A47AC" w:rsidRDefault="007B378B">
      <w:pPr>
        <w:pStyle w:val="TOC5"/>
        <w:rPr>
          <w:rFonts w:eastAsiaTheme="minorEastAsia"/>
          <w:noProof/>
          <w:lang w:eastAsia="en-GB"/>
        </w:rPr>
      </w:pPr>
      <w:hyperlink w:anchor="_Toc34208314" w:history="1">
        <w:r w:rsidR="008A47AC" w:rsidRPr="00793E8D">
          <w:rPr>
            <w:rStyle w:val="Hyperlink"/>
            <w:rFonts w:ascii="Arial" w:hAnsi="Arial" w:cs="Arial"/>
            <w:iCs/>
            <w:noProof/>
            <w:lang w:val="en-US"/>
          </w:rPr>
          <w:t>2.2.7.1.2 RNA extraction on fibroblast-derived matrices</w:t>
        </w:r>
        <w:r w:rsidR="008A47AC">
          <w:rPr>
            <w:noProof/>
            <w:webHidden/>
          </w:rPr>
          <w:tab/>
        </w:r>
        <w:r w:rsidR="008A47AC">
          <w:rPr>
            <w:noProof/>
            <w:webHidden/>
          </w:rPr>
          <w:fldChar w:fldCharType="begin"/>
        </w:r>
        <w:r w:rsidR="008A47AC">
          <w:rPr>
            <w:noProof/>
            <w:webHidden/>
          </w:rPr>
          <w:instrText xml:space="preserve"> PAGEREF _Toc34208314 \h </w:instrText>
        </w:r>
        <w:r w:rsidR="008A47AC">
          <w:rPr>
            <w:noProof/>
            <w:webHidden/>
          </w:rPr>
        </w:r>
        <w:r w:rsidR="008A47AC">
          <w:rPr>
            <w:noProof/>
            <w:webHidden/>
          </w:rPr>
          <w:fldChar w:fldCharType="separate"/>
        </w:r>
        <w:r w:rsidR="00E57BFA">
          <w:rPr>
            <w:noProof/>
            <w:webHidden/>
          </w:rPr>
          <w:t>- 81 -</w:t>
        </w:r>
        <w:r w:rsidR="008A47AC">
          <w:rPr>
            <w:noProof/>
            <w:webHidden/>
          </w:rPr>
          <w:fldChar w:fldCharType="end"/>
        </w:r>
      </w:hyperlink>
    </w:p>
    <w:p w14:paraId="141D44E6" w14:textId="1151A678" w:rsidR="008A47AC" w:rsidRDefault="007B378B">
      <w:pPr>
        <w:pStyle w:val="TOC4"/>
        <w:tabs>
          <w:tab w:val="right" w:leader="dot" w:pos="9016"/>
        </w:tabs>
        <w:rPr>
          <w:rFonts w:eastAsiaTheme="minorEastAsia"/>
          <w:noProof/>
          <w:lang w:eastAsia="en-GB"/>
        </w:rPr>
      </w:pPr>
      <w:hyperlink w:anchor="_Toc34208315" w:history="1">
        <w:r w:rsidR="008A47AC" w:rsidRPr="00793E8D">
          <w:rPr>
            <w:rStyle w:val="Hyperlink"/>
            <w:rFonts w:ascii="Arial" w:hAnsi="Arial" w:cs="Arial"/>
            <w:bCs/>
            <w:noProof/>
            <w:lang w:val="en-US"/>
          </w:rPr>
          <w:t>2.2.7.2 Real time quantitative polymerase chain reaction protocol</w:t>
        </w:r>
        <w:r w:rsidR="008A47AC">
          <w:rPr>
            <w:noProof/>
            <w:webHidden/>
          </w:rPr>
          <w:tab/>
        </w:r>
        <w:r w:rsidR="008A47AC">
          <w:rPr>
            <w:noProof/>
            <w:webHidden/>
          </w:rPr>
          <w:fldChar w:fldCharType="begin"/>
        </w:r>
        <w:r w:rsidR="008A47AC">
          <w:rPr>
            <w:noProof/>
            <w:webHidden/>
          </w:rPr>
          <w:instrText xml:space="preserve"> PAGEREF _Toc34208315 \h </w:instrText>
        </w:r>
        <w:r w:rsidR="008A47AC">
          <w:rPr>
            <w:noProof/>
            <w:webHidden/>
          </w:rPr>
        </w:r>
        <w:r w:rsidR="008A47AC">
          <w:rPr>
            <w:noProof/>
            <w:webHidden/>
          </w:rPr>
          <w:fldChar w:fldCharType="separate"/>
        </w:r>
        <w:r w:rsidR="00E57BFA">
          <w:rPr>
            <w:noProof/>
            <w:webHidden/>
          </w:rPr>
          <w:t>- 81 -</w:t>
        </w:r>
        <w:r w:rsidR="008A47AC">
          <w:rPr>
            <w:noProof/>
            <w:webHidden/>
          </w:rPr>
          <w:fldChar w:fldCharType="end"/>
        </w:r>
      </w:hyperlink>
    </w:p>
    <w:p w14:paraId="41E8F715" w14:textId="3FE6758B" w:rsidR="008A47AC" w:rsidRDefault="007B378B">
      <w:pPr>
        <w:pStyle w:val="TOC3"/>
        <w:tabs>
          <w:tab w:val="right" w:leader="dot" w:pos="9016"/>
        </w:tabs>
        <w:rPr>
          <w:rFonts w:eastAsiaTheme="minorEastAsia"/>
          <w:noProof/>
          <w:lang w:eastAsia="en-GB"/>
        </w:rPr>
      </w:pPr>
      <w:hyperlink w:anchor="_Toc34208316" w:history="1">
        <w:r w:rsidR="008A47AC" w:rsidRPr="00793E8D">
          <w:rPr>
            <w:rStyle w:val="Hyperlink"/>
            <w:rFonts w:ascii="Arial" w:hAnsi="Arial" w:cs="Arial"/>
            <w:noProof/>
            <w:lang w:val="en-US"/>
          </w:rPr>
          <w:t>2.2.8 Histology</w:t>
        </w:r>
        <w:r w:rsidR="008A47AC">
          <w:rPr>
            <w:noProof/>
            <w:webHidden/>
          </w:rPr>
          <w:tab/>
        </w:r>
        <w:r w:rsidR="008A47AC">
          <w:rPr>
            <w:noProof/>
            <w:webHidden/>
          </w:rPr>
          <w:fldChar w:fldCharType="begin"/>
        </w:r>
        <w:r w:rsidR="008A47AC">
          <w:rPr>
            <w:noProof/>
            <w:webHidden/>
          </w:rPr>
          <w:instrText xml:space="preserve"> PAGEREF _Toc34208316 \h </w:instrText>
        </w:r>
        <w:r w:rsidR="008A47AC">
          <w:rPr>
            <w:noProof/>
            <w:webHidden/>
          </w:rPr>
        </w:r>
        <w:r w:rsidR="008A47AC">
          <w:rPr>
            <w:noProof/>
            <w:webHidden/>
          </w:rPr>
          <w:fldChar w:fldCharType="separate"/>
        </w:r>
        <w:r w:rsidR="00E57BFA">
          <w:rPr>
            <w:noProof/>
            <w:webHidden/>
          </w:rPr>
          <w:t>- 82 -</w:t>
        </w:r>
        <w:r w:rsidR="008A47AC">
          <w:rPr>
            <w:noProof/>
            <w:webHidden/>
          </w:rPr>
          <w:fldChar w:fldCharType="end"/>
        </w:r>
      </w:hyperlink>
    </w:p>
    <w:p w14:paraId="215BBE11" w14:textId="13629210" w:rsidR="008A47AC" w:rsidRDefault="007B378B">
      <w:pPr>
        <w:pStyle w:val="TOC4"/>
        <w:tabs>
          <w:tab w:val="right" w:leader="dot" w:pos="9016"/>
        </w:tabs>
        <w:rPr>
          <w:rFonts w:eastAsiaTheme="minorEastAsia"/>
          <w:noProof/>
          <w:lang w:eastAsia="en-GB"/>
        </w:rPr>
      </w:pPr>
      <w:hyperlink w:anchor="_Toc34208317" w:history="1">
        <w:r w:rsidR="008A47AC" w:rsidRPr="00793E8D">
          <w:rPr>
            <w:rStyle w:val="Hyperlink"/>
            <w:rFonts w:ascii="Arial" w:hAnsi="Arial" w:cs="Arial"/>
            <w:noProof/>
            <w:lang w:val="en-US"/>
          </w:rPr>
          <w:t>2.2.8.1 Fixing 3D tissue engineered models</w:t>
        </w:r>
        <w:r w:rsidR="008A47AC">
          <w:rPr>
            <w:noProof/>
            <w:webHidden/>
          </w:rPr>
          <w:tab/>
        </w:r>
        <w:r w:rsidR="008A47AC">
          <w:rPr>
            <w:noProof/>
            <w:webHidden/>
          </w:rPr>
          <w:fldChar w:fldCharType="begin"/>
        </w:r>
        <w:r w:rsidR="008A47AC">
          <w:rPr>
            <w:noProof/>
            <w:webHidden/>
          </w:rPr>
          <w:instrText xml:space="preserve"> PAGEREF _Toc34208317 \h </w:instrText>
        </w:r>
        <w:r w:rsidR="008A47AC">
          <w:rPr>
            <w:noProof/>
            <w:webHidden/>
          </w:rPr>
        </w:r>
        <w:r w:rsidR="008A47AC">
          <w:rPr>
            <w:noProof/>
            <w:webHidden/>
          </w:rPr>
          <w:fldChar w:fldCharType="separate"/>
        </w:r>
        <w:r w:rsidR="00E57BFA">
          <w:rPr>
            <w:noProof/>
            <w:webHidden/>
          </w:rPr>
          <w:t>- 82 -</w:t>
        </w:r>
        <w:r w:rsidR="008A47AC">
          <w:rPr>
            <w:noProof/>
            <w:webHidden/>
          </w:rPr>
          <w:fldChar w:fldCharType="end"/>
        </w:r>
      </w:hyperlink>
    </w:p>
    <w:p w14:paraId="5797590F" w14:textId="18844A8D" w:rsidR="008A47AC" w:rsidRDefault="007B378B">
      <w:pPr>
        <w:pStyle w:val="TOC4"/>
        <w:tabs>
          <w:tab w:val="right" w:leader="dot" w:pos="9016"/>
        </w:tabs>
        <w:rPr>
          <w:rFonts w:eastAsiaTheme="minorEastAsia"/>
          <w:noProof/>
          <w:lang w:eastAsia="en-GB"/>
        </w:rPr>
      </w:pPr>
      <w:hyperlink w:anchor="_Toc34208318" w:history="1">
        <w:r w:rsidR="008A47AC" w:rsidRPr="00793E8D">
          <w:rPr>
            <w:rStyle w:val="Hyperlink"/>
            <w:rFonts w:ascii="Arial" w:hAnsi="Arial" w:cs="Arial"/>
            <w:noProof/>
            <w:lang w:val="en-US"/>
          </w:rPr>
          <w:t>2.2.8.2 Histological analysis of matrices</w:t>
        </w:r>
        <w:r w:rsidR="008A47AC">
          <w:rPr>
            <w:noProof/>
            <w:webHidden/>
          </w:rPr>
          <w:tab/>
        </w:r>
        <w:r w:rsidR="008A47AC">
          <w:rPr>
            <w:noProof/>
            <w:webHidden/>
          </w:rPr>
          <w:fldChar w:fldCharType="begin"/>
        </w:r>
        <w:r w:rsidR="008A47AC">
          <w:rPr>
            <w:noProof/>
            <w:webHidden/>
          </w:rPr>
          <w:instrText xml:space="preserve"> PAGEREF _Toc34208318 \h </w:instrText>
        </w:r>
        <w:r w:rsidR="008A47AC">
          <w:rPr>
            <w:noProof/>
            <w:webHidden/>
          </w:rPr>
        </w:r>
        <w:r w:rsidR="008A47AC">
          <w:rPr>
            <w:noProof/>
            <w:webHidden/>
          </w:rPr>
          <w:fldChar w:fldCharType="separate"/>
        </w:r>
        <w:r w:rsidR="00E57BFA">
          <w:rPr>
            <w:noProof/>
            <w:webHidden/>
          </w:rPr>
          <w:t>- 83 -</w:t>
        </w:r>
        <w:r w:rsidR="008A47AC">
          <w:rPr>
            <w:noProof/>
            <w:webHidden/>
          </w:rPr>
          <w:fldChar w:fldCharType="end"/>
        </w:r>
      </w:hyperlink>
    </w:p>
    <w:p w14:paraId="644067D8" w14:textId="1D191AD0" w:rsidR="008A47AC" w:rsidRDefault="007B378B">
      <w:pPr>
        <w:pStyle w:val="TOC3"/>
        <w:tabs>
          <w:tab w:val="right" w:leader="dot" w:pos="9016"/>
        </w:tabs>
        <w:rPr>
          <w:rFonts w:eastAsiaTheme="minorEastAsia"/>
          <w:noProof/>
          <w:lang w:eastAsia="en-GB"/>
        </w:rPr>
      </w:pPr>
      <w:hyperlink w:anchor="_Toc34208319" w:history="1">
        <w:r w:rsidR="008A47AC" w:rsidRPr="00793E8D">
          <w:rPr>
            <w:rStyle w:val="Hyperlink"/>
            <w:rFonts w:ascii="Arial" w:hAnsi="Arial" w:cs="Arial"/>
            <w:noProof/>
            <w:lang w:val="en-US"/>
          </w:rPr>
          <w:t>2.2.9 Protein analysis</w:t>
        </w:r>
        <w:r w:rsidR="008A47AC">
          <w:rPr>
            <w:noProof/>
            <w:webHidden/>
          </w:rPr>
          <w:tab/>
        </w:r>
        <w:r w:rsidR="008A47AC">
          <w:rPr>
            <w:noProof/>
            <w:webHidden/>
          </w:rPr>
          <w:fldChar w:fldCharType="begin"/>
        </w:r>
        <w:r w:rsidR="008A47AC">
          <w:rPr>
            <w:noProof/>
            <w:webHidden/>
          </w:rPr>
          <w:instrText xml:space="preserve"> PAGEREF _Toc34208319 \h </w:instrText>
        </w:r>
        <w:r w:rsidR="008A47AC">
          <w:rPr>
            <w:noProof/>
            <w:webHidden/>
          </w:rPr>
        </w:r>
        <w:r w:rsidR="008A47AC">
          <w:rPr>
            <w:noProof/>
            <w:webHidden/>
          </w:rPr>
          <w:fldChar w:fldCharType="separate"/>
        </w:r>
        <w:r w:rsidR="00E57BFA">
          <w:rPr>
            <w:noProof/>
            <w:webHidden/>
          </w:rPr>
          <w:t>- 85 -</w:t>
        </w:r>
        <w:r w:rsidR="008A47AC">
          <w:rPr>
            <w:noProof/>
            <w:webHidden/>
          </w:rPr>
          <w:fldChar w:fldCharType="end"/>
        </w:r>
      </w:hyperlink>
    </w:p>
    <w:p w14:paraId="15DCA9AE" w14:textId="4680C177" w:rsidR="008A47AC" w:rsidRDefault="007B378B">
      <w:pPr>
        <w:pStyle w:val="TOC4"/>
        <w:tabs>
          <w:tab w:val="right" w:leader="dot" w:pos="9016"/>
        </w:tabs>
        <w:rPr>
          <w:rFonts w:eastAsiaTheme="minorEastAsia"/>
          <w:noProof/>
          <w:lang w:eastAsia="en-GB"/>
        </w:rPr>
      </w:pPr>
      <w:hyperlink w:anchor="_Toc34208320" w:history="1">
        <w:r w:rsidR="008A47AC" w:rsidRPr="00793E8D">
          <w:rPr>
            <w:rStyle w:val="Hyperlink"/>
            <w:rFonts w:ascii="Arial" w:hAnsi="Arial" w:cs="Arial"/>
            <w:noProof/>
            <w:lang w:val="en-US"/>
          </w:rPr>
          <w:t>2.2.9.1 Preparation of cell lysates</w:t>
        </w:r>
        <w:r w:rsidR="008A47AC">
          <w:rPr>
            <w:noProof/>
            <w:webHidden/>
          </w:rPr>
          <w:tab/>
        </w:r>
        <w:r w:rsidR="008A47AC">
          <w:rPr>
            <w:noProof/>
            <w:webHidden/>
          </w:rPr>
          <w:fldChar w:fldCharType="begin"/>
        </w:r>
        <w:r w:rsidR="008A47AC">
          <w:rPr>
            <w:noProof/>
            <w:webHidden/>
          </w:rPr>
          <w:instrText xml:space="preserve"> PAGEREF _Toc34208320 \h </w:instrText>
        </w:r>
        <w:r w:rsidR="008A47AC">
          <w:rPr>
            <w:noProof/>
            <w:webHidden/>
          </w:rPr>
        </w:r>
        <w:r w:rsidR="008A47AC">
          <w:rPr>
            <w:noProof/>
            <w:webHidden/>
          </w:rPr>
          <w:fldChar w:fldCharType="separate"/>
        </w:r>
        <w:r w:rsidR="00E57BFA">
          <w:rPr>
            <w:noProof/>
            <w:webHidden/>
          </w:rPr>
          <w:t>- 85 -</w:t>
        </w:r>
        <w:r w:rsidR="008A47AC">
          <w:rPr>
            <w:noProof/>
            <w:webHidden/>
          </w:rPr>
          <w:fldChar w:fldCharType="end"/>
        </w:r>
      </w:hyperlink>
    </w:p>
    <w:p w14:paraId="4D663461" w14:textId="6BF47E03" w:rsidR="008A47AC" w:rsidRDefault="007B378B">
      <w:pPr>
        <w:pStyle w:val="TOC4"/>
        <w:tabs>
          <w:tab w:val="right" w:leader="dot" w:pos="9016"/>
        </w:tabs>
        <w:rPr>
          <w:rFonts w:eastAsiaTheme="minorEastAsia"/>
          <w:noProof/>
          <w:lang w:eastAsia="en-GB"/>
        </w:rPr>
      </w:pPr>
      <w:hyperlink w:anchor="_Toc34208321" w:history="1">
        <w:r w:rsidR="008A47AC" w:rsidRPr="00793E8D">
          <w:rPr>
            <w:rStyle w:val="Hyperlink"/>
            <w:rFonts w:ascii="Arial" w:hAnsi="Arial" w:cs="Arial"/>
            <w:bCs/>
            <w:noProof/>
            <w:lang w:val="en-US"/>
          </w:rPr>
          <w:t>2.2.9.2 Immunoblotting</w:t>
        </w:r>
        <w:r w:rsidR="008A47AC">
          <w:rPr>
            <w:noProof/>
            <w:webHidden/>
          </w:rPr>
          <w:tab/>
        </w:r>
        <w:r w:rsidR="008A47AC">
          <w:rPr>
            <w:noProof/>
            <w:webHidden/>
          </w:rPr>
          <w:fldChar w:fldCharType="begin"/>
        </w:r>
        <w:r w:rsidR="008A47AC">
          <w:rPr>
            <w:noProof/>
            <w:webHidden/>
          </w:rPr>
          <w:instrText xml:space="preserve"> PAGEREF _Toc34208321 \h </w:instrText>
        </w:r>
        <w:r w:rsidR="008A47AC">
          <w:rPr>
            <w:noProof/>
            <w:webHidden/>
          </w:rPr>
        </w:r>
        <w:r w:rsidR="008A47AC">
          <w:rPr>
            <w:noProof/>
            <w:webHidden/>
          </w:rPr>
          <w:fldChar w:fldCharType="separate"/>
        </w:r>
        <w:r w:rsidR="00E57BFA">
          <w:rPr>
            <w:noProof/>
            <w:webHidden/>
          </w:rPr>
          <w:t>- 85 -</w:t>
        </w:r>
        <w:r w:rsidR="008A47AC">
          <w:rPr>
            <w:noProof/>
            <w:webHidden/>
          </w:rPr>
          <w:fldChar w:fldCharType="end"/>
        </w:r>
      </w:hyperlink>
    </w:p>
    <w:p w14:paraId="64F4419B" w14:textId="2F389B8D" w:rsidR="008A47AC" w:rsidRDefault="007B378B">
      <w:pPr>
        <w:pStyle w:val="TOC4"/>
        <w:tabs>
          <w:tab w:val="right" w:leader="dot" w:pos="9016"/>
        </w:tabs>
        <w:rPr>
          <w:rFonts w:eastAsiaTheme="minorEastAsia"/>
          <w:noProof/>
          <w:lang w:eastAsia="en-GB"/>
        </w:rPr>
      </w:pPr>
      <w:hyperlink w:anchor="_Toc34208322" w:history="1">
        <w:r w:rsidR="008A47AC" w:rsidRPr="00793E8D">
          <w:rPr>
            <w:rStyle w:val="Hyperlink"/>
            <w:rFonts w:ascii="Arial" w:hAnsi="Arial" w:cs="Arial"/>
            <w:noProof/>
            <w:lang w:val="en-US"/>
          </w:rPr>
          <w:t>2.2.9.3 Densitometric analysis of immunoblots</w:t>
        </w:r>
        <w:r w:rsidR="008A47AC">
          <w:rPr>
            <w:noProof/>
            <w:webHidden/>
          </w:rPr>
          <w:tab/>
        </w:r>
        <w:r w:rsidR="008A47AC">
          <w:rPr>
            <w:noProof/>
            <w:webHidden/>
          </w:rPr>
          <w:fldChar w:fldCharType="begin"/>
        </w:r>
        <w:r w:rsidR="008A47AC">
          <w:rPr>
            <w:noProof/>
            <w:webHidden/>
          </w:rPr>
          <w:instrText xml:space="preserve"> PAGEREF _Toc34208322 \h </w:instrText>
        </w:r>
        <w:r w:rsidR="008A47AC">
          <w:rPr>
            <w:noProof/>
            <w:webHidden/>
          </w:rPr>
        </w:r>
        <w:r w:rsidR="008A47AC">
          <w:rPr>
            <w:noProof/>
            <w:webHidden/>
          </w:rPr>
          <w:fldChar w:fldCharType="separate"/>
        </w:r>
        <w:r w:rsidR="00E57BFA">
          <w:rPr>
            <w:noProof/>
            <w:webHidden/>
          </w:rPr>
          <w:t>- 87 -</w:t>
        </w:r>
        <w:r w:rsidR="008A47AC">
          <w:rPr>
            <w:noProof/>
            <w:webHidden/>
          </w:rPr>
          <w:fldChar w:fldCharType="end"/>
        </w:r>
      </w:hyperlink>
    </w:p>
    <w:p w14:paraId="0985C562" w14:textId="014B5EDD" w:rsidR="008A47AC" w:rsidRDefault="007B378B">
      <w:pPr>
        <w:pStyle w:val="TOC4"/>
        <w:tabs>
          <w:tab w:val="right" w:leader="dot" w:pos="9016"/>
        </w:tabs>
        <w:rPr>
          <w:rFonts w:eastAsiaTheme="minorEastAsia"/>
          <w:noProof/>
          <w:lang w:eastAsia="en-GB"/>
        </w:rPr>
      </w:pPr>
      <w:hyperlink w:anchor="_Toc34208323" w:history="1">
        <w:r w:rsidR="008A47AC" w:rsidRPr="00793E8D">
          <w:rPr>
            <w:rStyle w:val="Hyperlink"/>
            <w:rFonts w:ascii="Arial" w:hAnsi="Arial" w:cs="Arial"/>
            <w:noProof/>
            <w:lang w:val="en-US"/>
          </w:rPr>
          <w:t xml:space="preserve">2.2.9.4 Immunofluorescence of </w:t>
        </w:r>
        <w:r w:rsidR="008A47AC" w:rsidRPr="00793E8D">
          <w:rPr>
            <w:rStyle w:val="Hyperlink"/>
            <w:rFonts w:ascii="Arial" w:hAnsi="Arial" w:cs="Arial"/>
            <w:noProof/>
            <w:shd w:val="clear" w:color="auto" w:fill="FFFFFF"/>
            <w:lang w:val="en-US"/>
          </w:rPr>
          <w:t>αSMA</w:t>
        </w:r>
        <w:r w:rsidR="008A47AC" w:rsidRPr="00793E8D">
          <w:rPr>
            <w:rStyle w:val="Hyperlink"/>
            <w:rFonts w:ascii="Arial" w:hAnsi="Arial" w:cs="Arial"/>
            <w:noProof/>
            <w:lang w:val="en-US"/>
          </w:rPr>
          <w:t xml:space="preserve"> staining</w:t>
        </w:r>
        <w:r w:rsidR="008A47AC">
          <w:rPr>
            <w:noProof/>
            <w:webHidden/>
          </w:rPr>
          <w:tab/>
        </w:r>
        <w:r w:rsidR="008A47AC">
          <w:rPr>
            <w:noProof/>
            <w:webHidden/>
          </w:rPr>
          <w:fldChar w:fldCharType="begin"/>
        </w:r>
        <w:r w:rsidR="008A47AC">
          <w:rPr>
            <w:noProof/>
            <w:webHidden/>
          </w:rPr>
          <w:instrText xml:space="preserve"> PAGEREF _Toc34208323 \h </w:instrText>
        </w:r>
        <w:r w:rsidR="008A47AC">
          <w:rPr>
            <w:noProof/>
            <w:webHidden/>
          </w:rPr>
        </w:r>
        <w:r w:rsidR="008A47AC">
          <w:rPr>
            <w:noProof/>
            <w:webHidden/>
          </w:rPr>
          <w:fldChar w:fldCharType="separate"/>
        </w:r>
        <w:r w:rsidR="00E57BFA">
          <w:rPr>
            <w:noProof/>
            <w:webHidden/>
          </w:rPr>
          <w:t>- 87 -</w:t>
        </w:r>
        <w:r w:rsidR="008A47AC">
          <w:rPr>
            <w:noProof/>
            <w:webHidden/>
          </w:rPr>
          <w:fldChar w:fldCharType="end"/>
        </w:r>
      </w:hyperlink>
    </w:p>
    <w:p w14:paraId="6BF1ED8E" w14:textId="1298A351" w:rsidR="008A47AC" w:rsidRDefault="007B378B">
      <w:pPr>
        <w:pStyle w:val="TOC4"/>
        <w:tabs>
          <w:tab w:val="right" w:leader="dot" w:pos="9016"/>
        </w:tabs>
        <w:rPr>
          <w:rFonts w:eastAsiaTheme="minorEastAsia"/>
          <w:noProof/>
          <w:lang w:eastAsia="en-GB"/>
        </w:rPr>
      </w:pPr>
      <w:hyperlink w:anchor="_Toc34208324" w:history="1">
        <w:r w:rsidR="008A47AC" w:rsidRPr="00793E8D">
          <w:rPr>
            <w:rStyle w:val="Hyperlink"/>
            <w:rFonts w:ascii="Arial" w:hAnsi="Arial" w:cs="Arial"/>
            <w:noProof/>
            <w:lang w:val="en-US"/>
          </w:rPr>
          <w:t>2.2.9.5 Immunohistochemical analysis</w:t>
        </w:r>
        <w:r w:rsidR="008A47AC">
          <w:rPr>
            <w:noProof/>
            <w:webHidden/>
          </w:rPr>
          <w:tab/>
        </w:r>
        <w:r w:rsidR="008A47AC">
          <w:rPr>
            <w:noProof/>
            <w:webHidden/>
          </w:rPr>
          <w:fldChar w:fldCharType="begin"/>
        </w:r>
        <w:r w:rsidR="008A47AC">
          <w:rPr>
            <w:noProof/>
            <w:webHidden/>
          </w:rPr>
          <w:instrText xml:space="preserve"> PAGEREF _Toc34208324 \h </w:instrText>
        </w:r>
        <w:r w:rsidR="008A47AC">
          <w:rPr>
            <w:noProof/>
            <w:webHidden/>
          </w:rPr>
        </w:r>
        <w:r w:rsidR="008A47AC">
          <w:rPr>
            <w:noProof/>
            <w:webHidden/>
          </w:rPr>
          <w:fldChar w:fldCharType="separate"/>
        </w:r>
        <w:r w:rsidR="00E57BFA">
          <w:rPr>
            <w:noProof/>
            <w:webHidden/>
          </w:rPr>
          <w:t>- 88 -</w:t>
        </w:r>
        <w:r w:rsidR="008A47AC">
          <w:rPr>
            <w:noProof/>
            <w:webHidden/>
          </w:rPr>
          <w:fldChar w:fldCharType="end"/>
        </w:r>
      </w:hyperlink>
    </w:p>
    <w:p w14:paraId="3B336030" w14:textId="0CCE8A13" w:rsidR="008A47AC" w:rsidRDefault="007B378B">
      <w:pPr>
        <w:pStyle w:val="TOC4"/>
        <w:tabs>
          <w:tab w:val="right" w:leader="dot" w:pos="9016"/>
        </w:tabs>
        <w:rPr>
          <w:rFonts w:eastAsiaTheme="minorEastAsia"/>
          <w:noProof/>
          <w:lang w:eastAsia="en-GB"/>
        </w:rPr>
      </w:pPr>
      <w:hyperlink w:anchor="_Toc34208325" w:history="1">
        <w:r w:rsidR="008A47AC" w:rsidRPr="00793E8D">
          <w:rPr>
            <w:rStyle w:val="Hyperlink"/>
            <w:rFonts w:ascii="Arial" w:hAnsi="Arial" w:cs="Arial"/>
            <w:noProof/>
          </w:rPr>
          <w:t>2.2.9.6 DAB staining optical density quantification using ImageJ</w:t>
        </w:r>
        <w:r w:rsidR="008A47AC">
          <w:rPr>
            <w:noProof/>
            <w:webHidden/>
          </w:rPr>
          <w:tab/>
        </w:r>
        <w:r w:rsidR="008A47AC">
          <w:rPr>
            <w:noProof/>
            <w:webHidden/>
          </w:rPr>
          <w:fldChar w:fldCharType="begin"/>
        </w:r>
        <w:r w:rsidR="008A47AC">
          <w:rPr>
            <w:noProof/>
            <w:webHidden/>
          </w:rPr>
          <w:instrText xml:space="preserve"> PAGEREF _Toc34208325 \h </w:instrText>
        </w:r>
        <w:r w:rsidR="008A47AC">
          <w:rPr>
            <w:noProof/>
            <w:webHidden/>
          </w:rPr>
        </w:r>
        <w:r w:rsidR="008A47AC">
          <w:rPr>
            <w:noProof/>
            <w:webHidden/>
          </w:rPr>
          <w:fldChar w:fldCharType="separate"/>
        </w:r>
        <w:r w:rsidR="00E57BFA">
          <w:rPr>
            <w:noProof/>
            <w:webHidden/>
          </w:rPr>
          <w:t>- 89 -</w:t>
        </w:r>
        <w:r w:rsidR="008A47AC">
          <w:rPr>
            <w:noProof/>
            <w:webHidden/>
          </w:rPr>
          <w:fldChar w:fldCharType="end"/>
        </w:r>
      </w:hyperlink>
    </w:p>
    <w:p w14:paraId="3CFDF82A" w14:textId="3C7EE8F7" w:rsidR="008A47AC" w:rsidRDefault="007B378B">
      <w:pPr>
        <w:pStyle w:val="TOC4"/>
        <w:tabs>
          <w:tab w:val="right" w:leader="dot" w:pos="9016"/>
        </w:tabs>
        <w:rPr>
          <w:rFonts w:eastAsiaTheme="minorEastAsia"/>
          <w:noProof/>
          <w:lang w:eastAsia="en-GB"/>
        </w:rPr>
      </w:pPr>
      <w:hyperlink w:anchor="_Toc34208326" w:history="1">
        <w:r w:rsidR="008A47AC" w:rsidRPr="00793E8D">
          <w:rPr>
            <w:rStyle w:val="Hyperlink"/>
            <w:rFonts w:ascii="Arial" w:hAnsi="Arial" w:cs="Arial"/>
            <w:noProof/>
          </w:rPr>
          <w:t>2.2.9.7 Zymography</w:t>
        </w:r>
        <w:r w:rsidR="008A47AC">
          <w:rPr>
            <w:noProof/>
            <w:webHidden/>
          </w:rPr>
          <w:tab/>
        </w:r>
        <w:r w:rsidR="008A47AC">
          <w:rPr>
            <w:noProof/>
            <w:webHidden/>
          </w:rPr>
          <w:fldChar w:fldCharType="begin"/>
        </w:r>
        <w:r w:rsidR="008A47AC">
          <w:rPr>
            <w:noProof/>
            <w:webHidden/>
          </w:rPr>
          <w:instrText xml:space="preserve"> PAGEREF _Toc34208326 \h </w:instrText>
        </w:r>
        <w:r w:rsidR="008A47AC">
          <w:rPr>
            <w:noProof/>
            <w:webHidden/>
          </w:rPr>
        </w:r>
        <w:r w:rsidR="008A47AC">
          <w:rPr>
            <w:noProof/>
            <w:webHidden/>
          </w:rPr>
          <w:fldChar w:fldCharType="separate"/>
        </w:r>
        <w:r w:rsidR="00E57BFA">
          <w:rPr>
            <w:noProof/>
            <w:webHidden/>
          </w:rPr>
          <w:t>- 90 -</w:t>
        </w:r>
        <w:r w:rsidR="008A47AC">
          <w:rPr>
            <w:noProof/>
            <w:webHidden/>
          </w:rPr>
          <w:fldChar w:fldCharType="end"/>
        </w:r>
      </w:hyperlink>
    </w:p>
    <w:p w14:paraId="76263E38" w14:textId="2BCC25C8" w:rsidR="008A47AC" w:rsidRDefault="007B378B">
      <w:pPr>
        <w:pStyle w:val="TOC5"/>
        <w:rPr>
          <w:rFonts w:eastAsiaTheme="minorEastAsia"/>
          <w:noProof/>
          <w:lang w:eastAsia="en-GB"/>
        </w:rPr>
      </w:pPr>
      <w:hyperlink w:anchor="_Toc34208327" w:history="1">
        <w:r w:rsidR="008A47AC" w:rsidRPr="00793E8D">
          <w:rPr>
            <w:rStyle w:val="Hyperlink"/>
            <w:rFonts w:ascii="Arial" w:hAnsi="Arial" w:cs="Arial"/>
            <w:iCs/>
            <w:noProof/>
            <w:lang w:val="en-US"/>
          </w:rPr>
          <w:t>2.2.9.7.1 Gel preparation</w:t>
        </w:r>
        <w:r w:rsidR="008A47AC">
          <w:rPr>
            <w:noProof/>
            <w:webHidden/>
          </w:rPr>
          <w:tab/>
        </w:r>
        <w:r w:rsidR="008A47AC">
          <w:rPr>
            <w:noProof/>
            <w:webHidden/>
          </w:rPr>
          <w:fldChar w:fldCharType="begin"/>
        </w:r>
        <w:r w:rsidR="008A47AC">
          <w:rPr>
            <w:noProof/>
            <w:webHidden/>
          </w:rPr>
          <w:instrText xml:space="preserve"> PAGEREF _Toc34208327 \h </w:instrText>
        </w:r>
        <w:r w:rsidR="008A47AC">
          <w:rPr>
            <w:noProof/>
            <w:webHidden/>
          </w:rPr>
        </w:r>
        <w:r w:rsidR="008A47AC">
          <w:rPr>
            <w:noProof/>
            <w:webHidden/>
          </w:rPr>
          <w:fldChar w:fldCharType="separate"/>
        </w:r>
        <w:r w:rsidR="00E57BFA">
          <w:rPr>
            <w:noProof/>
            <w:webHidden/>
          </w:rPr>
          <w:t>- 90 -</w:t>
        </w:r>
        <w:r w:rsidR="008A47AC">
          <w:rPr>
            <w:noProof/>
            <w:webHidden/>
          </w:rPr>
          <w:fldChar w:fldCharType="end"/>
        </w:r>
      </w:hyperlink>
    </w:p>
    <w:p w14:paraId="342DD7D1" w14:textId="08CAC3F4" w:rsidR="008A47AC" w:rsidRDefault="007B378B">
      <w:pPr>
        <w:pStyle w:val="TOC5"/>
        <w:rPr>
          <w:rFonts w:eastAsiaTheme="minorEastAsia"/>
          <w:noProof/>
          <w:lang w:eastAsia="en-GB"/>
        </w:rPr>
      </w:pPr>
      <w:hyperlink w:anchor="_Toc34208328" w:history="1">
        <w:r w:rsidR="008A47AC" w:rsidRPr="00793E8D">
          <w:rPr>
            <w:rStyle w:val="Hyperlink"/>
            <w:rFonts w:ascii="Arial" w:hAnsi="Arial" w:cs="Arial"/>
            <w:iCs/>
            <w:noProof/>
            <w:lang w:val="en-US"/>
          </w:rPr>
          <w:t>2.2.9.7.2 Gel washing and staining</w:t>
        </w:r>
        <w:r w:rsidR="008A47AC">
          <w:rPr>
            <w:noProof/>
            <w:webHidden/>
          </w:rPr>
          <w:tab/>
        </w:r>
        <w:r w:rsidR="008A47AC">
          <w:rPr>
            <w:noProof/>
            <w:webHidden/>
          </w:rPr>
          <w:fldChar w:fldCharType="begin"/>
        </w:r>
        <w:r w:rsidR="008A47AC">
          <w:rPr>
            <w:noProof/>
            <w:webHidden/>
          </w:rPr>
          <w:instrText xml:space="preserve"> PAGEREF _Toc34208328 \h </w:instrText>
        </w:r>
        <w:r w:rsidR="008A47AC">
          <w:rPr>
            <w:noProof/>
            <w:webHidden/>
          </w:rPr>
        </w:r>
        <w:r w:rsidR="008A47AC">
          <w:rPr>
            <w:noProof/>
            <w:webHidden/>
          </w:rPr>
          <w:fldChar w:fldCharType="separate"/>
        </w:r>
        <w:r w:rsidR="00E57BFA">
          <w:rPr>
            <w:noProof/>
            <w:webHidden/>
          </w:rPr>
          <w:t>- 91 -</w:t>
        </w:r>
        <w:r w:rsidR="008A47AC">
          <w:rPr>
            <w:noProof/>
            <w:webHidden/>
          </w:rPr>
          <w:fldChar w:fldCharType="end"/>
        </w:r>
      </w:hyperlink>
    </w:p>
    <w:p w14:paraId="5DBD2EF0" w14:textId="61926712" w:rsidR="008A47AC" w:rsidRDefault="007B378B">
      <w:pPr>
        <w:pStyle w:val="TOC3"/>
        <w:tabs>
          <w:tab w:val="right" w:leader="dot" w:pos="9016"/>
        </w:tabs>
        <w:rPr>
          <w:rFonts w:eastAsiaTheme="minorEastAsia"/>
          <w:noProof/>
          <w:lang w:eastAsia="en-GB"/>
        </w:rPr>
      </w:pPr>
      <w:hyperlink w:anchor="_Toc34208329" w:history="1">
        <w:r w:rsidR="008A47AC" w:rsidRPr="00793E8D">
          <w:rPr>
            <w:rStyle w:val="Hyperlink"/>
            <w:rFonts w:ascii="Arial" w:hAnsi="Arial" w:cs="Arial"/>
            <w:noProof/>
            <w:lang w:val="en-US"/>
          </w:rPr>
          <w:t xml:space="preserve">2.2.10 Matrix </w:t>
        </w:r>
        <w:r w:rsidR="008A47AC" w:rsidRPr="00793E8D">
          <w:rPr>
            <w:rStyle w:val="Hyperlink"/>
            <w:rFonts w:ascii="Arial" w:hAnsi="Arial" w:cs="Arial"/>
            <w:noProof/>
          </w:rPr>
          <w:t>characterisation</w:t>
        </w:r>
        <w:r w:rsidR="008A47AC">
          <w:rPr>
            <w:noProof/>
            <w:webHidden/>
          </w:rPr>
          <w:tab/>
        </w:r>
        <w:r w:rsidR="008A47AC">
          <w:rPr>
            <w:noProof/>
            <w:webHidden/>
          </w:rPr>
          <w:fldChar w:fldCharType="begin"/>
        </w:r>
        <w:r w:rsidR="008A47AC">
          <w:rPr>
            <w:noProof/>
            <w:webHidden/>
          </w:rPr>
          <w:instrText xml:space="preserve"> PAGEREF _Toc34208329 \h </w:instrText>
        </w:r>
        <w:r w:rsidR="008A47AC">
          <w:rPr>
            <w:noProof/>
            <w:webHidden/>
          </w:rPr>
        </w:r>
        <w:r w:rsidR="008A47AC">
          <w:rPr>
            <w:noProof/>
            <w:webHidden/>
          </w:rPr>
          <w:fldChar w:fldCharType="separate"/>
        </w:r>
        <w:r w:rsidR="00E57BFA">
          <w:rPr>
            <w:noProof/>
            <w:webHidden/>
          </w:rPr>
          <w:t>- 92 -</w:t>
        </w:r>
        <w:r w:rsidR="008A47AC">
          <w:rPr>
            <w:noProof/>
            <w:webHidden/>
          </w:rPr>
          <w:fldChar w:fldCharType="end"/>
        </w:r>
      </w:hyperlink>
    </w:p>
    <w:p w14:paraId="3DBE8800" w14:textId="4AC9076D" w:rsidR="008A47AC" w:rsidRDefault="007B378B">
      <w:pPr>
        <w:pStyle w:val="TOC4"/>
        <w:tabs>
          <w:tab w:val="right" w:leader="dot" w:pos="9016"/>
        </w:tabs>
        <w:rPr>
          <w:rFonts w:eastAsiaTheme="minorEastAsia"/>
          <w:noProof/>
          <w:lang w:eastAsia="en-GB"/>
        </w:rPr>
      </w:pPr>
      <w:hyperlink w:anchor="_Toc34208330" w:history="1">
        <w:r w:rsidR="008A47AC" w:rsidRPr="00793E8D">
          <w:rPr>
            <w:rStyle w:val="Hyperlink"/>
            <w:rFonts w:ascii="Arial" w:hAnsi="Arial" w:cs="Arial"/>
            <w:noProof/>
            <w:lang w:val="en-US"/>
          </w:rPr>
          <w:t>2.2.10.1 Trans-epithelial electrical resistance</w:t>
        </w:r>
        <w:r w:rsidR="008A47AC">
          <w:rPr>
            <w:noProof/>
            <w:webHidden/>
          </w:rPr>
          <w:tab/>
        </w:r>
        <w:r w:rsidR="008A47AC">
          <w:rPr>
            <w:noProof/>
            <w:webHidden/>
          </w:rPr>
          <w:fldChar w:fldCharType="begin"/>
        </w:r>
        <w:r w:rsidR="008A47AC">
          <w:rPr>
            <w:noProof/>
            <w:webHidden/>
          </w:rPr>
          <w:instrText xml:space="preserve"> PAGEREF _Toc34208330 \h </w:instrText>
        </w:r>
        <w:r w:rsidR="008A47AC">
          <w:rPr>
            <w:noProof/>
            <w:webHidden/>
          </w:rPr>
        </w:r>
        <w:r w:rsidR="008A47AC">
          <w:rPr>
            <w:noProof/>
            <w:webHidden/>
          </w:rPr>
          <w:fldChar w:fldCharType="separate"/>
        </w:r>
        <w:r w:rsidR="00E57BFA">
          <w:rPr>
            <w:noProof/>
            <w:webHidden/>
          </w:rPr>
          <w:t>- 92 -</w:t>
        </w:r>
        <w:r w:rsidR="008A47AC">
          <w:rPr>
            <w:noProof/>
            <w:webHidden/>
          </w:rPr>
          <w:fldChar w:fldCharType="end"/>
        </w:r>
      </w:hyperlink>
    </w:p>
    <w:p w14:paraId="51744788" w14:textId="2473EF35" w:rsidR="008A47AC" w:rsidRDefault="007B378B">
      <w:pPr>
        <w:pStyle w:val="TOC4"/>
        <w:tabs>
          <w:tab w:val="right" w:leader="dot" w:pos="9016"/>
        </w:tabs>
        <w:rPr>
          <w:rFonts w:eastAsiaTheme="minorEastAsia"/>
          <w:noProof/>
          <w:lang w:eastAsia="en-GB"/>
        </w:rPr>
      </w:pPr>
      <w:hyperlink w:anchor="_Toc34208331" w:history="1">
        <w:r w:rsidR="008A47AC" w:rsidRPr="00793E8D">
          <w:rPr>
            <w:rStyle w:val="Hyperlink"/>
            <w:rFonts w:ascii="Arial" w:hAnsi="Arial" w:cs="Arial"/>
            <w:noProof/>
          </w:rPr>
          <w:t>2.2.10.2 PrestoBlue® cell metabolism assay</w:t>
        </w:r>
        <w:r w:rsidR="008A47AC">
          <w:rPr>
            <w:noProof/>
            <w:webHidden/>
          </w:rPr>
          <w:tab/>
        </w:r>
        <w:r w:rsidR="008A47AC">
          <w:rPr>
            <w:noProof/>
            <w:webHidden/>
          </w:rPr>
          <w:fldChar w:fldCharType="begin"/>
        </w:r>
        <w:r w:rsidR="008A47AC">
          <w:rPr>
            <w:noProof/>
            <w:webHidden/>
          </w:rPr>
          <w:instrText xml:space="preserve"> PAGEREF _Toc34208331 \h </w:instrText>
        </w:r>
        <w:r w:rsidR="008A47AC">
          <w:rPr>
            <w:noProof/>
            <w:webHidden/>
          </w:rPr>
        </w:r>
        <w:r w:rsidR="008A47AC">
          <w:rPr>
            <w:noProof/>
            <w:webHidden/>
          </w:rPr>
          <w:fldChar w:fldCharType="separate"/>
        </w:r>
        <w:r w:rsidR="00E57BFA">
          <w:rPr>
            <w:noProof/>
            <w:webHidden/>
          </w:rPr>
          <w:t>- 94 -</w:t>
        </w:r>
        <w:r w:rsidR="008A47AC">
          <w:rPr>
            <w:noProof/>
            <w:webHidden/>
          </w:rPr>
          <w:fldChar w:fldCharType="end"/>
        </w:r>
      </w:hyperlink>
    </w:p>
    <w:p w14:paraId="74E91CF2" w14:textId="0B7F7B55" w:rsidR="008A47AC" w:rsidRDefault="007B378B">
      <w:pPr>
        <w:pStyle w:val="TOC4"/>
        <w:tabs>
          <w:tab w:val="right" w:leader="dot" w:pos="9016"/>
        </w:tabs>
        <w:rPr>
          <w:rFonts w:eastAsiaTheme="minorEastAsia"/>
          <w:noProof/>
          <w:lang w:eastAsia="en-GB"/>
        </w:rPr>
      </w:pPr>
      <w:hyperlink w:anchor="_Toc34208332" w:history="1">
        <w:r w:rsidR="008A47AC" w:rsidRPr="00793E8D">
          <w:rPr>
            <w:rStyle w:val="Hyperlink"/>
            <w:rFonts w:ascii="Arial" w:hAnsi="Arial" w:cs="Arial"/>
            <w:noProof/>
          </w:rPr>
          <w:t>2.2.10.3 Fibroblast-derived matrices thickness measurements</w:t>
        </w:r>
        <w:r w:rsidR="008A47AC">
          <w:rPr>
            <w:noProof/>
            <w:webHidden/>
          </w:rPr>
          <w:tab/>
        </w:r>
        <w:r w:rsidR="008A47AC">
          <w:rPr>
            <w:noProof/>
            <w:webHidden/>
          </w:rPr>
          <w:fldChar w:fldCharType="begin"/>
        </w:r>
        <w:r w:rsidR="008A47AC">
          <w:rPr>
            <w:noProof/>
            <w:webHidden/>
          </w:rPr>
          <w:instrText xml:space="preserve"> PAGEREF _Toc34208332 \h </w:instrText>
        </w:r>
        <w:r w:rsidR="008A47AC">
          <w:rPr>
            <w:noProof/>
            <w:webHidden/>
          </w:rPr>
        </w:r>
        <w:r w:rsidR="008A47AC">
          <w:rPr>
            <w:noProof/>
            <w:webHidden/>
          </w:rPr>
          <w:fldChar w:fldCharType="separate"/>
        </w:r>
        <w:r w:rsidR="00E57BFA">
          <w:rPr>
            <w:noProof/>
            <w:webHidden/>
          </w:rPr>
          <w:t>- 94 -</w:t>
        </w:r>
        <w:r w:rsidR="008A47AC">
          <w:rPr>
            <w:noProof/>
            <w:webHidden/>
          </w:rPr>
          <w:fldChar w:fldCharType="end"/>
        </w:r>
      </w:hyperlink>
    </w:p>
    <w:p w14:paraId="2E086960" w14:textId="21DF0EC1" w:rsidR="008A47AC" w:rsidRDefault="007B378B">
      <w:pPr>
        <w:pStyle w:val="TOC4"/>
        <w:tabs>
          <w:tab w:val="right" w:leader="dot" w:pos="9016"/>
        </w:tabs>
        <w:rPr>
          <w:rFonts w:eastAsiaTheme="minorEastAsia"/>
          <w:noProof/>
          <w:lang w:eastAsia="en-GB"/>
        </w:rPr>
      </w:pPr>
      <w:hyperlink w:anchor="_Toc34208333" w:history="1">
        <w:r w:rsidR="008A47AC" w:rsidRPr="00793E8D">
          <w:rPr>
            <w:rStyle w:val="Hyperlink"/>
            <w:rFonts w:ascii="Arial" w:hAnsi="Arial" w:cs="Arial"/>
            <w:bCs/>
            <w:noProof/>
          </w:rPr>
          <w:t>2.2.10.4 The effects of stromal inhibitors on FDM</w:t>
        </w:r>
        <w:r w:rsidR="008A47AC">
          <w:rPr>
            <w:noProof/>
            <w:webHidden/>
          </w:rPr>
          <w:tab/>
        </w:r>
        <w:r w:rsidR="008A47AC">
          <w:rPr>
            <w:noProof/>
            <w:webHidden/>
          </w:rPr>
          <w:fldChar w:fldCharType="begin"/>
        </w:r>
        <w:r w:rsidR="008A47AC">
          <w:rPr>
            <w:noProof/>
            <w:webHidden/>
          </w:rPr>
          <w:instrText xml:space="preserve"> PAGEREF _Toc34208333 \h </w:instrText>
        </w:r>
        <w:r w:rsidR="008A47AC">
          <w:rPr>
            <w:noProof/>
            <w:webHidden/>
          </w:rPr>
        </w:r>
        <w:r w:rsidR="008A47AC">
          <w:rPr>
            <w:noProof/>
            <w:webHidden/>
          </w:rPr>
          <w:fldChar w:fldCharType="separate"/>
        </w:r>
        <w:r w:rsidR="00E57BFA">
          <w:rPr>
            <w:noProof/>
            <w:webHidden/>
          </w:rPr>
          <w:t>- 95 -</w:t>
        </w:r>
        <w:r w:rsidR="008A47AC">
          <w:rPr>
            <w:noProof/>
            <w:webHidden/>
          </w:rPr>
          <w:fldChar w:fldCharType="end"/>
        </w:r>
      </w:hyperlink>
    </w:p>
    <w:p w14:paraId="13BF4C4A" w14:textId="5EF52C49" w:rsidR="008A47AC" w:rsidRDefault="007B378B">
      <w:pPr>
        <w:pStyle w:val="TOC3"/>
        <w:tabs>
          <w:tab w:val="right" w:leader="dot" w:pos="9016"/>
        </w:tabs>
        <w:rPr>
          <w:rFonts w:eastAsiaTheme="minorEastAsia"/>
          <w:noProof/>
          <w:lang w:eastAsia="en-GB"/>
        </w:rPr>
      </w:pPr>
      <w:hyperlink w:anchor="_Toc34208334" w:history="1">
        <w:r w:rsidR="008A47AC" w:rsidRPr="00793E8D">
          <w:rPr>
            <w:rStyle w:val="Hyperlink"/>
            <w:rFonts w:ascii="Arial" w:hAnsi="Arial" w:cs="Arial"/>
            <w:noProof/>
          </w:rPr>
          <w:t>2.2.11 Microscopy</w:t>
        </w:r>
        <w:r w:rsidR="008A47AC">
          <w:rPr>
            <w:noProof/>
            <w:webHidden/>
          </w:rPr>
          <w:tab/>
        </w:r>
        <w:r w:rsidR="008A47AC">
          <w:rPr>
            <w:noProof/>
            <w:webHidden/>
          </w:rPr>
          <w:fldChar w:fldCharType="begin"/>
        </w:r>
        <w:r w:rsidR="008A47AC">
          <w:rPr>
            <w:noProof/>
            <w:webHidden/>
          </w:rPr>
          <w:instrText xml:space="preserve"> PAGEREF _Toc34208334 \h </w:instrText>
        </w:r>
        <w:r w:rsidR="008A47AC">
          <w:rPr>
            <w:noProof/>
            <w:webHidden/>
          </w:rPr>
        </w:r>
        <w:r w:rsidR="008A47AC">
          <w:rPr>
            <w:noProof/>
            <w:webHidden/>
          </w:rPr>
          <w:fldChar w:fldCharType="separate"/>
        </w:r>
        <w:r w:rsidR="00E57BFA">
          <w:rPr>
            <w:noProof/>
            <w:webHidden/>
          </w:rPr>
          <w:t>- 95 -</w:t>
        </w:r>
        <w:r w:rsidR="008A47AC">
          <w:rPr>
            <w:noProof/>
            <w:webHidden/>
          </w:rPr>
          <w:fldChar w:fldCharType="end"/>
        </w:r>
      </w:hyperlink>
    </w:p>
    <w:p w14:paraId="2CDE6024" w14:textId="5E8E4AE7" w:rsidR="008A47AC" w:rsidRDefault="007B378B">
      <w:pPr>
        <w:pStyle w:val="TOC4"/>
        <w:tabs>
          <w:tab w:val="right" w:leader="dot" w:pos="9016"/>
        </w:tabs>
        <w:rPr>
          <w:rFonts w:eastAsiaTheme="minorEastAsia"/>
          <w:noProof/>
          <w:lang w:eastAsia="en-GB"/>
        </w:rPr>
      </w:pPr>
      <w:hyperlink w:anchor="_Toc34208335" w:history="1">
        <w:r w:rsidR="008A47AC" w:rsidRPr="00793E8D">
          <w:rPr>
            <w:rStyle w:val="Hyperlink"/>
            <w:rFonts w:ascii="Arial" w:hAnsi="Arial" w:cs="Arial"/>
            <w:noProof/>
          </w:rPr>
          <w:t>2.2.11.1 Light microscopy</w:t>
        </w:r>
        <w:r w:rsidR="008A47AC">
          <w:rPr>
            <w:noProof/>
            <w:webHidden/>
          </w:rPr>
          <w:tab/>
        </w:r>
        <w:r w:rsidR="008A47AC">
          <w:rPr>
            <w:noProof/>
            <w:webHidden/>
          </w:rPr>
          <w:fldChar w:fldCharType="begin"/>
        </w:r>
        <w:r w:rsidR="008A47AC">
          <w:rPr>
            <w:noProof/>
            <w:webHidden/>
          </w:rPr>
          <w:instrText xml:space="preserve"> PAGEREF _Toc34208335 \h </w:instrText>
        </w:r>
        <w:r w:rsidR="008A47AC">
          <w:rPr>
            <w:noProof/>
            <w:webHidden/>
          </w:rPr>
        </w:r>
        <w:r w:rsidR="008A47AC">
          <w:rPr>
            <w:noProof/>
            <w:webHidden/>
          </w:rPr>
          <w:fldChar w:fldCharType="separate"/>
        </w:r>
        <w:r w:rsidR="00E57BFA">
          <w:rPr>
            <w:noProof/>
            <w:webHidden/>
          </w:rPr>
          <w:t>- 95 -</w:t>
        </w:r>
        <w:r w:rsidR="008A47AC">
          <w:rPr>
            <w:noProof/>
            <w:webHidden/>
          </w:rPr>
          <w:fldChar w:fldCharType="end"/>
        </w:r>
      </w:hyperlink>
    </w:p>
    <w:p w14:paraId="6A1B13D3" w14:textId="0A409890" w:rsidR="008A47AC" w:rsidRDefault="007B378B">
      <w:pPr>
        <w:pStyle w:val="TOC4"/>
        <w:tabs>
          <w:tab w:val="right" w:leader="dot" w:pos="9016"/>
        </w:tabs>
        <w:rPr>
          <w:rFonts w:eastAsiaTheme="minorEastAsia"/>
          <w:noProof/>
          <w:lang w:eastAsia="en-GB"/>
        </w:rPr>
      </w:pPr>
      <w:hyperlink w:anchor="_Toc34208336" w:history="1">
        <w:r w:rsidR="008A47AC" w:rsidRPr="00793E8D">
          <w:rPr>
            <w:rStyle w:val="Hyperlink"/>
            <w:rFonts w:ascii="Arial" w:hAnsi="Arial" w:cs="Arial"/>
            <w:noProof/>
          </w:rPr>
          <w:t xml:space="preserve">2.2.11.2 </w:t>
        </w:r>
        <w:r w:rsidR="008A47AC" w:rsidRPr="00793E8D">
          <w:rPr>
            <w:rStyle w:val="Hyperlink"/>
            <w:rFonts w:ascii="Arial" w:hAnsi="Arial" w:cs="Arial"/>
            <w:noProof/>
            <w:lang w:val="en-US"/>
          </w:rPr>
          <w:t>Scanning electron microscopy</w:t>
        </w:r>
        <w:r w:rsidR="008A47AC">
          <w:rPr>
            <w:noProof/>
            <w:webHidden/>
          </w:rPr>
          <w:tab/>
        </w:r>
        <w:r w:rsidR="008A47AC">
          <w:rPr>
            <w:noProof/>
            <w:webHidden/>
          </w:rPr>
          <w:fldChar w:fldCharType="begin"/>
        </w:r>
        <w:r w:rsidR="008A47AC">
          <w:rPr>
            <w:noProof/>
            <w:webHidden/>
          </w:rPr>
          <w:instrText xml:space="preserve"> PAGEREF _Toc34208336 \h </w:instrText>
        </w:r>
        <w:r w:rsidR="008A47AC">
          <w:rPr>
            <w:noProof/>
            <w:webHidden/>
          </w:rPr>
        </w:r>
        <w:r w:rsidR="008A47AC">
          <w:rPr>
            <w:noProof/>
            <w:webHidden/>
          </w:rPr>
          <w:fldChar w:fldCharType="separate"/>
        </w:r>
        <w:r w:rsidR="00E57BFA">
          <w:rPr>
            <w:noProof/>
            <w:webHidden/>
          </w:rPr>
          <w:t>- 95 -</w:t>
        </w:r>
        <w:r w:rsidR="008A47AC">
          <w:rPr>
            <w:noProof/>
            <w:webHidden/>
          </w:rPr>
          <w:fldChar w:fldCharType="end"/>
        </w:r>
      </w:hyperlink>
    </w:p>
    <w:p w14:paraId="2BD4822F" w14:textId="319F7F7D" w:rsidR="008A47AC" w:rsidRDefault="007B378B">
      <w:pPr>
        <w:pStyle w:val="TOC4"/>
        <w:tabs>
          <w:tab w:val="right" w:leader="dot" w:pos="9016"/>
        </w:tabs>
        <w:rPr>
          <w:rFonts w:eastAsiaTheme="minorEastAsia"/>
          <w:noProof/>
          <w:lang w:eastAsia="en-GB"/>
        </w:rPr>
      </w:pPr>
      <w:hyperlink w:anchor="_Toc34208337" w:history="1">
        <w:r w:rsidR="008A47AC" w:rsidRPr="00793E8D">
          <w:rPr>
            <w:rStyle w:val="Hyperlink"/>
            <w:rFonts w:ascii="Arial" w:hAnsi="Arial" w:cs="Arial"/>
            <w:noProof/>
          </w:rPr>
          <w:t>2.2.11.3 Second harmonic generation microscopy</w:t>
        </w:r>
        <w:r w:rsidR="008A47AC">
          <w:rPr>
            <w:noProof/>
            <w:webHidden/>
          </w:rPr>
          <w:tab/>
        </w:r>
        <w:r w:rsidR="008A47AC">
          <w:rPr>
            <w:noProof/>
            <w:webHidden/>
          </w:rPr>
          <w:fldChar w:fldCharType="begin"/>
        </w:r>
        <w:r w:rsidR="008A47AC">
          <w:rPr>
            <w:noProof/>
            <w:webHidden/>
          </w:rPr>
          <w:instrText xml:space="preserve"> PAGEREF _Toc34208337 \h </w:instrText>
        </w:r>
        <w:r w:rsidR="008A47AC">
          <w:rPr>
            <w:noProof/>
            <w:webHidden/>
          </w:rPr>
        </w:r>
        <w:r w:rsidR="008A47AC">
          <w:rPr>
            <w:noProof/>
            <w:webHidden/>
          </w:rPr>
          <w:fldChar w:fldCharType="separate"/>
        </w:r>
        <w:r w:rsidR="00E57BFA">
          <w:rPr>
            <w:noProof/>
            <w:webHidden/>
          </w:rPr>
          <w:t>- 96 -</w:t>
        </w:r>
        <w:r w:rsidR="008A47AC">
          <w:rPr>
            <w:noProof/>
            <w:webHidden/>
          </w:rPr>
          <w:fldChar w:fldCharType="end"/>
        </w:r>
      </w:hyperlink>
    </w:p>
    <w:p w14:paraId="12931A92" w14:textId="1ACB6208" w:rsidR="008A47AC" w:rsidRDefault="007B378B">
      <w:pPr>
        <w:pStyle w:val="TOC4"/>
        <w:tabs>
          <w:tab w:val="right" w:leader="dot" w:pos="9016"/>
        </w:tabs>
        <w:rPr>
          <w:rFonts w:eastAsiaTheme="minorEastAsia"/>
          <w:noProof/>
          <w:lang w:eastAsia="en-GB"/>
        </w:rPr>
      </w:pPr>
      <w:hyperlink w:anchor="_Toc34208338" w:history="1">
        <w:r w:rsidR="008A47AC" w:rsidRPr="00793E8D">
          <w:rPr>
            <w:rStyle w:val="Hyperlink"/>
            <w:rFonts w:ascii="Arial" w:hAnsi="Arial" w:cs="Arial"/>
            <w:noProof/>
            <w:lang w:val="en-US"/>
          </w:rPr>
          <w:t>2.2.11.4 Atomic force microscopy</w:t>
        </w:r>
        <w:r w:rsidR="008A47AC">
          <w:rPr>
            <w:noProof/>
            <w:webHidden/>
          </w:rPr>
          <w:tab/>
        </w:r>
        <w:r w:rsidR="008A47AC">
          <w:rPr>
            <w:noProof/>
            <w:webHidden/>
          </w:rPr>
          <w:fldChar w:fldCharType="begin"/>
        </w:r>
        <w:r w:rsidR="008A47AC">
          <w:rPr>
            <w:noProof/>
            <w:webHidden/>
          </w:rPr>
          <w:instrText xml:space="preserve"> PAGEREF _Toc34208338 \h </w:instrText>
        </w:r>
        <w:r w:rsidR="008A47AC">
          <w:rPr>
            <w:noProof/>
            <w:webHidden/>
          </w:rPr>
        </w:r>
        <w:r w:rsidR="008A47AC">
          <w:rPr>
            <w:noProof/>
            <w:webHidden/>
          </w:rPr>
          <w:fldChar w:fldCharType="separate"/>
        </w:r>
        <w:r w:rsidR="00E57BFA">
          <w:rPr>
            <w:noProof/>
            <w:webHidden/>
          </w:rPr>
          <w:t>- 96 -</w:t>
        </w:r>
        <w:r w:rsidR="008A47AC">
          <w:rPr>
            <w:noProof/>
            <w:webHidden/>
          </w:rPr>
          <w:fldChar w:fldCharType="end"/>
        </w:r>
      </w:hyperlink>
    </w:p>
    <w:p w14:paraId="306F102F" w14:textId="5124A0F1" w:rsidR="008A47AC" w:rsidRDefault="007B378B">
      <w:pPr>
        <w:pStyle w:val="TOC4"/>
        <w:tabs>
          <w:tab w:val="right" w:leader="dot" w:pos="9016"/>
        </w:tabs>
        <w:rPr>
          <w:rFonts w:eastAsiaTheme="minorEastAsia"/>
          <w:noProof/>
          <w:lang w:eastAsia="en-GB"/>
        </w:rPr>
      </w:pPr>
      <w:hyperlink w:anchor="_Toc34208339" w:history="1">
        <w:r w:rsidR="008A47AC" w:rsidRPr="00793E8D">
          <w:rPr>
            <w:rStyle w:val="Hyperlink"/>
            <w:rFonts w:ascii="Arial" w:hAnsi="Arial" w:cs="Arial"/>
            <w:noProof/>
            <w:lang w:val="en-US"/>
          </w:rPr>
          <w:t>2.2.11.5 Live-cell imaging microscopy</w:t>
        </w:r>
        <w:r w:rsidR="008A47AC">
          <w:rPr>
            <w:noProof/>
            <w:webHidden/>
          </w:rPr>
          <w:tab/>
        </w:r>
        <w:r w:rsidR="008A47AC">
          <w:rPr>
            <w:noProof/>
            <w:webHidden/>
          </w:rPr>
          <w:fldChar w:fldCharType="begin"/>
        </w:r>
        <w:r w:rsidR="008A47AC">
          <w:rPr>
            <w:noProof/>
            <w:webHidden/>
          </w:rPr>
          <w:instrText xml:space="preserve"> PAGEREF _Toc34208339 \h </w:instrText>
        </w:r>
        <w:r w:rsidR="008A47AC">
          <w:rPr>
            <w:noProof/>
            <w:webHidden/>
          </w:rPr>
        </w:r>
        <w:r w:rsidR="008A47AC">
          <w:rPr>
            <w:noProof/>
            <w:webHidden/>
          </w:rPr>
          <w:fldChar w:fldCharType="separate"/>
        </w:r>
        <w:r w:rsidR="00E57BFA">
          <w:rPr>
            <w:noProof/>
            <w:webHidden/>
          </w:rPr>
          <w:t>- 98 -</w:t>
        </w:r>
        <w:r w:rsidR="008A47AC">
          <w:rPr>
            <w:noProof/>
            <w:webHidden/>
          </w:rPr>
          <w:fldChar w:fldCharType="end"/>
        </w:r>
      </w:hyperlink>
    </w:p>
    <w:p w14:paraId="2FCC96F1" w14:textId="6134A034" w:rsidR="008A47AC" w:rsidRDefault="007B378B">
      <w:pPr>
        <w:pStyle w:val="TOC3"/>
        <w:tabs>
          <w:tab w:val="right" w:leader="dot" w:pos="9016"/>
        </w:tabs>
        <w:rPr>
          <w:rFonts w:eastAsiaTheme="minorEastAsia"/>
          <w:noProof/>
          <w:lang w:eastAsia="en-GB"/>
        </w:rPr>
      </w:pPr>
      <w:hyperlink w:anchor="_Toc34208340" w:history="1">
        <w:r w:rsidR="008A47AC" w:rsidRPr="00793E8D">
          <w:rPr>
            <w:rStyle w:val="Hyperlink"/>
            <w:rFonts w:ascii="Arial" w:hAnsi="Arial" w:cs="Arial"/>
            <w:noProof/>
            <w:lang w:val="en-US"/>
          </w:rPr>
          <w:t>2.2.12 Statistical and computational analysis</w:t>
        </w:r>
        <w:r w:rsidR="008A47AC">
          <w:rPr>
            <w:noProof/>
            <w:webHidden/>
          </w:rPr>
          <w:tab/>
        </w:r>
        <w:r w:rsidR="008A47AC">
          <w:rPr>
            <w:noProof/>
            <w:webHidden/>
          </w:rPr>
          <w:fldChar w:fldCharType="begin"/>
        </w:r>
        <w:r w:rsidR="008A47AC">
          <w:rPr>
            <w:noProof/>
            <w:webHidden/>
          </w:rPr>
          <w:instrText xml:space="preserve"> PAGEREF _Toc34208340 \h </w:instrText>
        </w:r>
        <w:r w:rsidR="008A47AC">
          <w:rPr>
            <w:noProof/>
            <w:webHidden/>
          </w:rPr>
        </w:r>
        <w:r w:rsidR="008A47AC">
          <w:rPr>
            <w:noProof/>
            <w:webHidden/>
          </w:rPr>
          <w:fldChar w:fldCharType="separate"/>
        </w:r>
        <w:r w:rsidR="00E57BFA">
          <w:rPr>
            <w:noProof/>
            <w:webHidden/>
          </w:rPr>
          <w:t>- 98 -</w:t>
        </w:r>
        <w:r w:rsidR="008A47AC">
          <w:rPr>
            <w:noProof/>
            <w:webHidden/>
          </w:rPr>
          <w:fldChar w:fldCharType="end"/>
        </w:r>
      </w:hyperlink>
    </w:p>
    <w:p w14:paraId="56C77A69" w14:textId="12601E58" w:rsidR="008A47AC" w:rsidRDefault="007B378B">
      <w:pPr>
        <w:pStyle w:val="TOC1"/>
        <w:rPr>
          <w:rFonts w:eastAsiaTheme="minorEastAsia"/>
          <w:b w:val="0"/>
          <w:bCs w:val="0"/>
          <w:lang w:eastAsia="en-GB"/>
        </w:rPr>
      </w:pPr>
      <w:hyperlink w:anchor="_Toc34208341" w:history="1">
        <w:r w:rsidR="008A47AC" w:rsidRPr="00793E8D">
          <w:rPr>
            <w:rStyle w:val="Hyperlink"/>
          </w:rPr>
          <w:t>Chapter 3</w:t>
        </w:r>
        <w:r w:rsidR="008A47AC">
          <w:rPr>
            <w:webHidden/>
          </w:rPr>
          <w:tab/>
        </w:r>
        <w:r w:rsidR="008A47AC">
          <w:rPr>
            <w:webHidden/>
          </w:rPr>
          <w:fldChar w:fldCharType="begin"/>
        </w:r>
        <w:r w:rsidR="008A47AC">
          <w:rPr>
            <w:webHidden/>
          </w:rPr>
          <w:instrText xml:space="preserve"> PAGEREF _Toc34208341 \h </w:instrText>
        </w:r>
        <w:r w:rsidR="008A47AC">
          <w:rPr>
            <w:webHidden/>
          </w:rPr>
        </w:r>
        <w:r w:rsidR="008A47AC">
          <w:rPr>
            <w:webHidden/>
          </w:rPr>
          <w:fldChar w:fldCharType="separate"/>
        </w:r>
        <w:r w:rsidR="00E57BFA">
          <w:rPr>
            <w:webHidden/>
          </w:rPr>
          <w:t>- 100 -</w:t>
        </w:r>
        <w:r w:rsidR="008A47AC">
          <w:rPr>
            <w:webHidden/>
          </w:rPr>
          <w:fldChar w:fldCharType="end"/>
        </w:r>
      </w:hyperlink>
    </w:p>
    <w:p w14:paraId="3DAFE656" w14:textId="1313D239" w:rsidR="008A47AC" w:rsidRDefault="007B378B">
      <w:pPr>
        <w:pStyle w:val="TOC1"/>
        <w:rPr>
          <w:rFonts w:eastAsiaTheme="minorEastAsia"/>
          <w:b w:val="0"/>
          <w:bCs w:val="0"/>
          <w:lang w:eastAsia="en-GB"/>
        </w:rPr>
      </w:pPr>
      <w:hyperlink w:anchor="_Toc34208342" w:history="1">
        <w:r w:rsidR="008A47AC" w:rsidRPr="00793E8D">
          <w:rPr>
            <w:rStyle w:val="Hyperlink"/>
          </w:rPr>
          <w:t xml:space="preserve">Phenotyping oral fibroblasts </w:t>
        </w:r>
        <w:r w:rsidR="008A47AC" w:rsidRPr="00793E8D">
          <w:rPr>
            <w:rStyle w:val="Hyperlink"/>
            <w:i/>
            <w:iCs/>
          </w:rPr>
          <w:t>in vitro</w:t>
        </w:r>
        <w:r w:rsidR="008A47AC">
          <w:rPr>
            <w:webHidden/>
          </w:rPr>
          <w:tab/>
        </w:r>
        <w:r w:rsidR="008A47AC">
          <w:rPr>
            <w:webHidden/>
          </w:rPr>
          <w:fldChar w:fldCharType="begin"/>
        </w:r>
        <w:r w:rsidR="008A47AC">
          <w:rPr>
            <w:webHidden/>
          </w:rPr>
          <w:instrText xml:space="preserve"> PAGEREF _Toc34208342 \h </w:instrText>
        </w:r>
        <w:r w:rsidR="008A47AC">
          <w:rPr>
            <w:webHidden/>
          </w:rPr>
        </w:r>
        <w:r w:rsidR="008A47AC">
          <w:rPr>
            <w:webHidden/>
          </w:rPr>
          <w:fldChar w:fldCharType="separate"/>
        </w:r>
        <w:r w:rsidR="00E57BFA">
          <w:rPr>
            <w:webHidden/>
          </w:rPr>
          <w:t>- 100 -</w:t>
        </w:r>
        <w:r w:rsidR="008A47AC">
          <w:rPr>
            <w:webHidden/>
          </w:rPr>
          <w:fldChar w:fldCharType="end"/>
        </w:r>
      </w:hyperlink>
    </w:p>
    <w:p w14:paraId="20244311" w14:textId="667EE361" w:rsidR="008A47AC" w:rsidRDefault="007B378B">
      <w:pPr>
        <w:pStyle w:val="TOC2"/>
        <w:tabs>
          <w:tab w:val="right" w:leader="dot" w:pos="9016"/>
        </w:tabs>
        <w:rPr>
          <w:rFonts w:eastAsiaTheme="minorEastAsia"/>
          <w:noProof/>
          <w:lang w:eastAsia="en-GB"/>
        </w:rPr>
      </w:pPr>
      <w:hyperlink w:anchor="_Toc34208343" w:history="1">
        <w:r w:rsidR="008A47AC" w:rsidRPr="00793E8D">
          <w:rPr>
            <w:rStyle w:val="Hyperlink"/>
            <w:rFonts w:ascii="Arial" w:eastAsiaTheme="majorEastAsia" w:hAnsi="Arial" w:cs="Arial"/>
            <w:noProof/>
          </w:rPr>
          <w:t>3.1. Introduction</w:t>
        </w:r>
        <w:r w:rsidR="008A47AC">
          <w:rPr>
            <w:noProof/>
            <w:webHidden/>
          </w:rPr>
          <w:tab/>
        </w:r>
        <w:r w:rsidR="008A47AC">
          <w:rPr>
            <w:noProof/>
            <w:webHidden/>
          </w:rPr>
          <w:fldChar w:fldCharType="begin"/>
        </w:r>
        <w:r w:rsidR="008A47AC">
          <w:rPr>
            <w:noProof/>
            <w:webHidden/>
          </w:rPr>
          <w:instrText xml:space="preserve"> PAGEREF _Toc34208343 \h </w:instrText>
        </w:r>
        <w:r w:rsidR="008A47AC">
          <w:rPr>
            <w:noProof/>
            <w:webHidden/>
          </w:rPr>
        </w:r>
        <w:r w:rsidR="008A47AC">
          <w:rPr>
            <w:noProof/>
            <w:webHidden/>
          </w:rPr>
          <w:fldChar w:fldCharType="separate"/>
        </w:r>
        <w:r w:rsidR="00E57BFA">
          <w:rPr>
            <w:noProof/>
            <w:webHidden/>
          </w:rPr>
          <w:t>- 101 -</w:t>
        </w:r>
        <w:r w:rsidR="008A47AC">
          <w:rPr>
            <w:noProof/>
            <w:webHidden/>
          </w:rPr>
          <w:fldChar w:fldCharType="end"/>
        </w:r>
      </w:hyperlink>
    </w:p>
    <w:p w14:paraId="2A2DA424" w14:textId="0A7E70D6" w:rsidR="008A47AC" w:rsidRDefault="007B378B">
      <w:pPr>
        <w:pStyle w:val="TOC3"/>
        <w:tabs>
          <w:tab w:val="right" w:leader="dot" w:pos="9016"/>
        </w:tabs>
        <w:rPr>
          <w:rFonts w:eastAsiaTheme="minorEastAsia"/>
          <w:noProof/>
          <w:lang w:eastAsia="en-GB"/>
        </w:rPr>
      </w:pPr>
      <w:hyperlink w:anchor="_Toc34208344" w:history="1">
        <w:r w:rsidR="008A47AC" w:rsidRPr="00793E8D">
          <w:rPr>
            <w:rStyle w:val="Hyperlink"/>
            <w:rFonts w:ascii="Arial" w:eastAsiaTheme="majorEastAsia" w:hAnsi="Arial" w:cs="Arial"/>
            <w:noProof/>
          </w:rPr>
          <w:t>3.3.1 Molecular analysis of normal oral fibroblasts</w:t>
        </w:r>
        <w:r w:rsidR="008A47AC">
          <w:rPr>
            <w:noProof/>
            <w:webHidden/>
          </w:rPr>
          <w:tab/>
        </w:r>
        <w:r w:rsidR="008A47AC">
          <w:rPr>
            <w:noProof/>
            <w:webHidden/>
          </w:rPr>
          <w:fldChar w:fldCharType="begin"/>
        </w:r>
        <w:r w:rsidR="008A47AC">
          <w:rPr>
            <w:noProof/>
            <w:webHidden/>
          </w:rPr>
          <w:instrText xml:space="preserve"> PAGEREF _Toc34208344 \h </w:instrText>
        </w:r>
        <w:r w:rsidR="008A47AC">
          <w:rPr>
            <w:noProof/>
            <w:webHidden/>
          </w:rPr>
        </w:r>
        <w:r w:rsidR="008A47AC">
          <w:rPr>
            <w:noProof/>
            <w:webHidden/>
          </w:rPr>
          <w:fldChar w:fldCharType="separate"/>
        </w:r>
        <w:r w:rsidR="00E57BFA">
          <w:rPr>
            <w:noProof/>
            <w:webHidden/>
          </w:rPr>
          <w:t>- 104 -</w:t>
        </w:r>
        <w:r w:rsidR="008A47AC">
          <w:rPr>
            <w:noProof/>
            <w:webHidden/>
          </w:rPr>
          <w:fldChar w:fldCharType="end"/>
        </w:r>
      </w:hyperlink>
    </w:p>
    <w:p w14:paraId="33FEBF10" w14:textId="4541FA61" w:rsidR="008A47AC" w:rsidRDefault="007B378B">
      <w:pPr>
        <w:pStyle w:val="TOC4"/>
        <w:tabs>
          <w:tab w:val="right" w:leader="dot" w:pos="9016"/>
        </w:tabs>
        <w:rPr>
          <w:rFonts w:eastAsiaTheme="minorEastAsia"/>
          <w:noProof/>
          <w:lang w:eastAsia="en-GB"/>
        </w:rPr>
      </w:pPr>
      <w:hyperlink w:anchor="_Toc34208345" w:history="1">
        <w:r w:rsidR="008A47AC" w:rsidRPr="00793E8D">
          <w:rPr>
            <w:rStyle w:val="Hyperlink"/>
            <w:rFonts w:ascii="Arial" w:eastAsiaTheme="majorEastAsia" w:hAnsi="Arial" w:cs="Arial"/>
            <w:i/>
            <w:iCs/>
            <w:noProof/>
          </w:rPr>
          <w:t>3.3.1.1 Short-term differentiation of normal oral fibroblasts</w:t>
        </w:r>
        <w:r w:rsidR="008A47AC">
          <w:rPr>
            <w:noProof/>
            <w:webHidden/>
          </w:rPr>
          <w:tab/>
        </w:r>
        <w:r w:rsidR="008A47AC">
          <w:rPr>
            <w:noProof/>
            <w:webHidden/>
          </w:rPr>
          <w:fldChar w:fldCharType="begin"/>
        </w:r>
        <w:r w:rsidR="008A47AC">
          <w:rPr>
            <w:noProof/>
            <w:webHidden/>
          </w:rPr>
          <w:instrText xml:space="preserve"> PAGEREF _Toc34208345 \h </w:instrText>
        </w:r>
        <w:r w:rsidR="008A47AC">
          <w:rPr>
            <w:noProof/>
            <w:webHidden/>
          </w:rPr>
        </w:r>
        <w:r w:rsidR="008A47AC">
          <w:rPr>
            <w:noProof/>
            <w:webHidden/>
          </w:rPr>
          <w:fldChar w:fldCharType="separate"/>
        </w:r>
        <w:r w:rsidR="00E57BFA">
          <w:rPr>
            <w:noProof/>
            <w:webHidden/>
          </w:rPr>
          <w:t>- 104 -</w:t>
        </w:r>
        <w:r w:rsidR="008A47AC">
          <w:rPr>
            <w:noProof/>
            <w:webHidden/>
          </w:rPr>
          <w:fldChar w:fldCharType="end"/>
        </w:r>
      </w:hyperlink>
    </w:p>
    <w:p w14:paraId="4EF49550" w14:textId="1FD2206D" w:rsidR="008A47AC" w:rsidRDefault="007B378B">
      <w:pPr>
        <w:pStyle w:val="TOC5"/>
        <w:rPr>
          <w:rFonts w:eastAsiaTheme="minorEastAsia"/>
          <w:noProof/>
          <w:lang w:eastAsia="en-GB"/>
        </w:rPr>
      </w:pPr>
      <w:hyperlink w:anchor="_Toc34208346" w:history="1">
        <w:r w:rsidR="008A47AC" w:rsidRPr="00793E8D">
          <w:rPr>
            <w:rStyle w:val="Hyperlink"/>
            <w:rFonts w:ascii="Arial" w:eastAsiaTheme="majorEastAsia" w:hAnsi="Arial" w:cs="Arial"/>
            <w:noProof/>
          </w:rPr>
          <w:t>3.3.1.1.1 αSMA expression by RT-qPCR</w:t>
        </w:r>
        <w:r w:rsidR="008A47AC">
          <w:rPr>
            <w:noProof/>
            <w:webHidden/>
          </w:rPr>
          <w:tab/>
        </w:r>
        <w:r w:rsidR="008A47AC">
          <w:rPr>
            <w:noProof/>
            <w:webHidden/>
          </w:rPr>
          <w:fldChar w:fldCharType="begin"/>
        </w:r>
        <w:r w:rsidR="008A47AC">
          <w:rPr>
            <w:noProof/>
            <w:webHidden/>
          </w:rPr>
          <w:instrText xml:space="preserve"> PAGEREF _Toc34208346 \h </w:instrText>
        </w:r>
        <w:r w:rsidR="008A47AC">
          <w:rPr>
            <w:noProof/>
            <w:webHidden/>
          </w:rPr>
        </w:r>
        <w:r w:rsidR="008A47AC">
          <w:rPr>
            <w:noProof/>
            <w:webHidden/>
          </w:rPr>
          <w:fldChar w:fldCharType="separate"/>
        </w:r>
        <w:r w:rsidR="00E57BFA">
          <w:rPr>
            <w:noProof/>
            <w:webHidden/>
          </w:rPr>
          <w:t>- 105 -</w:t>
        </w:r>
        <w:r w:rsidR="008A47AC">
          <w:rPr>
            <w:noProof/>
            <w:webHidden/>
          </w:rPr>
          <w:fldChar w:fldCharType="end"/>
        </w:r>
      </w:hyperlink>
    </w:p>
    <w:p w14:paraId="1811095D" w14:textId="41A9CE48" w:rsidR="008A47AC" w:rsidRDefault="007B378B">
      <w:pPr>
        <w:pStyle w:val="TOC5"/>
        <w:rPr>
          <w:rFonts w:eastAsiaTheme="minorEastAsia"/>
          <w:noProof/>
          <w:lang w:eastAsia="en-GB"/>
        </w:rPr>
      </w:pPr>
      <w:hyperlink w:anchor="_Toc34208347" w:history="1">
        <w:r w:rsidR="008A47AC" w:rsidRPr="00793E8D">
          <w:rPr>
            <w:rStyle w:val="Hyperlink"/>
            <w:rFonts w:ascii="Arial" w:eastAsiaTheme="majorEastAsia" w:hAnsi="Arial" w:cs="Arial"/>
            <w:noProof/>
          </w:rPr>
          <w:t>3.3.1.1.2 FN1-EDA expression by RT-qPCR</w:t>
        </w:r>
        <w:r w:rsidR="008A47AC">
          <w:rPr>
            <w:noProof/>
            <w:webHidden/>
          </w:rPr>
          <w:tab/>
        </w:r>
        <w:r w:rsidR="008A47AC">
          <w:rPr>
            <w:noProof/>
            <w:webHidden/>
          </w:rPr>
          <w:fldChar w:fldCharType="begin"/>
        </w:r>
        <w:r w:rsidR="008A47AC">
          <w:rPr>
            <w:noProof/>
            <w:webHidden/>
          </w:rPr>
          <w:instrText xml:space="preserve"> PAGEREF _Toc34208347 \h </w:instrText>
        </w:r>
        <w:r w:rsidR="008A47AC">
          <w:rPr>
            <w:noProof/>
            <w:webHidden/>
          </w:rPr>
        </w:r>
        <w:r w:rsidR="008A47AC">
          <w:rPr>
            <w:noProof/>
            <w:webHidden/>
          </w:rPr>
          <w:fldChar w:fldCharType="separate"/>
        </w:r>
        <w:r w:rsidR="00E57BFA">
          <w:rPr>
            <w:noProof/>
            <w:webHidden/>
          </w:rPr>
          <w:t>- 106 -</w:t>
        </w:r>
        <w:r w:rsidR="008A47AC">
          <w:rPr>
            <w:noProof/>
            <w:webHidden/>
          </w:rPr>
          <w:fldChar w:fldCharType="end"/>
        </w:r>
      </w:hyperlink>
    </w:p>
    <w:p w14:paraId="60A0EC75" w14:textId="11E58301" w:rsidR="008A47AC" w:rsidRDefault="007B378B">
      <w:pPr>
        <w:pStyle w:val="TOC5"/>
        <w:rPr>
          <w:rFonts w:eastAsiaTheme="minorEastAsia"/>
          <w:noProof/>
          <w:lang w:eastAsia="en-GB"/>
        </w:rPr>
      </w:pPr>
      <w:hyperlink w:anchor="_Toc34208348" w:history="1">
        <w:r w:rsidR="008A47AC" w:rsidRPr="00793E8D">
          <w:rPr>
            <w:rStyle w:val="Hyperlink"/>
            <w:rFonts w:ascii="Arial" w:eastAsiaTheme="majorEastAsia" w:hAnsi="Arial" w:cs="Arial"/>
            <w:noProof/>
          </w:rPr>
          <w:t>3.3.1.1.3 COL1A1 expression by RT-qPCR</w:t>
        </w:r>
        <w:r w:rsidR="008A47AC">
          <w:rPr>
            <w:noProof/>
            <w:webHidden/>
          </w:rPr>
          <w:tab/>
        </w:r>
        <w:r w:rsidR="008A47AC">
          <w:rPr>
            <w:noProof/>
            <w:webHidden/>
          </w:rPr>
          <w:fldChar w:fldCharType="begin"/>
        </w:r>
        <w:r w:rsidR="008A47AC">
          <w:rPr>
            <w:noProof/>
            <w:webHidden/>
          </w:rPr>
          <w:instrText xml:space="preserve"> PAGEREF _Toc34208348 \h </w:instrText>
        </w:r>
        <w:r w:rsidR="008A47AC">
          <w:rPr>
            <w:noProof/>
            <w:webHidden/>
          </w:rPr>
        </w:r>
        <w:r w:rsidR="008A47AC">
          <w:rPr>
            <w:noProof/>
            <w:webHidden/>
          </w:rPr>
          <w:fldChar w:fldCharType="separate"/>
        </w:r>
        <w:r w:rsidR="00E57BFA">
          <w:rPr>
            <w:noProof/>
            <w:webHidden/>
          </w:rPr>
          <w:t>- 107 -</w:t>
        </w:r>
        <w:r w:rsidR="008A47AC">
          <w:rPr>
            <w:noProof/>
            <w:webHidden/>
          </w:rPr>
          <w:fldChar w:fldCharType="end"/>
        </w:r>
      </w:hyperlink>
    </w:p>
    <w:p w14:paraId="189C1CC6" w14:textId="11550CA9" w:rsidR="008A47AC" w:rsidRDefault="007B378B">
      <w:pPr>
        <w:pStyle w:val="TOC5"/>
        <w:rPr>
          <w:rFonts w:eastAsiaTheme="minorEastAsia"/>
          <w:noProof/>
          <w:lang w:eastAsia="en-GB"/>
        </w:rPr>
      </w:pPr>
      <w:hyperlink w:anchor="_Toc34208349" w:history="1">
        <w:r w:rsidR="008A47AC" w:rsidRPr="00793E8D">
          <w:rPr>
            <w:rStyle w:val="Hyperlink"/>
            <w:rFonts w:ascii="Arial" w:eastAsiaTheme="majorEastAsia" w:hAnsi="Arial" w:cs="Arial"/>
            <w:noProof/>
          </w:rPr>
          <w:t>3.3.1.1.4 VCAN expression by RT-qPCR</w:t>
        </w:r>
        <w:r w:rsidR="008A47AC">
          <w:rPr>
            <w:noProof/>
            <w:webHidden/>
          </w:rPr>
          <w:tab/>
        </w:r>
        <w:r w:rsidR="008A47AC">
          <w:rPr>
            <w:noProof/>
            <w:webHidden/>
          </w:rPr>
          <w:fldChar w:fldCharType="begin"/>
        </w:r>
        <w:r w:rsidR="008A47AC">
          <w:rPr>
            <w:noProof/>
            <w:webHidden/>
          </w:rPr>
          <w:instrText xml:space="preserve"> PAGEREF _Toc34208349 \h </w:instrText>
        </w:r>
        <w:r w:rsidR="008A47AC">
          <w:rPr>
            <w:noProof/>
            <w:webHidden/>
          </w:rPr>
        </w:r>
        <w:r w:rsidR="008A47AC">
          <w:rPr>
            <w:noProof/>
            <w:webHidden/>
          </w:rPr>
          <w:fldChar w:fldCharType="separate"/>
        </w:r>
        <w:r w:rsidR="00E57BFA">
          <w:rPr>
            <w:noProof/>
            <w:webHidden/>
          </w:rPr>
          <w:t>- 108 -</w:t>
        </w:r>
        <w:r w:rsidR="008A47AC">
          <w:rPr>
            <w:noProof/>
            <w:webHidden/>
          </w:rPr>
          <w:fldChar w:fldCharType="end"/>
        </w:r>
      </w:hyperlink>
    </w:p>
    <w:p w14:paraId="38088A5B" w14:textId="7A61AA31" w:rsidR="008A47AC" w:rsidRDefault="007B378B">
      <w:pPr>
        <w:pStyle w:val="TOC5"/>
        <w:rPr>
          <w:rFonts w:eastAsiaTheme="minorEastAsia"/>
          <w:noProof/>
          <w:lang w:eastAsia="en-GB"/>
        </w:rPr>
      </w:pPr>
      <w:hyperlink w:anchor="_Toc34208350" w:history="1">
        <w:r w:rsidR="008A47AC" w:rsidRPr="00793E8D">
          <w:rPr>
            <w:rStyle w:val="Hyperlink"/>
            <w:rFonts w:ascii="Arial" w:eastAsiaTheme="majorEastAsia" w:hAnsi="Arial" w:cs="Arial"/>
            <w:noProof/>
          </w:rPr>
          <w:t>3.3.1.1.5 TNC expression by RT-qPCR</w:t>
        </w:r>
        <w:r w:rsidR="008A47AC">
          <w:rPr>
            <w:noProof/>
            <w:webHidden/>
          </w:rPr>
          <w:tab/>
        </w:r>
        <w:r w:rsidR="008A47AC">
          <w:rPr>
            <w:noProof/>
            <w:webHidden/>
          </w:rPr>
          <w:fldChar w:fldCharType="begin"/>
        </w:r>
        <w:r w:rsidR="008A47AC">
          <w:rPr>
            <w:noProof/>
            <w:webHidden/>
          </w:rPr>
          <w:instrText xml:space="preserve"> PAGEREF _Toc34208350 \h </w:instrText>
        </w:r>
        <w:r w:rsidR="008A47AC">
          <w:rPr>
            <w:noProof/>
            <w:webHidden/>
          </w:rPr>
        </w:r>
        <w:r w:rsidR="008A47AC">
          <w:rPr>
            <w:noProof/>
            <w:webHidden/>
          </w:rPr>
          <w:fldChar w:fldCharType="separate"/>
        </w:r>
        <w:r w:rsidR="00E57BFA">
          <w:rPr>
            <w:noProof/>
            <w:webHidden/>
          </w:rPr>
          <w:t>- 109 -</w:t>
        </w:r>
        <w:r w:rsidR="008A47AC">
          <w:rPr>
            <w:noProof/>
            <w:webHidden/>
          </w:rPr>
          <w:fldChar w:fldCharType="end"/>
        </w:r>
      </w:hyperlink>
    </w:p>
    <w:p w14:paraId="3AB0A844" w14:textId="7DE527C7" w:rsidR="008A47AC" w:rsidRDefault="007B378B">
      <w:pPr>
        <w:pStyle w:val="TOC4"/>
        <w:tabs>
          <w:tab w:val="right" w:leader="dot" w:pos="9016"/>
        </w:tabs>
        <w:rPr>
          <w:rFonts w:eastAsiaTheme="minorEastAsia"/>
          <w:noProof/>
          <w:lang w:eastAsia="en-GB"/>
        </w:rPr>
      </w:pPr>
      <w:hyperlink w:anchor="_Toc34208351" w:history="1">
        <w:r w:rsidR="008A47AC" w:rsidRPr="00793E8D">
          <w:rPr>
            <w:rStyle w:val="Hyperlink"/>
            <w:rFonts w:ascii="Arial" w:eastAsiaTheme="majorEastAsia" w:hAnsi="Arial" w:cs="Arial"/>
            <w:i/>
            <w:iCs/>
            <w:noProof/>
          </w:rPr>
          <w:t>3.3.1.2 Long-term differentiation of normal oral fibroblasts</w:t>
        </w:r>
        <w:r w:rsidR="008A47AC">
          <w:rPr>
            <w:noProof/>
            <w:webHidden/>
          </w:rPr>
          <w:tab/>
        </w:r>
        <w:r w:rsidR="008A47AC">
          <w:rPr>
            <w:noProof/>
            <w:webHidden/>
          </w:rPr>
          <w:fldChar w:fldCharType="begin"/>
        </w:r>
        <w:r w:rsidR="008A47AC">
          <w:rPr>
            <w:noProof/>
            <w:webHidden/>
          </w:rPr>
          <w:instrText xml:space="preserve"> PAGEREF _Toc34208351 \h </w:instrText>
        </w:r>
        <w:r w:rsidR="008A47AC">
          <w:rPr>
            <w:noProof/>
            <w:webHidden/>
          </w:rPr>
        </w:r>
        <w:r w:rsidR="008A47AC">
          <w:rPr>
            <w:noProof/>
            <w:webHidden/>
          </w:rPr>
          <w:fldChar w:fldCharType="separate"/>
        </w:r>
        <w:r w:rsidR="00E57BFA">
          <w:rPr>
            <w:noProof/>
            <w:webHidden/>
          </w:rPr>
          <w:t>- 110 -</w:t>
        </w:r>
        <w:r w:rsidR="008A47AC">
          <w:rPr>
            <w:noProof/>
            <w:webHidden/>
          </w:rPr>
          <w:fldChar w:fldCharType="end"/>
        </w:r>
      </w:hyperlink>
    </w:p>
    <w:p w14:paraId="2633FF10" w14:textId="75EC9328" w:rsidR="008A47AC" w:rsidRDefault="007B378B">
      <w:pPr>
        <w:pStyle w:val="TOC5"/>
        <w:rPr>
          <w:rFonts w:eastAsiaTheme="minorEastAsia"/>
          <w:noProof/>
          <w:lang w:eastAsia="en-GB"/>
        </w:rPr>
      </w:pPr>
      <w:hyperlink w:anchor="_Toc34208352" w:history="1">
        <w:r w:rsidR="008A47AC" w:rsidRPr="00793E8D">
          <w:rPr>
            <w:rStyle w:val="Hyperlink"/>
            <w:rFonts w:ascii="Arial" w:eastAsiaTheme="majorEastAsia" w:hAnsi="Arial" w:cs="Arial"/>
            <w:noProof/>
          </w:rPr>
          <w:t>3.3.1.2.1 αSMA expression by RT-qPCR</w:t>
        </w:r>
        <w:r w:rsidR="008A47AC">
          <w:rPr>
            <w:noProof/>
            <w:webHidden/>
          </w:rPr>
          <w:tab/>
        </w:r>
        <w:r w:rsidR="008A47AC">
          <w:rPr>
            <w:noProof/>
            <w:webHidden/>
          </w:rPr>
          <w:fldChar w:fldCharType="begin"/>
        </w:r>
        <w:r w:rsidR="008A47AC">
          <w:rPr>
            <w:noProof/>
            <w:webHidden/>
          </w:rPr>
          <w:instrText xml:space="preserve"> PAGEREF _Toc34208352 \h </w:instrText>
        </w:r>
        <w:r w:rsidR="008A47AC">
          <w:rPr>
            <w:noProof/>
            <w:webHidden/>
          </w:rPr>
        </w:r>
        <w:r w:rsidR="008A47AC">
          <w:rPr>
            <w:noProof/>
            <w:webHidden/>
          </w:rPr>
          <w:fldChar w:fldCharType="separate"/>
        </w:r>
        <w:r w:rsidR="00E57BFA">
          <w:rPr>
            <w:noProof/>
            <w:webHidden/>
          </w:rPr>
          <w:t>- 111 -</w:t>
        </w:r>
        <w:r w:rsidR="008A47AC">
          <w:rPr>
            <w:noProof/>
            <w:webHidden/>
          </w:rPr>
          <w:fldChar w:fldCharType="end"/>
        </w:r>
      </w:hyperlink>
    </w:p>
    <w:p w14:paraId="33CCD1CB" w14:textId="2EFB4FC4" w:rsidR="008A47AC" w:rsidRDefault="007B378B">
      <w:pPr>
        <w:pStyle w:val="TOC5"/>
        <w:rPr>
          <w:rFonts w:eastAsiaTheme="minorEastAsia"/>
          <w:noProof/>
          <w:lang w:eastAsia="en-GB"/>
        </w:rPr>
      </w:pPr>
      <w:hyperlink w:anchor="_Toc34208353" w:history="1">
        <w:r w:rsidR="008A47AC" w:rsidRPr="00793E8D">
          <w:rPr>
            <w:rStyle w:val="Hyperlink"/>
            <w:rFonts w:ascii="Arial" w:eastAsiaTheme="majorEastAsia" w:hAnsi="Arial" w:cs="Arial"/>
            <w:noProof/>
          </w:rPr>
          <w:t>3.3.1.2.2 FN1-EDA expression by RT-qPCR</w:t>
        </w:r>
        <w:r w:rsidR="008A47AC">
          <w:rPr>
            <w:noProof/>
            <w:webHidden/>
          </w:rPr>
          <w:tab/>
        </w:r>
        <w:r w:rsidR="008A47AC">
          <w:rPr>
            <w:noProof/>
            <w:webHidden/>
          </w:rPr>
          <w:fldChar w:fldCharType="begin"/>
        </w:r>
        <w:r w:rsidR="008A47AC">
          <w:rPr>
            <w:noProof/>
            <w:webHidden/>
          </w:rPr>
          <w:instrText xml:space="preserve"> PAGEREF _Toc34208353 \h </w:instrText>
        </w:r>
        <w:r w:rsidR="008A47AC">
          <w:rPr>
            <w:noProof/>
            <w:webHidden/>
          </w:rPr>
        </w:r>
        <w:r w:rsidR="008A47AC">
          <w:rPr>
            <w:noProof/>
            <w:webHidden/>
          </w:rPr>
          <w:fldChar w:fldCharType="separate"/>
        </w:r>
        <w:r w:rsidR="00E57BFA">
          <w:rPr>
            <w:noProof/>
            <w:webHidden/>
          </w:rPr>
          <w:t>- 112 -</w:t>
        </w:r>
        <w:r w:rsidR="008A47AC">
          <w:rPr>
            <w:noProof/>
            <w:webHidden/>
          </w:rPr>
          <w:fldChar w:fldCharType="end"/>
        </w:r>
      </w:hyperlink>
    </w:p>
    <w:p w14:paraId="53992F70" w14:textId="1ADB5B0B" w:rsidR="008A47AC" w:rsidRDefault="007B378B">
      <w:pPr>
        <w:pStyle w:val="TOC5"/>
        <w:rPr>
          <w:rFonts w:eastAsiaTheme="minorEastAsia"/>
          <w:noProof/>
          <w:lang w:eastAsia="en-GB"/>
        </w:rPr>
      </w:pPr>
      <w:hyperlink w:anchor="_Toc34208354" w:history="1">
        <w:r w:rsidR="008A47AC" w:rsidRPr="00793E8D">
          <w:rPr>
            <w:rStyle w:val="Hyperlink"/>
            <w:rFonts w:ascii="Arial" w:eastAsiaTheme="majorEastAsia" w:hAnsi="Arial" w:cs="Arial"/>
            <w:noProof/>
          </w:rPr>
          <w:t>3.3.1.2.3 COL1A1 expression by RT-qPCR</w:t>
        </w:r>
        <w:r w:rsidR="008A47AC">
          <w:rPr>
            <w:noProof/>
            <w:webHidden/>
          </w:rPr>
          <w:tab/>
        </w:r>
        <w:r w:rsidR="008A47AC">
          <w:rPr>
            <w:noProof/>
            <w:webHidden/>
          </w:rPr>
          <w:fldChar w:fldCharType="begin"/>
        </w:r>
        <w:r w:rsidR="008A47AC">
          <w:rPr>
            <w:noProof/>
            <w:webHidden/>
          </w:rPr>
          <w:instrText xml:space="preserve"> PAGEREF _Toc34208354 \h </w:instrText>
        </w:r>
        <w:r w:rsidR="008A47AC">
          <w:rPr>
            <w:noProof/>
            <w:webHidden/>
          </w:rPr>
        </w:r>
        <w:r w:rsidR="008A47AC">
          <w:rPr>
            <w:noProof/>
            <w:webHidden/>
          </w:rPr>
          <w:fldChar w:fldCharType="separate"/>
        </w:r>
        <w:r w:rsidR="00E57BFA">
          <w:rPr>
            <w:noProof/>
            <w:webHidden/>
          </w:rPr>
          <w:t>- 113 -</w:t>
        </w:r>
        <w:r w:rsidR="008A47AC">
          <w:rPr>
            <w:noProof/>
            <w:webHidden/>
          </w:rPr>
          <w:fldChar w:fldCharType="end"/>
        </w:r>
      </w:hyperlink>
    </w:p>
    <w:p w14:paraId="36BDBB99" w14:textId="7E9B7420" w:rsidR="008A47AC" w:rsidRDefault="007B378B">
      <w:pPr>
        <w:pStyle w:val="TOC5"/>
        <w:rPr>
          <w:rFonts w:eastAsiaTheme="minorEastAsia"/>
          <w:noProof/>
          <w:lang w:eastAsia="en-GB"/>
        </w:rPr>
      </w:pPr>
      <w:hyperlink w:anchor="_Toc34208355" w:history="1">
        <w:r w:rsidR="008A47AC" w:rsidRPr="00793E8D">
          <w:rPr>
            <w:rStyle w:val="Hyperlink"/>
            <w:rFonts w:ascii="Arial" w:eastAsiaTheme="majorEastAsia" w:hAnsi="Arial" w:cs="Arial"/>
            <w:noProof/>
          </w:rPr>
          <w:t>3.3.1.2.4 VCAN expression by RT-qPCR</w:t>
        </w:r>
        <w:r w:rsidR="008A47AC">
          <w:rPr>
            <w:noProof/>
            <w:webHidden/>
          </w:rPr>
          <w:tab/>
        </w:r>
        <w:r w:rsidR="008A47AC">
          <w:rPr>
            <w:noProof/>
            <w:webHidden/>
          </w:rPr>
          <w:fldChar w:fldCharType="begin"/>
        </w:r>
        <w:r w:rsidR="008A47AC">
          <w:rPr>
            <w:noProof/>
            <w:webHidden/>
          </w:rPr>
          <w:instrText xml:space="preserve"> PAGEREF _Toc34208355 \h </w:instrText>
        </w:r>
        <w:r w:rsidR="008A47AC">
          <w:rPr>
            <w:noProof/>
            <w:webHidden/>
          </w:rPr>
        </w:r>
        <w:r w:rsidR="008A47AC">
          <w:rPr>
            <w:noProof/>
            <w:webHidden/>
          </w:rPr>
          <w:fldChar w:fldCharType="separate"/>
        </w:r>
        <w:r w:rsidR="00E57BFA">
          <w:rPr>
            <w:noProof/>
            <w:webHidden/>
          </w:rPr>
          <w:t>- 114 -</w:t>
        </w:r>
        <w:r w:rsidR="008A47AC">
          <w:rPr>
            <w:noProof/>
            <w:webHidden/>
          </w:rPr>
          <w:fldChar w:fldCharType="end"/>
        </w:r>
      </w:hyperlink>
    </w:p>
    <w:p w14:paraId="27D2A33E" w14:textId="4C12F9CC" w:rsidR="008A47AC" w:rsidRDefault="007B378B">
      <w:pPr>
        <w:pStyle w:val="TOC5"/>
        <w:rPr>
          <w:rFonts w:eastAsiaTheme="minorEastAsia"/>
          <w:noProof/>
          <w:lang w:eastAsia="en-GB"/>
        </w:rPr>
      </w:pPr>
      <w:hyperlink w:anchor="_Toc34208356" w:history="1">
        <w:r w:rsidR="008A47AC" w:rsidRPr="00793E8D">
          <w:rPr>
            <w:rStyle w:val="Hyperlink"/>
            <w:rFonts w:ascii="Arial" w:eastAsiaTheme="majorEastAsia" w:hAnsi="Arial" w:cs="Arial"/>
            <w:noProof/>
          </w:rPr>
          <w:t>3.3.1.2.5 TNC expression by RT-qPCR</w:t>
        </w:r>
        <w:r w:rsidR="008A47AC">
          <w:rPr>
            <w:noProof/>
            <w:webHidden/>
          </w:rPr>
          <w:tab/>
        </w:r>
        <w:r w:rsidR="008A47AC">
          <w:rPr>
            <w:noProof/>
            <w:webHidden/>
          </w:rPr>
          <w:fldChar w:fldCharType="begin"/>
        </w:r>
        <w:r w:rsidR="008A47AC">
          <w:rPr>
            <w:noProof/>
            <w:webHidden/>
          </w:rPr>
          <w:instrText xml:space="preserve"> PAGEREF _Toc34208356 \h </w:instrText>
        </w:r>
        <w:r w:rsidR="008A47AC">
          <w:rPr>
            <w:noProof/>
            <w:webHidden/>
          </w:rPr>
        </w:r>
        <w:r w:rsidR="008A47AC">
          <w:rPr>
            <w:noProof/>
            <w:webHidden/>
          </w:rPr>
          <w:fldChar w:fldCharType="separate"/>
        </w:r>
        <w:r w:rsidR="00E57BFA">
          <w:rPr>
            <w:noProof/>
            <w:webHidden/>
          </w:rPr>
          <w:t>- 115 -</w:t>
        </w:r>
        <w:r w:rsidR="008A47AC">
          <w:rPr>
            <w:noProof/>
            <w:webHidden/>
          </w:rPr>
          <w:fldChar w:fldCharType="end"/>
        </w:r>
      </w:hyperlink>
    </w:p>
    <w:p w14:paraId="56CD4003" w14:textId="72651B7C" w:rsidR="008A47AC" w:rsidRDefault="007B378B">
      <w:pPr>
        <w:pStyle w:val="TOC4"/>
        <w:tabs>
          <w:tab w:val="right" w:leader="dot" w:pos="9016"/>
        </w:tabs>
        <w:rPr>
          <w:rFonts w:eastAsiaTheme="minorEastAsia"/>
          <w:noProof/>
          <w:lang w:eastAsia="en-GB"/>
        </w:rPr>
      </w:pPr>
      <w:hyperlink w:anchor="_Toc34208357" w:history="1">
        <w:r w:rsidR="008A47AC" w:rsidRPr="00793E8D">
          <w:rPr>
            <w:rStyle w:val="Hyperlink"/>
            <w:rFonts w:ascii="Arial" w:eastAsia="Times New Roman" w:hAnsi="Arial" w:cs="Arial"/>
            <w:i/>
            <w:iCs/>
            <w:noProof/>
          </w:rPr>
          <w:t>3.3.1.4 Normal oral fibroblast protein abundance analysis</w:t>
        </w:r>
        <w:r w:rsidR="008A47AC">
          <w:rPr>
            <w:noProof/>
            <w:webHidden/>
          </w:rPr>
          <w:tab/>
        </w:r>
        <w:r w:rsidR="008A47AC">
          <w:rPr>
            <w:noProof/>
            <w:webHidden/>
          </w:rPr>
          <w:fldChar w:fldCharType="begin"/>
        </w:r>
        <w:r w:rsidR="008A47AC">
          <w:rPr>
            <w:noProof/>
            <w:webHidden/>
          </w:rPr>
          <w:instrText xml:space="preserve"> PAGEREF _Toc34208357 \h </w:instrText>
        </w:r>
        <w:r w:rsidR="008A47AC">
          <w:rPr>
            <w:noProof/>
            <w:webHidden/>
          </w:rPr>
        </w:r>
        <w:r w:rsidR="008A47AC">
          <w:rPr>
            <w:noProof/>
            <w:webHidden/>
          </w:rPr>
          <w:fldChar w:fldCharType="separate"/>
        </w:r>
        <w:r w:rsidR="00E57BFA">
          <w:rPr>
            <w:noProof/>
            <w:webHidden/>
          </w:rPr>
          <w:t>- 116 -</w:t>
        </w:r>
        <w:r w:rsidR="008A47AC">
          <w:rPr>
            <w:noProof/>
            <w:webHidden/>
          </w:rPr>
          <w:fldChar w:fldCharType="end"/>
        </w:r>
      </w:hyperlink>
    </w:p>
    <w:p w14:paraId="1B1D9FAA" w14:textId="41241B3E" w:rsidR="008A47AC" w:rsidRDefault="007B378B">
      <w:pPr>
        <w:pStyle w:val="TOC5"/>
        <w:rPr>
          <w:rFonts w:eastAsiaTheme="minorEastAsia"/>
          <w:noProof/>
          <w:lang w:eastAsia="en-GB"/>
        </w:rPr>
      </w:pPr>
      <w:hyperlink w:anchor="_Toc34208358" w:history="1">
        <w:r w:rsidR="008A47AC" w:rsidRPr="00793E8D">
          <w:rPr>
            <w:rStyle w:val="Hyperlink"/>
            <w:rFonts w:ascii="Arial" w:eastAsia="Times New Roman" w:hAnsi="Arial" w:cs="Arial"/>
            <w:noProof/>
            <w:kern w:val="24"/>
          </w:rPr>
          <w:t>3.3.1.4.1 αSMA protein abundance in normal oral fibroblasts</w:t>
        </w:r>
        <w:r w:rsidR="008A47AC">
          <w:rPr>
            <w:noProof/>
            <w:webHidden/>
          </w:rPr>
          <w:tab/>
        </w:r>
        <w:r w:rsidR="008A47AC">
          <w:rPr>
            <w:noProof/>
            <w:webHidden/>
          </w:rPr>
          <w:fldChar w:fldCharType="begin"/>
        </w:r>
        <w:r w:rsidR="008A47AC">
          <w:rPr>
            <w:noProof/>
            <w:webHidden/>
          </w:rPr>
          <w:instrText xml:space="preserve"> PAGEREF _Toc34208358 \h </w:instrText>
        </w:r>
        <w:r w:rsidR="008A47AC">
          <w:rPr>
            <w:noProof/>
            <w:webHidden/>
          </w:rPr>
        </w:r>
        <w:r w:rsidR="008A47AC">
          <w:rPr>
            <w:noProof/>
            <w:webHidden/>
          </w:rPr>
          <w:fldChar w:fldCharType="separate"/>
        </w:r>
        <w:r w:rsidR="00E57BFA">
          <w:rPr>
            <w:noProof/>
            <w:webHidden/>
          </w:rPr>
          <w:t>- 117 -</w:t>
        </w:r>
        <w:r w:rsidR="008A47AC">
          <w:rPr>
            <w:noProof/>
            <w:webHidden/>
          </w:rPr>
          <w:fldChar w:fldCharType="end"/>
        </w:r>
      </w:hyperlink>
    </w:p>
    <w:p w14:paraId="5A82F7CD" w14:textId="2B6D437D" w:rsidR="008A47AC" w:rsidRDefault="007B378B">
      <w:pPr>
        <w:pStyle w:val="TOC5"/>
        <w:rPr>
          <w:rFonts w:eastAsiaTheme="minorEastAsia"/>
          <w:noProof/>
          <w:lang w:eastAsia="en-GB"/>
        </w:rPr>
      </w:pPr>
      <w:hyperlink w:anchor="_Toc34208359" w:history="1">
        <w:r w:rsidR="008A47AC" w:rsidRPr="00793E8D">
          <w:rPr>
            <w:rStyle w:val="Hyperlink"/>
            <w:rFonts w:ascii="Arial" w:eastAsia="Times New Roman" w:hAnsi="Arial" w:cs="Arial"/>
            <w:noProof/>
            <w:kern w:val="24"/>
          </w:rPr>
          <w:t>3.3.1.4.2 FN1-EDA protein abundance in normal oral fibroblasts</w:t>
        </w:r>
        <w:r w:rsidR="008A47AC">
          <w:rPr>
            <w:noProof/>
            <w:webHidden/>
          </w:rPr>
          <w:tab/>
        </w:r>
        <w:r w:rsidR="008A47AC">
          <w:rPr>
            <w:noProof/>
            <w:webHidden/>
          </w:rPr>
          <w:fldChar w:fldCharType="begin"/>
        </w:r>
        <w:r w:rsidR="008A47AC">
          <w:rPr>
            <w:noProof/>
            <w:webHidden/>
          </w:rPr>
          <w:instrText xml:space="preserve"> PAGEREF _Toc34208359 \h </w:instrText>
        </w:r>
        <w:r w:rsidR="008A47AC">
          <w:rPr>
            <w:noProof/>
            <w:webHidden/>
          </w:rPr>
        </w:r>
        <w:r w:rsidR="008A47AC">
          <w:rPr>
            <w:noProof/>
            <w:webHidden/>
          </w:rPr>
          <w:fldChar w:fldCharType="separate"/>
        </w:r>
        <w:r w:rsidR="00E57BFA">
          <w:rPr>
            <w:noProof/>
            <w:webHidden/>
          </w:rPr>
          <w:t>- 118 -</w:t>
        </w:r>
        <w:r w:rsidR="008A47AC">
          <w:rPr>
            <w:noProof/>
            <w:webHidden/>
          </w:rPr>
          <w:fldChar w:fldCharType="end"/>
        </w:r>
      </w:hyperlink>
    </w:p>
    <w:p w14:paraId="6D695268" w14:textId="62B52A09" w:rsidR="008A47AC" w:rsidRDefault="007B378B">
      <w:pPr>
        <w:pStyle w:val="TOC5"/>
        <w:rPr>
          <w:rFonts w:eastAsiaTheme="minorEastAsia"/>
          <w:noProof/>
          <w:lang w:eastAsia="en-GB"/>
        </w:rPr>
      </w:pPr>
      <w:hyperlink w:anchor="_Toc34208360" w:history="1">
        <w:r w:rsidR="008A47AC" w:rsidRPr="00793E8D">
          <w:rPr>
            <w:rStyle w:val="Hyperlink"/>
            <w:rFonts w:ascii="Arial" w:eastAsia="Times New Roman" w:hAnsi="Arial" w:cs="Arial"/>
            <w:noProof/>
            <w:kern w:val="24"/>
          </w:rPr>
          <w:t>3.3.1.4.3 COL1A1 protein abundance in normal oral fibroblasts</w:t>
        </w:r>
        <w:r w:rsidR="008A47AC">
          <w:rPr>
            <w:noProof/>
            <w:webHidden/>
          </w:rPr>
          <w:tab/>
        </w:r>
        <w:r w:rsidR="008A47AC">
          <w:rPr>
            <w:noProof/>
            <w:webHidden/>
          </w:rPr>
          <w:fldChar w:fldCharType="begin"/>
        </w:r>
        <w:r w:rsidR="008A47AC">
          <w:rPr>
            <w:noProof/>
            <w:webHidden/>
          </w:rPr>
          <w:instrText xml:space="preserve"> PAGEREF _Toc34208360 \h </w:instrText>
        </w:r>
        <w:r w:rsidR="008A47AC">
          <w:rPr>
            <w:noProof/>
            <w:webHidden/>
          </w:rPr>
        </w:r>
        <w:r w:rsidR="008A47AC">
          <w:rPr>
            <w:noProof/>
            <w:webHidden/>
          </w:rPr>
          <w:fldChar w:fldCharType="separate"/>
        </w:r>
        <w:r w:rsidR="00E57BFA">
          <w:rPr>
            <w:noProof/>
            <w:webHidden/>
          </w:rPr>
          <w:t>- 119 -</w:t>
        </w:r>
        <w:r w:rsidR="008A47AC">
          <w:rPr>
            <w:noProof/>
            <w:webHidden/>
          </w:rPr>
          <w:fldChar w:fldCharType="end"/>
        </w:r>
      </w:hyperlink>
    </w:p>
    <w:p w14:paraId="7C8B3EF0" w14:textId="25BFEEA8" w:rsidR="008A47AC" w:rsidRDefault="007B378B">
      <w:pPr>
        <w:pStyle w:val="TOC5"/>
        <w:rPr>
          <w:rFonts w:eastAsiaTheme="minorEastAsia"/>
          <w:noProof/>
          <w:lang w:eastAsia="en-GB"/>
        </w:rPr>
      </w:pPr>
      <w:hyperlink w:anchor="_Toc34208361" w:history="1">
        <w:r w:rsidR="008A47AC" w:rsidRPr="00793E8D">
          <w:rPr>
            <w:rStyle w:val="Hyperlink"/>
            <w:rFonts w:ascii="Arial" w:eastAsia="Times New Roman" w:hAnsi="Arial" w:cs="Arial"/>
            <w:noProof/>
            <w:kern w:val="24"/>
          </w:rPr>
          <w:t>3.3.1.4.1.4 VCAN protein abundance in normal oral fibroblasts</w:t>
        </w:r>
        <w:r w:rsidR="008A47AC">
          <w:rPr>
            <w:noProof/>
            <w:webHidden/>
          </w:rPr>
          <w:tab/>
        </w:r>
        <w:r w:rsidR="008A47AC">
          <w:rPr>
            <w:noProof/>
            <w:webHidden/>
          </w:rPr>
          <w:fldChar w:fldCharType="begin"/>
        </w:r>
        <w:r w:rsidR="008A47AC">
          <w:rPr>
            <w:noProof/>
            <w:webHidden/>
          </w:rPr>
          <w:instrText xml:space="preserve"> PAGEREF _Toc34208361 \h </w:instrText>
        </w:r>
        <w:r w:rsidR="008A47AC">
          <w:rPr>
            <w:noProof/>
            <w:webHidden/>
          </w:rPr>
        </w:r>
        <w:r w:rsidR="008A47AC">
          <w:rPr>
            <w:noProof/>
            <w:webHidden/>
          </w:rPr>
          <w:fldChar w:fldCharType="separate"/>
        </w:r>
        <w:r w:rsidR="00E57BFA">
          <w:rPr>
            <w:noProof/>
            <w:webHidden/>
          </w:rPr>
          <w:t>- 120 -</w:t>
        </w:r>
        <w:r w:rsidR="008A47AC">
          <w:rPr>
            <w:noProof/>
            <w:webHidden/>
          </w:rPr>
          <w:fldChar w:fldCharType="end"/>
        </w:r>
      </w:hyperlink>
    </w:p>
    <w:p w14:paraId="04FA7168" w14:textId="052AAA1C" w:rsidR="008A47AC" w:rsidRDefault="007B378B">
      <w:pPr>
        <w:pStyle w:val="TOC4"/>
        <w:tabs>
          <w:tab w:val="right" w:leader="dot" w:pos="9016"/>
        </w:tabs>
        <w:rPr>
          <w:rFonts w:eastAsiaTheme="minorEastAsia"/>
          <w:noProof/>
          <w:lang w:eastAsia="en-GB"/>
        </w:rPr>
      </w:pPr>
      <w:hyperlink w:anchor="_Toc34208362" w:history="1">
        <w:r w:rsidR="008A47AC" w:rsidRPr="00793E8D">
          <w:rPr>
            <w:rStyle w:val="Hyperlink"/>
            <w:rFonts w:ascii="Arial" w:eastAsia="Times New Roman" w:hAnsi="Arial" w:cs="Arial"/>
            <w:bCs/>
            <w:i/>
            <w:iCs/>
            <w:noProof/>
          </w:rPr>
          <w:t>3.3.1.4.2 Long-term protein abundance in normal oral fibroblasts</w:t>
        </w:r>
        <w:r w:rsidR="008A47AC">
          <w:rPr>
            <w:noProof/>
            <w:webHidden/>
          </w:rPr>
          <w:tab/>
        </w:r>
        <w:r w:rsidR="008A47AC">
          <w:rPr>
            <w:noProof/>
            <w:webHidden/>
          </w:rPr>
          <w:fldChar w:fldCharType="begin"/>
        </w:r>
        <w:r w:rsidR="008A47AC">
          <w:rPr>
            <w:noProof/>
            <w:webHidden/>
          </w:rPr>
          <w:instrText xml:space="preserve"> PAGEREF _Toc34208362 \h </w:instrText>
        </w:r>
        <w:r w:rsidR="008A47AC">
          <w:rPr>
            <w:noProof/>
            <w:webHidden/>
          </w:rPr>
        </w:r>
        <w:r w:rsidR="008A47AC">
          <w:rPr>
            <w:noProof/>
            <w:webHidden/>
          </w:rPr>
          <w:fldChar w:fldCharType="separate"/>
        </w:r>
        <w:r w:rsidR="00E57BFA">
          <w:rPr>
            <w:noProof/>
            <w:webHidden/>
          </w:rPr>
          <w:t>- 121 -</w:t>
        </w:r>
        <w:r w:rsidR="008A47AC">
          <w:rPr>
            <w:noProof/>
            <w:webHidden/>
          </w:rPr>
          <w:fldChar w:fldCharType="end"/>
        </w:r>
      </w:hyperlink>
    </w:p>
    <w:p w14:paraId="16DD4BC5" w14:textId="574271B9" w:rsidR="008A47AC" w:rsidRDefault="007B378B">
      <w:pPr>
        <w:pStyle w:val="TOC5"/>
        <w:rPr>
          <w:rFonts w:eastAsiaTheme="minorEastAsia"/>
          <w:noProof/>
          <w:lang w:eastAsia="en-GB"/>
        </w:rPr>
      </w:pPr>
      <w:hyperlink w:anchor="_Toc34208363" w:history="1">
        <w:r w:rsidR="008A47AC" w:rsidRPr="00793E8D">
          <w:rPr>
            <w:rStyle w:val="Hyperlink"/>
            <w:rFonts w:ascii="Arial" w:eastAsia="Times New Roman" w:hAnsi="Arial" w:cs="Arial"/>
            <w:bCs/>
            <w:noProof/>
          </w:rPr>
          <w:t xml:space="preserve">3.3.1.4.2.1 </w:t>
        </w:r>
        <w:r w:rsidR="008A47AC" w:rsidRPr="00793E8D">
          <w:rPr>
            <w:rStyle w:val="Hyperlink"/>
            <w:rFonts w:ascii="Arial" w:eastAsia="Times New Roman" w:hAnsi="Arial" w:cs="Arial"/>
            <w:noProof/>
            <w:kern w:val="24"/>
          </w:rPr>
          <w:t>αSMA protein abundance in normal oral fibroblasts</w:t>
        </w:r>
        <w:r w:rsidR="008A47AC">
          <w:rPr>
            <w:noProof/>
            <w:webHidden/>
          </w:rPr>
          <w:tab/>
        </w:r>
        <w:r w:rsidR="008A47AC">
          <w:rPr>
            <w:noProof/>
            <w:webHidden/>
          </w:rPr>
          <w:fldChar w:fldCharType="begin"/>
        </w:r>
        <w:r w:rsidR="008A47AC">
          <w:rPr>
            <w:noProof/>
            <w:webHidden/>
          </w:rPr>
          <w:instrText xml:space="preserve"> PAGEREF _Toc34208363 \h </w:instrText>
        </w:r>
        <w:r w:rsidR="008A47AC">
          <w:rPr>
            <w:noProof/>
            <w:webHidden/>
          </w:rPr>
        </w:r>
        <w:r w:rsidR="008A47AC">
          <w:rPr>
            <w:noProof/>
            <w:webHidden/>
          </w:rPr>
          <w:fldChar w:fldCharType="separate"/>
        </w:r>
        <w:r w:rsidR="00E57BFA">
          <w:rPr>
            <w:noProof/>
            <w:webHidden/>
          </w:rPr>
          <w:t>- 121 -</w:t>
        </w:r>
        <w:r w:rsidR="008A47AC">
          <w:rPr>
            <w:noProof/>
            <w:webHidden/>
          </w:rPr>
          <w:fldChar w:fldCharType="end"/>
        </w:r>
      </w:hyperlink>
    </w:p>
    <w:p w14:paraId="42B085C1" w14:textId="61E7737B" w:rsidR="008A47AC" w:rsidRDefault="007B378B">
      <w:pPr>
        <w:pStyle w:val="TOC5"/>
        <w:rPr>
          <w:rFonts w:eastAsiaTheme="minorEastAsia"/>
          <w:noProof/>
          <w:lang w:eastAsia="en-GB"/>
        </w:rPr>
      </w:pPr>
      <w:hyperlink w:anchor="_Toc34208364" w:history="1">
        <w:r w:rsidR="008A47AC" w:rsidRPr="00793E8D">
          <w:rPr>
            <w:rStyle w:val="Hyperlink"/>
            <w:rFonts w:ascii="Arial" w:eastAsia="Times New Roman" w:hAnsi="Arial" w:cs="Arial"/>
            <w:bCs/>
            <w:noProof/>
          </w:rPr>
          <w:t xml:space="preserve">3.3.1.4.2.2 </w:t>
        </w:r>
        <w:r w:rsidR="008A47AC" w:rsidRPr="00793E8D">
          <w:rPr>
            <w:rStyle w:val="Hyperlink"/>
            <w:rFonts w:ascii="Arial" w:eastAsia="Times New Roman" w:hAnsi="Arial" w:cs="Arial"/>
            <w:noProof/>
            <w:kern w:val="24"/>
          </w:rPr>
          <w:t>FN1-EDA protein abundance in normal oral fibroblasts</w:t>
        </w:r>
        <w:r w:rsidR="008A47AC">
          <w:rPr>
            <w:noProof/>
            <w:webHidden/>
          </w:rPr>
          <w:tab/>
        </w:r>
        <w:r w:rsidR="008A47AC">
          <w:rPr>
            <w:noProof/>
            <w:webHidden/>
          </w:rPr>
          <w:fldChar w:fldCharType="begin"/>
        </w:r>
        <w:r w:rsidR="008A47AC">
          <w:rPr>
            <w:noProof/>
            <w:webHidden/>
          </w:rPr>
          <w:instrText xml:space="preserve"> PAGEREF _Toc34208364 \h </w:instrText>
        </w:r>
        <w:r w:rsidR="008A47AC">
          <w:rPr>
            <w:noProof/>
            <w:webHidden/>
          </w:rPr>
        </w:r>
        <w:r w:rsidR="008A47AC">
          <w:rPr>
            <w:noProof/>
            <w:webHidden/>
          </w:rPr>
          <w:fldChar w:fldCharType="separate"/>
        </w:r>
        <w:r w:rsidR="00E57BFA">
          <w:rPr>
            <w:noProof/>
            <w:webHidden/>
          </w:rPr>
          <w:t>- 122 -</w:t>
        </w:r>
        <w:r w:rsidR="008A47AC">
          <w:rPr>
            <w:noProof/>
            <w:webHidden/>
          </w:rPr>
          <w:fldChar w:fldCharType="end"/>
        </w:r>
      </w:hyperlink>
    </w:p>
    <w:p w14:paraId="09081801" w14:textId="2985CE8C" w:rsidR="008A47AC" w:rsidRDefault="007B378B">
      <w:pPr>
        <w:pStyle w:val="TOC5"/>
        <w:rPr>
          <w:rFonts w:eastAsiaTheme="minorEastAsia"/>
          <w:noProof/>
          <w:lang w:eastAsia="en-GB"/>
        </w:rPr>
      </w:pPr>
      <w:hyperlink w:anchor="_Toc34208365" w:history="1">
        <w:r w:rsidR="008A47AC" w:rsidRPr="00793E8D">
          <w:rPr>
            <w:rStyle w:val="Hyperlink"/>
            <w:rFonts w:ascii="Arial" w:eastAsia="Times New Roman" w:hAnsi="Arial" w:cs="Arial"/>
            <w:bCs/>
            <w:noProof/>
          </w:rPr>
          <w:t xml:space="preserve">3.3.1.4.2.3 </w:t>
        </w:r>
        <w:r w:rsidR="008A47AC" w:rsidRPr="00793E8D">
          <w:rPr>
            <w:rStyle w:val="Hyperlink"/>
            <w:rFonts w:ascii="Arial" w:eastAsia="Times New Roman" w:hAnsi="Arial" w:cs="Arial"/>
            <w:noProof/>
            <w:kern w:val="24"/>
          </w:rPr>
          <w:t>COL1A1 protein abundance in normal oral fibroblasts</w:t>
        </w:r>
        <w:r w:rsidR="008A47AC">
          <w:rPr>
            <w:noProof/>
            <w:webHidden/>
          </w:rPr>
          <w:tab/>
        </w:r>
        <w:r w:rsidR="008A47AC">
          <w:rPr>
            <w:noProof/>
            <w:webHidden/>
          </w:rPr>
          <w:fldChar w:fldCharType="begin"/>
        </w:r>
        <w:r w:rsidR="008A47AC">
          <w:rPr>
            <w:noProof/>
            <w:webHidden/>
          </w:rPr>
          <w:instrText xml:space="preserve"> PAGEREF _Toc34208365 \h </w:instrText>
        </w:r>
        <w:r w:rsidR="008A47AC">
          <w:rPr>
            <w:noProof/>
            <w:webHidden/>
          </w:rPr>
        </w:r>
        <w:r w:rsidR="008A47AC">
          <w:rPr>
            <w:noProof/>
            <w:webHidden/>
          </w:rPr>
          <w:fldChar w:fldCharType="separate"/>
        </w:r>
        <w:r w:rsidR="00E57BFA">
          <w:rPr>
            <w:noProof/>
            <w:webHidden/>
          </w:rPr>
          <w:t>- 123 -</w:t>
        </w:r>
        <w:r w:rsidR="008A47AC">
          <w:rPr>
            <w:noProof/>
            <w:webHidden/>
          </w:rPr>
          <w:fldChar w:fldCharType="end"/>
        </w:r>
      </w:hyperlink>
    </w:p>
    <w:p w14:paraId="168D9E81" w14:textId="0DC9EC56" w:rsidR="008A47AC" w:rsidRDefault="007B378B">
      <w:pPr>
        <w:pStyle w:val="TOC5"/>
        <w:rPr>
          <w:rFonts w:eastAsiaTheme="minorEastAsia"/>
          <w:noProof/>
          <w:lang w:eastAsia="en-GB"/>
        </w:rPr>
      </w:pPr>
      <w:hyperlink w:anchor="_Toc34208366" w:history="1">
        <w:r w:rsidR="008A47AC" w:rsidRPr="00793E8D">
          <w:rPr>
            <w:rStyle w:val="Hyperlink"/>
            <w:rFonts w:ascii="Arial" w:eastAsia="Times New Roman" w:hAnsi="Arial" w:cs="Arial"/>
            <w:bCs/>
            <w:noProof/>
          </w:rPr>
          <w:t xml:space="preserve">3.3.1.4.2.4 </w:t>
        </w:r>
        <w:r w:rsidR="008A47AC" w:rsidRPr="00793E8D">
          <w:rPr>
            <w:rStyle w:val="Hyperlink"/>
            <w:rFonts w:ascii="Arial" w:eastAsia="Times New Roman" w:hAnsi="Arial" w:cs="Arial"/>
            <w:noProof/>
            <w:kern w:val="24"/>
          </w:rPr>
          <w:t>VCAN protein abundance in normal oral fibroblasts</w:t>
        </w:r>
        <w:r w:rsidR="008A47AC">
          <w:rPr>
            <w:noProof/>
            <w:webHidden/>
          </w:rPr>
          <w:tab/>
        </w:r>
        <w:r w:rsidR="008A47AC">
          <w:rPr>
            <w:noProof/>
            <w:webHidden/>
          </w:rPr>
          <w:fldChar w:fldCharType="begin"/>
        </w:r>
        <w:r w:rsidR="008A47AC">
          <w:rPr>
            <w:noProof/>
            <w:webHidden/>
          </w:rPr>
          <w:instrText xml:space="preserve"> PAGEREF _Toc34208366 \h </w:instrText>
        </w:r>
        <w:r w:rsidR="008A47AC">
          <w:rPr>
            <w:noProof/>
            <w:webHidden/>
          </w:rPr>
        </w:r>
        <w:r w:rsidR="008A47AC">
          <w:rPr>
            <w:noProof/>
            <w:webHidden/>
          </w:rPr>
          <w:fldChar w:fldCharType="separate"/>
        </w:r>
        <w:r w:rsidR="00E57BFA">
          <w:rPr>
            <w:noProof/>
            <w:webHidden/>
          </w:rPr>
          <w:t>- 124 -</w:t>
        </w:r>
        <w:r w:rsidR="008A47AC">
          <w:rPr>
            <w:noProof/>
            <w:webHidden/>
          </w:rPr>
          <w:fldChar w:fldCharType="end"/>
        </w:r>
      </w:hyperlink>
    </w:p>
    <w:p w14:paraId="520680EC" w14:textId="3BEB3E17" w:rsidR="008A47AC" w:rsidRDefault="007B378B">
      <w:pPr>
        <w:pStyle w:val="TOC3"/>
        <w:tabs>
          <w:tab w:val="right" w:leader="dot" w:pos="9016"/>
        </w:tabs>
        <w:rPr>
          <w:rFonts w:eastAsiaTheme="minorEastAsia"/>
          <w:noProof/>
          <w:lang w:eastAsia="en-GB"/>
        </w:rPr>
      </w:pPr>
      <w:hyperlink w:anchor="_Toc34208367" w:history="1">
        <w:r w:rsidR="008A47AC" w:rsidRPr="00793E8D">
          <w:rPr>
            <w:rStyle w:val="Hyperlink"/>
            <w:rFonts w:ascii="Arial" w:eastAsia="Times New Roman" w:hAnsi="Arial" w:cs="Arial"/>
            <w:noProof/>
          </w:rPr>
          <w:t xml:space="preserve">3.3.2 Molecular analysis of </w:t>
        </w:r>
        <w:r w:rsidR="008A47AC" w:rsidRPr="00793E8D">
          <w:rPr>
            <w:rStyle w:val="Hyperlink"/>
            <w:rFonts w:ascii="Arial" w:eastAsia="Times New Roman" w:hAnsi="Arial" w:cs="Arial"/>
            <w:bCs/>
            <w:noProof/>
          </w:rPr>
          <w:t>cancer-associated fibroblasts</w:t>
        </w:r>
        <w:r w:rsidR="008A47AC">
          <w:rPr>
            <w:noProof/>
            <w:webHidden/>
          </w:rPr>
          <w:tab/>
        </w:r>
        <w:r w:rsidR="008A47AC">
          <w:rPr>
            <w:noProof/>
            <w:webHidden/>
          </w:rPr>
          <w:fldChar w:fldCharType="begin"/>
        </w:r>
        <w:r w:rsidR="008A47AC">
          <w:rPr>
            <w:noProof/>
            <w:webHidden/>
          </w:rPr>
          <w:instrText xml:space="preserve"> PAGEREF _Toc34208367 \h </w:instrText>
        </w:r>
        <w:r w:rsidR="008A47AC">
          <w:rPr>
            <w:noProof/>
            <w:webHidden/>
          </w:rPr>
        </w:r>
        <w:r w:rsidR="008A47AC">
          <w:rPr>
            <w:noProof/>
            <w:webHidden/>
          </w:rPr>
          <w:fldChar w:fldCharType="separate"/>
        </w:r>
        <w:r w:rsidR="00E57BFA">
          <w:rPr>
            <w:noProof/>
            <w:webHidden/>
          </w:rPr>
          <w:t>- 125 -</w:t>
        </w:r>
        <w:r w:rsidR="008A47AC">
          <w:rPr>
            <w:noProof/>
            <w:webHidden/>
          </w:rPr>
          <w:fldChar w:fldCharType="end"/>
        </w:r>
      </w:hyperlink>
    </w:p>
    <w:p w14:paraId="5E8CB134" w14:textId="57BE62F2" w:rsidR="008A47AC" w:rsidRDefault="007B378B">
      <w:pPr>
        <w:pStyle w:val="TOC4"/>
        <w:tabs>
          <w:tab w:val="right" w:leader="dot" w:pos="9016"/>
        </w:tabs>
        <w:rPr>
          <w:rFonts w:eastAsiaTheme="minorEastAsia"/>
          <w:noProof/>
          <w:lang w:eastAsia="en-GB"/>
        </w:rPr>
      </w:pPr>
      <w:hyperlink w:anchor="_Toc34208368" w:history="1">
        <w:r w:rsidR="008A47AC" w:rsidRPr="00793E8D">
          <w:rPr>
            <w:rStyle w:val="Hyperlink"/>
            <w:rFonts w:ascii="Arial" w:eastAsia="Times New Roman" w:hAnsi="Arial" w:cs="Arial"/>
            <w:bCs/>
            <w:i/>
            <w:iCs/>
            <w:noProof/>
          </w:rPr>
          <w:t>3.3.2.1 RT-qPCR analysis of myofibroblast and ECM markers short-term in CAF</w:t>
        </w:r>
        <w:r w:rsidR="008A47AC">
          <w:rPr>
            <w:noProof/>
            <w:webHidden/>
          </w:rPr>
          <w:tab/>
        </w:r>
        <w:r w:rsidR="008A47AC">
          <w:rPr>
            <w:noProof/>
            <w:webHidden/>
          </w:rPr>
          <w:fldChar w:fldCharType="begin"/>
        </w:r>
        <w:r w:rsidR="008A47AC">
          <w:rPr>
            <w:noProof/>
            <w:webHidden/>
          </w:rPr>
          <w:instrText xml:space="preserve"> PAGEREF _Toc34208368 \h </w:instrText>
        </w:r>
        <w:r w:rsidR="008A47AC">
          <w:rPr>
            <w:noProof/>
            <w:webHidden/>
          </w:rPr>
        </w:r>
        <w:r w:rsidR="008A47AC">
          <w:rPr>
            <w:noProof/>
            <w:webHidden/>
          </w:rPr>
          <w:fldChar w:fldCharType="separate"/>
        </w:r>
        <w:r w:rsidR="00E57BFA">
          <w:rPr>
            <w:noProof/>
            <w:webHidden/>
          </w:rPr>
          <w:t>- 125 -</w:t>
        </w:r>
        <w:r w:rsidR="008A47AC">
          <w:rPr>
            <w:noProof/>
            <w:webHidden/>
          </w:rPr>
          <w:fldChar w:fldCharType="end"/>
        </w:r>
      </w:hyperlink>
    </w:p>
    <w:p w14:paraId="5676FF11" w14:textId="56FEDA77" w:rsidR="008A47AC" w:rsidRDefault="007B378B">
      <w:pPr>
        <w:pStyle w:val="TOC5"/>
        <w:rPr>
          <w:rFonts w:eastAsiaTheme="minorEastAsia"/>
          <w:noProof/>
          <w:lang w:eastAsia="en-GB"/>
        </w:rPr>
      </w:pPr>
      <w:hyperlink w:anchor="_Toc34208369" w:history="1">
        <w:r w:rsidR="008A47AC" w:rsidRPr="00793E8D">
          <w:rPr>
            <w:rStyle w:val="Hyperlink"/>
            <w:rFonts w:ascii="Arial" w:eastAsia="Times New Roman" w:hAnsi="Arial" w:cs="Arial"/>
            <w:bCs/>
            <w:noProof/>
          </w:rPr>
          <w:t>3.3.2.1.1 αSMA expression by RT-qPCR</w:t>
        </w:r>
        <w:r w:rsidR="008A47AC">
          <w:rPr>
            <w:noProof/>
            <w:webHidden/>
          </w:rPr>
          <w:tab/>
        </w:r>
        <w:r w:rsidR="008A47AC">
          <w:rPr>
            <w:noProof/>
            <w:webHidden/>
          </w:rPr>
          <w:fldChar w:fldCharType="begin"/>
        </w:r>
        <w:r w:rsidR="008A47AC">
          <w:rPr>
            <w:noProof/>
            <w:webHidden/>
          </w:rPr>
          <w:instrText xml:space="preserve"> PAGEREF _Toc34208369 \h </w:instrText>
        </w:r>
        <w:r w:rsidR="008A47AC">
          <w:rPr>
            <w:noProof/>
            <w:webHidden/>
          </w:rPr>
        </w:r>
        <w:r w:rsidR="008A47AC">
          <w:rPr>
            <w:noProof/>
            <w:webHidden/>
          </w:rPr>
          <w:fldChar w:fldCharType="separate"/>
        </w:r>
        <w:r w:rsidR="00E57BFA">
          <w:rPr>
            <w:noProof/>
            <w:webHidden/>
          </w:rPr>
          <w:t>- 126 -</w:t>
        </w:r>
        <w:r w:rsidR="008A47AC">
          <w:rPr>
            <w:noProof/>
            <w:webHidden/>
          </w:rPr>
          <w:fldChar w:fldCharType="end"/>
        </w:r>
      </w:hyperlink>
    </w:p>
    <w:p w14:paraId="2E240D96" w14:textId="207087BC" w:rsidR="008A47AC" w:rsidRDefault="007B378B">
      <w:pPr>
        <w:pStyle w:val="TOC5"/>
        <w:rPr>
          <w:rFonts w:eastAsiaTheme="minorEastAsia"/>
          <w:noProof/>
          <w:lang w:eastAsia="en-GB"/>
        </w:rPr>
      </w:pPr>
      <w:hyperlink w:anchor="_Toc34208370" w:history="1">
        <w:r w:rsidR="008A47AC" w:rsidRPr="00793E8D">
          <w:rPr>
            <w:rStyle w:val="Hyperlink"/>
            <w:rFonts w:ascii="Arial" w:eastAsia="Times New Roman" w:hAnsi="Arial" w:cs="Arial"/>
            <w:bCs/>
            <w:noProof/>
          </w:rPr>
          <w:t>3.3.2.1.2 FN1-EDA expression by RT-qPCR</w:t>
        </w:r>
        <w:r w:rsidR="008A47AC">
          <w:rPr>
            <w:noProof/>
            <w:webHidden/>
          </w:rPr>
          <w:tab/>
        </w:r>
        <w:r w:rsidR="008A47AC">
          <w:rPr>
            <w:noProof/>
            <w:webHidden/>
          </w:rPr>
          <w:fldChar w:fldCharType="begin"/>
        </w:r>
        <w:r w:rsidR="008A47AC">
          <w:rPr>
            <w:noProof/>
            <w:webHidden/>
          </w:rPr>
          <w:instrText xml:space="preserve"> PAGEREF _Toc34208370 \h </w:instrText>
        </w:r>
        <w:r w:rsidR="008A47AC">
          <w:rPr>
            <w:noProof/>
            <w:webHidden/>
          </w:rPr>
        </w:r>
        <w:r w:rsidR="008A47AC">
          <w:rPr>
            <w:noProof/>
            <w:webHidden/>
          </w:rPr>
          <w:fldChar w:fldCharType="separate"/>
        </w:r>
        <w:r w:rsidR="00E57BFA">
          <w:rPr>
            <w:noProof/>
            <w:webHidden/>
          </w:rPr>
          <w:t>- 127 -</w:t>
        </w:r>
        <w:r w:rsidR="008A47AC">
          <w:rPr>
            <w:noProof/>
            <w:webHidden/>
          </w:rPr>
          <w:fldChar w:fldCharType="end"/>
        </w:r>
      </w:hyperlink>
    </w:p>
    <w:p w14:paraId="382A083D" w14:textId="53E268E5" w:rsidR="008A47AC" w:rsidRDefault="007B378B">
      <w:pPr>
        <w:pStyle w:val="TOC5"/>
        <w:rPr>
          <w:rFonts w:eastAsiaTheme="minorEastAsia"/>
          <w:noProof/>
          <w:lang w:eastAsia="en-GB"/>
        </w:rPr>
      </w:pPr>
      <w:hyperlink w:anchor="_Toc34208371" w:history="1">
        <w:r w:rsidR="008A47AC" w:rsidRPr="00793E8D">
          <w:rPr>
            <w:rStyle w:val="Hyperlink"/>
            <w:rFonts w:ascii="Arial" w:eastAsia="Times New Roman" w:hAnsi="Arial" w:cs="Arial"/>
            <w:bCs/>
            <w:noProof/>
          </w:rPr>
          <w:t>3.3.2.1.3 COL1A1 expression by RT-qPCR</w:t>
        </w:r>
        <w:r w:rsidR="008A47AC">
          <w:rPr>
            <w:noProof/>
            <w:webHidden/>
          </w:rPr>
          <w:tab/>
        </w:r>
        <w:r w:rsidR="008A47AC">
          <w:rPr>
            <w:noProof/>
            <w:webHidden/>
          </w:rPr>
          <w:fldChar w:fldCharType="begin"/>
        </w:r>
        <w:r w:rsidR="008A47AC">
          <w:rPr>
            <w:noProof/>
            <w:webHidden/>
          </w:rPr>
          <w:instrText xml:space="preserve"> PAGEREF _Toc34208371 \h </w:instrText>
        </w:r>
        <w:r w:rsidR="008A47AC">
          <w:rPr>
            <w:noProof/>
            <w:webHidden/>
          </w:rPr>
        </w:r>
        <w:r w:rsidR="008A47AC">
          <w:rPr>
            <w:noProof/>
            <w:webHidden/>
          </w:rPr>
          <w:fldChar w:fldCharType="separate"/>
        </w:r>
        <w:r w:rsidR="00E57BFA">
          <w:rPr>
            <w:noProof/>
            <w:webHidden/>
          </w:rPr>
          <w:t>- 128 -</w:t>
        </w:r>
        <w:r w:rsidR="008A47AC">
          <w:rPr>
            <w:noProof/>
            <w:webHidden/>
          </w:rPr>
          <w:fldChar w:fldCharType="end"/>
        </w:r>
      </w:hyperlink>
    </w:p>
    <w:p w14:paraId="3F8AD058" w14:textId="1A46073D" w:rsidR="008A47AC" w:rsidRDefault="007B378B">
      <w:pPr>
        <w:pStyle w:val="TOC5"/>
        <w:rPr>
          <w:rFonts w:eastAsiaTheme="minorEastAsia"/>
          <w:noProof/>
          <w:lang w:eastAsia="en-GB"/>
        </w:rPr>
      </w:pPr>
      <w:hyperlink w:anchor="_Toc34208372" w:history="1">
        <w:r w:rsidR="008A47AC" w:rsidRPr="00793E8D">
          <w:rPr>
            <w:rStyle w:val="Hyperlink"/>
            <w:rFonts w:ascii="Arial" w:eastAsia="Times New Roman" w:hAnsi="Arial" w:cs="Arial"/>
            <w:bCs/>
            <w:noProof/>
          </w:rPr>
          <w:t>3.3.2.1.4 VCAN expression by RT-qPCR</w:t>
        </w:r>
        <w:r w:rsidR="008A47AC">
          <w:rPr>
            <w:noProof/>
            <w:webHidden/>
          </w:rPr>
          <w:tab/>
        </w:r>
        <w:r w:rsidR="008A47AC">
          <w:rPr>
            <w:noProof/>
            <w:webHidden/>
          </w:rPr>
          <w:fldChar w:fldCharType="begin"/>
        </w:r>
        <w:r w:rsidR="008A47AC">
          <w:rPr>
            <w:noProof/>
            <w:webHidden/>
          </w:rPr>
          <w:instrText xml:space="preserve"> PAGEREF _Toc34208372 \h </w:instrText>
        </w:r>
        <w:r w:rsidR="008A47AC">
          <w:rPr>
            <w:noProof/>
            <w:webHidden/>
          </w:rPr>
        </w:r>
        <w:r w:rsidR="008A47AC">
          <w:rPr>
            <w:noProof/>
            <w:webHidden/>
          </w:rPr>
          <w:fldChar w:fldCharType="separate"/>
        </w:r>
        <w:r w:rsidR="00E57BFA">
          <w:rPr>
            <w:noProof/>
            <w:webHidden/>
          </w:rPr>
          <w:t>- 129 -</w:t>
        </w:r>
        <w:r w:rsidR="008A47AC">
          <w:rPr>
            <w:noProof/>
            <w:webHidden/>
          </w:rPr>
          <w:fldChar w:fldCharType="end"/>
        </w:r>
      </w:hyperlink>
    </w:p>
    <w:p w14:paraId="4B67A50C" w14:textId="41C243BC" w:rsidR="008A47AC" w:rsidRDefault="007B378B">
      <w:pPr>
        <w:pStyle w:val="TOC5"/>
        <w:rPr>
          <w:rFonts w:eastAsiaTheme="minorEastAsia"/>
          <w:noProof/>
          <w:lang w:eastAsia="en-GB"/>
        </w:rPr>
      </w:pPr>
      <w:hyperlink w:anchor="_Toc34208373" w:history="1">
        <w:r w:rsidR="008A47AC" w:rsidRPr="00793E8D">
          <w:rPr>
            <w:rStyle w:val="Hyperlink"/>
            <w:rFonts w:ascii="Arial" w:eastAsia="Times New Roman" w:hAnsi="Arial" w:cs="Arial"/>
            <w:bCs/>
            <w:noProof/>
          </w:rPr>
          <w:t>3.3.2.1.5 TNC expression by RT-qPCR</w:t>
        </w:r>
        <w:r w:rsidR="008A47AC">
          <w:rPr>
            <w:noProof/>
            <w:webHidden/>
          </w:rPr>
          <w:tab/>
        </w:r>
        <w:r w:rsidR="008A47AC">
          <w:rPr>
            <w:noProof/>
            <w:webHidden/>
          </w:rPr>
          <w:fldChar w:fldCharType="begin"/>
        </w:r>
        <w:r w:rsidR="008A47AC">
          <w:rPr>
            <w:noProof/>
            <w:webHidden/>
          </w:rPr>
          <w:instrText xml:space="preserve"> PAGEREF _Toc34208373 \h </w:instrText>
        </w:r>
        <w:r w:rsidR="008A47AC">
          <w:rPr>
            <w:noProof/>
            <w:webHidden/>
          </w:rPr>
        </w:r>
        <w:r w:rsidR="008A47AC">
          <w:rPr>
            <w:noProof/>
            <w:webHidden/>
          </w:rPr>
          <w:fldChar w:fldCharType="separate"/>
        </w:r>
        <w:r w:rsidR="00E57BFA">
          <w:rPr>
            <w:noProof/>
            <w:webHidden/>
          </w:rPr>
          <w:t>- 130 -</w:t>
        </w:r>
        <w:r w:rsidR="008A47AC">
          <w:rPr>
            <w:noProof/>
            <w:webHidden/>
          </w:rPr>
          <w:fldChar w:fldCharType="end"/>
        </w:r>
      </w:hyperlink>
    </w:p>
    <w:p w14:paraId="62339878" w14:textId="18EC4420" w:rsidR="008A47AC" w:rsidRDefault="007B378B">
      <w:pPr>
        <w:pStyle w:val="TOC4"/>
        <w:tabs>
          <w:tab w:val="right" w:leader="dot" w:pos="9016"/>
        </w:tabs>
        <w:rPr>
          <w:rFonts w:eastAsiaTheme="minorEastAsia"/>
          <w:noProof/>
          <w:lang w:eastAsia="en-GB"/>
        </w:rPr>
      </w:pPr>
      <w:hyperlink w:anchor="_Toc34208374" w:history="1">
        <w:r w:rsidR="008A47AC" w:rsidRPr="00793E8D">
          <w:rPr>
            <w:rStyle w:val="Hyperlink"/>
            <w:rFonts w:ascii="Arial" w:eastAsia="Times New Roman" w:hAnsi="Arial" w:cs="Arial"/>
            <w:bCs/>
            <w:noProof/>
          </w:rPr>
          <w:t>3.3.2.2 RT-qPCR analysis of myofibroblast and ECM markers long-term in CAF</w:t>
        </w:r>
        <w:r w:rsidR="008A47AC">
          <w:rPr>
            <w:noProof/>
            <w:webHidden/>
          </w:rPr>
          <w:tab/>
        </w:r>
        <w:r w:rsidR="008A47AC">
          <w:rPr>
            <w:noProof/>
            <w:webHidden/>
          </w:rPr>
          <w:fldChar w:fldCharType="begin"/>
        </w:r>
        <w:r w:rsidR="008A47AC">
          <w:rPr>
            <w:noProof/>
            <w:webHidden/>
          </w:rPr>
          <w:instrText xml:space="preserve"> PAGEREF _Toc34208374 \h </w:instrText>
        </w:r>
        <w:r w:rsidR="008A47AC">
          <w:rPr>
            <w:noProof/>
            <w:webHidden/>
          </w:rPr>
        </w:r>
        <w:r w:rsidR="008A47AC">
          <w:rPr>
            <w:noProof/>
            <w:webHidden/>
          </w:rPr>
          <w:fldChar w:fldCharType="separate"/>
        </w:r>
        <w:r w:rsidR="00E57BFA">
          <w:rPr>
            <w:noProof/>
            <w:webHidden/>
          </w:rPr>
          <w:t>- 131 -</w:t>
        </w:r>
        <w:r w:rsidR="008A47AC">
          <w:rPr>
            <w:noProof/>
            <w:webHidden/>
          </w:rPr>
          <w:fldChar w:fldCharType="end"/>
        </w:r>
      </w:hyperlink>
    </w:p>
    <w:p w14:paraId="706D2EFF" w14:textId="446E6474" w:rsidR="008A47AC" w:rsidRDefault="007B378B">
      <w:pPr>
        <w:pStyle w:val="TOC5"/>
        <w:rPr>
          <w:rFonts w:eastAsiaTheme="minorEastAsia"/>
          <w:noProof/>
          <w:lang w:eastAsia="en-GB"/>
        </w:rPr>
      </w:pPr>
      <w:hyperlink w:anchor="_Toc34208375" w:history="1">
        <w:r w:rsidR="008A47AC" w:rsidRPr="00793E8D">
          <w:rPr>
            <w:rStyle w:val="Hyperlink"/>
            <w:rFonts w:ascii="Arial" w:eastAsia="Times New Roman" w:hAnsi="Arial" w:cs="Arial"/>
            <w:bCs/>
            <w:noProof/>
          </w:rPr>
          <w:t>3.3.2.2.1 αSMA expression by RT-qPCR</w:t>
        </w:r>
        <w:r w:rsidR="008A47AC">
          <w:rPr>
            <w:noProof/>
            <w:webHidden/>
          </w:rPr>
          <w:tab/>
        </w:r>
        <w:r w:rsidR="008A47AC">
          <w:rPr>
            <w:noProof/>
            <w:webHidden/>
          </w:rPr>
          <w:fldChar w:fldCharType="begin"/>
        </w:r>
        <w:r w:rsidR="008A47AC">
          <w:rPr>
            <w:noProof/>
            <w:webHidden/>
          </w:rPr>
          <w:instrText xml:space="preserve"> PAGEREF _Toc34208375 \h </w:instrText>
        </w:r>
        <w:r w:rsidR="008A47AC">
          <w:rPr>
            <w:noProof/>
            <w:webHidden/>
          </w:rPr>
        </w:r>
        <w:r w:rsidR="008A47AC">
          <w:rPr>
            <w:noProof/>
            <w:webHidden/>
          </w:rPr>
          <w:fldChar w:fldCharType="separate"/>
        </w:r>
        <w:r w:rsidR="00E57BFA">
          <w:rPr>
            <w:noProof/>
            <w:webHidden/>
          </w:rPr>
          <w:t>- 131 -</w:t>
        </w:r>
        <w:r w:rsidR="008A47AC">
          <w:rPr>
            <w:noProof/>
            <w:webHidden/>
          </w:rPr>
          <w:fldChar w:fldCharType="end"/>
        </w:r>
      </w:hyperlink>
    </w:p>
    <w:p w14:paraId="27B0F30F" w14:textId="49E3312C" w:rsidR="008A47AC" w:rsidRDefault="007B378B">
      <w:pPr>
        <w:pStyle w:val="TOC5"/>
        <w:rPr>
          <w:rFonts w:eastAsiaTheme="minorEastAsia"/>
          <w:noProof/>
          <w:lang w:eastAsia="en-GB"/>
        </w:rPr>
      </w:pPr>
      <w:hyperlink w:anchor="_Toc34208376" w:history="1">
        <w:r w:rsidR="008A47AC" w:rsidRPr="00793E8D">
          <w:rPr>
            <w:rStyle w:val="Hyperlink"/>
            <w:rFonts w:ascii="Arial" w:eastAsia="Times New Roman" w:hAnsi="Arial" w:cs="Arial"/>
            <w:bCs/>
            <w:noProof/>
          </w:rPr>
          <w:t>3.3.2.1.2 FN1-EDA expression by RT-qPCR</w:t>
        </w:r>
        <w:r w:rsidR="008A47AC">
          <w:rPr>
            <w:noProof/>
            <w:webHidden/>
          </w:rPr>
          <w:tab/>
        </w:r>
        <w:r w:rsidR="008A47AC">
          <w:rPr>
            <w:noProof/>
            <w:webHidden/>
          </w:rPr>
          <w:fldChar w:fldCharType="begin"/>
        </w:r>
        <w:r w:rsidR="008A47AC">
          <w:rPr>
            <w:noProof/>
            <w:webHidden/>
          </w:rPr>
          <w:instrText xml:space="preserve"> PAGEREF _Toc34208376 \h </w:instrText>
        </w:r>
        <w:r w:rsidR="008A47AC">
          <w:rPr>
            <w:noProof/>
            <w:webHidden/>
          </w:rPr>
        </w:r>
        <w:r w:rsidR="008A47AC">
          <w:rPr>
            <w:noProof/>
            <w:webHidden/>
          </w:rPr>
          <w:fldChar w:fldCharType="separate"/>
        </w:r>
        <w:r w:rsidR="00E57BFA">
          <w:rPr>
            <w:noProof/>
            <w:webHidden/>
          </w:rPr>
          <w:t>- 132 -</w:t>
        </w:r>
        <w:r w:rsidR="008A47AC">
          <w:rPr>
            <w:noProof/>
            <w:webHidden/>
          </w:rPr>
          <w:fldChar w:fldCharType="end"/>
        </w:r>
      </w:hyperlink>
    </w:p>
    <w:p w14:paraId="4A695B31" w14:textId="22518DA9" w:rsidR="008A47AC" w:rsidRDefault="007B378B">
      <w:pPr>
        <w:pStyle w:val="TOC5"/>
        <w:rPr>
          <w:rFonts w:eastAsiaTheme="minorEastAsia"/>
          <w:noProof/>
          <w:lang w:eastAsia="en-GB"/>
        </w:rPr>
      </w:pPr>
      <w:hyperlink w:anchor="_Toc34208377" w:history="1">
        <w:r w:rsidR="008A47AC" w:rsidRPr="00793E8D">
          <w:rPr>
            <w:rStyle w:val="Hyperlink"/>
            <w:rFonts w:ascii="Arial" w:eastAsia="Times New Roman" w:hAnsi="Arial" w:cs="Arial"/>
            <w:bCs/>
            <w:noProof/>
          </w:rPr>
          <w:t>3.3.2.2.3 COL1A1 expression by RT-qPCR</w:t>
        </w:r>
        <w:r w:rsidR="008A47AC">
          <w:rPr>
            <w:noProof/>
            <w:webHidden/>
          </w:rPr>
          <w:tab/>
        </w:r>
        <w:r w:rsidR="008A47AC">
          <w:rPr>
            <w:noProof/>
            <w:webHidden/>
          </w:rPr>
          <w:fldChar w:fldCharType="begin"/>
        </w:r>
        <w:r w:rsidR="008A47AC">
          <w:rPr>
            <w:noProof/>
            <w:webHidden/>
          </w:rPr>
          <w:instrText xml:space="preserve"> PAGEREF _Toc34208377 \h </w:instrText>
        </w:r>
        <w:r w:rsidR="008A47AC">
          <w:rPr>
            <w:noProof/>
            <w:webHidden/>
          </w:rPr>
        </w:r>
        <w:r w:rsidR="008A47AC">
          <w:rPr>
            <w:noProof/>
            <w:webHidden/>
          </w:rPr>
          <w:fldChar w:fldCharType="separate"/>
        </w:r>
        <w:r w:rsidR="00E57BFA">
          <w:rPr>
            <w:noProof/>
            <w:webHidden/>
          </w:rPr>
          <w:t>- 133 -</w:t>
        </w:r>
        <w:r w:rsidR="008A47AC">
          <w:rPr>
            <w:noProof/>
            <w:webHidden/>
          </w:rPr>
          <w:fldChar w:fldCharType="end"/>
        </w:r>
      </w:hyperlink>
    </w:p>
    <w:p w14:paraId="46DC5159" w14:textId="7B8F4B4E" w:rsidR="008A47AC" w:rsidRDefault="007B378B">
      <w:pPr>
        <w:pStyle w:val="TOC5"/>
        <w:rPr>
          <w:rFonts w:eastAsiaTheme="minorEastAsia"/>
          <w:noProof/>
          <w:lang w:eastAsia="en-GB"/>
        </w:rPr>
      </w:pPr>
      <w:hyperlink w:anchor="_Toc34208378" w:history="1">
        <w:r w:rsidR="008A47AC" w:rsidRPr="00793E8D">
          <w:rPr>
            <w:rStyle w:val="Hyperlink"/>
            <w:rFonts w:ascii="Arial" w:eastAsia="Times New Roman" w:hAnsi="Arial" w:cs="Arial"/>
            <w:bCs/>
            <w:noProof/>
          </w:rPr>
          <w:t>3.3.2.2.4 VCAN expression by RT-qPCR</w:t>
        </w:r>
        <w:r w:rsidR="008A47AC">
          <w:rPr>
            <w:noProof/>
            <w:webHidden/>
          </w:rPr>
          <w:tab/>
        </w:r>
        <w:r w:rsidR="008A47AC">
          <w:rPr>
            <w:noProof/>
            <w:webHidden/>
          </w:rPr>
          <w:fldChar w:fldCharType="begin"/>
        </w:r>
        <w:r w:rsidR="008A47AC">
          <w:rPr>
            <w:noProof/>
            <w:webHidden/>
          </w:rPr>
          <w:instrText xml:space="preserve"> PAGEREF _Toc34208378 \h </w:instrText>
        </w:r>
        <w:r w:rsidR="008A47AC">
          <w:rPr>
            <w:noProof/>
            <w:webHidden/>
          </w:rPr>
        </w:r>
        <w:r w:rsidR="008A47AC">
          <w:rPr>
            <w:noProof/>
            <w:webHidden/>
          </w:rPr>
          <w:fldChar w:fldCharType="separate"/>
        </w:r>
        <w:r w:rsidR="00E57BFA">
          <w:rPr>
            <w:noProof/>
            <w:webHidden/>
          </w:rPr>
          <w:t>- 134 -</w:t>
        </w:r>
        <w:r w:rsidR="008A47AC">
          <w:rPr>
            <w:noProof/>
            <w:webHidden/>
          </w:rPr>
          <w:fldChar w:fldCharType="end"/>
        </w:r>
      </w:hyperlink>
    </w:p>
    <w:p w14:paraId="0D29A86A" w14:textId="5D209539" w:rsidR="008A47AC" w:rsidRDefault="007B378B">
      <w:pPr>
        <w:pStyle w:val="TOC5"/>
        <w:rPr>
          <w:rFonts w:eastAsiaTheme="minorEastAsia"/>
          <w:noProof/>
          <w:lang w:eastAsia="en-GB"/>
        </w:rPr>
      </w:pPr>
      <w:hyperlink w:anchor="_Toc34208379" w:history="1">
        <w:r w:rsidR="008A47AC" w:rsidRPr="00793E8D">
          <w:rPr>
            <w:rStyle w:val="Hyperlink"/>
            <w:rFonts w:ascii="Arial" w:eastAsia="Times New Roman" w:hAnsi="Arial" w:cs="Arial"/>
            <w:bCs/>
            <w:noProof/>
          </w:rPr>
          <w:t>3.3.2.1.4 TNC expression by RT-qPCR</w:t>
        </w:r>
        <w:r w:rsidR="008A47AC">
          <w:rPr>
            <w:noProof/>
            <w:webHidden/>
          </w:rPr>
          <w:tab/>
        </w:r>
        <w:r w:rsidR="008A47AC">
          <w:rPr>
            <w:noProof/>
            <w:webHidden/>
          </w:rPr>
          <w:fldChar w:fldCharType="begin"/>
        </w:r>
        <w:r w:rsidR="008A47AC">
          <w:rPr>
            <w:noProof/>
            <w:webHidden/>
          </w:rPr>
          <w:instrText xml:space="preserve"> PAGEREF _Toc34208379 \h </w:instrText>
        </w:r>
        <w:r w:rsidR="008A47AC">
          <w:rPr>
            <w:noProof/>
            <w:webHidden/>
          </w:rPr>
        </w:r>
        <w:r w:rsidR="008A47AC">
          <w:rPr>
            <w:noProof/>
            <w:webHidden/>
          </w:rPr>
          <w:fldChar w:fldCharType="separate"/>
        </w:r>
        <w:r w:rsidR="00E57BFA">
          <w:rPr>
            <w:noProof/>
            <w:webHidden/>
          </w:rPr>
          <w:t>- 135 -</w:t>
        </w:r>
        <w:r w:rsidR="008A47AC">
          <w:rPr>
            <w:noProof/>
            <w:webHidden/>
          </w:rPr>
          <w:fldChar w:fldCharType="end"/>
        </w:r>
      </w:hyperlink>
    </w:p>
    <w:p w14:paraId="122E9F43" w14:textId="7B098757" w:rsidR="008A47AC" w:rsidRDefault="007B378B">
      <w:pPr>
        <w:pStyle w:val="TOC3"/>
        <w:tabs>
          <w:tab w:val="right" w:leader="dot" w:pos="9016"/>
        </w:tabs>
        <w:rPr>
          <w:rFonts w:eastAsiaTheme="minorEastAsia"/>
          <w:noProof/>
          <w:lang w:eastAsia="en-GB"/>
        </w:rPr>
      </w:pPr>
      <w:hyperlink w:anchor="_Toc34208380" w:history="1">
        <w:r w:rsidR="008A47AC" w:rsidRPr="00793E8D">
          <w:rPr>
            <w:rStyle w:val="Hyperlink"/>
            <w:rFonts w:ascii="Arial" w:eastAsia="Times New Roman" w:hAnsi="Arial" w:cs="Arial"/>
            <w:noProof/>
          </w:rPr>
          <w:t>3.3.4 Analysis of oral cancer associated fibroblast ECM component protein abundance</w:t>
        </w:r>
        <w:r w:rsidR="008A47AC">
          <w:rPr>
            <w:noProof/>
            <w:webHidden/>
          </w:rPr>
          <w:tab/>
        </w:r>
        <w:r w:rsidR="008A47AC">
          <w:rPr>
            <w:noProof/>
            <w:webHidden/>
          </w:rPr>
          <w:fldChar w:fldCharType="begin"/>
        </w:r>
        <w:r w:rsidR="008A47AC">
          <w:rPr>
            <w:noProof/>
            <w:webHidden/>
          </w:rPr>
          <w:instrText xml:space="preserve"> PAGEREF _Toc34208380 \h </w:instrText>
        </w:r>
        <w:r w:rsidR="008A47AC">
          <w:rPr>
            <w:noProof/>
            <w:webHidden/>
          </w:rPr>
        </w:r>
        <w:r w:rsidR="008A47AC">
          <w:rPr>
            <w:noProof/>
            <w:webHidden/>
          </w:rPr>
          <w:fldChar w:fldCharType="separate"/>
        </w:r>
        <w:r w:rsidR="00E57BFA">
          <w:rPr>
            <w:noProof/>
            <w:webHidden/>
          </w:rPr>
          <w:t>- 136 -</w:t>
        </w:r>
        <w:r w:rsidR="008A47AC">
          <w:rPr>
            <w:noProof/>
            <w:webHidden/>
          </w:rPr>
          <w:fldChar w:fldCharType="end"/>
        </w:r>
      </w:hyperlink>
    </w:p>
    <w:p w14:paraId="21A07C06" w14:textId="2CFD7C4C" w:rsidR="008A47AC" w:rsidRDefault="007B378B">
      <w:pPr>
        <w:pStyle w:val="TOC4"/>
        <w:tabs>
          <w:tab w:val="right" w:leader="dot" w:pos="9016"/>
        </w:tabs>
        <w:rPr>
          <w:rFonts w:eastAsiaTheme="minorEastAsia"/>
          <w:noProof/>
          <w:lang w:eastAsia="en-GB"/>
        </w:rPr>
      </w:pPr>
      <w:hyperlink w:anchor="_Toc34208381" w:history="1">
        <w:r w:rsidR="008A47AC" w:rsidRPr="00793E8D">
          <w:rPr>
            <w:rStyle w:val="Hyperlink"/>
            <w:rFonts w:ascii="Arial" w:eastAsia="Times New Roman" w:hAnsi="Arial" w:cs="Arial"/>
            <w:i/>
            <w:iCs/>
            <w:noProof/>
          </w:rPr>
          <w:t>3.3.4.1 Short-term ECM protein abundance in CAF</w:t>
        </w:r>
        <w:r w:rsidR="008A47AC">
          <w:rPr>
            <w:noProof/>
            <w:webHidden/>
          </w:rPr>
          <w:tab/>
        </w:r>
        <w:r w:rsidR="008A47AC">
          <w:rPr>
            <w:noProof/>
            <w:webHidden/>
          </w:rPr>
          <w:fldChar w:fldCharType="begin"/>
        </w:r>
        <w:r w:rsidR="008A47AC">
          <w:rPr>
            <w:noProof/>
            <w:webHidden/>
          </w:rPr>
          <w:instrText xml:space="preserve"> PAGEREF _Toc34208381 \h </w:instrText>
        </w:r>
        <w:r w:rsidR="008A47AC">
          <w:rPr>
            <w:noProof/>
            <w:webHidden/>
          </w:rPr>
        </w:r>
        <w:r w:rsidR="008A47AC">
          <w:rPr>
            <w:noProof/>
            <w:webHidden/>
          </w:rPr>
          <w:fldChar w:fldCharType="separate"/>
        </w:r>
        <w:r w:rsidR="00E57BFA">
          <w:rPr>
            <w:noProof/>
            <w:webHidden/>
          </w:rPr>
          <w:t>- 136 -</w:t>
        </w:r>
        <w:r w:rsidR="008A47AC">
          <w:rPr>
            <w:noProof/>
            <w:webHidden/>
          </w:rPr>
          <w:fldChar w:fldCharType="end"/>
        </w:r>
      </w:hyperlink>
    </w:p>
    <w:p w14:paraId="24C2ABE0" w14:textId="02C6E96B" w:rsidR="008A47AC" w:rsidRDefault="007B378B">
      <w:pPr>
        <w:pStyle w:val="TOC5"/>
        <w:rPr>
          <w:rFonts w:eastAsiaTheme="minorEastAsia"/>
          <w:noProof/>
          <w:lang w:eastAsia="en-GB"/>
        </w:rPr>
      </w:pPr>
      <w:hyperlink w:anchor="_Toc34208382" w:history="1">
        <w:r w:rsidR="008A47AC" w:rsidRPr="00793E8D">
          <w:rPr>
            <w:rStyle w:val="Hyperlink"/>
            <w:rFonts w:ascii="Arial" w:eastAsia="Times New Roman" w:hAnsi="Arial" w:cs="Arial"/>
            <w:noProof/>
          </w:rPr>
          <w:t>3.3.4.1.1 αSMA abundance in CAF short-term</w:t>
        </w:r>
        <w:r w:rsidR="008A47AC">
          <w:rPr>
            <w:noProof/>
            <w:webHidden/>
          </w:rPr>
          <w:tab/>
        </w:r>
        <w:r w:rsidR="008A47AC">
          <w:rPr>
            <w:noProof/>
            <w:webHidden/>
          </w:rPr>
          <w:fldChar w:fldCharType="begin"/>
        </w:r>
        <w:r w:rsidR="008A47AC">
          <w:rPr>
            <w:noProof/>
            <w:webHidden/>
          </w:rPr>
          <w:instrText xml:space="preserve"> PAGEREF _Toc34208382 \h </w:instrText>
        </w:r>
        <w:r w:rsidR="008A47AC">
          <w:rPr>
            <w:noProof/>
            <w:webHidden/>
          </w:rPr>
        </w:r>
        <w:r w:rsidR="008A47AC">
          <w:rPr>
            <w:noProof/>
            <w:webHidden/>
          </w:rPr>
          <w:fldChar w:fldCharType="separate"/>
        </w:r>
        <w:r w:rsidR="00E57BFA">
          <w:rPr>
            <w:noProof/>
            <w:webHidden/>
          </w:rPr>
          <w:t>- 136 -</w:t>
        </w:r>
        <w:r w:rsidR="008A47AC">
          <w:rPr>
            <w:noProof/>
            <w:webHidden/>
          </w:rPr>
          <w:fldChar w:fldCharType="end"/>
        </w:r>
      </w:hyperlink>
    </w:p>
    <w:p w14:paraId="5B4884F8" w14:textId="15965CAD" w:rsidR="008A47AC" w:rsidRDefault="007B378B">
      <w:pPr>
        <w:pStyle w:val="TOC5"/>
        <w:rPr>
          <w:rFonts w:eastAsiaTheme="minorEastAsia"/>
          <w:noProof/>
          <w:lang w:eastAsia="en-GB"/>
        </w:rPr>
      </w:pPr>
      <w:hyperlink w:anchor="_Toc34208383" w:history="1">
        <w:r w:rsidR="008A47AC" w:rsidRPr="00793E8D">
          <w:rPr>
            <w:rStyle w:val="Hyperlink"/>
            <w:rFonts w:ascii="Arial" w:eastAsia="Times New Roman" w:hAnsi="Arial" w:cs="Arial"/>
            <w:noProof/>
          </w:rPr>
          <w:t>3.3.4.1.2 COL1A1 abundance in CAF short-term</w:t>
        </w:r>
        <w:r w:rsidR="008A47AC">
          <w:rPr>
            <w:noProof/>
            <w:webHidden/>
          </w:rPr>
          <w:tab/>
        </w:r>
        <w:r w:rsidR="008A47AC">
          <w:rPr>
            <w:noProof/>
            <w:webHidden/>
          </w:rPr>
          <w:fldChar w:fldCharType="begin"/>
        </w:r>
        <w:r w:rsidR="008A47AC">
          <w:rPr>
            <w:noProof/>
            <w:webHidden/>
          </w:rPr>
          <w:instrText xml:space="preserve"> PAGEREF _Toc34208383 \h </w:instrText>
        </w:r>
        <w:r w:rsidR="008A47AC">
          <w:rPr>
            <w:noProof/>
            <w:webHidden/>
          </w:rPr>
        </w:r>
        <w:r w:rsidR="008A47AC">
          <w:rPr>
            <w:noProof/>
            <w:webHidden/>
          </w:rPr>
          <w:fldChar w:fldCharType="separate"/>
        </w:r>
        <w:r w:rsidR="00E57BFA">
          <w:rPr>
            <w:noProof/>
            <w:webHidden/>
          </w:rPr>
          <w:t>- 137 -</w:t>
        </w:r>
        <w:r w:rsidR="008A47AC">
          <w:rPr>
            <w:noProof/>
            <w:webHidden/>
          </w:rPr>
          <w:fldChar w:fldCharType="end"/>
        </w:r>
      </w:hyperlink>
    </w:p>
    <w:p w14:paraId="0821FAB5" w14:textId="4E45CD87" w:rsidR="008A47AC" w:rsidRDefault="007B378B">
      <w:pPr>
        <w:pStyle w:val="TOC5"/>
        <w:rPr>
          <w:rFonts w:eastAsiaTheme="minorEastAsia"/>
          <w:noProof/>
          <w:lang w:eastAsia="en-GB"/>
        </w:rPr>
      </w:pPr>
      <w:hyperlink w:anchor="_Toc34208384" w:history="1">
        <w:r w:rsidR="008A47AC" w:rsidRPr="00793E8D">
          <w:rPr>
            <w:rStyle w:val="Hyperlink"/>
            <w:rFonts w:ascii="Arial" w:eastAsia="Times New Roman" w:hAnsi="Arial" w:cs="Arial"/>
            <w:noProof/>
          </w:rPr>
          <w:t>3.3.4.1.3 FN1-EDA abundance in CAF short-term</w:t>
        </w:r>
        <w:r w:rsidR="008A47AC">
          <w:rPr>
            <w:noProof/>
            <w:webHidden/>
          </w:rPr>
          <w:tab/>
        </w:r>
        <w:r w:rsidR="008A47AC">
          <w:rPr>
            <w:noProof/>
            <w:webHidden/>
          </w:rPr>
          <w:fldChar w:fldCharType="begin"/>
        </w:r>
        <w:r w:rsidR="008A47AC">
          <w:rPr>
            <w:noProof/>
            <w:webHidden/>
          </w:rPr>
          <w:instrText xml:space="preserve"> PAGEREF _Toc34208384 \h </w:instrText>
        </w:r>
        <w:r w:rsidR="008A47AC">
          <w:rPr>
            <w:noProof/>
            <w:webHidden/>
          </w:rPr>
        </w:r>
        <w:r w:rsidR="008A47AC">
          <w:rPr>
            <w:noProof/>
            <w:webHidden/>
          </w:rPr>
          <w:fldChar w:fldCharType="separate"/>
        </w:r>
        <w:r w:rsidR="00E57BFA">
          <w:rPr>
            <w:noProof/>
            <w:webHidden/>
          </w:rPr>
          <w:t>- 138 -</w:t>
        </w:r>
        <w:r w:rsidR="008A47AC">
          <w:rPr>
            <w:noProof/>
            <w:webHidden/>
          </w:rPr>
          <w:fldChar w:fldCharType="end"/>
        </w:r>
      </w:hyperlink>
    </w:p>
    <w:p w14:paraId="1A9BB8B7" w14:textId="51ECCAC5" w:rsidR="008A47AC" w:rsidRDefault="007B378B">
      <w:pPr>
        <w:pStyle w:val="TOC5"/>
        <w:rPr>
          <w:rFonts w:eastAsiaTheme="minorEastAsia"/>
          <w:noProof/>
          <w:lang w:eastAsia="en-GB"/>
        </w:rPr>
      </w:pPr>
      <w:hyperlink w:anchor="_Toc34208385" w:history="1">
        <w:r w:rsidR="008A47AC" w:rsidRPr="00793E8D">
          <w:rPr>
            <w:rStyle w:val="Hyperlink"/>
            <w:rFonts w:ascii="Arial" w:eastAsia="Times New Roman" w:hAnsi="Arial" w:cs="Arial"/>
            <w:noProof/>
          </w:rPr>
          <w:t>3.3.4.1.4 VCAN abundance in CAF short-term</w:t>
        </w:r>
        <w:r w:rsidR="008A47AC">
          <w:rPr>
            <w:noProof/>
            <w:webHidden/>
          </w:rPr>
          <w:tab/>
        </w:r>
        <w:r w:rsidR="008A47AC">
          <w:rPr>
            <w:noProof/>
            <w:webHidden/>
          </w:rPr>
          <w:fldChar w:fldCharType="begin"/>
        </w:r>
        <w:r w:rsidR="008A47AC">
          <w:rPr>
            <w:noProof/>
            <w:webHidden/>
          </w:rPr>
          <w:instrText xml:space="preserve"> PAGEREF _Toc34208385 \h </w:instrText>
        </w:r>
        <w:r w:rsidR="008A47AC">
          <w:rPr>
            <w:noProof/>
            <w:webHidden/>
          </w:rPr>
        </w:r>
        <w:r w:rsidR="008A47AC">
          <w:rPr>
            <w:noProof/>
            <w:webHidden/>
          </w:rPr>
          <w:fldChar w:fldCharType="separate"/>
        </w:r>
        <w:r w:rsidR="00E57BFA">
          <w:rPr>
            <w:noProof/>
            <w:webHidden/>
          </w:rPr>
          <w:t>- 139 -</w:t>
        </w:r>
        <w:r w:rsidR="008A47AC">
          <w:rPr>
            <w:noProof/>
            <w:webHidden/>
          </w:rPr>
          <w:fldChar w:fldCharType="end"/>
        </w:r>
      </w:hyperlink>
    </w:p>
    <w:p w14:paraId="6309F87B" w14:textId="1E09400F" w:rsidR="008A47AC" w:rsidRDefault="007B378B">
      <w:pPr>
        <w:pStyle w:val="TOC4"/>
        <w:tabs>
          <w:tab w:val="right" w:leader="dot" w:pos="9016"/>
        </w:tabs>
        <w:rPr>
          <w:rFonts w:eastAsiaTheme="minorEastAsia"/>
          <w:noProof/>
          <w:lang w:eastAsia="en-GB"/>
        </w:rPr>
      </w:pPr>
      <w:hyperlink w:anchor="_Toc34208386" w:history="1">
        <w:r w:rsidR="008A47AC" w:rsidRPr="00793E8D">
          <w:rPr>
            <w:rStyle w:val="Hyperlink"/>
            <w:rFonts w:ascii="Arial" w:eastAsia="Times New Roman" w:hAnsi="Arial" w:cs="Arial"/>
            <w:i/>
            <w:iCs/>
            <w:noProof/>
          </w:rPr>
          <w:t>3.3.4.2 Long-term ECM protein abundance in patient oral CAF</w:t>
        </w:r>
        <w:r w:rsidR="008A47AC">
          <w:rPr>
            <w:noProof/>
            <w:webHidden/>
          </w:rPr>
          <w:tab/>
        </w:r>
        <w:r w:rsidR="008A47AC">
          <w:rPr>
            <w:noProof/>
            <w:webHidden/>
          </w:rPr>
          <w:fldChar w:fldCharType="begin"/>
        </w:r>
        <w:r w:rsidR="008A47AC">
          <w:rPr>
            <w:noProof/>
            <w:webHidden/>
          </w:rPr>
          <w:instrText xml:space="preserve"> PAGEREF _Toc34208386 \h </w:instrText>
        </w:r>
        <w:r w:rsidR="008A47AC">
          <w:rPr>
            <w:noProof/>
            <w:webHidden/>
          </w:rPr>
        </w:r>
        <w:r w:rsidR="008A47AC">
          <w:rPr>
            <w:noProof/>
            <w:webHidden/>
          </w:rPr>
          <w:fldChar w:fldCharType="separate"/>
        </w:r>
        <w:r w:rsidR="00E57BFA">
          <w:rPr>
            <w:noProof/>
            <w:webHidden/>
          </w:rPr>
          <w:t>- 140 -</w:t>
        </w:r>
        <w:r w:rsidR="008A47AC">
          <w:rPr>
            <w:noProof/>
            <w:webHidden/>
          </w:rPr>
          <w:fldChar w:fldCharType="end"/>
        </w:r>
      </w:hyperlink>
    </w:p>
    <w:p w14:paraId="108E62C6" w14:textId="52FBE986" w:rsidR="008A47AC" w:rsidRDefault="007B378B">
      <w:pPr>
        <w:pStyle w:val="TOC5"/>
        <w:rPr>
          <w:rFonts w:eastAsiaTheme="minorEastAsia"/>
          <w:noProof/>
          <w:lang w:eastAsia="en-GB"/>
        </w:rPr>
      </w:pPr>
      <w:hyperlink w:anchor="_Toc34208387" w:history="1">
        <w:r w:rsidR="008A47AC" w:rsidRPr="00793E8D">
          <w:rPr>
            <w:rStyle w:val="Hyperlink"/>
            <w:rFonts w:ascii="Arial" w:eastAsia="Times New Roman" w:hAnsi="Arial" w:cs="Arial"/>
            <w:noProof/>
          </w:rPr>
          <w:t>3.3.4.2.1 αSMA abundance in CAF with long-term TGFβ-1 treatment</w:t>
        </w:r>
        <w:r w:rsidR="008A47AC">
          <w:rPr>
            <w:noProof/>
            <w:webHidden/>
          </w:rPr>
          <w:tab/>
        </w:r>
        <w:r w:rsidR="008A47AC">
          <w:rPr>
            <w:noProof/>
            <w:webHidden/>
          </w:rPr>
          <w:fldChar w:fldCharType="begin"/>
        </w:r>
        <w:r w:rsidR="008A47AC">
          <w:rPr>
            <w:noProof/>
            <w:webHidden/>
          </w:rPr>
          <w:instrText xml:space="preserve"> PAGEREF _Toc34208387 \h </w:instrText>
        </w:r>
        <w:r w:rsidR="008A47AC">
          <w:rPr>
            <w:noProof/>
            <w:webHidden/>
          </w:rPr>
        </w:r>
        <w:r w:rsidR="008A47AC">
          <w:rPr>
            <w:noProof/>
            <w:webHidden/>
          </w:rPr>
          <w:fldChar w:fldCharType="separate"/>
        </w:r>
        <w:r w:rsidR="00E57BFA">
          <w:rPr>
            <w:noProof/>
            <w:webHidden/>
          </w:rPr>
          <w:t>- 140 -</w:t>
        </w:r>
        <w:r w:rsidR="008A47AC">
          <w:rPr>
            <w:noProof/>
            <w:webHidden/>
          </w:rPr>
          <w:fldChar w:fldCharType="end"/>
        </w:r>
      </w:hyperlink>
    </w:p>
    <w:p w14:paraId="41700279" w14:textId="562B451B" w:rsidR="008A47AC" w:rsidRDefault="007B378B">
      <w:pPr>
        <w:pStyle w:val="TOC5"/>
        <w:rPr>
          <w:rFonts w:eastAsiaTheme="minorEastAsia"/>
          <w:noProof/>
          <w:lang w:eastAsia="en-GB"/>
        </w:rPr>
      </w:pPr>
      <w:hyperlink w:anchor="_Toc34208388" w:history="1">
        <w:r w:rsidR="008A47AC" w:rsidRPr="00793E8D">
          <w:rPr>
            <w:rStyle w:val="Hyperlink"/>
            <w:rFonts w:ascii="Arial" w:eastAsia="Times New Roman" w:hAnsi="Arial" w:cs="Arial"/>
            <w:noProof/>
          </w:rPr>
          <w:t>3.3.4.2.2 COL1A1 abundance in CAF long-term</w:t>
        </w:r>
        <w:r w:rsidR="008A47AC">
          <w:rPr>
            <w:noProof/>
            <w:webHidden/>
          </w:rPr>
          <w:tab/>
        </w:r>
        <w:r w:rsidR="008A47AC">
          <w:rPr>
            <w:noProof/>
            <w:webHidden/>
          </w:rPr>
          <w:fldChar w:fldCharType="begin"/>
        </w:r>
        <w:r w:rsidR="008A47AC">
          <w:rPr>
            <w:noProof/>
            <w:webHidden/>
          </w:rPr>
          <w:instrText xml:space="preserve"> PAGEREF _Toc34208388 \h </w:instrText>
        </w:r>
        <w:r w:rsidR="008A47AC">
          <w:rPr>
            <w:noProof/>
            <w:webHidden/>
          </w:rPr>
        </w:r>
        <w:r w:rsidR="008A47AC">
          <w:rPr>
            <w:noProof/>
            <w:webHidden/>
          </w:rPr>
          <w:fldChar w:fldCharType="separate"/>
        </w:r>
        <w:r w:rsidR="00E57BFA">
          <w:rPr>
            <w:noProof/>
            <w:webHidden/>
          </w:rPr>
          <w:t>- 141 -</w:t>
        </w:r>
        <w:r w:rsidR="008A47AC">
          <w:rPr>
            <w:noProof/>
            <w:webHidden/>
          </w:rPr>
          <w:fldChar w:fldCharType="end"/>
        </w:r>
      </w:hyperlink>
    </w:p>
    <w:p w14:paraId="011BACCF" w14:textId="064B1A54" w:rsidR="008A47AC" w:rsidRDefault="007B378B">
      <w:pPr>
        <w:pStyle w:val="TOC5"/>
        <w:rPr>
          <w:rFonts w:eastAsiaTheme="minorEastAsia"/>
          <w:noProof/>
          <w:lang w:eastAsia="en-GB"/>
        </w:rPr>
      </w:pPr>
      <w:hyperlink w:anchor="_Toc34208389" w:history="1">
        <w:r w:rsidR="008A47AC" w:rsidRPr="00793E8D">
          <w:rPr>
            <w:rStyle w:val="Hyperlink"/>
            <w:rFonts w:ascii="Arial" w:eastAsia="Times New Roman" w:hAnsi="Arial" w:cs="Arial"/>
            <w:noProof/>
          </w:rPr>
          <w:t>3.3.4.2.3 FN1-EDA abundance in CAF long-term</w:t>
        </w:r>
        <w:r w:rsidR="008A47AC">
          <w:rPr>
            <w:noProof/>
            <w:webHidden/>
          </w:rPr>
          <w:tab/>
        </w:r>
        <w:r w:rsidR="008A47AC">
          <w:rPr>
            <w:noProof/>
            <w:webHidden/>
          </w:rPr>
          <w:fldChar w:fldCharType="begin"/>
        </w:r>
        <w:r w:rsidR="008A47AC">
          <w:rPr>
            <w:noProof/>
            <w:webHidden/>
          </w:rPr>
          <w:instrText xml:space="preserve"> PAGEREF _Toc34208389 \h </w:instrText>
        </w:r>
        <w:r w:rsidR="008A47AC">
          <w:rPr>
            <w:noProof/>
            <w:webHidden/>
          </w:rPr>
        </w:r>
        <w:r w:rsidR="008A47AC">
          <w:rPr>
            <w:noProof/>
            <w:webHidden/>
          </w:rPr>
          <w:fldChar w:fldCharType="separate"/>
        </w:r>
        <w:r w:rsidR="00E57BFA">
          <w:rPr>
            <w:noProof/>
            <w:webHidden/>
          </w:rPr>
          <w:t>- 142 -</w:t>
        </w:r>
        <w:r w:rsidR="008A47AC">
          <w:rPr>
            <w:noProof/>
            <w:webHidden/>
          </w:rPr>
          <w:fldChar w:fldCharType="end"/>
        </w:r>
      </w:hyperlink>
    </w:p>
    <w:p w14:paraId="1DC1344D" w14:textId="7AFAAC9E" w:rsidR="008A47AC" w:rsidRDefault="007B378B">
      <w:pPr>
        <w:pStyle w:val="TOC5"/>
        <w:rPr>
          <w:rFonts w:eastAsiaTheme="minorEastAsia"/>
          <w:noProof/>
          <w:lang w:eastAsia="en-GB"/>
        </w:rPr>
      </w:pPr>
      <w:hyperlink w:anchor="_Toc34208390" w:history="1">
        <w:r w:rsidR="008A47AC" w:rsidRPr="00793E8D">
          <w:rPr>
            <w:rStyle w:val="Hyperlink"/>
            <w:rFonts w:ascii="Arial" w:eastAsia="Times New Roman" w:hAnsi="Arial" w:cs="Arial"/>
            <w:noProof/>
          </w:rPr>
          <w:t>3.3.4.2.4 VCAN abundance in CAF long-term</w:t>
        </w:r>
        <w:r w:rsidR="008A47AC">
          <w:rPr>
            <w:noProof/>
            <w:webHidden/>
          </w:rPr>
          <w:tab/>
        </w:r>
        <w:r w:rsidR="008A47AC">
          <w:rPr>
            <w:noProof/>
            <w:webHidden/>
          </w:rPr>
          <w:fldChar w:fldCharType="begin"/>
        </w:r>
        <w:r w:rsidR="008A47AC">
          <w:rPr>
            <w:noProof/>
            <w:webHidden/>
          </w:rPr>
          <w:instrText xml:space="preserve"> PAGEREF _Toc34208390 \h </w:instrText>
        </w:r>
        <w:r w:rsidR="008A47AC">
          <w:rPr>
            <w:noProof/>
            <w:webHidden/>
          </w:rPr>
        </w:r>
        <w:r w:rsidR="008A47AC">
          <w:rPr>
            <w:noProof/>
            <w:webHidden/>
          </w:rPr>
          <w:fldChar w:fldCharType="separate"/>
        </w:r>
        <w:r w:rsidR="00E57BFA">
          <w:rPr>
            <w:noProof/>
            <w:webHidden/>
          </w:rPr>
          <w:t>- 143 -</w:t>
        </w:r>
        <w:r w:rsidR="008A47AC">
          <w:rPr>
            <w:noProof/>
            <w:webHidden/>
          </w:rPr>
          <w:fldChar w:fldCharType="end"/>
        </w:r>
      </w:hyperlink>
    </w:p>
    <w:p w14:paraId="1800432C" w14:textId="5CCF4C3E" w:rsidR="008A47AC" w:rsidRDefault="007B378B">
      <w:pPr>
        <w:pStyle w:val="TOC3"/>
        <w:tabs>
          <w:tab w:val="right" w:leader="dot" w:pos="9016"/>
        </w:tabs>
        <w:rPr>
          <w:rFonts w:eastAsiaTheme="minorEastAsia"/>
          <w:noProof/>
          <w:lang w:eastAsia="en-GB"/>
        </w:rPr>
      </w:pPr>
      <w:hyperlink w:anchor="_Toc34208391" w:history="1">
        <w:r w:rsidR="008A47AC" w:rsidRPr="00793E8D">
          <w:rPr>
            <w:rStyle w:val="Hyperlink"/>
            <w:rFonts w:ascii="Arial" w:eastAsia="Times New Roman" w:hAnsi="Arial" w:cs="Arial"/>
            <w:bCs/>
            <w:noProof/>
          </w:rPr>
          <w:t>3.3.5 Immunofluorescent analysis of αSMA stress fibres in oral fibroblasts</w:t>
        </w:r>
        <w:r w:rsidR="008A47AC">
          <w:rPr>
            <w:noProof/>
            <w:webHidden/>
          </w:rPr>
          <w:tab/>
        </w:r>
        <w:r w:rsidR="008A47AC">
          <w:rPr>
            <w:noProof/>
            <w:webHidden/>
          </w:rPr>
          <w:fldChar w:fldCharType="begin"/>
        </w:r>
        <w:r w:rsidR="008A47AC">
          <w:rPr>
            <w:noProof/>
            <w:webHidden/>
          </w:rPr>
          <w:instrText xml:space="preserve"> PAGEREF _Toc34208391 \h </w:instrText>
        </w:r>
        <w:r w:rsidR="008A47AC">
          <w:rPr>
            <w:noProof/>
            <w:webHidden/>
          </w:rPr>
        </w:r>
        <w:r w:rsidR="008A47AC">
          <w:rPr>
            <w:noProof/>
            <w:webHidden/>
          </w:rPr>
          <w:fldChar w:fldCharType="separate"/>
        </w:r>
        <w:r w:rsidR="00E57BFA">
          <w:rPr>
            <w:noProof/>
            <w:webHidden/>
          </w:rPr>
          <w:t>- 144 -</w:t>
        </w:r>
        <w:r w:rsidR="008A47AC">
          <w:rPr>
            <w:noProof/>
            <w:webHidden/>
          </w:rPr>
          <w:fldChar w:fldCharType="end"/>
        </w:r>
      </w:hyperlink>
    </w:p>
    <w:p w14:paraId="5D1D9BC1" w14:textId="5C02E2EF" w:rsidR="008A47AC" w:rsidRDefault="007B378B">
      <w:pPr>
        <w:pStyle w:val="TOC4"/>
        <w:tabs>
          <w:tab w:val="right" w:leader="dot" w:pos="9016"/>
        </w:tabs>
        <w:rPr>
          <w:rFonts w:eastAsiaTheme="minorEastAsia"/>
          <w:noProof/>
          <w:lang w:eastAsia="en-GB"/>
        </w:rPr>
      </w:pPr>
      <w:hyperlink w:anchor="_Toc34208392" w:history="1">
        <w:r w:rsidR="008A47AC" w:rsidRPr="00793E8D">
          <w:rPr>
            <w:rStyle w:val="Hyperlink"/>
            <w:rFonts w:ascii="Arial" w:eastAsia="Times New Roman" w:hAnsi="Arial" w:cs="Arial"/>
            <w:bCs/>
            <w:i/>
            <w:iCs/>
            <w:noProof/>
          </w:rPr>
          <w:t>3.3.5.1 Immunofluorescence analysis of αSMA stress fibres in normal oral fibroblasts</w:t>
        </w:r>
        <w:r w:rsidR="008A47AC">
          <w:rPr>
            <w:noProof/>
            <w:webHidden/>
          </w:rPr>
          <w:tab/>
        </w:r>
        <w:r w:rsidR="008A47AC">
          <w:rPr>
            <w:noProof/>
            <w:webHidden/>
          </w:rPr>
          <w:fldChar w:fldCharType="begin"/>
        </w:r>
        <w:r w:rsidR="008A47AC">
          <w:rPr>
            <w:noProof/>
            <w:webHidden/>
          </w:rPr>
          <w:instrText xml:space="preserve"> PAGEREF _Toc34208392 \h </w:instrText>
        </w:r>
        <w:r w:rsidR="008A47AC">
          <w:rPr>
            <w:noProof/>
            <w:webHidden/>
          </w:rPr>
        </w:r>
        <w:r w:rsidR="008A47AC">
          <w:rPr>
            <w:noProof/>
            <w:webHidden/>
          </w:rPr>
          <w:fldChar w:fldCharType="separate"/>
        </w:r>
        <w:r w:rsidR="00E57BFA">
          <w:rPr>
            <w:noProof/>
            <w:webHidden/>
          </w:rPr>
          <w:t>- 145 -</w:t>
        </w:r>
        <w:r w:rsidR="008A47AC">
          <w:rPr>
            <w:noProof/>
            <w:webHidden/>
          </w:rPr>
          <w:fldChar w:fldCharType="end"/>
        </w:r>
      </w:hyperlink>
    </w:p>
    <w:p w14:paraId="53ED161D" w14:textId="35D69545" w:rsidR="008A47AC" w:rsidRDefault="007B378B">
      <w:pPr>
        <w:pStyle w:val="TOC4"/>
        <w:tabs>
          <w:tab w:val="right" w:leader="dot" w:pos="9016"/>
        </w:tabs>
        <w:rPr>
          <w:rFonts w:eastAsiaTheme="minorEastAsia"/>
          <w:noProof/>
          <w:lang w:eastAsia="en-GB"/>
        </w:rPr>
      </w:pPr>
      <w:hyperlink w:anchor="_Toc34208393" w:history="1">
        <w:r w:rsidR="008A47AC" w:rsidRPr="00793E8D">
          <w:rPr>
            <w:rStyle w:val="Hyperlink"/>
            <w:rFonts w:ascii="Arial" w:eastAsiaTheme="majorEastAsia" w:hAnsi="Arial" w:cs="Arial"/>
            <w:bCs/>
            <w:i/>
            <w:iCs/>
            <w:noProof/>
          </w:rPr>
          <w:t>3.3.5.2 Immunofluorescence analysis of αSMA stress fibres in cancer-associated fibroblasts</w:t>
        </w:r>
        <w:r w:rsidR="008A47AC">
          <w:rPr>
            <w:noProof/>
            <w:webHidden/>
          </w:rPr>
          <w:tab/>
        </w:r>
        <w:r w:rsidR="008A47AC">
          <w:rPr>
            <w:noProof/>
            <w:webHidden/>
          </w:rPr>
          <w:fldChar w:fldCharType="begin"/>
        </w:r>
        <w:r w:rsidR="008A47AC">
          <w:rPr>
            <w:noProof/>
            <w:webHidden/>
          </w:rPr>
          <w:instrText xml:space="preserve"> PAGEREF _Toc34208393 \h </w:instrText>
        </w:r>
        <w:r w:rsidR="008A47AC">
          <w:rPr>
            <w:noProof/>
            <w:webHidden/>
          </w:rPr>
        </w:r>
        <w:r w:rsidR="008A47AC">
          <w:rPr>
            <w:noProof/>
            <w:webHidden/>
          </w:rPr>
          <w:fldChar w:fldCharType="separate"/>
        </w:r>
        <w:r w:rsidR="00E57BFA">
          <w:rPr>
            <w:noProof/>
            <w:webHidden/>
          </w:rPr>
          <w:t>- 146 -</w:t>
        </w:r>
        <w:r w:rsidR="008A47AC">
          <w:rPr>
            <w:noProof/>
            <w:webHidden/>
          </w:rPr>
          <w:fldChar w:fldCharType="end"/>
        </w:r>
      </w:hyperlink>
    </w:p>
    <w:p w14:paraId="49763458" w14:textId="400A0506" w:rsidR="008A47AC" w:rsidRDefault="007B378B">
      <w:pPr>
        <w:pStyle w:val="TOC3"/>
        <w:tabs>
          <w:tab w:val="right" w:leader="dot" w:pos="9016"/>
        </w:tabs>
        <w:rPr>
          <w:rFonts w:eastAsiaTheme="minorEastAsia"/>
          <w:noProof/>
          <w:lang w:eastAsia="en-GB"/>
        </w:rPr>
      </w:pPr>
      <w:hyperlink w:anchor="_Toc34208394" w:history="1">
        <w:r w:rsidR="008A47AC" w:rsidRPr="00793E8D">
          <w:rPr>
            <w:rStyle w:val="Hyperlink"/>
            <w:rFonts w:ascii="Arial" w:hAnsi="Arial" w:cs="Arial"/>
            <w:bCs/>
            <w:noProof/>
          </w:rPr>
          <w:t>3.3.6 Investigation of the effects of stromal modifying drugs on myofibroblast phenotype in 2D monolayers</w:t>
        </w:r>
        <w:r w:rsidR="008A47AC">
          <w:rPr>
            <w:noProof/>
            <w:webHidden/>
          </w:rPr>
          <w:tab/>
        </w:r>
        <w:r w:rsidR="008A47AC">
          <w:rPr>
            <w:noProof/>
            <w:webHidden/>
          </w:rPr>
          <w:fldChar w:fldCharType="begin"/>
        </w:r>
        <w:r w:rsidR="008A47AC">
          <w:rPr>
            <w:noProof/>
            <w:webHidden/>
          </w:rPr>
          <w:instrText xml:space="preserve"> PAGEREF _Toc34208394 \h </w:instrText>
        </w:r>
        <w:r w:rsidR="008A47AC">
          <w:rPr>
            <w:noProof/>
            <w:webHidden/>
          </w:rPr>
        </w:r>
        <w:r w:rsidR="008A47AC">
          <w:rPr>
            <w:noProof/>
            <w:webHidden/>
          </w:rPr>
          <w:fldChar w:fldCharType="separate"/>
        </w:r>
        <w:r w:rsidR="00E57BFA">
          <w:rPr>
            <w:noProof/>
            <w:webHidden/>
          </w:rPr>
          <w:t>- 147 -</w:t>
        </w:r>
        <w:r w:rsidR="008A47AC">
          <w:rPr>
            <w:noProof/>
            <w:webHidden/>
          </w:rPr>
          <w:fldChar w:fldCharType="end"/>
        </w:r>
      </w:hyperlink>
    </w:p>
    <w:p w14:paraId="56C2FDB1" w14:textId="606C11E3" w:rsidR="008A47AC" w:rsidRDefault="007B378B">
      <w:pPr>
        <w:pStyle w:val="TOC4"/>
        <w:tabs>
          <w:tab w:val="right" w:leader="dot" w:pos="9016"/>
        </w:tabs>
        <w:rPr>
          <w:rFonts w:eastAsiaTheme="minorEastAsia"/>
          <w:noProof/>
          <w:lang w:eastAsia="en-GB"/>
        </w:rPr>
      </w:pPr>
      <w:hyperlink w:anchor="_Toc34208395" w:history="1">
        <w:r w:rsidR="008A47AC" w:rsidRPr="00793E8D">
          <w:rPr>
            <w:rStyle w:val="Hyperlink"/>
            <w:rFonts w:ascii="Arial" w:hAnsi="Arial" w:cs="Arial"/>
            <w:noProof/>
          </w:rPr>
          <w:t>3.3.6.1 αSMA gene expression in NOF and CAF in response to treatment with stromal-targeting drugs</w:t>
        </w:r>
        <w:r w:rsidR="008A47AC">
          <w:rPr>
            <w:noProof/>
            <w:webHidden/>
          </w:rPr>
          <w:tab/>
        </w:r>
        <w:r w:rsidR="008A47AC">
          <w:rPr>
            <w:noProof/>
            <w:webHidden/>
          </w:rPr>
          <w:fldChar w:fldCharType="begin"/>
        </w:r>
        <w:r w:rsidR="008A47AC">
          <w:rPr>
            <w:noProof/>
            <w:webHidden/>
          </w:rPr>
          <w:instrText xml:space="preserve"> PAGEREF _Toc34208395 \h </w:instrText>
        </w:r>
        <w:r w:rsidR="008A47AC">
          <w:rPr>
            <w:noProof/>
            <w:webHidden/>
          </w:rPr>
        </w:r>
        <w:r w:rsidR="008A47AC">
          <w:rPr>
            <w:noProof/>
            <w:webHidden/>
          </w:rPr>
          <w:fldChar w:fldCharType="separate"/>
        </w:r>
        <w:r w:rsidR="00E57BFA">
          <w:rPr>
            <w:noProof/>
            <w:webHidden/>
          </w:rPr>
          <w:t>- 147 -</w:t>
        </w:r>
        <w:r w:rsidR="008A47AC">
          <w:rPr>
            <w:noProof/>
            <w:webHidden/>
          </w:rPr>
          <w:fldChar w:fldCharType="end"/>
        </w:r>
      </w:hyperlink>
    </w:p>
    <w:p w14:paraId="118B5475" w14:textId="1D0EFA49" w:rsidR="008A47AC" w:rsidRDefault="007B378B">
      <w:pPr>
        <w:pStyle w:val="TOC4"/>
        <w:tabs>
          <w:tab w:val="right" w:leader="dot" w:pos="9016"/>
        </w:tabs>
        <w:rPr>
          <w:rFonts w:eastAsiaTheme="minorEastAsia"/>
          <w:noProof/>
          <w:lang w:eastAsia="en-GB"/>
        </w:rPr>
      </w:pPr>
      <w:hyperlink w:anchor="_Toc34208396" w:history="1">
        <w:r w:rsidR="008A47AC" w:rsidRPr="00793E8D">
          <w:rPr>
            <w:rStyle w:val="Hyperlink"/>
            <w:rFonts w:ascii="Arial" w:hAnsi="Arial" w:cs="Arial"/>
            <w:noProof/>
          </w:rPr>
          <w:t>3.3.6.2 αSMA abundance in NOF and CAF in response to stromal-targeting drugs</w:t>
        </w:r>
        <w:r w:rsidR="008A47AC">
          <w:rPr>
            <w:noProof/>
            <w:webHidden/>
          </w:rPr>
          <w:tab/>
        </w:r>
        <w:r w:rsidR="008A47AC">
          <w:rPr>
            <w:noProof/>
            <w:webHidden/>
          </w:rPr>
          <w:fldChar w:fldCharType="begin"/>
        </w:r>
        <w:r w:rsidR="008A47AC">
          <w:rPr>
            <w:noProof/>
            <w:webHidden/>
          </w:rPr>
          <w:instrText xml:space="preserve"> PAGEREF _Toc34208396 \h </w:instrText>
        </w:r>
        <w:r w:rsidR="008A47AC">
          <w:rPr>
            <w:noProof/>
            <w:webHidden/>
          </w:rPr>
        </w:r>
        <w:r w:rsidR="008A47AC">
          <w:rPr>
            <w:noProof/>
            <w:webHidden/>
          </w:rPr>
          <w:fldChar w:fldCharType="separate"/>
        </w:r>
        <w:r w:rsidR="00E57BFA">
          <w:rPr>
            <w:noProof/>
            <w:webHidden/>
          </w:rPr>
          <w:t>- 149 -</w:t>
        </w:r>
        <w:r w:rsidR="008A47AC">
          <w:rPr>
            <w:noProof/>
            <w:webHidden/>
          </w:rPr>
          <w:fldChar w:fldCharType="end"/>
        </w:r>
      </w:hyperlink>
    </w:p>
    <w:p w14:paraId="2933C839" w14:textId="5C9FAEAA" w:rsidR="008A47AC" w:rsidRDefault="007B378B">
      <w:pPr>
        <w:pStyle w:val="TOC4"/>
        <w:tabs>
          <w:tab w:val="right" w:leader="dot" w:pos="9016"/>
        </w:tabs>
        <w:rPr>
          <w:rFonts w:eastAsiaTheme="minorEastAsia"/>
          <w:noProof/>
          <w:lang w:eastAsia="en-GB"/>
        </w:rPr>
      </w:pPr>
      <w:hyperlink w:anchor="_Toc34208397" w:history="1">
        <w:r w:rsidR="008A47AC" w:rsidRPr="00793E8D">
          <w:rPr>
            <w:rStyle w:val="Hyperlink"/>
            <w:rFonts w:ascii="Arial" w:hAnsi="Arial" w:cs="Arial"/>
            <w:noProof/>
          </w:rPr>
          <w:t>3.3.6.3 FN1-EDA expression in NOF and CAF in response to stromal-targeting drugs</w:t>
        </w:r>
        <w:r w:rsidR="008A47AC">
          <w:rPr>
            <w:noProof/>
            <w:webHidden/>
          </w:rPr>
          <w:tab/>
        </w:r>
        <w:r w:rsidR="008A47AC">
          <w:rPr>
            <w:noProof/>
            <w:webHidden/>
          </w:rPr>
          <w:fldChar w:fldCharType="begin"/>
        </w:r>
        <w:r w:rsidR="008A47AC">
          <w:rPr>
            <w:noProof/>
            <w:webHidden/>
          </w:rPr>
          <w:instrText xml:space="preserve"> PAGEREF _Toc34208397 \h </w:instrText>
        </w:r>
        <w:r w:rsidR="008A47AC">
          <w:rPr>
            <w:noProof/>
            <w:webHidden/>
          </w:rPr>
        </w:r>
        <w:r w:rsidR="008A47AC">
          <w:rPr>
            <w:noProof/>
            <w:webHidden/>
          </w:rPr>
          <w:fldChar w:fldCharType="separate"/>
        </w:r>
        <w:r w:rsidR="00E57BFA">
          <w:rPr>
            <w:noProof/>
            <w:webHidden/>
          </w:rPr>
          <w:t>- 151 -</w:t>
        </w:r>
        <w:r w:rsidR="008A47AC">
          <w:rPr>
            <w:noProof/>
            <w:webHidden/>
          </w:rPr>
          <w:fldChar w:fldCharType="end"/>
        </w:r>
      </w:hyperlink>
    </w:p>
    <w:p w14:paraId="429503A1" w14:textId="1C284B5A" w:rsidR="008A47AC" w:rsidRDefault="007B378B">
      <w:pPr>
        <w:pStyle w:val="TOC4"/>
        <w:tabs>
          <w:tab w:val="right" w:leader="dot" w:pos="9016"/>
        </w:tabs>
        <w:rPr>
          <w:rFonts w:eastAsiaTheme="minorEastAsia"/>
          <w:noProof/>
          <w:lang w:eastAsia="en-GB"/>
        </w:rPr>
      </w:pPr>
      <w:hyperlink w:anchor="_Toc34208398" w:history="1">
        <w:r w:rsidR="008A47AC" w:rsidRPr="00793E8D">
          <w:rPr>
            <w:rStyle w:val="Hyperlink"/>
            <w:rFonts w:ascii="Arial" w:hAnsi="Arial" w:cs="Arial"/>
            <w:noProof/>
          </w:rPr>
          <w:t>3.3.6.4 FN1-EDA abundance in NOF and CAF in response to stromal-targeting drugs</w:t>
        </w:r>
        <w:r w:rsidR="008A47AC">
          <w:rPr>
            <w:noProof/>
            <w:webHidden/>
          </w:rPr>
          <w:tab/>
        </w:r>
        <w:r w:rsidR="008A47AC">
          <w:rPr>
            <w:noProof/>
            <w:webHidden/>
          </w:rPr>
          <w:fldChar w:fldCharType="begin"/>
        </w:r>
        <w:r w:rsidR="008A47AC">
          <w:rPr>
            <w:noProof/>
            <w:webHidden/>
          </w:rPr>
          <w:instrText xml:space="preserve"> PAGEREF _Toc34208398 \h </w:instrText>
        </w:r>
        <w:r w:rsidR="008A47AC">
          <w:rPr>
            <w:noProof/>
            <w:webHidden/>
          </w:rPr>
        </w:r>
        <w:r w:rsidR="008A47AC">
          <w:rPr>
            <w:noProof/>
            <w:webHidden/>
          </w:rPr>
          <w:fldChar w:fldCharType="separate"/>
        </w:r>
        <w:r w:rsidR="00E57BFA">
          <w:rPr>
            <w:noProof/>
            <w:webHidden/>
          </w:rPr>
          <w:t>- 153 -</w:t>
        </w:r>
        <w:r w:rsidR="008A47AC">
          <w:rPr>
            <w:noProof/>
            <w:webHidden/>
          </w:rPr>
          <w:fldChar w:fldCharType="end"/>
        </w:r>
      </w:hyperlink>
    </w:p>
    <w:p w14:paraId="69B917EB" w14:textId="2AE60C8C" w:rsidR="008A47AC" w:rsidRDefault="007B378B">
      <w:pPr>
        <w:pStyle w:val="TOC4"/>
        <w:tabs>
          <w:tab w:val="right" w:leader="dot" w:pos="9016"/>
        </w:tabs>
        <w:rPr>
          <w:rFonts w:eastAsiaTheme="minorEastAsia"/>
          <w:noProof/>
          <w:lang w:eastAsia="en-GB"/>
        </w:rPr>
      </w:pPr>
      <w:hyperlink w:anchor="_Toc34208399" w:history="1">
        <w:r w:rsidR="008A47AC" w:rsidRPr="00793E8D">
          <w:rPr>
            <w:rStyle w:val="Hyperlink"/>
            <w:rFonts w:ascii="Arial" w:hAnsi="Arial" w:cs="Arial"/>
            <w:noProof/>
          </w:rPr>
          <w:t>3.3.6.5 COL1A1 expression in NOF and CAF in response to stromal-targeting drugs</w:t>
        </w:r>
        <w:r w:rsidR="008A47AC">
          <w:rPr>
            <w:noProof/>
            <w:webHidden/>
          </w:rPr>
          <w:tab/>
        </w:r>
        <w:r w:rsidR="008A47AC">
          <w:rPr>
            <w:noProof/>
            <w:webHidden/>
          </w:rPr>
          <w:fldChar w:fldCharType="begin"/>
        </w:r>
        <w:r w:rsidR="008A47AC">
          <w:rPr>
            <w:noProof/>
            <w:webHidden/>
          </w:rPr>
          <w:instrText xml:space="preserve"> PAGEREF _Toc34208399 \h </w:instrText>
        </w:r>
        <w:r w:rsidR="008A47AC">
          <w:rPr>
            <w:noProof/>
            <w:webHidden/>
          </w:rPr>
        </w:r>
        <w:r w:rsidR="008A47AC">
          <w:rPr>
            <w:noProof/>
            <w:webHidden/>
          </w:rPr>
          <w:fldChar w:fldCharType="separate"/>
        </w:r>
        <w:r w:rsidR="00E57BFA">
          <w:rPr>
            <w:noProof/>
            <w:webHidden/>
          </w:rPr>
          <w:t>- 155 -</w:t>
        </w:r>
        <w:r w:rsidR="008A47AC">
          <w:rPr>
            <w:noProof/>
            <w:webHidden/>
          </w:rPr>
          <w:fldChar w:fldCharType="end"/>
        </w:r>
      </w:hyperlink>
    </w:p>
    <w:p w14:paraId="7CD789CE" w14:textId="758D52E3" w:rsidR="008A47AC" w:rsidRDefault="007B378B">
      <w:pPr>
        <w:pStyle w:val="TOC4"/>
        <w:tabs>
          <w:tab w:val="right" w:leader="dot" w:pos="9016"/>
        </w:tabs>
        <w:rPr>
          <w:rFonts w:eastAsiaTheme="minorEastAsia"/>
          <w:noProof/>
          <w:lang w:eastAsia="en-GB"/>
        </w:rPr>
      </w:pPr>
      <w:hyperlink w:anchor="_Toc34208400" w:history="1">
        <w:r w:rsidR="008A47AC" w:rsidRPr="00793E8D">
          <w:rPr>
            <w:rStyle w:val="Hyperlink"/>
            <w:rFonts w:ascii="Arial" w:hAnsi="Arial" w:cs="Arial"/>
            <w:noProof/>
          </w:rPr>
          <w:t>3.3.6.6 COL1A1 abundance in NOF and CAF in response to stromal-targeting drugs</w:t>
        </w:r>
        <w:r w:rsidR="008A47AC">
          <w:rPr>
            <w:noProof/>
            <w:webHidden/>
          </w:rPr>
          <w:tab/>
        </w:r>
        <w:r w:rsidR="008A47AC">
          <w:rPr>
            <w:noProof/>
            <w:webHidden/>
          </w:rPr>
          <w:fldChar w:fldCharType="begin"/>
        </w:r>
        <w:r w:rsidR="008A47AC">
          <w:rPr>
            <w:noProof/>
            <w:webHidden/>
          </w:rPr>
          <w:instrText xml:space="preserve"> PAGEREF _Toc34208400 \h </w:instrText>
        </w:r>
        <w:r w:rsidR="008A47AC">
          <w:rPr>
            <w:noProof/>
            <w:webHidden/>
          </w:rPr>
        </w:r>
        <w:r w:rsidR="008A47AC">
          <w:rPr>
            <w:noProof/>
            <w:webHidden/>
          </w:rPr>
          <w:fldChar w:fldCharType="separate"/>
        </w:r>
        <w:r w:rsidR="00E57BFA">
          <w:rPr>
            <w:noProof/>
            <w:webHidden/>
          </w:rPr>
          <w:t>- 157 -</w:t>
        </w:r>
        <w:r w:rsidR="008A47AC">
          <w:rPr>
            <w:noProof/>
            <w:webHidden/>
          </w:rPr>
          <w:fldChar w:fldCharType="end"/>
        </w:r>
      </w:hyperlink>
    </w:p>
    <w:p w14:paraId="73CE9234" w14:textId="425B6A03" w:rsidR="008A47AC" w:rsidRDefault="007B378B">
      <w:pPr>
        <w:pStyle w:val="TOC3"/>
        <w:tabs>
          <w:tab w:val="right" w:leader="dot" w:pos="9016"/>
        </w:tabs>
        <w:rPr>
          <w:rFonts w:eastAsiaTheme="minorEastAsia"/>
          <w:noProof/>
          <w:lang w:eastAsia="en-GB"/>
        </w:rPr>
      </w:pPr>
      <w:hyperlink w:anchor="_Toc34208401" w:history="1">
        <w:r w:rsidR="008A47AC">
          <w:rPr>
            <w:noProof/>
            <w:webHidden/>
          </w:rPr>
          <w:tab/>
        </w:r>
        <w:r w:rsidR="008A47AC">
          <w:rPr>
            <w:noProof/>
            <w:webHidden/>
          </w:rPr>
          <w:fldChar w:fldCharType="begin"/>
        </w:r>
        <w:r w:rsidR="008A47AC">
          <w:rPr>
            <w:noProof/>
            <w:webHidden/>
          </w:rPr>
          <w:instrText xml:space="preserve"> PAGEREF _Toc34208401 \h </w:instrText>
        </w:r>
        <w:r w:rsidR="008A47AC">
          <w:rPr>
            <w:noProof/>
            <w:webHidden/>
          </w:rPr>
        </w:r>
        <w:r w:rsidR="008A47AC">
          <w:rPr>
            <w:noProof/>
            <w:webHidden/>
          </w:rPr>
          <w:fldChar w:fldCharType="separate"/>
        </w:r>
        <w:r w:rsidR="00E57BFA">
          <w:rPr>
            <w:noProof/>
            <w:webHidden/>
          </w:rPr>
          <w:t>- 158 -</w:t>
        </w:r>
        <w:r w:rsidR="008A47AC">
          <w:rPr>
            <w:noProof/>
            <w:webHidden/>
          </w:rPr>
          <w:fldChar w:fldCharType="end"/>
        </w:r>
      </w:hyperlink>
    </w:p>
    <w:p w14:paraId="56CBC428" w14:textId="12A0914E" w:rsidR="008A47AC" w:rsidRDefault="007B378B">
      <w:pPr>
        <w:pStyle w:val="TOC3"/>
        <w:tabs>
          <w:tab w:val="right" w:leader="dot" w:pos="9016"/>
        </w:tabs>
        <w:rPr>
          <w:rFonts w:eastAsiaTheme="minorEastAsia"/>
          <w:noProof/>
          <w:lang w:eastAsia="en-GB"/>
        </w:rPr>
      </w:pPr>
      <w:hyperlink w:anchor="_Toc34208402" w:history="1">
        <w:r w:rsidR="008A47AC">
          <w:rPr>
            <w:noProof/>
            <w:webHidden/>
          </w:rPr>
          <w:tab/>
        </w:r>
        <w:r w:rsidR="008A47AC">
          <w:rPr>
            <w:noProof/>
            <w:webHidden/>
          </w:rPr>
          <w:fldChar w:fldCharType="begin"/>
        </w:r>
        <w:r w:rsidR="008A47AC">
          <w:rPr>
            <w:noProof/>
            <w:webHidden/>
          </w:rPr>
          <w:instrText xml:space="preserve"> PAGEREF _Toc34208402 \h </w:instrText>
        </w:r>
        <w:r w:rsidR="008A47AC">
          <w:rPr>
            <w:noProof/>
            <w:webHidden/>
          </w:rPr>
        </w:r>
        <w:r w:rsidR="008A47AC">
          <w:rPr>
            <w:noProof/>
            <w:webHidden/>
          </w:rPr>
          <w:fldChar w:fldCharType="separate"/>
        </w:r>
        <w:r w:rsidR="00E57BFA">
          <w:rPr>
            <w:noProof/>
            <w:webHidden/>
          </w:rPr>
          <w:t>- 158 -</w:t>
        </w:r>
        <w:r w:rsidR="008A47AC">
          <w:rPr>
            <w:noProof/>
            <w:webHidden/>
          </w:rPr>
          <w:fldChar w:fldCharType="end"/>
        </w:r>
      </w:hyperlink>
    </w:p>
    <w:p w14:paraId="623128B1" w14:textId="6B23B561" w:rsidR="008A47AC" w:rsidRDefault="007B378B">
      <w:pPr>
        <w:pStyle w:val="TOC3"/>
        <w:tabs>
          <w:tab w:val="right" w:leader="dot" w:pos="9016"/>
        </w:tabs>
        <w:rPr>
          <w:rFonts w:eastAsiaTheme="minorEastAsia"/>
          <w:noProof/>
          <w:lang w:eastAsia="en-GB"/>
        </w:rPr>
      </w:pPr>
      <w:hyperlink w:anchor="_Toc34208403" w:history="1">
        <w:r w:rsidR="008A47AC" w:rsidRPr="00793E8D">
          <w:rPr>
            <w:rStyle w:val="Hyperlink"/>
            <w:rFonts w:ascii="Arial" w:hAnsi="Arial" w:cs="Arial"/>
            <w:b/>
            <w:noProof/>
          </w:rPr>
          <w:t>3.3.7 Summary tables of NOF and CAF phenotyping in 2D</w:t>
        </w:r>
        <w:r w:rsidR="008A47AC">
          <w:rPr>
            <w:noProof/>
            <w:webHidden/>
          </w:rPr>
          <w:tab/>
        </w:r>
        <w:r w:rsidR="008A47AC">
          <w:rPr>
            <w:noProof/>
            <w:webHidden/>
          </w:rPr>
          <w:fldChar w:fldCharType="begin"/>
        </w:r>
        <w:r w:rsidR="008A47AC">
          <w:rPr>
            <w:noProof/>
            <w:webHidden/>
          </w:rPr>
          <w:instrText xml:space="preserve"> PAGEREF _Toc34208403 \h </w:instrText>
        </w:r>
        <w:r w:rsidR="008A47AC">
          <w:rPr>
            <w:noProof/>
            <w:webHidden/>
          </w:rPr>
        </w:r>
        <w:r w:rsidR="008A47AC">
          <w:rPr>
            <w:noProof/>
            <w:webHidden/>
          </w:rPr>
          <w:fldChar w:fldCharType="separate"/>
        </w:r>
        <w:r w:rsidR="00E57BFA">
          <w:rPr>
            <w:noProof/>
            <w:webHidden/>
          </w:rPr>
          <w:t>- 159 -</w:t>
        </w:r>
        <w:r w:rsidR="008A47AC">
          <w:rPr>
            <w:noProof/>
            <w:webHidden/>
          </w:rPr>
          <w:fldChar w:fldCharType="end"/>
        </w:r>
      </w:hyperlink>
    </w:p>
    <w:p w14:paraId="12F2F94D" w14:textId="0FB7530B" w:rsidR="008A47AC" w:rsidRDefault="007B378B">
      <w:pPr>
        <w:pStyle w:val="TOC2"/>
        <w:tabs>
          <w:tab w:val="right" w:leader="dot" w:pos="9016"/>
        </w:tabs>
        <w:rPr>
          <w:rFonts w:eastAsiaTheme="minorEastAsia"/>
          <w:noProof/>
          <w:lang w:eastAsia="en-GB"/>
        </w:rPr>
      </w:pPr>
      <w:hyperlink w:anchor="_Toc34208404" w:history="1">
        <w:r w:rsidR="008A47AC" w:rsidRPr="00793E8D">
          <w:rPr>
            <w:rStyle w:val="Hyperlink"/>
            <w:rFonts w:ascii="Arial" w:hAnsi="Arial" w:cs="Arial"/>
            <w:b/>
            <w:noProof/>
          </w:rPr>
          <w:t>3.4 Discussion</w:t>
        </w:r>
        <w:r w:rsidR="008A47AC">
          <w:rPr>
            <w:noProof/>
            <w:webHidden/>
          </w:rPr>
          <w:tab/>
        </w:r>
        <w:r w:rsidR="008A47AC">
          <w:rPr>
            <w:noProof/>
            <w:webHidden/>
          </w:rPr>
          <w:fldChar w:fldCharType="begin"/>
        </w:r>
        <w:r w:rsidR="008A47AC">
          <w:rPr>
            <w:noProof/>
            <w:webHidden/>
          </w:rPr>
          <w:instrText xml:space="preserve"> PAGEREF _Toc34208404 \h </w:instrText>
        </w:r>
        <w:r w:rsidR="008A47AC">
          <w:rPr>
            <w:noProof/>
            <w:webHidden/>
          </w:rPr>
        </w:r>
        <w:r w:rsidR="008A47AC">
          <w:rPr>
            <w:noProof/>
            <w:webHidden/>
          </w:rPr>
          <w:fldChar w:fldCharType="separate"/>
        </w:r>
        <w:r w:rsidR="00E57BFA">
          <w:rPr>
            <w:noProof/>
            <w:webHidden/>
          </w:rPr>
          <w:t>- 160 -</w:t>
        </w:r>
        <w:r w:rsidR="008A47AC">
          <w:rPr>
            <w:noProof/>
            <w:webHidden/>
          </w:rPr>
          <w:fldChar w:fldCharType="end"/>
        </w:r>
      </w:hyperlink>
    </w:p>
    <w:p w14:paraId="0E52C123" w14:textId="2B7DA23F" w:rsidR="008A47AC" w:rsidRDefault="007B378B">
      <w:pPr>
        <w:pStyle w:val="TOC1"/>
        <w:rPr>
          <w:rFonts w:eastAsiaTheme="minorEastAsia"/>
          <w:b w:val="0"/>
          <w:bCs w:val="0"/>
          <w:lang w:eastAsia="en-GB"/>
        </w:rPr>
      </w:pPr>
      <w:hyperlink w:anchor="_Toc34208405" w:history="1">
        <w:r w:rsidR="008A47AC" w:rsidRPr="00793E8D">
          <w:rPr>
            <w:rStyle w:val="Hyperlink"/>
          </w:rPr>
          <w:t>Chapter 4</w:t>
        </w:r>
        <w:r w:rsidR="008A47AC">
          <w:rPr>
            <w:webHidden/>
          </w:rPr>
          <w:tab/>
        </w:r>
        <w:r w:rsidR="008A47AC">
          <w:rPr>
            <w:webHidden/>
          </w:rPr>
          <w:fldChar w:fldCharType="begin"/>
        </w:r>
        <w:r w:rsidR="008A47AC">
          <w:rPr>
            <w:webHidden/>
          </w:rPr>
          <w:instrText xml:space="preserve"> PAGEREF _Toc34208405 \h </w:instrText>
        </w:r>
        <w:r w:rsidR="008A47AC">
          <w:rPr>
            <w:webHidden/>
          </w:rPr>
        </w:r>
        <w:r w:rsidR="008A47AC">
          <w:rPr>
            <w:webHidden/>
          </w:rPr>
          <w:fldChar w:fldCharType="separate"/>
        </w:r>
        <w:r w:rsidR="00E57BFA">
          <w:rPr>
            <w:webHidden/>
          </w:rPr>
          <w:t>- 170 -</w:t>
        </w:r>
        <w:r w:rsidR="008A47AC">
          <w:rPr>
            <w:webHidden/>
          </w:rPr>
          <w:fldChar w:fldCharType="end"/>
        </w:r>
      </w:hyperlink>
    </w:p>
    <w:p w14:paraId="17C81E1B" w14:textId="0076DF0E" w:rsidR="008A47AC" w:rsidRDefault="007B378B">
      <w:pPr>
        <w:pStyle w:val="TOC1"/>
        <w:rPr>
          <w:rFonts w:eastAsiaTheme="minorEastAsia"/>
          <w:b w:val="0"/>
          <w:bCs w:val="0"/>
          <w:lang w:eastAsia="en-GB"/>
        </w:rPr>
      </w:pPr>
      <w:hyperlink w:anchor="_Toc34208406" w:history="1">
        <w:r w:rsidR="008A47AC" w:rsidRPr="00793E8D">
          <w:rPr>
            <w:rStyle w:val="Hyperlink"/>
          </w:rPr>
          <w:t>Development and characterisation of tissue-engineered fibroblast-derived matrix from normal and cancer-associated oral fibroblasts</w:t>
        </w:r>
        <w:r w:rsidR="008A47AC">
          <w:rPr>
            <w:webHidden/>
          </w:rPr>
          <w:tab/>
        </w:r>
        <w:r w:rsidR="008A47AC">
          <w:rPr>
            <w:webHidden/>
          </w:rPr>
          <w:fldChar w:fldCharType="begin"/>
        </w:r>
        <w:r w:rsidR="008A47AC">
          <w:rPr>
            <w:webHidden/>
          </w:rPr>
          <w:instrText xml:space="preserve"> PAGEREF _Toc34208406 \h </w:instrText>
        </w:r>
        <w:r w:rsidR="008A47AC">
          <w:rPr>
            <w:webHidden/>
          </w:rPr>
        </w:r>
        <w:r w:rsidR="008A47AC">
          <w:rPr>
            <w:webHidden/>
          </w:rPr>
          <w:fldChar w:fldCharType="separate"/>
        </w:r>
        <w:r w:rsidR="00E57BFA">
          <w:rPr>
            <w:webHidden/>
          </w:rPr>
          <w:t>- 170 -</w:t>
        </w:r>
        <w:r w:rsidR="008A47AC">
          <w:rPr>
            <w:webHidden/>
          </w:rPr>
          <w:fldChar w:fldCharType="end"/>
        </w:r>
      </w:hyperlink>
    </w:p>
    <w:p w14:paraId="7337A2BC" w14:textId="22CB389A" w:rsidR="008A47AC" w:rsidRDefault="007B378B">
      <w:pPr>
        <w:pStyle w:val="TOC2"/>
        <w:tabs>
          <w:tab w:val="right" w:leader="dot" w:pos="9016"/>
        </w:tabs>
        <w:rPr>
          <w:rFonts w:eastAsiaTheme="minorEastAsia"/>
          <w:noProof/>
          <w:lang w:eastAsia="en-GB"/>
        </w:rPr>
      </w:pPr>
      <w:hyperlink w:anchor="_Toc34208407" w:history="1">
        <w:r w:rsidR="008A47AC" w:rsidRPr="00793E8D">
          <w:rPr>
            <w:rStyle w:val="Hyperlink"/>
            <w:rFonts w:ascii="Arial" w:eastAsiaTheme="majorEastAsia" w:hAnsi="Arial" w:cs="Arial"/>
            <w:noProof/>
          </w:rPr>
          <w:t>4.1 Introduction</w:t>
        </w:r>
        <w:r w:rsidR="008A47AC">
          <w:rPr>
            <w:noProof/>
            <w:webHidden/>
          </w:rPr>
          <w:tab/>
        </w:r>
        <w:r w:rsidR="008A47AC">
          <w:rPr>
            <w:noProof/>
            <w:webHidden/>
          </w:rPr>
          <w:fldChar w:fldCharType="begin"/>
        </w:r>
        <w:r w:rsidR="008A47AC">
          <w:rPr>
            <w:noProof/>
            <w:webHidden/>
          </w:rPr>
          <w:instrText xml:space="preserve"> PAGEREF _Toc34208407 \h </w:instrText>
        </w:r>
        <w:r w:rsidR="008A47AC">
          <w:rPr>
            <w:noProof/>
            <w:webHidden/>
          </w:rPr>
        </w:r>
        <w:r w:rsidR="008A47AC">
          <w:rPr>
            <w:noProof/>
            <w:webHidden/>
          </w:rPr>
          <w:fldChar w:fldCharType="separate"/>
        </w:r>
        <w:r w:rsidR="00E57BFA">
          <w:rPr>
            <w:noProof/>
            <w:webHidden/>
          </w:rPr>
          <w:t>- 171 -</w:t>
        </w:r>
        <w:r w:rsidR="008A47AC">
          <w:rPr>
            <w:noProof/>
            <w:webHidden/>
          </w:rPr>
          <w:fldChar w:fldCharType="end"/>
        </w:r>
      </w:hyperlink>
    </w:p>
    <w:p w14:paraId="386AF797" w14:textId="685F45F9" w:rsidR="008A47AC" w:rsidRDefault="007B378B">
      <w:pPr>
        <w:pStyle w:val="TOC2"/>
        <w:tabs>
          <w:tab w:val="right" w:leader="dot" w:pos="9016"/>
        </w:tabs>
        <w:rPr>
          <w:rFonts w:eastAsiaTheme="minorEastAsia"/>
          <w:noProof/>
          <w:lang w:eastAsia="en-GB"/>
        </w:rPr>
      </w:pPr>
      <w:hyperlink w:anchor="_Toc34208408" w:history="1">
        <w:r w:rsidR="008A47AC" w:rsidRPr="00793E8D">
          <w:rPr>
            <w:rStyle w:val="Hyperlink"/>
            <w:rFonts w:ascii="Arial" w:eastAsiaTheme="majorEastAsia" w:hAnsi="Arial" w:cs="Arial"/>
            <w:noProof/>
          </w:rPr>
          <w:t>4.2 Materials and methods</w:t>
        </w:r>
        <w:r w:rsidR="008A47AC">
          <w:rPr>
            <w:noProof/>
            <w:webHidden/>
          </w:rPr>
          <w:tab/>
        </w:r>
        <w:r w:rsidR="008A47AC">
          <w:rPr>
            <w:noProof/>
            <w:webHidden/>
          </w:rPr>
          <w:fldChar w:fldCharType="begin"/>
        </w:r>
        <w:r w:rsidR="008A47AC">
          <w:rPr>
            <w:noProof/>
            <w:webHidden/>
          </w:rPr>
          <w:instrText xml:space="preserve"> PAGEREF _Toc34208408 \h </w:instrText>
        </w:r>
        <w:r w:rsidR="008A47AC">
          <w:rPr>
            <w:noProof/>
            <w:webHidden/>
          </w:rPr>
        </w:r>
        <w:r w:rsidR="008A47AC">
          <w:rPr>
            <w:noProof/>
            <w:webHidden/>
          </w:rPr>
          <w:fldChar w:fldCharType="separate"/>
        </w:r>
        <w:r w:rsidR="00E57BFA">
          <w:rPr>
            <w:noProof/>
            <w:webHidden/>
          </w:rPr>
          <w:t>- 173 -</w:t>
        </w:r>
        <w:r w:rsidR="008A47AC">
          <w:rPr>
            <w:noProof/>
            <w:webHidden/>
          </w:rPr>
          <w:fldChar w:fldCharType="end"/>
        </w:r>
      </w:hyperlink>
    </w:p>
    <w:p w14:paraId="7AA927E8" w14:textId="365C3577" w:rsidR="008A47AC" w:rsidRDefault="007B378B">
      <w:pPr>
        <w:pStyle w:val="TOC2"/>
        <w:tabs>
          <w:tab w:val="right" w:leader="dot" w:pos="9016"/>
        </w:tabs>
        <w:rPr>
          <w:rFonts w:eastAsiaTheme="minorEastAsia"/>
          <w:noProof/>
          <w:lang w:eastAsia="en-GB"/>
        </w:rPr>
      </w:pPr>
      <w:hyperlink w:anchor="_Toc34208409" w:history="1">
        <w:r w:rsidR="008A47AC" w:rsidRPr="00793E8D">
          <w:rPr>
            <w:rStyle w:val="Hyperlink"/>
            <w:rFonts w:ascii="Arial" w:eastAsiaTheme="majorEastAsia" w:hAnsi="Arial" w:cs="Arial"/>
            <w:noProof/>
          </w:rPr>
          <w:t>4.3 Results</w:t>
        </w:r>
        <w:r w:rsidR="008A47AC">
          <w:rPr>
            <w:noProof/>
            <w:webHidden/>
          </w:rPr>
          <w:tab/>
        </w:r>
        <w:r w:rsidR="008A47AC">
          <w:rPr>
            <w:noProof/>
            <w:webHidden/>
          </w:rPr>
          <w:fldChar w:fldCharType="begin"/>
        </w:r>
        <w:r w:rsidR="008A47AC">
          <w:rPr>
            <w:noProof/>
            <w:webHidden/>
          </w:rPr>
          <w:instrText xml:space="preserve"> PAGEREF _Toc34208409 \h </w:instrText>
        </w:r>
        <w:r w:rsidR="008A47AC">
          <w:rPr>
            <w:noProof/>
            <w:webHidden/>
          </w:rPr>
        </w:r>
        <w:r w:rsidR="008A47AC">
          <w:rPr>
            <w:noProof/>
            <w:webHidden/>
          </w:rPr>
          <w:fldChar w:fldCharType="separate"/>
        </w:r>
        <w:r w:rsidR="00E57BFA">
          <w:rPr>
            <w:noProof/>
            <w:webHidden/>
          </w:rPr>
          <w:t>- 175 -</w:t>
        </w:r>
        <w:r w:rsidR="008A47AC">
          <w:rPr>
            <w:noProof/>
            <w:webHidden/>
          </w:rPr>
          <w:fldChar w:fldCharType="end"/>
        </w:r>
      </w:hyperlink>
    </w:p>
    <w:p w14:paraId="466CD722" w14:textId="504B2D7C" w:rsidR="008A47AC" w:rsidRDefault="007B378B">
      <w:pPr>
        <w:pStyle w:val="TOC3"/>
        <w:tabs>
          <w:tab w:val="right" w:leader="dot" w:pos="9016"/>
        </w:tabs>
        <w:rPr>
          <w:rFonts w:eastAsiaTheme="minorEastAsia"/>
          <w:noProof/>
          <w:lang w:eastAsia="en-GB"/>
        </w:rPr>
      </w:pPr>
      <w:hyperlink w:anchor="_Toc34208410" w:history="1">
        <w:r w:rsidR="008A47AC" w:rsidRPr="00793E8D">
          <w:rPr>
            <w:rStyle w:val="Hyperlink"/>
            <w:rFonts w:ascii="Arial" w:eastAsiaTheme="majorEastAsia" w:hAnsi="Arial" w:cs="Arial"/>
            <w:noProof/>
          </w:rPr>
          <w:t>4.3.1 Design methodology for generation of tissue engineered fibroblast-derived matrices</w:t>
        </w:r>
        <w:r w:rsidR="008A47AC">
          <w:rPr>
            <w:noProof/>
            <w:webHidden/>
          </w:rPr>
          <w:tab/>
        </w:r>
        <w:r w:rsidR="008A47AC">
          <w:rPr>
            <w:noProof/>
            <w:webHidden/>
          </w:rPr>
          <w:fldChar w:fldCharType="begin"/>
        </w:r>
        <w:r w:rsidR="008A47AC">
          <w:rPr>
            <w:noProof/>
            <w:webHidden/>
          </w:rPr>
          <w:instrText xml:space="preserve"> PAGEREF _Toc34208410 \h </w:instrText>
        </w:r>
        <w:r w:rsidR="008A47AC">
          <w:rPr>
            <w:noProof/>
            <w:webHidden/>
          </w:rPr>
        </w:r>
        <w:r w:rsidR="008A47AC">
          <w:rPr>
            <w:noProof/>
            <w:webHidden/>
          </w:rPr>
          <w:fldChar w:fldCharType="separate"/>
        </w:r>
        <w:r w:rsidR="00E57BFA">
          <w:rPr>
            <w:noProof/>
            <w:webHidden/>
          </w:rPr>
          <w:t>- 175 -</w:t>
        </w:r>
        <w:r w:rsidR="008A47AC">
          <w:rPr>
            <w:noProof/>
            <w:webHidden/>
          </w:rPr>
          <w:fldChar w:fldCharType="end"/>
        </w:r>
      </w:hyperlink>
    </w:p>
    <w:p w14:paraId="588603E6" w14:textId="407D467F" w:rsidR="008A47AC" w:rsidRDefault="007B378B">
      <w:pPr>
        <w:pStyle w:val="TOC4"/>
        <w:tabs>
          <w:tab w:val="right" w:leader="dot" w:pos="9016"/>
        </w:tabs>
        <w:rPr>
          <w:rFonts w:eastAsiaTheme="minorEastAsia"/>
          <w:noProof/>
          <w:lang w:eastAsia="en-GB"/>
        </w:rPr>
      </w:pPr>
      <w:hyperlink w:anchor="_Toc34208411" w:history="1">
        <w:r w:rsidR="008A47AC">
          <w:rPr>
            <w:noProof/>
            <w:webHidden/>
          </w:rPr>
          <w:tab/>
        </w:r>
        <w:r w:rsidR="008A47AC">
          <w:rPr>
            <w:noProof/>
            <w:webHidden/>
          </w:rPr>
          <w:fldChar w:fldCharType="begin"/>
        </w:r>
        <w:r w:rsidR="008A47AC">
          <w:rPr>
            <w:noProof/>
            <w:webHidden/>
          </w:rPr>
          <w:instrText xml:space="preserve"> PAGEREF _Toc34208411 \h </w:instrText>
        </w:r>
        <w:r w:rsidR="008A47AC">
          <w:rPr>
            <w:noProof/>
            <w:webHidden/>
          </w:rPr>
        </w:r>
        <w:r w:rsidR="008A47AC">
          <w:rPr>
            <w:noProof/>
            <w:webHidden/>
          </w:rPr>
          <w:fldChar w:fldCharType="separate"/>
        </w:r>
        <w:r w:rsidR="00E57BFA">
          <w:rPr>
            <w:noProof/>
            <w:webHidden/>
          </w:rPr>
          <w:t>- 177 -</w:t>
        </w:r>
        <w:r w:rsidR="008A47AC">
          <w:rPr>
            <w:noProof/>
            <w:webHidden/>
          </w:rPr>
          <w:fldChar w:fldCharType="end"/>
        </w:r>
      </w:hyperlink>
    </w:p>
    <w:p w14:paraId="28507283" w14:textId="096804CF" w:rsidR="008A47AC" w:rsidRDefault="007B378B">
      <w:pPr>
        <w:pStyle w:val="TOC4"/>
        <w:tabs>
          <w:tab w:val="right" w:leader="dot" w:pos="9016"/>
        </w:tabs>
        <w:rPr>
          <w:rFonts w:eastAsiaTheme="minorEastAsia"/>
          <w:noProof/>
          <w:lang w:eastAsia="en-GB"/>
        </w:rPr>
      </w:pPr>
      <w:hyperlink w:anchor="_Toc34208412" w:history="1">
        <w:r w:rsidR="008A47AC">
          <w:rPr>
            <w:noProof/>
            <w:webHidden/>
          </w:rPr>
          <w:tab/>
        </w:r>
        <w:r w:rsidR="008A47AC">
          <w:rPr>
            <w:noProof/>
            <w:webHidden/>
          </w:rPr>
          <w:fldChar w:fldCharType="begin"/>
        </w:r>
        <w:r w:rsidR="008A47AC">
          <w:rPr>
            <w:noProof/>
            <w:webHidden/>
          </w:rPr>
          <w:instrText xml:space="preserve"> PAGEREF _Toc34208412 \h </w:instrText>
        </w:r>
        <w:r w:rsidR="008A47AC">
          <w:rPr>
            <w:noProof/>
            <w:webHidden/>
          </w:rPr>
        </w:r>
        <w:r w:rsidR="008A47AC">
          <w:rPr>
            <w:noProof/>
            <w:webHidden/>
          </w:rPr>
          <w:fldChar w:fldCharType="separate"/>
        </w:r>
        <w:r w:rsidR="00E57BFA">
          <w:rPr>
            <w:noProof/>
            <w:webHidden/>
          </w:rPr>
          <w:t>- 177 -</w:t>
        </w:r>
        <w:r w:rsidR="008A47AC">
          <w:rPr>
            <w:noProof/>
            <w:webHidden/>
          </w:rPr>
          <w:fldChar w:fldCharType="end"/>
        </w:r>
      </w:hyperlink>
    </w:p>
    <w:p w14:paraId="3145CAE8" w14:textId="1F5F8CE3" w:rsidR="008A47AC" w:rsidRDefault="007B378B">
      <w:pPr>
        <w:pStyle w:val="TOC4"/>
        <w:tabs>
          <w:tab w:val="right" w:leader="dot" w:pos="9016"/>
        </w:tabs>
        <w:rPr>
          <w:rFonts w:eastAsiaTheme="minorEastAsia"/>
          <w:noProof/>
          <w:lang w:eastAsia="en-GB"/>
        </w:rPr>
      </w:pPr>
      <w:hyperlink w:anchor="_Toc34208413" w:history="1">
        <w:r w:rsidR="008A47AC">
          <w:rPr>
            <w:noProof/>
            <w:webHidden/>
          </w:rPr>
          <w:tab/>
        </w:r>
        <w:r w:rsidR="008A47AC">
          <w:rPr>
            <w:noProof/>
            <w:webHidden/>
          </w:rPr>
          <w:fldChar w:fldCharType="begin"/>
        </w:r>
        <w:r w:rsidR="008A47AC">
          <w:rPr>
            <w:noProof/>
            <w:webHidden/>
          </w:rPr>
          <w:instrText xml:space="preserve"> PAGEREF _Toc34208413 \h </w:instrText>
        </w:r>
        <w:r w:rsidR="008A47AC">
          <w:rPr>
            <w:noProof/>
            <w:webHidden/>
          </w:rPr>
        </w:r>
        <w:r w:rsidR="008A47AC">
          <w:rPr>
            <w:noProof/>
            <w:webHidden/>
          </w:rPr>
          <w:fldChar w:fldCharType="separate"/>
        </w:r>
        <w:r w:rsidR="00E57BFA">
          <w:rPr>
            <w:noProof/>
            <w:webHidden/>
          </w:rPr>
          <w:t>- 177 -</w:t>
        </w:r>
        <w:r w:rsidR="008A47AC">
          <w:rPr>
            <w:noProof/>
            <w:webHidden/>
          </w:rPr>
          <w:fldChar w:fldCharType="end"/>
        </w:r>
      </w:hyperlink>
    </w:p>
    <w:p w14:paraId="5D85EC6A" w14:textId="0C18C631" w:rsidR="008A47AC" w:rsidRDefault="007B378B">
      <w:pPr>
        <w:pStyle w:val="TOC4"/>
        <w:tabs>
          <w:tab w:val="right" w:leader="dot" w:pos="9016"/>
        </w:tabs>
        <w:rPr>
          <w:rFonts w:eastAsiaTheme="minorEastAsia"/>
          <w:noProof/>
          <w:lang w:eastAsia="en-GB"/>
        </w:rPr>
      </w:pPr>
      <w:hyperlink w:anchor="_Toc34208414" w:history="1">
        <w:r w:rsidR="008A47AC">
          <w:rPr>
            <w:noProof/>
            <w:webHidden/>
          </w:rPr>
          <w:tab/>
        </w:r>
        <w:r w:rsidR="008A47AC">
          <w:rPr>
            <w:noProof/>
            <w:webHidden/>
          </w:rPr>
          <w:fldChar w:fldCharType="begin"/>
        </w:r>
        <w:r w:rsidR="008A47AC">
          <w:rPr>
            <w:noProof/>
            <w:webHidden/>
          </w:rPr>
          <w:instrText xml:space="preserve"> PAGEREF _Toc34208414 \h </w:instrText>
        </w:r>
        <w:r w:rsidR="008A47AC">
          <w:rPr>
            <w:noProof/>
            <w:webHidden/>
          </w:rPr>
        </w:r>
        <w:r w:rsidR="008A47AC">
          <w:rPr>
            <w:noProof/>
            <w:webHidden/>
          </w:rPr>
          <w:fldChar w:fldCharType="separate"/>
        </w:r>
        <w:r w:rsidR="00E57BFA">
          <w:rPr>
            <w:noProof/>
            <w:webHidden/>
          </w:rPr>
          <w:t>- 177 -</w:t>
        </w:r>
        <w:r w:rsidR="008A47AC">
          <w:rPr>
            <w:noProof/>
            <w:webHidden/>
          </w:rPr>
          <w:fldChar w:fldCharType="end"/>
        </w:r>
      </w:hyperlink>
    </w:p>
    <w:p w14:paraId="75CB78F1" w14:textId="6CBA4073" w:rsidR="008A47AC" w:rsidRDefault="007B378B">
      <w:pPr>
        <w:pStyle w:val="TOC4"/>
        <w:tabs>
          <w:tab w:val="right" w:leader="dot" w:pos="9016"/>
        </w:tabs>
        <w:rPr>
          <w:rFonts w:eastAsiaTheme="minorEastAsia"/>
          <w:noProof/>
          <w:lang w:eastAsia="en-GB"/>
        </w:rPr>
      </w:pPr>
      <w:hyperlink w:anchor="_Toc34208415" w:history="1">
        <w:r w:rsidR="008A47AC" w:rsidRPr="00793E8D">
          <w:rPr>
            <w:rStyle w:val="Hyperlink"/>
            <w:rFonts w:ascii="Arial" w:eastAsiaTheme="majorEastAsia" w:hAnsi="Arial" w:cs="Arial"/>
            <w:i/>
            <w:iCs/>
            <w:noProof/>
          </w:rPr>
          <w:t>4.3.1.1 Analysing fibroblast-derived matrix thickness</w:t>
        </w:r>
        <w:r w:rsidR="008A47AC">
          <w:rPr>
            <w:noProof/>
            <w:webHidden/>
          </w:rPr>
          <w:tab/>
        </w:r>
        <w:r w:rsidR="008A47AC">
          <w:rPr>
            <w:noProof/>
            <w:webHidden/>
          </w:rPr>
          <w:fldChar w:fldCharType="begin"/>
        </w:r>
        <w:r w:rsidR="008A47AC">
          <w:rPr>
            <w:noProof/>
            <w:webHidden/>
          </w:rPr>
          <w:instrText xml:space="preserve"> PAGEREF _Toc34208415 \h </w:instrText>
        </w:r>
        <w:r w:rsidR="008A47AC">
          <w:rPr>
            <w:noProof/>
            <w:webHidden/>
          </w:rPr>
        </w:r>
        <w:r w:rsidR="008A47AC">
          <w:rPr>
            <w:noProof/>
            <w:webHidden/>
          </w:rPr>
          <w:fldChar w:fldCharType="separate"/>
        </w:r>
        <w:r w:rsidR="00E57BFA">
          <w:rPr>
            <w:noProof/>
            <w:webHidden/>
          </w:rPr>
          <w:t>- 178 -</w:t>
        </w:r>
        <w:r w:rsidR="008A47AC">
          <w:rPr>
            <w:noProof/>
            <w:webHidden/>
          </w:rPr>
          <w:fldChar w:fldCharType="end"/>
        </w:r>
      </w:hyperlink>
    </w:p>
    <w:p w14:paraId="19EBBEF9" w14:textId="0D1C4F98" w:rsidR="008A47AC" w:rsidRDefault="007B378B">
      <w:pPr>
        <w:pStyle w:val="TOC4"/>
        <w:tabs>
          <w:tab w:val="right" w:leader="dot" w:pos="9016"/>
        </w:tabs>
        <w:rPr>
          <w:rFonts w:eastAsiaTheme="minorEastAsia"/>
          <w:noProof/>
          <w:lang w:eastAsia="en-GB"/>
        </w:rPr>
      </w:pPr>
      <w:hyperlink w:anchor="_Toc34208416" w:history="1">
        <w:r w:rsidR="008A47AC" w:rsidRPr="00793E8D">
          <w:rPr>
            <w:rStyle w:val="Hyperlink"/>
            <w:rFonts w:ascii="Arial" w:eastAsiaTheme="majorEastAsia" w:hAnsi="Arial" w:cs="Arial"/>
            <w:i/>
            <w:iCs/>
            <w:noProof/>
          </w:rPr>
          <w:t>4.3.1.2 Tissue-engineered fibroblast-derived matrix viability</w:t>
        </w:r>
        <w:r w:rsidR="008A47AC">
          <w:rPr>
            <w:noProof/>
            <w:webHidden/>
          </w:rPr>
          <w:tab/>
        </w:r>
        <w:r w:rsidR="008A47AC">
          <w:rPr>
            <w:noProof/>
            <w:webHidden/>
          </w:rPr>
          <w:fldChar w:fldCharType="begin"/>
        </w:r>
        <w:r w:rsidR="008A47AC">
          <w:rPr>
            <w:noProof/>
            <w:webHidden/>
          </w:rPr>
          <w:instrText xml:space="preserve"> PAGEREF _Toc34208416 \h </w:instrText>
        </w:r>
        <w:r w:rsidR="008A47AC">
          <w:rPr>
            <w:noProof/>
            <w:webHidden/>
          </w:rPr>
        </w:r>
        <w:r w:rsidR="008A47AC">
          <w:rPr>
            <w:noProof/>
            <w:webHidden/>
          </w:rPr>
          <w:fldChar w:fldCharType="separate"/>
        </w:r>
        <w:r w:rsidR="00E57BFA">
          <w:rPr>
            <w:noProof/>
            <w:webHidden/>
          </w:rPr>
          <w:t>- 180 -</w:t>
        </w:r>
        <w:r w:rsidR="008A47AC">
          <w:rPr>
            <w:noProof/>
            <w:webHidden/>
          </w:rPr>
          <w:fldChar w:fldCharType="end"/>
        </w:r>
      </w:hyperlink>
    </w:p>
    <w:p w14:paraId="040A0F08" w14:textId="601DDB87" w:rsidR="008A47AC" w:rsidRDefault="007B378B">
      <w:pPr>
        <w:pStyle w:val="TOC5"/>
        <w:rPr>
          <w:rFonts w:eastAsiaTheme="minorEastAsia"/>
          <w:noProof/>
          <w:lang w:eastAsia="en-GB"/>
        </w:rPr>
      </w:pPr>
      <w:hyperlink w:anchor="_Toc34208417" w:history="1">
        <w:r w:rsidR="008A47AC" w:rsidRPr="00793E8D">
          <w:rPr>
            <w:rStyle w:val="Hyperlink"/>
            <w:rFonts w:ascii="Arial" w:eastAsiaTheme="majorEastAsia" w:hAnsi="Arial" w:cs="Arial"/>
            <w:i/>
            <w:noProof/>
          </w:rPr>
          <w:t>4.3.1.2.1 Testing the integrity of developing tissue-engineered fibroblast-derived matrices</w:t>
        </w:r>
        <w:r w:rsidR="008A47AC">
          <w:rPr>
            <w:noProof/>
            <w:webHidden/>
          </w:rPr>
          <w:tab/>
        </w:r>
        <w:r w:rsidR="008A47AC">
          <w:rPr>
            <w:noProof/>
            <w:webHidden/>
          </w:rPr>
          <w:fldChar w:fldCharType="begin"/>
        </w:r>
        <w:r w:rsidR="008A47AC">
          <w:rPr>
            <w:noProof/>
            <w:webHidden/>
          </w:rPr>
          <w:instrText xml:space="preserve"> PAGEREF _Toc34208417 \h </w:instrText>
        </w:r>
        <w:r w:rsidR="008A47AC">
          <w:rPr>
            <w:noProof/>
            <w:webHidden/>
          </w:rPr>
        </w:r>
        <w:r w:rsidR="008A47AC">
          <w:rPr>
            <w:noProof/>
            <w:webHidden/>
          </w:rPr>
          <w:fldChar w:fldCharType="separate"/>
        </w:r>
        <w:r w:rsidR="00E57BFA">
          <w:rPr>
            <w:noProof/>
            <w:webHidden/>
          </w:rPr>
          <w:t>- 180 -</w:t>
        </w:r>
        <w:r w:rsidR="008A47AC">
          <w:rPr>
            <w:noProof/>
            <w:webHidden/>
          </w:rPr>
          <w:fldChar w:fldCharType="end"/>
        </w:r>
      </w:hyperlink>
    </w:p>
    <w:p w14:paraId="10EF5EB5" w14:textId="4B6C8BAC" w:rsidR="008A47AC" w:rsidRDefault="007B378B">
      <w:pPr>
        <w:pStyle w:val="TOC5"/>
        <w:rPr>
          <w:rFonts w:eastAsiaTheme="minorEastAsia"/>
          <w:noProof/>
          <w:lang w:eastAsia="en-GB"/>
        </w:rPr>
      </w:pPr>
      <w:hyperlink w:anchor="_Toc34208418" w:history="1">
        <w:r w:rsidR="008A47AC" w:rsidRPr="00793E8D">
          <w:rPr>
            <w:rStyle w:val="Hyperlink"/>
            <w:rFonts w:ascii="Arial" w:eastAsiaTheme="majorEastAsia" w:hAnsi="Arial" w:cs="Arial"/>
            <w:i/>
            <w:noProof/>
          </w:rPr>
          <w:t>4.3.1.2.2 Analysing fibroblast-derived matrix metabolism</w:t>
        </w:r>
        <w:r w:rsidR="008A47AC">
          <w:rPr>
            <w:noProof/>
            <w:webHidden/>
          </w:rPr>
          <w:tab/>
        </w:r>
        <w:r w:rsidR="008A47AC">
          <w:rPr>
            <w:noProof/>
            <w:webHidden/>
          </w:rPr>
          <w:fldChar w:fldCharType="begin"/>
        </w:r>
        <w:r w:rsidR="008A47AC">
          <w:rPr>
            <w:noProof/>
            <w:webHidden/>
          </w:rPr>
          <w:instrText xml:space="preserve"> PAGEREF _Toc34208418 \h </w:instrText>
        </w:r>
        <w:r w:rsidR="008A47AC">
          <w:rPr>
            <w:noProof/>
            <w:webHidden/>
          </w:rPr>
        </w:r>
        <w:r w:rsidR="008A47AC">
          <w:rPr>
            <w:noProof/>
            <w:webHidden/>
          </w:rPr>
          <w:fldChar w:fldCharType="separate"/>
        </w:r>
        <w:r w:rsidR="00E57BFA">
          <w:rPr>
            <w:noProof/>
            <w:webHidden/>
          </w:rPr>
          <w:t>- 181 -</w:t>
        </w:r>
        <w:r w:rsidR="008A47AC">
          <w:rPr>
            <w:noProof/>
            <w:webHidden/>
          </w:rPr>
          <w:fldChar w:fldCharType="end"/>
        </w:r>
      </w:hyperlink>
    </w:p>
    <w:p w14:paraId="4A10ED17" w14:textId="43240B8D" w:rsidR="008A47AC" w:rsidRDefault="007B378B">
      <w:pPr>
        <w:pStyle w:val="TOC3"/>
        <w:tabs>
          <w:tab w:val="right" w:leader="dot" w:pos="9016"/>
        </w:tabs>
        <w:rPr>
          <w:rFonts w:eastAsiaTheme="minorEastAsia"/>
          <w:noProof/>
          <w:lang w:eastAsia="en-GB"/>
        </w:rPr>
      </w:pPr>
      <w:hyperlink w:anchor="_Toc34208419" w:history="1">
        <w:r w:rsidR="008A47AC" w:rsidRPr="00793E8D">
          <w:rPr>
            <w:rStyle w:val="Hyperlink"/>
            <w:rFonts w:ascii="Arial" w:eastAsiaTheme="majorEastAsia" w:hAnsi="Arial" w:cs="Arial"/>
            <w:noProof/>
          </w:rPr>
          <w:t>4.3.2 Tissue-engineered fibroblast-derived matrix characterisation</w:t>
        </w:r>
        <w:r w:rsidR="008A47AC">
          <w:rPr>
            <w:noProof/>
            <w:webHidden/>
          </w:rPr>
          <w:tab/>
        </w:r>
        <w:r w:rsidR="008A47AC">
          <w:rPr>
            <w:noProof/>
            <w:webHidden/>
          </w:rPr>
          <w:fldChar w:fldCharType="begin"/>
        </w:r>
        <w:r w:rsidR="008A47AC">
          <w:rPr>
            <w:noProof/>
            <w:webHidden/>
          </w:rPr>
          <w:instrText xml:space="preserve"> PAGEREF _Toc34208419 \h </w:instrText>
        </w:r>
        <w:r w:rsidR="008A47AC">
          <w:rPr>
            <w:noProof/>
            <w:webHidden/>
          </w:rPr>
        </w:r>
        <w:r w:rsidR="008A47AC">
          <w:rPr>
            <w:noProof/>
            <w:webHidden/>
          </w:rPr>
          <w:fldChar w:fldCharType="separate"/>
        </w:r>
        <w:r w:rsidR="00E57BFA">
          <w:rPr>
            <w:noProof/>
            <w:webHidden/>
          </w:rPr>
          <w:t>- 182 -</w:t>
        </w:r>
        <w:r w:rsidR="008A47AC">
          <w:rPr>
            <w:noProof/>
            <w:webHidden/>
          </w:rPr>
          <w:fldChar w:fldCharType="end"/>
        </w:r>
      </w:hyperlink>
    </w:p>
    <w:p w14:paraId="0664730F" w14:textId="07A265AE" w:rsidR="008A47AC" w:rsidRDefault="007B378B">
      <w:pPr>
        <w:pStyle w:val="TOC4"/>
        <w:tabs>
          <w:tab w:val="right" w:leader="dot" w:pos="9016"/>
        </w:tabs>
        <w:rPr>
          <w:rFonts w:eastAsiaTheme="minorEastAsia"/>
          <w:noProof/>
          <w:lang w:eastAsia="en-GB"/>
        </w:rPr>
      </w:pPr>
      <w:hyperlink w:anchor="_Toc34208420" w:history="1">
        <w:r w:rsidR="008A47AC" w:rsidRPr="00793E8D">
          <w:rPr>
            <w:rStyle w:val="Hyperlink"/>
            <w:rFonts w:ascii="Arial" w:eastAsiaTheme="majorEastAsia" w:hAnsi="Arial" w:cs="Arial"/>
            <w:i/>
            <w:iCs/>
            <w:noProof/>
          </w:rPr>
          <w:t>4.3.2.1 Ultrastructure analysis of fibroblast-derived matrix architecture</w:t>
        </w:r>
        <w:r w:rsidR="008A47AC">
          <w:rPr>
            <w:noProof/>
            <w:webHidden/>
          </w:rPr>
          <w:tab/>
        </w:r>
        <w:r w:rsidR="008A47AC">
          <w:rPr>
            <w:noProof/>
            <w:webHidden/>
          </w:rPr>
          <w:fldChar w:fldCharType="begin"/>
        </w:r>
        <w:r w:rsidR="008A47AC">
          <w:rPr>
            <w:noProof/>
            <w:webHidden/>
          </w:rPr>
          <w:instrText xml:space="preserve"> PAGEREF _Toc34208420 \h </w:instrText>
        </w:r>
        <w:r w:rsidR="008A47AC">
          <w:rPr>
            <w:noProof/>
            <w:webHidden/>
          </w:rPr>
        </w:r>
        <w:r w:rsidR="008A47AC">
          <w:rPr>
            <w:noProof/>
            <w:webHidden/>
          </w:rPr>
          <w:fldChar w:fldCharType="separate"/>
        </w:r>
        <w:r w:rsidR="00E57BFA">
          <w:rPr>
            <w:noProof/>
            <w:webHidden/>
          </w:rPr>
          <w:t>- 182 -</w:t>
        </w:r>
        <w:r w:rsidR="008A47AC">
          <w:rPr>
            <w:noProof/>
            <w:webHidden/>
          </w:rPr>
          <w:fldChar w:fldCharType="end"/>
        </w:r>
      </w:hyperlink>
    </w:p>
    <w:p w14:paraId="569EC8E9" w14:textId="7A0951B5" w:rsidR="008A47AC" w:rsidRDefault="007B378B">
      <w:pPr>
        <w:pStyle w:val="TOC4"/>
        <w:tabs>
          <w:tab w:val="right" w:leader="dot" w:pos="9016"/>
        </w:tabs>
        <w:rPr>
          <w:rFonts w:eastAsiaTheme="minorEastAsia"/>
          <w:noProof/>
          <w:lang w:eastAsia="en-GB"/>
        </w:rPr>
      </w:pPr>
      <w:hyperlink w:anchor="_Toc34208421" w:history="1">
        <w:r w:rsidR="008A47AC" w:rsidRPr="00793E8D">
          <w:rPr>
            <w:rStyle w:val="Hyperlink"/>
            <w:rFonts w:ascii="Arial" w:hAnsi="Arial" w:cs="Arial"/>
            <w:noProof/>
          </w:rPr>
          <w:t>4.3.2.2 Matrix composition</w:t>
        </w:r>
        <w:r w:rsidR="008A47AC">
          <w:rPr>
            <w:noProof/>
            <w:webHidden/>
          </w:rPr>
          <w:tab/>
        </w:r>
        <w:r w:rsidR="008A47AC">
          <w:rPr>
            <w:noProof/>
            <w:webHidden/>
          </w:rPr>
          <w:fldChar w:fldCharType="begin"/>
        </w:r>
        <w:r w:rsidR="008A47AC">
          <w:rPr>
            <w:noProof/>
            <w:webHidden/>
          </w:rPr>
          <w:instrText xml:space="preserve"> PAGEREF _Toc34208421 \h </w:instrText>
        </w:r>
        <w:r w:rsidR="008A47AC">
          <w:rPr>
            <w:noProof/>
            <w:webHidden/>
          </w:rPr>
        </w:r>
        <w:r w:rsidR="008A47AC">
          <w:rPr>
            <w:noProof/>
            <w:webHidden/>
          </w:rPr>
          <w:fldChar w:fldCharType="separate"/>
        </w:r>
        <w:r w:rsidR="00E57BFA">
          <w:rPr>
            <w:noProof/>
            <w:webHidden/>
          </w:rPr>
          <w:t>- 184 -</w:t>
        </w:r>
        <w:r w:rsidR="008A47AC">
          <w:rPr>
            <w:noProof/>
            <w:webHidden/>
          </w:rPr>
          <w:fldChar w:fldCharType="end"/>
        </w:r>
      </w:hyperlink>
    </w:p>
    <w:p w14:paraId="248E70E8" w14:textId="0C76FC08" w:rsidR="008A47AC" w:rsidRDefault="007B378B">
      <w:pPr>
        <w:pStyle w:val="TOC5"/>
        <w:rPr>
          <w:rFonts w:eastAsiaTheme="minorEastAsia"/>
          <w:noProof/>
          <w:lang w:eastAsia="en-GB"/>
        </w:rPr>
      </w:pPr>
      <w:hyperlink w:anchor="_Toc34208422" w:history="1">
        <w:r w:rsidR="008A47AC" w:rsidRPr="00793E8D">
          <w:rPr>
            <w:rStyle w:val="Hyperlink"/>
            <w:rFonts w:ascii="Arial" w:hAnsi="Arial" w:cs="Arial"/>
            <w:i/>
            <w:iCs/>
            <w:noProof/>
          </w:rPr>
          <w:t>4.3.2.2.1 ECM protein abundance in fibroblast-derived matrices</w:t>
        </w:r>
        <w:r w:rsidR="008A47AC">
          <w:rPr>
            <w:noProof/>
            <w:webHidden/>
          </w:rPr>
          <w:tab/>
        </w:r>
        <w:r w:rsidR="008A47AC">
          <w:rPr>
            <w:noProof/>
            <w:webHidden/>
          </w:rPr>
          <w:fldChar w:fldCharType="begin"/>
        </w:r>
        <w:r w:rsidR="008A47AC">
          <w:rPr>
            <w:noProof/>
            <w:webHidden/>
          </w:rPr>
          <w:instrText xml:space="preserve"> PAGEREF _Toc34208422 \h </w:instrText>
        </w:r>
        <w:r w:rsidR="008A47AC">
          <w:rPr>
            <w:noProof/>
            <w:webHidden/>
          </w:rPr>
        </w:r>
        <w:r w:rsidR="008A47AC">
          <w:rPr>
            <w:noProof/>
            <w:webHidden/>
          </w:rPr>
          <w:fldChar w:fldCharType="separate"/>
        </w:r>
        <w:r w:rsidR="00E57BFA">
          <w:rPr>
            <w:noProof/>
            <w:webHidden/>
          </w:rPr>
          <w:t>- 184 -</w:t>
        </w:r>
        <w:r w:rsidR="008A47AC">
          <w:rPr>
            <w:noProof/>
            <w:webHidden/>
          </w:rPr>
          <w:fldChar w:fldCharType="end"/>
        </w:r>
      </w:hyperlink>
    </w:p>
    <w:p w14:paraId="078E3B18" w14:textId="27AC69C8" w:rsidR="008A47AC" w:rsidRDefault="007B378B">
      <w:pPr>
        <w:pStyle w:val="TOC6"/>
        <w:tabs>
          <w:tab w:val="right" w:leader="dot" w:pos="9016"/>
        </w:tabs>
        <w:rPr>
          <w:noProof/>
        </w:rPr>
      </w:pPr>
      <w:hyperlink w:anchor="_Toc34208423" w:history="1">
        <w:r w:rsidR="008A47AC" w:rsidRPr="00793E8D">
          <w:rPr>
            <w:rStyle w:val="Hyperlink"/>
            <w:rFonts w:ascii="Arial" w:hAnsi="Arial" w:cs="Arial"/>
            <w:i/>
            <w:iCs/>
            <w:noProof/>
          </w:rPr>
          <w:t>4.3.2.2.1.1 αSMA protein abundance in fibroblast-derived matrices</w:t>
        </w:r>
        <w:r w:rsidR="008A47AC">
          <w:rPr>
            <w:noProof/>
            <w:webHidden/>
          </w:rPr>
          <w:tab/>
        </w:r>
        <w:r w:rsidR="008A47AC">
          <w:rPr>
            <w:noProof/>
            <w:webHidden/>
          </w:rPr>
          <w:fldChar w:fldCharType="begin"/>
        </w:r>
        <w:r w:rsidR="008A47AC">
          <w:rPr>
            <w:noProof/>
            <w:webHidden/>
          </w:rPr>
          <w:instrText xml:space="preserve"> PAGEREF _Toc34208423 \h </w:instrText>
        </w:r>
        <w:r w:rsidR="008A47AC">
          <w:rPr>
            <w:noProof/>
            <w:webHidden/>
          </w:rPr>
        </w:r>
        <w:r w:rsidR="008A47AC">
          <w:rPr>
            <w:noProof/>
            <w:webHidden/>
          </w:rPr>
          <w:fldChar w:fldCharType="separate"/>
        </w:r>
        <w:r w:rsidR="00E57BFA">
          <w:rPr>
            <w:noProof/>
            <w:webHidden/>
          </w:rPr>
          <w:t>- 185 -</w:t>
        </w:r>
        <w:r w:rsidR="008A47AC">
          <w:rPr>
            <w:noProof/>
            <w:webHidden/>
          </w:rPr>
          <w:fldChar w:fldCharType="end"/>
        </w:r>
      </w:hyperlink>
    </w:p>
    <w:p w14:paraId="767DADC8" w14:textId="16F22C09" w:rsidR="008A47AC" w:rsidRDefault="007B378B">
      <w:pPr>
        <w:pStyle w:val="TOC6"/>
        <w:tabs>
          <w:tab w:val="right" w:leader="dot" w:pos="9016"/>
        </w:tabs>
        <w:rPr>
          <w:noProof/>
        </w:rPr>
      </w:pPr>
      <w:hyperlink w:anchor="_Toc34208424" w:history="1">
        <w:r w:rsidR="008A47AC" w:rsidRPr="00793E8D">
          <w:rPr>
            <w:rStyle w:val="Hyperlink"/>
            <w:rFonts w:ascii="Arial" w:hAnsi="Arial" w:cs="Arial"/>
            <w:i/>
            <w:iCs/>
            <w:noProof/>
          </w:rPr>
          <w:t>4.3.2.2.1.2 FN1-EDA protein abundance in fibroblast-derived matrices</w:t>
        </w:r>
        <w:r w:rsidR="008A47AC">
          <w:rPr>
            <w:noProof/>
            <w:webHidden/>
          </w:rPr>
          <w:tab/>
        </w:r>
        <w:r w:rsidR="008A47AC">
          <w:rPr>
            <w:noProof/>
            <w:webHidden/>
          </w:rPr>
          <w:fldChar w:fldCharType="begin"/>
        </w:r>
        <w:r w:rsidR="008A47AC">
          <w:rPr>
            <w:noProof/>
            <w:webHidden/>
          </w:rPr>
          <w:instrText xml:space="preserve"> PAGEREF _Toc34208424 \h </w:instrText>
        </w:r>
        <w:r w:rsidR="008A47AC">
          <w:rPr>
            <w:noProof/>
            <w:webHidden/>
          </w:rPr>
        </w:r>
        <w:r w:rsidR="008A47AC">
          <w:rPr>
            <w:noProof/>
            <w:webHidden/>
          </w:rPr>
          <w:fldChar w:fldCharType="separate"/>
        </w:r>
        <w:r w:rsidR="00E57BFA">
          <w:rPr>
            <w:noProof/>
            <w:webHidden/>
          </w:rPr>
          <w:t>- 186 -</w:t>
        </w:r>
        <w:r w:rsidR="008A47AC">
          <w:rPr>
            <w:noProof/>
            <w:webHidden/>
          </w:rPr>
          <w:fldChar w:fldCharType="end"/>
        </w:r>
      </w:hyperlink>
    </w:p>
    <w:p w14:paraId="4E80B5FC" w14:textId="26DA8280" w:rsidR="008A47AC" w:rsidRDefault="007B378B">
      <w:pPr>
        <w:pStyle w:val="TOC6"/>
        <w:tabs>
          <w:tab w:val="right" w:leader="dot" w:pos="9016"/>
        </w:tabs>
        <w:rPr>
          <w:noProof/>
        </w:rPr>
      </w:pPr>
      <w:hyperlink w:anchor="_Toc34208425" w:history="1">
        <w:r w:rsidR="008A47AC" w:rsidRPr="00793E8D">
          <w:rPr>
            <w:rStyle w:val="Hyperlink"/>
            <w:rFonts w:ascii="Arial" w:hAnsi="Arial" w:cs="Arial"/>
            <w:i/>
            <w:iCs/>
            <w:noProof/>
          </w:rPr>
          <w:t>4.3.2.2.1.3 VCAN protein abundance in fibroblast-derived matrices</w:t>
        </w:r>
        <w:r w:rsidR="008A47AC">
          <w:rPr>
            <w:noProof/>
            <w:webHidden/>
          </w:rPr>
          <w:tab/>
        </w:r>
        <w:r w:rsidR="008A47AC">
          <w:rPr>
            <w:noProof/>
            <w:webHidden/>
          </w:rPr>
          <w:fldChar w:fldCharType="begin"/>
        </w:r>
        <w:r w:rsidR="008A47AC">
          <w:rPr>
            <w:noProof/>
            <w:webHidden/>
          </w:rPr>
          <w:instrText xml:space="preserve"> PAGEREF _Toc34208425 \h </w:instrText>
        </w:r>
        <w:r w:rsidR="008A47AC">
          <w:rPr>
            <w:noProof/>
            <w:webHidden/>
          </w:rPr>
        </w:r>
        <w:r w:rsidR="008A47AC">
          <w:rPr>
            <w:noProof/>
            <w:webHidden/>
          </w:rPr>
          <w:fldChar w:fldCharType="separate"/>
        </w:r>
        <w:r w:rsidR="00E57BFA">
          <w:rPr>
            <w:noProof/>
            <w:webHidden/>
          </w:rPr>
          <w:t>- 187 -</w:t>
        </w:r>
        <w:r w:rsidR="008A47AC">
          <w:rPr>
            <w:noProof/>
            <w:webHidden/>
          </w:rPr>
          <w:fldChar w:fldCharType="end"/>
        </w:r>
      </w:hyperlink>
    </w:p>
    <w:p w14:paraId="3AD266C7" w14:textId="077CC088" w:rsidR="008A47AC" w:rsidRDefault="007B378B">
      <w:pPr>
        <w:pStyle w:val="TOC6"/>
        <w:tabs>
          <w:tab w:val="right" w:leader="dot" w:pos="9016"/>
        </w:tabs>
        <w:rPr>
          <w:noProof/>
        </w:rPr>
      </w:pPr>
      <w:hyperlink w:anchor="_Toc34208426" w:history="1">
        <w:r w:rsidR="008A47AC" w:rsidRPr="00793E8D">
          <w:rPr>
            <w:rStyle w:val="Hyperlink"/>
            <w:rFonts w:ascii="Arial" w:hAnsi="Arial" w:cs="Arial"/>
            <w:i/>
            <w:iCs/>
            <w:noProof/>
          </w:rPr>
          <w:t>4.3.2.2.1.4 COL1A1 protein abundance in fibroblast-derived matrices</w:t>
        </w:r>
        <w:r w:rsidR="008A47AC">
          <w:rPr>
            <w:noProof/>
            <w:webHidden/>
          </w:rPr>
          <w:tab/>
        </w:r>
        <w:r w:rsidR="008A47AC">
          <w:rPr>
            <w:noProof/>
            <w:webHidden/>
          </w:rPr>
          <w:fldChar w:fldCharType="begin"/>
        </w:r>
        <w:r w:rsidR="008A47AC">
          <w:rPr>
            <w:noProof/>
            <w:webHidden/>
          </w:rPr>
          <w:instrText xml:space="preserve"> PAGEREF _Toc34208426 \h </w:instrText>
        </w:r>
        <w:r w:rsidR="008A47AC">
          <w:rPr>
            <w:noProof/>
            <w:webHidden/>
          </w:rPr>
        </w:r>
        <w:r w:rsidR="008A47AC">
          <w:rPr>
            <w:noProof/>
            <w:webHidden/>
          </w:rPr>
          <w:fldChar w:fldCharType="separate"/>
        </w:r>
        <w:r w:rsidR="00E57BFA">
          <w:rPr>
            <w:noProof/>
            <w:webHidden/>
          </w:rPr>
          <w:t>- 188 -</w:t>
        </w:r>
        <w:r w:rsidR="008A47AC">
          <w:rPr>
            <w:noProof/>
            <w:webHidden/>
          </w:rPr>
          <w:fldChar w:fldCharType="end"/>
        </w:r>
      </w:hyperlink>
    </w:p>
    <w:p w14:paraId="34BDBF27" w14:textId="1BC93DA9" w:rsidR="008A47AC" w:rsidRDefault="007B378B">
      <w:pPr>
        <w:pStyle w:val="TOC6"/>
        <w:tabs>
          <w:tab w:val="right" w:leader="dot" w:pos="9016"/>
        </w:tabs>
        <w:rPr>
          <w:noProof/>
        </w:rPr>
      </w:pPr>
      <w:hyperlink w:anchor="_Toc34208427" w:history="1">
        <w:r w:rsidR="008A47AC" w:rsidRPr="00793E8D">
          <w:rPr>
            <w:rStyle w:val="Hyperlink"/>
            <w:rFonts w:ascii="Arial" w:hAnsi="Arial" w:cs="Arial"/>
            <w:i/>
            <w:iCs/>
            <w:noProof/>
          </w:rPr>
          <w:t>4.3.2.2.1.5 LAMB-5 (γ-2) protein abundance in fibroblast-derived matrices</w:t>
        </w:r>
        <w:r w:rsidR="008A47AC">
          <w:rPr>
            <w:noProof/>
            <w:webHidden/>
          </w:rPr>
          <w:tab/>
        </w:r>
        <w:r w:rsidR="008A47AC">
          <w:rPr>
            <w:noProof/>
            <w:webHidden/>
          </w:rPr>
          <w:fldChar w:fldCharType="begin"/>
        </w:r>
        <w:r w:rsidR="008A47AC">
          <w:rPr>
            <w:noProof/>
            <w:webHidden/>
          </w:rPr>
          <w:instrText xml:space="preserve"> PAGEREF _Toc34208427 \h </w:instrText>
        </w:r>
        <w:r w:rsidR="008A47AC">
          <w:rPr>
            <w:noProof/>
            <w:webHidden/>
          </w:rPr>
        </w:r>
        <w:r w:rsidR="008A47AC">
          <w:rPr>
            <w:noProof/>
            <w:webHidden/>
          </w:rPr>
          <w:fldChar w:fldCharType="separate"/>
        </w:r>
        <w:r w:rsidR="00E57BFA">
          <w:rPr>
            <w:noProof/>
            <w:webHidden/>
          </w:rPr>
          <w:t>- 189 -</w:t>
        </w:r>
        <w:r w:rsidR="008A47AC">
          <w:rPr>
            <w:noProof/>
            <w:webHidden/>
          </w:rPr>
          <w:fldChar w:fldCharType="end"/>
        </w:r>
      </w:hyperlink>
    </w:p>
    <w:p w14:paraId="6E5B135B" w14:textId="067B86B1" w:rsidR="008A47AC" w:rsidRDefault="007B378B">
      <w:pPr>
        <w:pStyle w:val="TOC4"/>
        <w:tabs>
          <w:tab w:val="right" w:leader="dot" w:pos="9016"/>
        </w:tabs>
        <w:rPr>
          <w:rFonts w:eastAsiaTheme="minorEastAsia"/>
          <w:noProof/>
          <w:lang w:eastAsia="en-GB"/>
        </w:rPr>
      </w:pPr>
      <w:hyperlink w:anchor="_Toc34208428" w:history="1">
        <w:r w:rsidR="008A47AC" w:rsidRPr="00793E8D">
          <w:rPr>
            <w:rStyle w:val="Hyperlink"/>
            <w:rFonts w:ascii="Arial" w:hAnsi="Arial" w:cs="Arial"/>
            <w:noProof/>
          </w:rPr>
          <w:t>4.3.2.3 Understanding fibroblast-derived matrix biomechanics and structure</w:t>
        </w:r>
        <w:r w:rsidR="008A47AC">
          <w:rPr>
            <w:noProof/>
            <w:webHidden/>
          </w:rPr>
          <w:tab/>
        </w:r>
        <w:r w:rsidR="008A47AC">
          <w:rPr>
            <w:noProof/>
            <w:webHidden/>
          </w:rPr>
          <w:fldChar w:fldCharType="begin"/>
        </w:r>
        <w:r w:rsidR="008A47AC">
          <w:rPr>
            <w:noProof/>
            <w:webHidden/>
          </w:rPr>
          <w:instrText xml:space="preserve"> PAGEREF _Toc34208428 \h </w:instrText>
        </w:r>
        <w:r w:rsidR="008A47AC">
          <w:rPr>
            <w:noProof/>
            <w:webHidden/>
          </w:rPr>
        </w:r>
        <w:r w:rsidR="008A47AC">
          <w:rPr>
            <w:noProof/>
            <w:webHidden/>
          </w:rPr>
          <w:fldChar w:fldCharType="separate"/>
        </w:r>
        <w:r w:rsidR="00E57BFA">
          <w:rPr>
            <w:noProof/>
            <w:webHidden/>
          </w:rPr>
          <w:t>- 190 -</w:t>
        </w:r>
        <w:r w:rsidR="008A47AC">
          <w:rPr>
            <w:noProof/>
            <w:webHidden/>
          </w:rPr>
          <w:fldChar w:fldCharType="end"/>
        </w:r>
      </w:hyperlink>
    </w:p>
    <w:p w14:paraId="3702823F" w14:textId="0D6BB33C" w:rsidR="008A47AC" w:rsidRDefault="007B378B">
      <w:pPr>
        <w:pStyle w:val="TOC5"/>
        <w:rPr>
          <w:rFonts w:eastAsiaTheme="minorEastAsia"/>
          <w:noProof/>
          <w:lang w:eastAsia="en-GB"/>
        </w:rPr>
      </w:pPr>
      <w:hyperlink w:anchor="_Toc34208429" w:history="1">
        <w:r w:rsidR="008A47AC" w:rsidRPr="00793E8D">
          <w:rPr>
            <w:rStyle w:val="Hyperlink"/>
            <w:rFonts w:ascii="Arial" w:hAnsi="Arial" w:cs="Arial"/>
            <w:i/>
            <w:iCs/>
            <w:noProof/>
          </w:rPr>
          <w:t>4.3.2.3.1 Identifying modified collagen-fibre signatures in fibroblast-derived matrices</w:t>
        </w:r>
        <w:r w:rsidR="008A47AC">
          <w:rPr>
            <w:noProof/>
            <w:webHidden/>
          </w:rPr>
          <w:tab/>
        </w:r>
        <w:r w:rsidR="008A47AC">
          <w:rPr>
            <w:noProof/>
            <w:webHidden/>
          </w:rPr>
          <w:fldChar w:fldCharType="begin"/>
        </w:r>
        <w:r w:rsidR="008A47AC">
          <w:rPr>
            <w:noProof/>
            <w:webHidden/>
          </w:rPr>
          <w:instrText xml:space="preserve"> PAGEREF _Toc34208429 \h </w:instrText>
        </w:r>
        <w:r w:rsidR="008A47AC">
          <w:rPr>
            <w:noProof/>
            <w:webHidden/>
          </w:rPr>
        </w:r>
        <w:r w:rsidR="008A47AC">
          <w:rPr>
            <w:noProof/>
            <w:webHidden/>
          </w:rPr>
          <w:fldChar w:fldCharType="separate"/>
        </w:r>
        <w:r w:rsidR="00E57BFA">
          <w:rPr>
            <w:noProof/>
            <w:webHidden/>
          </w:rPr>
          <w:t>- 190 -</w:t>
        </w:r>
        <w:r w:rsidR="008A47AC">
          <w:rPr>
            <w:noProof/>
            <w:webHidden/>
          </w:rPr>
          <w:fldChar w:fldCharType="end"/>
        </w:r>
      </w:hyperlink>
    </w:p>
    <w:p w14:paraId="764B6BD9" w14:textId="4705E3CC" w:rsidR="008A47AC" w:rsidRDefault="007B378B">
      <w:pPr>
        <w:pStyle w:val="TOC5"/>
        <w:rPr>
          <w:rFonts w:eastAsiaTheme="minorEastAsia"/>
          <w:noProof/>
          <w:lang w:eastAsia="en-GB"/>
        </w:rPr>
      </w:pPr>
      <w:hyperlink w:anchor="_Toc34208430" w:history="1">
        <w:r w:rsidR="008A47AC" w:rsidRPr="00793E8D">
          <w:rPr>
            <w:rStyle w:val="Hyperlink"/>
            <w:rFonts w:ascii="Arial" w:hAnsi="Arial" w:cs="Arial"/>
            <w:i/>
            <w:iCs/>
            <w:noProof/>
          </w:rPr>
          <w:t>4.3.2.3.2 Soft matter properties of fibroblast-derived matrices</w:t>
        </w:r>
        <w:r w:rsidR="008A47AC">
          <w:rPr>
            <w:noProof/>
            <w:webHidden/>
          </w:rPr>
          <w:tab/>
        </w:r>
        <w:r w:rsidR="008A47AC">
          <w:rPr>
            <w:noProof/>
            <w:webHidden/>
          </w:rPr>
          <w:fldChar w:fldCharType="begin"/>
        </w:r>
        <w:r w:rsidR="008A47AC">
          <w:rPr>
            <w:noProof/>
            <w:webHidden/>
          </w:rPr>
          <w:instrText xml:space="preserve"> PAGEREF _Toc34208430 \h </w:instrText>
        </w:r>
        <w:r w:rsidR="008A47AC">
          <w:rPr>
            <w:noProof/>
            <w:webHidden/>
          </w:rPr>
        </w:r>
        <w:r w:rsidR="008A47AC">
          <w:rPr>
            <w:noProof/>
            <w:webHidden/>
          </w:rPr>
          <w:fldChar w:fldCharType="separate"/>
        </w:r>
        <w:r w:rsidR="00E57BFA">
          <w:rPr>
            <w:noProof/>
            <w:webHidden/>
          </w:rPr>
          <w:t>- 192 -</w:t>
        </w:r>
        <w:r w:rsidR="008A47AC">
          <w:rPr>
            <w:noProof/>
            <w:webHidden/>
          </w:rPr>
          <w:fldChar w:fldCharType="end"/>
        </w:r>
      </w:hyperlink>
    </w:p>
    <w:p w14:paraId="4675502E" w14:textId="6320EC31" w:rsidR="008A47AC" w:rsidRDefault="007B378B">
      <w:pPr>
        <w:pStyle w:val="TOC6"/>
        <w:tabs>
          <w:tab w:val="right" w:leader="dot" w:pos="9016"/>
        </w:tabs>
        <w:rPr>
          <w:noProof/>
        </w:rPr>
      </w:pPr>
      <w:hyperlink w:anchor="_Toc34208431" w:history="1">
        <w:r w:rsidR="008A47AC" w:rsidRPr="00793E8D">
          <w:rPr>
            <w:rStyle w:val="Hyperlink"/>
            <w:rFonts w:ascii="Arial" w:hAnsi="Arial" w:cs="Arial"/>
            <w:i/>
            <w:noProof/>
          </w:rPr>
          <w:t>4.3.2.3.2.1 Measuring stiffness of fibroblast-derived matrices by atomic force microscopy</w:t>
        </w:r>
        <w:r w:rsidR="008A47AC">
          <w:rPr>
            <w:noProof/>
            <w:webHidden/>
          </w:rPr>
          <w:tab/>
        </w:r>
        <w:r w:rsidR="008A47AC">
          <w:rPr>
            <w:noProof/>
            <w:webHidden/>
          </w:rPr>
          <w:fldChar w:fldCharType="begin"/>
        </w:r>
        <w:r w:rsidR="008A47AC">
          <w:rPr>
            <w:noProof/>
            <w:webHidden/>
          </w:rPr>
          <w:instrText xml:space="preserve"> PAGEREF _Toc34208431 \h </w:instrText>
        </w:r>
        <w:r w:rsidR="008A47AC">
          <w:rPr>
            <w:noProof/>
            <w:webHidden/>
          </w:rPr>
        </w:r>
        <w:r w:rsidR="008A47AC">
          <w:rPr>
            <w:noProof/>
            <w:webHidden/>
          </w:rPr>
          <w:fldChar w:fldCharType="separate"/>
        </w:r>
        <w:r w:rsidR="00E57BFA">
          <w:rPr>
            <w:noProof/>
            <w:webHidden/>
          </w:rPr>
          <w:t>- 192 -</w:t>
        </w:r>
        <w:r w:rsidR="008A47AC">
          <w:rPr>
            <w:noProof/>
            <w:webHidden/>
          </w:rPr>
          <w:fldChar w:fldCharType="end"/>
        </w:r>
      </w:hyperlink>
    </w:p>
    <w:p w14:paraId="1D91C15D" w14:textId="2A829F79" w:rsidR="008A47AC" w:rsidRDefault="007B378B">
      <w:pPr>
        <w:pStyle w:val="TOC4"/>
        <w:tabs>
          <w:tab w:val="right" w:leader="dot" w:pos="9016"/>
        </w:tabs>
        <w:rPr>
          <w:rFonts w:eastAsiaTheme="minorEastAsia"/>
          <w:noProof/>
          <w:lang w:eastAsia="en-GB"/>
        </w:rPr>
      </w:pPr>
      <w:hyperlink w:anchor="_Toc34208432" w:history="1">
        <w:r w:rsidR="008A47AC" w:rsidRPr="00793E8D">
          <w:rPr>
            <w:rStyle w:val="Hyperlink"/>
            <w:rFonts w:ascii="Arial" w:hAnsi="Arial" w:cs="Arial"/>
            <w:noProof/>
          </w:rPr>
          <w:t>4.3.2.4 ECM remodelling in fibroblast-derived matrices</w:t>
        </w:r>
        <w:r w:rsidR="008A47AC">
          <w:rPr>
            <w:noProof/>
            <w:webHidden/>
          </w:rPr>
          <w:tab/>
        </w:r>
        <w:r w:rsidR="008A47AC">
          <w:rPr>
            <w:noProof/>
            <w:webHidden/>
          </w:rPr>
          <w:fldChar w:fldCharType="begin"/>
        </w:r>
        <w:r w:rsidR="008A47AC">
          <w:rPr>
            <w:noProof/>
            <w:webHidden/>
          </w:rPr>
          <w:instrText xml:space="preserve"> PAGEREF _Toc34208432 \h </w:instrText>
        </w:r>
        <w:r w:rsidR="008A47AC">
          <w:rPr>
            <w:noProof/>
            <w:webHidden/>
          </w:rPr>
        </w:r>
        <w:r w:rsidR="008A47AC">
          <w:rPr>
            <w:noProof/>
            <w:webHidden/>
          </w:rPr>
          <w:fldChar w:fldCharType="separate"/>
        </w:r>
        <w:r w:rsidR="00E57BFA">
          <w:rPr>
            <w:noProof/>
            <w:webHidden/>
          </w:rPr>
          <w:t>- 194 -</w:t>
        </w:r>
        <w:r w:rsidR="008A47AC">
          <w:rPr>
            <w:noProof/>
            <w:webHidden/>
          </w:rPr>
          <w:fldChar w:fldCharType="end"/>
        </w:r>
      </w:hyperlink>
    </w:p>
    <w:p w14:paraId="7BB3DFA7" w14:textId="7C4D9B8F" w:rsidR="008A47AC" w:rsidRDefault="007B378B">
      <w:pPr>
        <w:pStyle w:val="TOC5"/>
        <w:rPr>
          <w:rFonts w:eastAsiaTheme="minorEastAsia"/>
          <w:noProof/>
          <w:lang w:eastAsia="en-GB"/>
        </w:rPr>
      </w:pPr>
      <w:hyperlink w:anchor="_Toc34208433" w:history="1">
        <w:r w:rsidR="008A47AC" w:rsidRPr="00793E8D">
          <w:rPr>
            <w:rStyle w:val="Hyperlink"/>
            <w:rFonts w:ascii="Arial" w:hAnsi="Arial" w:cs="Arial"/>
            <w:i/>
            <w:iCs/>
            <w:noProof/>
          </w:rPr>
          <w:t>4.3.2.4.1 MMP-2 and MMP-9 activity in fibroblast-derived matrices</w:t>
        </w:r>
        <w:r w:rsidR="008A47AC">
          <w:rPr>
            <w:noProof/>
            <w:webHidden/>
          </w:rPr>
          <w:tab/>
        </w:r>
        <w:r w:rsidR="008A47AC">
          <w:rPr>
            <w:noProof/>
            <w:webHidden/>
          </w:rPr>
          <w:fldChar w:fldCharType="begin"/>
        </w:r>
        <w:r w:rsidR="008A47AC">
          <w:rPr>
            <w:noProof/>
            <w:webHidden/>
          </w:rPr>
          <w:instrText xml:space="preserve"> PAGEREF _Toc34208433 \h </w:instrText>
        </w:r>
        <w:r w:rsidR="008A47AC">
          <w:rPr>
            <w:noProof/>
            <w:webHidden/>
          </w:rPr>
        </w:r>
        <w:r w:rsidR="008A47AC">
          <w:rPr>
            <w:noProof/>
            <w:webHidden/>
          </w:rPr>
          <w:fldChar w:fldCharType="separate"/>
        </w:r>
        <w:r w:rsidR="00E57BFA">
          <w:rPr>
            <w:noProof/>
            <w:webHidden/>
          </w:rPr>
          <w:t>- 194 -</w:t>
        </w:r>
        <w:r w:rsidR="008A47AC">
          <w:rPr>
            <w:noProof/>
            <w:webHidden/>
          </w:rPr>
          <w:fldChar w:fldCharType="end"/>
        </w:r>
      </w:hyperlink>
    </w:p>
    <w:p w14:paraId="3E9805D3" w14:textId="1D3D87CC" w:rsidR="008A47AC" w:rsidRDefault="007B378B">
      <w:pPr>
        <w:pStyle w:val="TOC4"/>
        <w:tabs>
          <w:tab w:val="right" w:leader="dot" w:pos="9016"/>
        </w:tabs>
        <w:rPr>
          <w:rFonts w:eastAsiaTheme="minorEastAsia"/>
          <w:noProof/>
          <w:lang w:eastAsia="en-GB"/>
        </w:rPr>
      </w:pPr>
      <w:hyperlink w:anchor="_Toc34208434" w:history="1">
        <w:r w:rsidR="008A47AC" w:rsidRPr="00793E8D">
          <w:rPr>
            <w:rStyle w:val="Hyperlink"/>
            <w:rFonts w:ascii="Arial" w:hAnsi="Arial" w:cs="Arial"/>
            <w:bCs/>
            <w:noProof/>
          </w:rPr>
          <w:t>4.3.2.5 Investigation of the effects of stromal targeting drugs on oral fibroblast-derived matrices</w:t>
        </w:r>
        <w:r w:rsidR="008A47AC">
          <w:rPr>
            <w:noProof/>
            <w:webHidden/>
          </w:rPr>
          <w:tab/>
        </w:r>
        <w:r w:rsidR="008A47AC">
          <w:rPr>
            <w:noProof/>
            <w:webHidden/>
          </w:rPr>
          <w:fldChar w:fldCharType="begin"/>
        </w:r>
        <w:r w:rsidR="008A47AC">
          <w:rPr>
            <w:noProof/>
            <w:webHidden/>
          </w:rPr>
          <w:instrText xml:space="preserve"> PAGEREF _Toc34208434 \h </w:instrText>
        </w:r>
        <w:r w:rsidR="008A47AC">
          <w:rPr>
            <w:noProof/>
            <w:webHidden/>
          </w:rPr>
        </w:r>
        <w:r w:rsidR="008A47AC">
          <w:rPr>
            <w:noProof/>
            <w:webHidden/>
          </w:rPr>
          <w:fldChar w:fldCharType="separate"/>
        </w:r>
        <w:r w:rsidR="00E57BFA">
          <w:rPr>
            <w:noProof/>
            <w:webHidden/>
          </w:rPr>
          <w:t>- 195 -</w:t>
        </w:r>
        <w:r w:rsidR="008A47AC">
          <w:rPr>
            <w:noProof/>
            <w:webHidden/>
          </w:rPr>
          <w:fldChar w:fldCharType="end"/>
        </w:r>
      </w:hyperlink>
    </w:p>
    <w:p w14:paraId="692448BD" w14:textId="00AEC0B2" w:rsidR="008A47AC" w:rsidRDefault="007B378B">
      <w:pPr>
        <w:pStyle w:val="TOC5"/>
        <w:rPr>
          <w:rFonts w:eastAsiaTheme="minorEastAsia"/>
          <w:noProof/>
          <w:lang w:eastAsia="en-GB"/>
        </w:rPr>
      </w:pPr>
      <w:hyperlink w:anchor="_Toc34208435" w:history="1">
        <w:r w:rsidR="008A47AC" w:rsidRPr="00793E8D">
          <w:rPr>
            <w:rStyle w:val="Hyperlink"/>
            <w:rFonts w:ascii="Arial" w:hAnsi="Arial" w:cs="Arial"/>
            <w:noProof/>
          </w:rPr>
          <w:t>4.3.2.5.1 The effect of Scriptaid and Batimastat on αSMA expression in NOF-and CAF-DM</w:t>
        </w:r>
        <w:r w:rsidR="008A47AC">
          <w:rPr>
            <w:noProof/>
            <w:webHidden/>
          </w:rPr>
          <w:tab/>
        </w:r>
        <w:r w:rsidR="008A47AC">
          <w:rPr>
            <w:noProof/>
            <w:webHidden/>
          </w:rPr>
          <w:fldChar w:fldCharType="begin"/>
        </w:r>
        <w:r w:rsidR="008A47AC">
          <w:rPr>
            <w:noProof/>
            <w:webHidden/>
          </w:rPr>
          <w:instrText xml:space="preserve"> PAGEREF _Toc34208435 \h </w:instrText>
        </w:r>
        <w:r w:rsidR="008A47AC">
          <w:rPr>
            <w:noProof/>
            <w:webHidden/>
          </w:rPr>
        </w:r>
        <w:r w:rsidR="008A47AC">
          <w:rPr>
            <w:noProof/>
            <w:webHidden/>
          </w:rPr>
          <w:fldChar w:fldCharType="separate"/>
        </w:r>
        <w:r w:rsidR="00E57BFA">
          <w:rPr>
            <w:noProof/>
            <w:webHidden/>
          </w:rPr>
          <w:t>- 195 -</w:t>
        </w:r>
        <w:r w:rsidR="008A47AC">
          <w:rPr>
            <w:noProof/>
            <w:webHidden/>
          </w:rPr>
          <w:fldChar w:fldCharType="end"/>
        </w:r>
      </w:hyperlink>
    </w:p>
    <w:p w14:paraId="300779BD" w14:textId="1C220770" w:rsidR="008A47AC" w:rsidRDefault="007B378B">
      <w:pPr>
        <w:pStyle w:val="TOC5"/>
        <w:rPr>
          <w:rFonts w:eastAsiaTheme="minorEastAsia"/>
          <w:noProof/>
          <w:lang w:eastAsia="en-GB"/>
        </w:rPr>
      </w:pPr>
      <w:hyperlink w:anchor="_Toc34208436" w:history="1">
        <w:r w:rsidR="008A47AC" w:rsidRPr="00793E8D">
          <w:rPr>
            <w:rStyle w:val="Hyperlink"/>
            <w:rFonts w:ascii="Arial" w:hAnsi="Arial" w:cs="Arial"/>
            <w:noProof/>
          </w:rPr>
          <w:t>4.3.2.5.2 The effect of Scriptaid and Batimastat on αSMA abundance on NOF- and CAF-DM</w:t>
        </w:r>
        <w:r w:rsidR="008A47AC">
          <w:rPr>
            <w:noProof/>
            <w:webHidden/>
          </w:rPr>
          <w:tab/>
        </w:r>
        <w:r w:rsidR="008A47AC">
          <w:rPr>
            <w:noProof/>
            <w:webHidden/>
          </w:rPr>
          <w:fldChar w:fldCharType="begin"/>
        </w:r>
        <w:r w:rsidR="008A47AC">
          <w:rPr>
            <w:noProof/>
            <w:webHidden/>
          </w:rPr>
          <w:instrText xml:space="preserve"> PAGEREF _Toc34208436 \h </w:instrText>
        </w:r>
        <w:r w:rsidR="008A47AC">
          <w:rPr>
            <w:noProof/>
            <w:webHidden/>
          </w:rPr>
        </w:r>
        <w:r w:rsidR="008A47AC">
          <w:rPr>
            <w:noProof/>
            <w:webHidden/>
          </w:rPr>
          <w:fldChar w:fldCharType="separate"/>
        </w:r>
        <w:r w:rsidR="00E57BFA">
          <w:rPr>
            <w:noProof/>
            <w:webHidden/>
          </w:rPr>
          <w:t>- 197 -</w:t>
        </w:r>
        <w:r w:rsidR="008A47AC">
          <w:rPr>
            <w:noProof/>
            <w:webHidden/>
          </w:rPr>
          <w:fldChar w:fldCharType="end"/>
        </w:r>
      </w:hyperlink>
    </w:p>
    <w:p w14:paraId="29D623E6" w14:textId="44E85E5C" w:rsidR="008A47AC" w:rsidRDefault="007B378B">
      <w:pPr>
        <w:pStyle w:val="TOC5"/>
        <w:rPr>
          <w:rFonts w:eastAsiaTheme="minorEastAsia"/>
          <w:noProof/>
          <w:lang w:eastAsia="en-GB"/>
        </w:rPr>
      </w:pPr>
      <w:hyperlink w:anchor="_Toc34208437" w:history="1">
        <w:r w:rsidR="008A47AC" w:rsidRPr="00793E8D">
          <w:rPr>
            <w:rStyle w:val="Hyperlink"/>
            <w:rFonts w:ascii="Arial" w:hAnsi="Arial" w:cs="Arial"/>
            <w:noProof/>
          </w:rPr>
          <w:t>4.3.2.5.3 The effect of Scriptaid and Batimastat on FN1-EDA expression in NOF- and CAF-DM</w:t>
        </w:r>
        <w:r w:rsidR="008A47AC">
          <w:rPr>
            <w:noProof/>
            <w:webHidden/>
          </w:rPr>
          <w:tab/>
        </w:r>
        <w:r w:rsidR="008A47AC">
          <w:rPr>
            <w:noProof/>
            <w:webHidden/>
          </w:rPr>
          <w:fldChar w:fldCharType="begin"/>
        </w:r>
        <w:r w:rsidR="008A47AC">
          <w:rPr>
            <w:noProof/>
            <w:webHidden/>
          </w:rPr>
          <w:instrText xml:space="preserve"> PAGEREF _Toc34208437 \h </w:instrText>
        </w:r>
        <w:r w:rsidR="008A47AC">
          <w:rPr>
            <w:noProof/>
            <w:webHidden/>
          </w:rPr>
        </w:r>
        <w:r w:rsidR="008A47AC">
          <w:rPr>
            <w:noProof/>
            <w:webHidden/>
          </w:rPr>
          <w:fldChar w:fldCharType="separate"/>
        </w:r>
        <w:r w:rsidR="00E57BFA">
          <w:rPr>
            <w:noProof/>
            <w:webHidden/>
          </w:rPr>
          <w:t>- 199 -</w:t>
        </w:r>
        <w:r w:rsidR="008A47AC">
          <w:rPr>
            <w:noProof/>
            <w:webHidden/>
          </w:rPr>
          <w:fldChar w:fldCharType="end"/>
        </w:r>
      </w:hyperlink>
    </w:p>
    <w:p w14:paraId="172BF909" w14:textId="32075E6D" w:rsidR="008A47AC" w:rsidRDefault="007B378B">
      <w:pPr>
        <w:pStyle w:val="TOC5"/>
        <w:rPr>
          <w:rFonts w:eastAsiaTheme="minorEastAsia"/>
          <w:noProof/>
          <w:lang w:eastAsia="en-GB"/>
        </w:rPr>
      </w:pPr>
      <w:hyperlink w:anchor="_Toc34208438" w:history="1">
        <w:r w:rsidR="008A47AC" w:rsidRPr="00793E8D">
          <w:rPr>
            <w:rStyle w:val="Hyperlink"/>
            <w:rFonts w:ascii="Arial" w:hAnsi="Arial" w:cs="Arial"/>
            <w:noProof/>
          </w:rPr>
          <w:t>4.3.2.5.4 The effect of Scriptaid and Batimastat on FN1-EDA abundance in NOF- and CAF-DM</w:t>
        </w:r>
        <w:r w:rsidR="008A47AC">
          <w:rPr>
            <w:noProof/>
            <w:webHidden/>
          </w:rPr>
          <w:tab/>
        </w:r>
        <w:r w:rsidR="008A47AC">
          <w:rPr>
            <w:noProof/>
            <w:webHidden/>
          </w:rPr>
          <w:fldChar w:fldCharType="begin"/>
        </w:r>
        <w:r w:rsidR="008A47AC">
          <w:rPr>
            <w:noProof/>
            <w:webHidden/>
          </w:rPr>
          <w:instrText xml:space="preserve"> PAGEREF _Toc34208438 \h </w:instrText>
        </w:r>
        <w:r w:rsidR="008A47AC">
          <w:rPr>
            <w:noProof/>
            <w:webHidden/>
          </w:rPr>
        </w:r>
        <w:r w:rsidR="008A47AC">
          <w:rPr>
            <w:noProof/>
            <w:webHidden/>
          </w:rPr>
          <w:fldChar w:fldCharType="separate"/>
        </w:r>
        <w:r w:rsidR="00E57BFA">
          <w:rPr>
            <w:noProof/>
            <w:webHidden/>
          </w:rPr>
          <w:t>- 201 -</w:t>
        </w:r>
        <w:r w:rsidR="008A47AC">
          <w:rPr>
            <w:noProof/>
            <w:webHidden/>
          </w:rPr>
          <w:fldChar w:fldCharType="end"/>
        </w:r>
      </w:hyperlink>
    </w:p>
    <w:p w14:paraId="0CFD96E1" w14:textId="22F4C5F7" w:rsidR="008A47AC" w:rsidRDefault="007B378B">
      <w:pPr>
        <w:pStyle w:val="TOC5"/>
        <w:rPr>
          <w:rFonts w:eastAsiaTheme="minorEastAsia"/>
          <w:noProof/>
          <w:lang w:eastAsia="en-GB"/>
        </w:rPr>
      </w:pPr>
      <w:hyperlink w:anchor="_Toc34208439" w:history="1">
        <w:r w:rsidR="008A47AC" w:rsidRPr="00793E8D">
          <w:rPr>
            <w:rStyle w:val="Hyperlink"/>
            <w:rFonts w:ascii="Arial" w:hAnsi="Arial" w:cs="Arial"/>
            <w:noProof/>
          </w:rPr>
          <w:t>4.3.2.5.4 The effect of Scriptaid and Batimastat on COL1A1 expression in NOF-and CAF-DM</w:t>
        </w:r>
        <w:r w:rsidR="008A47AC">
          <w:rPr>
            <w:noProof/>
            <w:webHidden/>
          </w:rPr>
          <w:tab/>
        </w:r>
        <w:r w:rsidR="008A47AC">
          <w:rPr>
            <w:noProof/>
            <w:webHidden/>
          </w:rPr>
          <w:fldChar w:fldCharType="begin"/>
        </w:r>
        <w:r w:rsidR="008A47AC">
          <w:rPr>
            <w:noProof/>
            <w:webHidden/>
          </w:rPr>
          <w:instrText xml:space="preserve"> PAGEREF _Toc34208439 \h </w:instrText>
        </w:r>
        <w:r w:rsidR="008A47AC">
          <w:rPr>
            <w:noProof/>
            <w:webHidden/>
          </w:rPr>
        </w:r>
        <w:r w:rsidR="008A47AC">
          <w:rPr>
            <w:noProof/>
            <w:webHidden/>
          </w:rPr>
          <w:fldChar w:fldCharType="separate"/>
        </w:r>
        <w:r w:rsidR="00E57BFA">
          <w:rPr>
            <w:noProof/>
            <w:webHidden/>
          </w:rPr>
          <w:t>- 203 -</w:t>
        </w:r>
        <w:r w:rsidR="008A47AC">
          <w:rPr>
            <w:noProof/>
            <w:webHidden/>
          </w:rPr>
          <w:fldChar w:fldCharType="end"/>
        </w:r>
      </w:hyperlink>
    </w:p>
    <w:p w14:paraId="7791E996" w14:textId="0482B62A" w:rsidR="008A47AC" w:rsidRDefault="007B378B">
      <w:pPr>
        <w:pStyle w:val="TOC5"/>
        <w:rPr>
          <w:rFonts w:eastAsiaTheme="minorEastAsia"/>
          <w:noProof/>
          <w:lang w:eastAsia="en-GB"/>
        </w:rPr>
      </w:pPr>
      <w:hyperlink w:anchor="_Toc34208440" w:history="1">
        <w:r w:rsidR="008A47AC" w:rsidRPr="00793E8D">
          <w:rPr>
            <w:rStyle w:val="Hyperlink"/>
            <w:rFonts w:ascii="Arial" w:hAnsi="Arial" w:cs="Arial"/>
            <w:noProof/>
          </w:rPr>
          <w:t>4.3.2.5.5 The effect of Scriptaid and Batimastat on COL1A1 abundance on NOF- and CAF-DM</w:t>
        </w:r>
        <w:r w:rsidR="008A47AC">
          <w:rPr>
            <w:noProof/>
            <w:webHidden/>
          </w:rPr>
          <w:tab/>
        </w:r>
        <w:r w:rsidR="008A47AC">
          <w:rPr>
            <w:noProof/>
            <w:webHidden/>
          </w:rPr>
          <w:fldChar w:fldCharType="begin"/>
        </w:r>
        <w:r w:rsidR="008A47AC">
          <w:rPr>
            <w:noProof/>
            <w:webHidden/>
          </w:rPr>
          <w:instrText xml:space="preserve"> PAGEREF _Toc34208440 \h </w:instrText>
        </w:r>
        <w:r w:rsidR="008A47AC">
          <w:rPr>
            <w:noProof/>
            <w:webHidden/>
          </w:rPr>
        </w:r>
        <w:r w:rsidR="008A47AC">
          <w:rPr>
            <w:noProof/>
            <w:webHidden/>
          </w:rPr>
          <w:fldChar w:fldCharType="separate"/>
        </w:r>
        <w:r w:rsidR="00E57BFA">
          <w:rPr>
            <w:noProof/>
            <w:webHidden/>
          </w:rPr>
          <w:t>- 205 -</w:t>
        </w:r>
        <w:r w:rsidR="008A47AC">
          <w:rPr>
            <w:noProof/>
            <w:webHidden/>
          </w:rPr>
          <w:fldChar w:fldCharType="end"/>
        </w:r>
      </w:hyperlink>
    </w:p>
    <w:p w14:paraId="33BB1402" w14:textId="18ADDF5E" w:rsidR="008A47AC" w:rsidRDefault="007B378B">
      <w:pPr>
        <w:pStyle w:val="TOC2"/>
        <w:tabs>
          <w:tab w:val="right" w:leader="dot" w:pos="9016"/>
        </w:tabs>
        <w:rPr>
          <w:rFonts w:eastAsiaTheme="minorEastAsia"/>
          <w:noProof/>
          <w:lang w:eastAsia="en-GB"/>
        </w:rPr>
      </w:pPr>
      <w:hyperlink w:anchor="_Toc34208441" w:history="1">
        <w:r w:rsidR="008A47AC" w:rsidRPr="00793E8D">
          <w:rPr>
            <w:rStyle w:val="Hyperlink"/>
            <w:rFonts w:ascii="Arial" w:eastAsiaTheme="majorEastAsia" w:hAnsi="Arial" w:cs="Arial"/>
            <w:noProof/>
          </w:rPr>
          <w:t>4.4 Discussion</w:t>
        </w:r>
        <w:r w:rsidR="008A47AC">
          <w:rPr>
            <w:noProof/>
            <w:webHidden/>
          </w:rPr>
          <w:tab/>
        </w:r>
        <w:r w:rsidR="008A47AC">
          <w:rPr>
            <w:noProof/>
            <w:webHidden/>
          </w:rPr>
          <w:fldChar w:fldCharType="begin"/>
        </w:r>
        <w:r w:rsidR="008A47AC">
          <w:rPr>
            <w:noProof/>
            <w:webHidden/>
          </w:rPr>
          <w:instrText xml:space="preserve"> PAGEREF _Toc34208441 \h </w:instrText>
        </w:r>
        <w:r w:rsidR="008A47AC">
          <w:rPr>
            <w:noProof/>
            <w:webHidden/>
          </w:rPr>
        </w:r>
        <w:r w:rsidR="008A47AC">
          <w:rPr>
            <w:noProof/>
            <w:webHidden/>
          </w:rPr>
          <w:fldChar w:fldCharType="separate"/>
        </w:r>
        <w:r w:rsidR="00E57BFA">
          <w:rPr>
            <w:noProof/>
            <w:webHidden/>
          </w:rPr>
          <w:t>- 207 -</w:t>
        </w:r>
        <w:r w:rsidR="008A47AC">
          <w:rPr>
            <w:noProof/>
            <w:webHidden/>
          </w:rPr>
          <w:fldChar w:fldCharType="end"/>
        </w:r>
      </w:hyperlink>
    </w:p>
    <w:p w14:paraId="2AFB5596" w14:textId="0DE55BE7" w:rsidR="008A47AC" w:rsidRDefault="007B378B">
      <w:pPr>
        <w:pStyle w:val="TOC1"/>
        <w:rPr>
          <w:rFonts w:eastAsiaTheme="minorEastAsia"/>
          <w:b w:val="0"/>
          <w:bCs w:val="0"/>
          <w:lang w:eastAsia="en-GB"/>
        </w:rPr>
      </w:pPr>
      <w:hyperlink w:anchor="_Toc34208442" w:history="1">
        <w:r w:rsidR="008A47AC" w:rsidRPr="00793E8D">
          <w:rPr>
            <w:rStyle w:val="Hyperlink"/>
          </w:rPr>
          <w:t>Chapter 5</w:t>
        </w:r>
        <w:r w:rsidR="008A47AC">
          <w:rPr>
            <w:webHidden/>
          </w:rPr>
          <w:tab/>
        </w:r>
        <w:r w:rsidR="008A47AC">
          <w:rPr>
            <w:webHidden/>
          </w:rPr>
          <w:fldChar w:fldCharType="begin"/>
        </w:r>
        <w:r w:rsidR="008A47AC">
          <w:rPr>
            <w:webHidden/>
          </w:rPr>
          <w:instrText xml:space="preserve"> PAGEREF _Toc34208442 \h </w:instrText>
        </w:r>
        <w:r w:rsidR="008A47AC">
          <w:rPr>
            <w:webHidden/>
          </w:rPr>
        </w:r>
        <w:r w:rsidR="008A47AC">
          <w:rPr>
            <w:webHidden/>
          </w:rPr>
          <w:fldChar w:fldCharType="separate"/>
        </w:r>
        <w:r w:rsidR="00E57BFA">
          <w:rPr>
            <w:webHidden/>
          </w:rPr>
          <w:t>- 215 -</w:t>
        </w:r>
        <w:r w:rsidR="008A47AC">
          <w:rPr>
            <w:webHidden/>
          </w:rPr>
          <w:fldChar w:fldCharType="end"/>
        </w:r>
      </w:hyperlink>
    </w:p>
    <w:p w14:paraId="070F3290" w14:textId="24310D62" w:rsidR="008A47AC" w:rsidRDefault="007B378B">
      <w:pPr>
        <w:pStyle w:val="TOC1"/>
        <w:rPr>
          <w:rFonts w:eastAsiaTheme="minorEastAsia"/>
          <w:b w:val="0"/>
          <w:bCs w:val="0"/>
          <w:lang w:eastAsia="en-GB"/>
        </w:rPr>
      </w:pPr>
      <w:hyperlink w:anchor="_Toc34208443" w:history="1">
        <w:r w:rsidR="008A47AC" w:rsidRPr="00793E8D">
          <w:rPr>
            <w:rStyle w:val="Hyperlink"/>
          </w:rPr>
          <w:t xml:space="preserve">Development and characterisation of three-dimensional </w:t>
        </w:r>
        <w:r w:rsidR="008A47AC" w:rsidRPr="00793E8D">
          <w:rPr>
            <w:rStyle w:val="Hyperlink"/>
            <w:i/>
            <w:iCs/>
          </w:rPr>
          <w:t xml:space="preserve">in vitro </w:t>
        </w:r>
        <w:r w:rsidR="008A47AC" w:rsidRPr="00793E8D">
          <w:rPr>
            <w:rStyle w:val="Hyperlink"/>
          </w:rPr>
          <w:t>normal mucosa and oral cancer models utilising human fibroblast-derived matrices</w:t>
        </w:r>
        <w:r w:rsidR="008A47AC">
          <w:rPr>
            <w:webHidden/>
          </w:rPr>
          <w:tab/>
        </w:r>
        <w:r w:rsidR="008A47AC">
          <w:rPr>
            <w:webHidden/>
          </w:rPr>
          <w:fldChar w:fldCharType="begin"/>
        </w:r>
        <w:r w:rsidR="008A47AC">
          <w:rPr>
            <w:webHidden/>
          </w:rPr>
          <w:instrText xml:space="preserve"> PAGEREF _Toc34208443 \h </w:instrText>
        </w:r>
        <w:r w:rsidR="008A47AC">
          <w:rPr>
            <w:webHidden/>
          </w:rPr>
        </w:r>
        <w:r w:rsidR="008A47AC">
          <w:rPr>
            <w:webHidden/>
          </w:rPr>
          <w:fldChar w:fldCharType="separate"/>
        </w:r>
        <w:r w:rsidR="00E57BFA">
          <w:rPr>
            <w:webHidden/>
          </w:rPr>
          <w:t>- 215 -</w:t>
        </w:r>
        <w:r w:rsidR="008A47AC">
          <w:rPr>
            <w:webHidden/>
          </w:rPr>
          <w:fldChar w:fldCharType="end"/>
        </w:r>
      </w:hyperlink>
    </w:p>
    <w:p w14:paraId="6D137455" w14:textId="59E4F085" w:rsidR="008A47AC" w:rsidRDefault="007B378B">
      <w:pPr>
        <w:pStyle w:val="TOC2"/>
        <w:tabs>
          <w:tab w:val="right" w:leader="dot" w:pos="9016"/>
        </w:tabs>
        <w:rPr>
          <w:rFonts w:eastAsiaTheme="minorEastAsia"/>
          <w:noProof/>
          <w:lang w:eastAsia="en-GB"/>
        </w:rPr>
      </w:pPr>
      <w:hyperlink w:anchor="_Toc34208444" w:history="1">
        <w:r w:rsidR="008A47AC" w:rsidRPr="00793E8D">
          <w:rPr>
            <w:rStyle w:val="Hyperlink"/>
            <w:rFonts w:ascii="Arial" w:hAnsi="Arial" w:cs="Arial"/>
            <w:b/>
            <w:noProof/>
          </w:rPr>
          <w:t>5.1 Introduction</w:t>
        </w:r>
        <w:r w:rsidR="008A47AC">
          <w:rPr>
            <w:noProof/>
            <w:webHidden/>
          </w:rPr>
          <w:tab/>
        </w:r>
        <w:r w:rsidR="008A47AC">
          <w:rPr>
            <w:noProof/>
            <w:webHidden/>
          </w:rPr>
          <w:fldChar w:fldCharType="begin"/>
        </w:r>
        <w:r w:rsidR="008A47AC">
          <w:rPr>
            <w:noProof/>
            <w:webHidden/>
          </w:rPr>
          <w:instrText xml:space="preserve"> PAGEREF _Toc34208444 \h </w:instrText>
        </w:r>
        <w:r w:rsidR="008A47AC">
          <w:rPr>
            <w:noProof/>
            <w:webHidden/>
          </w:rPr>
        </w:r>
        <w:r w:rsidR="008A47AC">
          <w:rPr>
            <w:noProof/>
            <w:webHidden/>
          </w:rPr>
          <w:fldChar w:fldCharType="separate"/>
        </w:r>
        <w:r w:rsidR="00E57BFA">
          <w:rPr>
            <w:noProof/>
            <w:webHidden/>
          </w:rPr>
          <w:t>- 216 -</w:t>
        </w:r>
        <w:r w:rsidR="008A47AC">
          <w:rPr>
            <w:noProof/>
            <w:webHidden/>
          </w:rPr>
          <w:fldChar w:fldCharType="end"/>
        </w:r>
      </w:hyperlink>
    </w:p>
    <w:p w14:paraId="1E62DFA9" w14:textId="017E7B76" w:rsidR="008A47AC" w:rsidRDefault="007B378B">
      <w:pPr>
        <w:pStyle w:val="TOC2"/>
        <w:tabs>
          <w:tab w:val="right" w:leader="dot" w:pos="9016"/>
        </w:tabs>
        <w:rPr>
          <w:rFonts w:eastAsiaTheme="minorEastAsia"/>
          <w:noProof/>
          <w:lang w:eastAsia="en-GB"/>
        </w:rPr>
      </w:pPr>
      <w:hyperlink w:anchor="_Toc34208445" w:history="1">
        <w:r w:rsidR="008A47AC" w:rsidRPr="00793E8D">
          <w:rPr>
            <w:rStyle w:val="Hyperlink"/>
            <w:rFonts w:ascii="Arial" w:hAnsi="Arial" w:cs="Arial"/>
            <w:b/>
            <w:noProof/>
          </w:rPr>
          <w:t>5.2 Materials and methods</w:t>
        </w:r>
        <w:r w:rsidR="008A47AC">
          <w:rPr>
            <w:noProof/>
            <w:webHidden/>
          </w:rPr>
          <w:tab/>
        </w:r>
        <w:r w:rsidR="008A47AC">
          <w:rPr>
            <w:noProof/>
            <w:webHidden/>
          </w:rPr>
          <w:fldChar w:fldCharType="begin"/>
        </w:r>
        <w:r w:rsidR="008A47AC">
          <w:rPr>
            <w:noProof/>
            <w:webHidden/>
          </w:rPr>
          <w:instrText xml:space="preserve"> PAGEREF _Toc34208445 \h </w:instrText>
        </w:r>
        <w:r w:rsidR="008A47AC">
          <w:rPr>
            <w:noProof/>
            <w:webHidden/>
          </w:rPr>
        </w:r>
        <w:r w:rsidR="008A47AC">
          <w:rPr>
            <w:noProof/>
            <w:webHidden/>
          </w:rPr>
          <w:fldChar w:fldCharType="separate"/>
        </w:r>
        <w:r w:rsidR="00E57BFA">
          <w:rPr>
            <w:noProof/>
            <w:webHidden/>
          </w:rPr>
          <w:t>- 218 -</w:t>
        </w:r>
        <w:r w:rsidR="008A47AC">
          <w:rPr>
            <w:noProof/>
            <w:webHidden/>
          </w:rPr>
          <w:fldChar w:fldCharType="end"/>
        </w:r>
      </w:hyperlink>
    </w:p>
    <w:p w14:paraId="522B16C2" w14:textId="48C4BA8A" w:rsidR="008A47AC" w:rsidRDefault="007B378B">
      <w:pPr>
        <w:pStyle w:val="TOC2"/>
        <w:tabs>
          <w:tab w:val="right" w:leader="dot" w:pos="9016"/>
        </w:tabs>
        <w:rPr>
          <w:rFonts w:eastAsiaTheme="minorEastAsia"/>
          <w:noProof/>
          <w:lang w:eastAsia="en-GB"/>
        </w:rPr>
      </w:pPr>
      <w:hyperlink w:anchor="_Toc34208446" w:history="1">
        <w:r w:rsidR="008A47AC" w:rsidRPr="00793E8D">
          <w:rPr>
            <w:rStyle w:val="Hyperlink"/>
            <w:rFonts w:ascii="Arial" w:hAnsi="Arial" w:cs="Arial"/>
            <w:b/>
            <w:noProof/>
          </w:rPr>
          <w:t>5.3 Results</w:t>
        </w:r>
        <w:r w:rsidR="008A47AC">
          <w:rPr>
            <w:noProof/>
            <w:webHidden/>
          </w:rPr>
          <w:tab/>
        </w:r>
        <w:r w:rsidR="008A47AC">
          <w:rPr>
            <w:noProof/>
            <w:webHidden/>
          </w:rPr>
          <w:fldChar w:fldCharType="begin"/>
        </w:r>
        <w:r w:rsidR="008A47AC">
          <w:rPr>
            <w:noProof/>
            <w:webHidden/>
          </w:rPr>
          <w:instrText xml:space="preserve"> PAGEREF _Toc34208446 \h </w:instrText>
        </w:r>
        <w:r w:rsidR="008A47AC">
          <w:rPr>
            <w:noProof/>
            <w:webHidden/>
          </w:rPr>
        </w:r>
        <w:r w:rsidR="008A47AC">
          <w:rPr>
            <w:noProof/>
            <w:webHidden/>
          </w:rPr>
          <w:fldChar w:fldCharType="separate"/>
        </w:r>
        <w:r w:rsidR="00E57BFA">
          <w:rPr>
            <w:noProof/>
            <w:webHidden/>
          </w:rPr>
          <w:t>- 220 -</w:t>
        </w:r>
        <w:r w:rsidR="008A47AC">
          <w:rPr>
            <w:noProof/>
            <w:webHidden/>
          </w:rPr>
          <w:fldChar w:fldCharType="end"/>
        </w:r>
      </w:hyperlink>
    </w:p>
    <w:p w14:paraId="5A14EB70" w14:textId="172F2BC0" w:rsidR="008A47AC" w:rsidRDefault="007B378B">
      <w:pPr>
        <w:pStyle w:val="TOC3"/>
        <w:tabs>
          <w:tab w:val="right" w:leader="dot" w:pos="9016"/>
        </w:tabs>
        <w:rPr>
          <w:rFonts w:eastAsiaTheme="minorEastAsia"/>
          <w:noProof/>
          <w:lang w:eastAsia="en-GB"/>
        </w:rPr>
      </w:pPr>
      <w:hyperlink w:anchor="_Toc34208447" w:history="1">
        <w:r w:rsidR="008A47AC" w:rsidRPr="00793E8D">
          <w:rPr>
            <w:rStyle w:val="Hyperlink"/>
            <w:rFonts w:ascii="Arial" w:hAnsi="Arial" w:cs="Arial"/>
            <w:noProof/>
          </w:rPr>
          <w:t>5.3.1 Characterisation of normal and cancer cell behaviour on fibroblast-derived matrices</w:t>
        </w:r>
        <w:r w:rsidR="008A47AC">
          <w:rPr>
            <w:noProof/>
            <w:webHidden/>
          </w:rPr>
          <w:tab/>
        </w:r>
        <w:r w:rsidR="008A47AC">
          <w:rPr>
            <w:noProof/>
            <w:webHidden/>
          </w:rPr>
          <w:fldChar w:fldCharType="begin"/>
        </w:r>
        <w:r w:rsidR="008A47AC">
          <w:rPr>
            <w:noProof/>
            <w:webHidden/>
          </w:rPr>
          <w:instrText xml:space="preserve"> PAGEREF _Toc34208447 \h </w:instrText>
        </w:r>
        <w:r w:rsidR="008A47AC">
          <w:rPr>
            <w:noProof/>
            <w:webHidden/>
          </w:rPr>
        </w:r>
        <w:r w:rsidR="008A47AC">
          <w:rPr>
            <w:noProof/>
            <w:webHidden/>
          </w:rPr>
          <w:fldChar w:fldCharType="separate"/>
        </w:r>
        <w:r w:rsidR="00E57BFA">
          <w:rPr>
            <w:noProof/>
            <w:webHidden/>
          </w:rPr>
          <w:t>- 220 -</w:t>
        </w:r>
        <w:r w:rsidR="008A47AC">
          <w:rPr>
            <w:noProof/>
            <w:webHidden/>
          </w:rPr>
          <w:fldChar w:fldCharType="end"/>
        </w:r>
      </w:hyperlink>
    </w:p>
    <w:p w14:paraId="6F991528" w14:textId="3FF7D74F" w:rsidR="008A47AC" w:rsidRDefault="007B378B">
      <w:pPr>
        <w:pStyle w:val="TOC4"/>
        <w:tabs>
          <w:tab w:val="right" w:leader="dot" w:pos="9016"/>
        </w:tabs>
        <w:rPr>
          <w:rFonts w:eastAsiaTheme="minorEastAsia"/>
          <w:noProof/>
          <w:lang w:eastAsia="en-GB"/>
        </w:rPr>
      </w:pPr>
      <w:hyperlink w:anchor="_Toc34208448" w:history="1">
        <w:r w:rsidR="008A47AC" w:rsidRPr="00793E8D">
          <w:rPr>
            <w:rStyle w:val="Hyperlink"/>
            <w:rFonts w:ascii="Arial" w:hAnsi="Arial" w:cs="Arial"/>
            <w:noProof/>
          </w:rPr>
          <w:t>5.3.1.1 Adhesion of normal and OSCC cells on NOF- and CAF-DM</w:t>
        </w:r>
        <w:r w:rsidR="008A47AC">
          <w:rPr>
            <w:noProof/>
            <w:webHidden/>
          </w:rPr>
          <w:tab/>
        </w:r>
        <w:r w:rsidR="008A47AC">
          <w:rPr>
            <w:noProof/>
            <w:webHidden/>
          </w:rPr>
          <w:fldChar w:fldCharType="begin"/>
        </w:r>
        <w:r w:rsidR="008A47AC">
          <w:rPr>
            <w:noProof/>
            <w:webHidden/>
          </w:rPr>
          <w:instrText xml:space="preserve"> PAGEREF _Toc34208448 \h </w:instrText>
        </w:r>
        <w:r w:rsidR="008A47AC">
          <w:rPr>
            <w:noProof/>
            <w:webHidden/>
          </w:rPr>
        </w:r>
        <w:r w:rsidR="008A47AC">
          <w:rPr>
            <w:noProof/>
            <w:webHidden/>
          </w:rPr>
          <w:fldChar w:fldCharType="separate"/>
        </w:r>
        <w:r w:rsidR="00E57BFA">
          <w:rPr>
            <w:noProof/>
            <w:webHidden/>
          </w:rPr>
          <w:t>- 220 -</w:t>
        </w:r>
        <w:r w:rsidR="008A47AC">
          <w:rPr>
            <w:noProof/>
            <w:webHidden/>
          </w:rPr>
          <w:fldChar w:fldCharType="end"/>
        </w:r>
      </w:hyperlink>
    </w:p>
    <w:p w14:paraId="5ECD87D4" w14:textId="36FCDC4B" w:rsidR="008A47AC" w:rsidRDefault="007B378B">
      <w:pPr>
        <w:pStyle w:val="TOC4"/>
        <w:tabs>
          <w:tab w:val="right" w:leader="dot" w:pos="9016"/>
        </w:tabs>
        <w:rPr>
          <w:rFonts w:eastAsiaTheme="minorEastAsia"/>
          <w:noProof/>
          <w:lang w:eastAsia="en-GB"/>
        </w:rPr>
      </w:pPr>
      <w:hyperlink w:anchor="_Toc34208449" w:history="1">
        <w:r w:rsidR="008A47AC" w:rsidRPr="00793E8D">
          <w:rPr>
            <w:rStyle w:val="Hyperlink"/>
            <w:rFonts w:ascii="Arial" w:hAnsi="Arial" w:cs="Arial"/>
            <w:noProof/>
          </w:rPr>
          <w:t>5.3.1.2 Analysing keratinocyte proliferation on NOF- and CAF-DM</w:t>
        </w:r>
        <w:r w:rsidR="008A47AC">
          <w:rPr>
            <w:noProof/>
            <w:webHidden/>
          </w:rPr>
          <w:tab/>
        </w:r>
        <w:r w:rsidR="008A47AC">
          <w:rPr>
            <w:noProof/>
            <w:webHidden/>
          </w:rPr>
          <w:fldChar w:fldCharType="begin"/>
        </w:r>
        <w:r w:rsidR="008A47AC">
          <w:rPr>
            <w:noProof/>
            <w:webHidden/>
          </w:rPr>
          <w:instrText xml:space="preserve"> PAGEREF _Toc34208449 \h </w:instrText>
        </w:r>
        <w:r w:rsidR="008A47AC">
          <w:rPr>
            <w:noProof/>
            <w:webHidden/>
          </w:rPr>
        </w:r>
        <w:r w:rsidR="008A47AC">
          <w:rPr>
            <w:noProof/>
            <w:webHidden/>
          </w:rPr>
          <w:fldChar w:fldCharType="separate"/>
        </w:r>
        <w:r w:rsidR="00E57BFA">
          <w:rPr>
            <w:noProof/>
            <w:webHidden/>
          </w:rPr>
          <w:t>- 222 -</w:t>
        </w:r>
        <w:r w:rsidR="008A47AC">
          <w:rPr>
            <w:noProof/>
            <w:webHidden/>
          </w:rPr>
          <w:fldChar w:fldCharType="end"/>
        </w:r>
      </w:hyperlink>
    </w:p>
    <w:p w14:paraId="0DE0CA3A" w14:textId="02329712" w:rsidR="008A47AC" w:rsidRDefault="007B378B">
      <w:pPr>
        <w:pStyle w:val="TOC4"/>
        <w:tabs>
          <w:tab w:val="right" w:leader="dot" w:pos="9016"/>
        </w:tabs>
        <w:rPr>
          <w:rFonts w:eastAsiaTheme="minorEastAsia"/>
          <w:noProof/>
          <w:lang w:eastAsia="en-GB"/>
        </w:rPr>
      </w:pPr>
      <w:hyperlink w:anchor="_Toc34208450" w:history="1">
        <w:r w:rsidR="008A47AC" w:rsidRPr="00793E8D">
          <w:rPr>
            <w:rStyle w:val="Hyperlink"/>
            <w:rFonts w:ascii="Arial" w:hAnsi="Arial" w:cs="Arial"/>
            <w:noProof/>
          </w:rPr>
          <w:t>5.3.1.3. Migration of normal and cancerous epithelial cells on NOF- and CAF-DM</w:t>
        </w:r>
        <w:r w:rsidR="008A47AC">
          <w:rPr>
            <w:noProof/>
            <w:webHidden/>
          </w:rPr>
          <w:tab/>
        </w:r>
        <w:r w:rsidR="008A47AC">
          <w:rPr>
            <w:noProof/>
            <w:webHidden/>
          </w:rPr>
          <w:fldChar w:fldCharType="begin"/>
        </w:r>
        <w:r w:rsidR="008A47AC">
          <w:rPr>
            <w:noProof/>
            <w:webHidden/>
          </w:rPr>
          <w:instrText xml:space="preserve"> PAGEREF _Toc34208450 \h </w:instrText>
        </w:r>
        <w:r w:rsidR="008A47AC">
          <w:rPr>
            <w:noProof/>
            <w:webHidden/>
          </w:rPr>
        </w:r>
        <w:r w:rsidR="008A47AC">
          <w:rPr>
            <w:noProof/>
            <w:webHidden/>
          </w:rPr>
          <w:fldChar w:fldCharType="separate"/>
        </w:r>
        <w:r w:rsidR="00E57BFA">
          <w:rPr>
            <w:noProof/>
            <w:webHidden/>
          </w:rPr>
          <w:t>- 223 -</w:t>
        </w:r>
        <w:r w:rsidR="008A47AC">
          <w:rPr>
            <w:noProof/>
            <w:webHidden/>
          </w:rPr>
          <w:fldChar w:fldCharType="end"/>
        </w:r>
      </w:hyperlink>
    </w:p>
    <w:p w14:paraId="03BAD05E" w14:textId="72792518" w:rsidR="008A47AC" w:rsidRDefault="007B378B">
      <w:pPr>
        <w:pStyle w:val="TOC4"/>
        <w:tabs>
          <w:tab w:val="right" w:leader="dot" w:pos="9016"/>
        </w:tabs>
        <w:rPr>
          <w:rFonts w:eastAsiaTheme="minorEastAsia"/>
          <w:noProof/>
          <w:lang w:eastAsia="en-GB"/>
        </w:rPr>
      </w:pPr>
      <w:hyperlink w:anchor="_Toc34208451" w:history="1">
        <w:r w:rsidR="008A47AC" w:rsidRPr="00793E8D">
          <w:rPr>
            <w:rStyle w:val="Hyperlink"/>
            <w:rFonts w:ascii="Arial" w:hAnsi="Arial" w:cs="Arial"/>
            <w:noProof/>
          </w:rPr>
          <w:t>5.3.1.5 Evaluation of NOF- and CAF-DM ability to support keratinocyte cell growth over-time</w:t>
        </w:r>
        <w:r w:rsidR="008A47AC">
          <w:rPr>
            <w:noProof/>
            <w:webHidden/>
          </w:rPr>
          <w:tab/>
        </w:r>
        <w:r w:rsidR="008A47AC">
          <w:rPr>
            <w:noProof/>
            <w:webHidden/>
          </w:rPr>
          <w:fldChar w:fldCharType="begin"/>
        </w:r>
        <w:r w:rsidR="008A47AC">
          <w:rPr>
            <w:noProof/>
            <w:webHidden/>
          </w:rPr>
          <w:instrText xml:space="preserve"> PAGEREF _Toc34208451 \h </w:instrText>
        </w:r>
        <w:r w:rsidR="008A47AC">
          <w:rPr>
            <w:noProof/>
            <w:webHidden/>
          </w:rPr>
        </w:r>
        <w:r w:rsidR="008A47AC">
          <w:rPr>
            <w:noProof/>
            <w:webHidden/>
          </w:rPr>
          <w:fldChar w:fldCharType="separate"/>
        </w:r>
        <w:r w:rsidR="00E57BFA">
          <w:rPr>
            <w:noProof/>
            <w:webHidden/>
          </w:rPr>
          <w:t>- 226 -</w:t>
        </w:r>
        <w:r w:rsidR="008A47AC">
          <w:rPr>
            <w:noProof/>
            <w:webHidden/>
          </w:rPr>
          <w:fldChar w:fldCharType="end"/>
        </w:r>
      </w:hyperlink>
    </w:p>
    <w:p w14:paraId="30D84997" w14:textId="5133EB8E" w:rsidR="008A47AC" w:rsidRDefault="007B378B">
      <w:pPr>
        <w:pStyle w:val="TOC3"/>
        <w:tabs>
          <w:tab w:val="right" w:leader="dot" w:pos="9016"/>
        </w:tabs>
        <w:rPr>
          <w:rFonts w:eastAsiaTheme="minorEastAsia"/>
          <w:noProof/>
          <w:lang w:eastAsia="en-GB"/>
        </w:rPr>
      </w:pPr>
      <w:hyperlink w:anchor="_Toc34208452" w:history="1">
        <w:r w:rsidR="008A47AC" w:rsidRPr="00793E8D">
          <w:rPr>
            <w:rStyle w:val="Hyperlink"/>
            <w:rFonts w:ascii="Arial" w:hAnsi="Arial" w:cs="Arial"/>
            <w:noProof/>
          </w:rPr>
          <w:t>5.3.2 Generation of tissue-engineered full-thickness oral mucosa models</w:t>
        </w:r>
        <w:r w:rsidR="008A47AC">
          <w:rPr>
            <w:noProof/>
            <w:webHidden/>
          </w:rPr>
          <w:tab/>
        </w:r>
        <w:r w:rsidR="008A47AC">
          <w:rPr>
            <w:noProof/>
            <w:webHidden/>
          </w:rPr>
          <w:fldChar w:fldCharType="begin"/>
        </w:r>
        <w:r w:rsidR="008A47AC">
          <w:rPr>
            <w:noProof/>
            <w:webHidden/>
          </w:rPr>
          <w:instrText xml:space="preserve"> PAGEREF _Toc34208452 \h </w:instrText>
        </w:r>
        <w:r w:rsidR="008A47AC">
          <w:rPr>
            <w:noProof/>
            <w:webHidden/>
          </w:rPr>
        </w:r>
        <w:r w:rsidR="008A47AC">
          <w:rPr>
            <w:noProof/>
            <w:webHidden/>
          </w:rPr>
          <w:fldChar w:fldCharType="separate"/>
        </w:r>
        <w:r w:rsidR="00E57BFA">
          <w:rPr>
            <w:noProof/>
            <w:webHidden/>
          </w:rPr>
          <w:t>- 228 -</w:t>
        </w:r>
        <w:r w:rsidR="008A47AC">
          <w:rPr>
            <w:noProof/>
            <w:webHidden/>
          </w:rPr>
          <w:fldChar w:fldCharType="end"/>
        </w:r>
      </w:hyperlink>
    </w:p>
    <w:p w14:paraId="748BFC78" w14:textId="73EAB8E9" w:rsidR="008A47AC" w:rsidRDefault="007B378B">
      <w:pPr>
        <w:pStyle w:val="TOC4"/>
        <w:tabs>
          <w:tab w:val="right" w:leader="dot" w:pos="9016"/>
        </w:tabs>
        <w:rPr>
          <w:rFonts w:eastAsiaTheme="minorEastAsia"/>
          <w:noProof/>
          <w:lang w:eastAsia="en-GB"/>
        </w:rPr>
      </w:pPr>
      <w:hyperlink w:anchor="_Toc34208453" w:history="1">
        <w:r w:rsidR="008A47AC" w:rsidRPr="00793E8D">
          <w:rPr>
            <w:rStyle w:val="Hyperlink"/>
            <w:rFonts w:ascii="Arial" w:hAnsi="Arial" w:cs="Arial"/>
            <w:noProof/>
          </w:rPr>
          <w:t>5.3.2.1 Generation of a tissue-engineered full-thickness normal oral mucosa model</w:t>
        </w:r>
        <w:r w:rsidR="008A47AC">
          <w:rPr>
            <w:noProof/>
            <w:webHidden/>
          </w:rPr>
          <w:tab/>
        </w:r>
        <w:r w:rsidR="008A47AC">
          <w:rPr>
            <w:noProof/>
            <w:webHidden/>
          </w:rPr>
          <w:fldChar w:fldCharType="begin"/>
        </w:r>
        <w:r w:rsidR="008A47AC">
          <w:rPr>
            <w:noProof/>
            <w:webHidden/>
          </w:rPr>
          <w:instrText xml:space="preserve"> PAGEREF _Toc34208453 \h </w:instrText>
        </w:r>
        <w:r w:rsidR="008A47AC">
          <w:rPr>
            <w:noProof/>
            <w:webHidden/>
          </w:rPr>
        </w:r>
        <w:r w:rsidR="008A47AC">
          <w:rPr>
            <w:noProof/>
            <w:webHidden/>
          </w:rPr>
          <w:fldChar w:fldCharType="separate"/>
        </w:r>
        <w:r w:rsidR="00E57BFA">
          <w:rPr>
            <w:noProof/>
            <w:webHidden/>
          </w:rPr>
          <w:t>- 228 -</w:t>
        </w:r>
        <w:r w:rsidR="008A47AC">
          <w:rPr>
            <w:noProof/>
            <w:webHidden/>
          </w:rPr>
          <w:fldChar w:fldCharType="end"/>
        </w:r>
      </w:hyperlink>
    </w:p>
    <w:p w14:paraId="396186E6" w14:textId="2DD2AC3D" w:rsidR="008A47AC" w:rsidRDefault="007B378B">
      <w:pPr>
        <w:pStyle w:val="TOC4"/>
        <w:tabs>
          <w:tab w:val="right" w:leader="dot" w:pos="9016"/>
        </w:tabs>
        <w:rPr>
          <w:rFonts w:eastAsiaTheme="minorEastAsia"/>
          <w:noProof/>
          <w:lang w:eastAsia="en-GB"/>
        </w:rPr>
      </w:pPr>
      <w:hyperlink w:anchor="_Toc34208454" w:history="1">
        <w:r w:rsidR="008A47AC" w:rsidRPr="00793E8D">
          <w:rPr>
            <w:rStyle w:val="Hyperlink"/>
            <w:rFonts w:ascii="Arial" w:hAnsi="Arial" w:cs="Arial"/>
            <w:noProof/>
          </w:rPr>
          <w:t>5.3.1.2 Generation of a tissue-engineered, full-thickness atypical oral mucosa model</w:t>
        </w:r>
        <w:r w:rsidR="008A47AC">
          <w:rPr>
            <w:noProof/>
            <w:webHidden/>
          </w:rPr>
          <w:tab/>
        </w:r>
        <w:r w:rsidR="008A47AC">
          <w:rPr>
            <w:noProof/>
            <w:webHidden/>
          </w:rPr>
          <w:fldChar w:fldCharType="begin"/>
        </w:r>
        <w:r w:rsidR="008A47AC">
          <w:rPr>
            <w:noProof/>
            <w:webHidden/>
          </w:rPr>
          <w:instrText xml:space="preserve"> PAGEREF _Toc34208454 \h </w:instrText>
        </w:r>
        <w:r w:rsidR="008A47AC">
          <w:rPr>
            <w:noProof/>
            <w:webHidden/>
          </w:rPr>
        </w:r>
        <w:r w:rsidR="008A47AC">
          <w:rPr>
            <w:noProof/>
            <w:webHidden/>
          </w:rPr>
          <w:fldChar w:fldCharType="separate"/>
        </w:r>
        <w:r w:rsidR="00E57BFA">
          <w:rPr>
            <w:noProof/>
            <w:webHidden/>
          </w:rPr>
          <w:t>- 230 -</w:t>
        </w:r>
        <w:r w:rsidR="008A47AC">
          <w:rPr>
            <w:noProof/>
            <w:webHidden/>
          </w:rPr>
          <w:fldChar w:fldCharType="end"/>
        </w:r>
      </w:hyperlink>
    </w:p>
    <w:p w14:paraId="6D80F068" w14:textId="09EFE889" w:rsidR="008A47AC" w:rsidRDefault="007B378B">
      <w:pPr>
        <w:pStyle w:val="TOC4"/>
        <w:tabs>
          <w:tab w:val="right" w:leader="dot" w:pos="9016"/>
        </w:tabs>
        <w:rPr>
          <w:rFonts w:eastAsiaTheme="minorEastAsia"/>
          <w:noProof/>
          <w:lang w:eastAsia="en-GB"/>
        </w:rPr>
      </w:pPr>
      <w:hyperlink w:anchor="_Toc34208455" w:history="1">
        <w:r w:rsidR="008A47AC" w:rsidRPr="00793E8D">
          <w:rPr>
            <w:rStyle w:val="Hyperlink"/>
            <w:rFonts w:ascii="Arial" w:hAnsi="Arial" w:cs="Arial"/>
            <w:noProof/>
          </w:rPr>
          <w:t>5.3.1.3 Generation of a tissue-engineered, full-thickness oral squamous cell carcinoma model</w:t>
        </w:r>
        <w:r w:rsidR="008A47AC">
          <w:rPr>
            <w:noProof/>
            <w:webHidden/>
          </w:rPr>
          <w:tab/>
        </w:r>
        <w:r w:rsidR="008A47AC">
          <w:rPr>
            <w:noProof/>
            <w:webHidden/>
          </w:rPr>
          <w:fldChar w:fldCharType="begin"/>
        </w:r>
        <w:r w:rsidR="008A47AC">
          <w:rPr>
            <w:noProof/>
            <w:webHidden/>
          </w:rPr>
          <w:instrText xml:space="preserve"> PAGEREF _Toc34208455 \h </w:instrText>
        </w:r>
        <w:r w:rsidR="008A47AC">
          <w:rPr>
            <w:noProof/>
            <w:webHidden/>
          </w:rPr>
        </w:r>
        <w:r w:rsidR="008A47AC">
          <w:rPr>
            <w:noProof/>
            <w:webHidden/>
          </w:rPr>
          <w:fldChar w:fldCharType="separate"/>
        </w:r>
        <w:r w:rsidR="00E57BFA">
          <w:rPr>
            <w:noProof/>
            <w:webHidden/>
          </w:rPr>
          <w:t>- 232 -</w:t>
        </w:r>
        <w:r w:rsidR="008A47AC">
          <w:rPr>
            <w:noProof/>
            <w:webHidden/>
          </w:rPr>
          <w:fldChar w:fldCharType="end"/>
        </w:r>
      </w:hyperlink>
    </w:p>
    <w:p w14:paraId="0693B13B" w14:textId="664853CF" w:rsidR="008A47AC" w:rsidRDefault="007B378B">
      <w:pPr>
        <w:pStyle w:val="TOC4"/>
        <w:tabs>
          <w:tab w:val="right" w:leader="dot" w:pos="9016"/>
        </w:tabs>
        <w:rPr>
          <w:rFonts w:eastAsiaTheme="minorEastAsia"/>
          <w:noProof/>
          <w:lang w:eastAsia="en-GB"/>
        </w:rPr>
      </w:pPr>
      <w:hyperlink w:anchor="_Toc34208456" w:history="1">
        <w:r w:rsidR="008A47AC" w:rsidRPr="00793E8D">
          <w:rPr>
            <w:rStyle w:val="Hyperlink"/>
            <w:rFonts w:ascii="Arial" w:hAnsi="Arial" w:cs="Arial"/>
            <w:noProof/>
          </w:rPr>
          <w:t>5.3.1.4 Analysis of the structural integrity of tissue-engineered oral mucosa models</w:t>
        </w:r>
        <w:r w:rsidR="008A47AC">
          <w:rPr>
            <w:noProof/>
            <w:webHidden/>
          </w:rPr>
          <w:tab/>
        </w:r>
        <w:r w:rsidR="008A47AC">
          <w:rPr>
            <w:noProof/>
            <w:webHidden/>
          </w:rPr>
          <w:fldChar w:fldCharType="begin"/>
        </w:r>
        <w:r w:rsidR="008A47AC">
          <w:rPr>
            <w:noProof/>
            <w:webHidden/>
          </w:rPr>
          <w:instrText xml:space="preserve"> PAGEREF _Toc34208456 \h </w:instrText>
        </w:r>
        <w:r w:rsidR="008A47AC">
          <w:rPr>
            <w:noProof/>
            <w:webHidden/>
          </w:rPr>
        </w:r>
        <w:r w:rsidR="008A47AC">
          <w:rPr>
            <w:noProof/>
            <w:webHidden/>
          </w:rPr>
          <w:fldChar w:fldCharType="separate"/>
        </w:r>
        <w:r w:rsidR="00E57BFA">
          <w:rPr>
            <w:noProof/>
            <w:webHidden/>
          </w:rPr>
          <w:t>- 234 -</w:t>
        </w:r>
        <w:r w:rsidR="008A47AC">
          <w:rPr>
            <w:noProof/>
            <w:webHidden/>
          </w:rPr>
          <w:fldChar w:fldCharType="end"/>
        </w:r>
      </w:hyperlink>
    </w:p>
    <w:p w14:paraId="6B02EA31" w14:textId="22BA6AAC" w:rsidR="008A47AC" w:rsidRDefault="007B378B">
      <w:pPr>
        <w:pStyle w:val="TOC3"/>
        <w:tabs>
          <w:tab w:val="right" w:leader="dot" w:pos="9016"/>
        </w:tabs>
        <w:rPr>
          <w:rFonts w:eastAsiaTheme="minorEastAsia"/>
          <w:noProof/>
          <w:lang w:eastAsia="en-GB"/>
        </w:rPr>
      </w:pPr>
      <w:hyperlink w:anchor="_Toc34208457" w:history="1">
        <w:r w:rsidR="008A47AC" w:rsidRPr="00793E8D">
          <w:rPr>
            <w:rStyle w:val="Hyperlink"/>
            <w:rFonts w:ascii="Arial" w:hAnsi="Arial" w:cs="Arial"/>
            <w:noProof/>
          </w:rPr>
          <w:t>5.3.3 Characterisation tissue-engineered oral mucosa models</w:t>
        </w:r>
        <w:r w:rsidR="008A47AC">
          <w:rPr>
            <w:noProof/>
            <w:webHidden/>
          </w:rPr>
          <w:tab/>
        </w:r>
        <w:r w:rsidR="008A47AC">
          <w:rPr>
            <w:noProof/>
            <w:webHidden/>
          </w:rPr>
          <w:fldChar w:fldCharType="begin"/>
        </w:r>
        <w:r w:rsidR="008A47AC">
          <w:rPr>
            <w:noProof/>
            <w:webHidden/>
          </w:rPr>
          <w:instrText xml:space="preserve"> PAGEREF _Toc34208457 \h </w:instrText>
        </w:r>
        <w:r w:rsidR="008A47AC">
          <w:rPr>
            <w:noProof/>
            <w:webHidden/>
          </w:rPr>
        </w:r>
        <w:r w:rsidR="008A47AC">
          <w:rPr>
            <w:noProof/>
            <w:webHidden/>
          </w:rPr>
          <w:fldChar w:fldCharType="separate"/>
        </w:r>
        <w:r w:rsidR="00E57BFA">
          <w:rPr>
            <w:noProof/>
            <w:webHidden/>
          </w:rPr>
          <w:t>- 235 -</w:t>
        </w:r>
        <w:r w:rsidR="008A47AC">
          <w:rPr>
            <w:noProof/>
            <w:webHidden/>
          </w:rPr>
          <w:fldChar w:fldCharType="end"/>
        </w:r>
      </w:hyperlink>
    </w:p>
    <w:p w14:paraId="69DF37C2" w14:textId="2A4D8C32" w:rsidR="008A47AC" w:rsidRDefault="007B378B">
      <w:pPr>
        <w:pStyle w:val="TOC4"/>
        <w:tabs>
          <w:tab w:val="right" w:leader="dot" w:pos="9016"/>
        </w:tabs>
        <w:rPr>
          <w:rFonts w:eastAsiaTheme="minorEastAsia"/>
          <w:noProof/>
          <w:lang w:eastAsia="en-GB"/>
        </w:rPr>
      </w:pPr>
      <w:hyperlink w:anchor="_Toc34208458" w:history="1">
        <w:r w:rsidR="008A47AC" w:rsidRPr="00793E8D">
          <w:rPr>
            <w:rStyle w:val="Hyperlink"/>
            <w:rFonts w:ascii="Arial" w:hAnsi="Arial" w:cs="Arial"/>
            <w:noProof/>
          </w:rPr>
          <w:t>5.3.3.1 Immunohistochemical analysis of epithelial markers in TENOM, TEAOM, and TESCCM</w:t>
        </w:r>
        <w:r w:rsidR="008A47AC">
          <w:rPr>
            <w:noProof/>
            <w:webHidden/>
          </w:rPr>
          <w:tab/>
        </w:r>
        <w:r w:rsidR="008A47AC">
          <w:rPr>
            <w:noProof/>
            <w:webHidden/>
          </w:rPr>
          <w:fldChar w:fldCharType="begin"/>
        </w:r>
        <w:r w:rsidR="008A47AC">
          <w:rPr>
            <w:noProof/>
            <w:webHidden/>
          </w:rPr>
          <w:instrText xml:space="preserve"> PAGEREF _Toc34208458 \h </w:instrText>
        </w:r>
        <w:r w:rsidR="008A47AC">
          <w:rPr>
            <w:noProof/>
            <w:webHidden/>
          </w:rPr>
        </w:r>
        <w:r w:rsidR="008A47AC">
          <w:rPr>
            <w:noProof/>
            <w:webHidden/>
          </w:rPr>
          <w:fldChar w:fldCharType="separate"/>
        </w:r>
        <w:r w:rsidR="00E57BFA">
          <w:rPr>
            <w:noProof/>
            <w:webHidden/>
          </w:rPr>
          <w:t>- 235 -</w:t>
        </w:r>
        <w:r w:rsidR="008A47AC">
          <w:rPr>
            <w:noProof/>
            <w:webHidden/>
          </w:rPr>
          <w:fldChar w:fldCharType="end"/>
        </w:r>
      </w:hyperlink>
    </w:p>
    <w:p w14:paraId="336B054A" w14:textId="5CF19363" w:rsidR="008A47AC" w:rsidRDefault="007B378B">
      <w:pPr>
        <w:pStyle w:val="TOC5"/>
        <w:rPr>
          <w:rFonts w:eastAsiaTheme="minorEastAsia"/>
          <w:noProof/>
          <w:lang w:eastAsia="en-GB"/>
        </w:rPr>
      </w:pPr>
      <w:hyperlink w:anchor="_Toc34208459" w:history="1">
        <w:r w:rsidR="008A47AC" w:rsidRPr="00793E8D">
          <w:rPr>
            <w:rStyle w:val="Hyperlink"/>
            <w:rFonts w:ascii="Arial" w:hAnsi="Arial" w:cs="Arial"/>
            <w:noProof/>
          </w:rPr>
          <w:t>5.3.3.1.1 E-cadherin</w:t>
        </w:r>
        <w:r w:rsidR="008A47AC">
          <w:rPr>
            <w:noProof/>
            <w:webHidden/>
          </w:rPr>
          <w:tab/>
        </w:r>
        <w:r w:rsidR="008A47AC">
          <w:rPr>
            <w:noProof/>
            <w:webHidden/>
          </w:rPr>
          <w:fldChar w:fldCharType="begin"/>
        </w:r>
        <w:r w:rsidR="008A47AC">
          <w:rPr>
            <w:noProof/>
            <w:webHidden/>
          </w:rPr>
          <w:instrText xml:space="preserve"> PAGEREF _Toc34208459 \h </w:instrText>
        </w:r>
        <w:r w:rsidR="008A47AC">
          <w:rPr>
            <w:noProof/>
            <w:webHidden/>
          </w:rPr>
        </w:r>
        <w:r w:rsidR="008A47AC">
          <w:rPr>
            <w:noProof/>
            <w:webHidden/>
          </w:rPr>
          <w:fldChar w:fldCharType="separate"/>
        </w:r>
        <w:r w:rsidR="00E57BFA">
          <w:rPr>
            <w:noProof/>
            <w:webHidden/>
          </w:rPr>
          <w:t>- 235 -</w:t>
        </w:r>
        <w:r w:rsidR="008A47AC">
          <w:rPr>
            <w:noProof/>
            <w:webHidden/>
          </w:rPr>
          <w:fldChar w:fldCharType="end"/>
        </w:r>
      </w:hyperlink>
    </w:p>
    <w:p w14:paraId="2BB6AC5E" w14:textId="1039B095" w:rsidR="008A47AC" w:rsidRDefault="007B378B">
      <w:pPr>
        <w:pStyle w:val="TOC5"/>
        <w:rPr>
          <w:rFonts w:eastAsiaTheme="minorEastAsia"/>
          <w:noProof/>
          <w:lang w:eastAsia="en-GB"/>
        </w:rPr>
      </w:pPr>
      <w:hyperlink w:anchor="_Toc34208460" w:history="1">
        <w:r w:rsidR="008A47AC" w:rsidRPr="00793E8D">
          <w:rPr>
            <w:rStyle w:val="Hyperlink"/>
            <w:rFonts w:ascii="Arial" w:hAnsi="Arial" w:cs="Arial"/>
            <w:noProof/>
          </w:rPr>
          <w:t>5.3.3.1.2 AE1/3</w:t>
        </w:r>
        <w:r w:rsidR="008A47AC">
          <w:rPr>
            <w:noProof/>
            <w:webHidden/>
          </w:rPr>
          <w:tab/>
        </w:r>
        <w:r w:rsidR="008A47AC">
          <w:rPr>
            <w:noProof/>
            <w:webHidden/>
          </w:rPr>
          <w:fldChar w:fldCharType="begin"/>
        </w:r>
        <w:r w:rsidR="008A47AC">
          <w:rPr>
            <w:noProof/>
            <w:webHidden/>
          </w:rPr>
          <w:instrText xml:space="preserve"> PAGEREF _Toc34208460 \h </w:instrText>
        </w:r>
        <w:r w:rsidR="008A47AC">
          <w:rPr>
            <w:noProof/>
            <w:webHidden/>
          </w:rPr>
        </w:r>
        <w:r w:rsidR="008A47AC">
          <w:rPr>
            <w:noProof/>
            <w:webHidden/>
          </w:rPr>
          <w:fldChar w:fldCharType="separate"/>
        </w:r>
        <w:r w:rsidR="00E57BFA">
          <w:rPr>
            <w:noProof/>
            <w:webHidden/>
          </w:rPr>
          <w:t>- 237 -</w:t>
        </w:r>
        <w:r w:rsidR="008A47AC">
          <w:rPr>
            <w:noProof/>
            <w:webHidden/>
          </w:rPr>
          <w:fldChar w:fldCharType="end"/>
        </w:r>
      </w:hyperlink>
    </w:p>
    <w:p w14:paraId="19FF6CBD" w14:textId="4C739A61" w:rsidR="008A47AC" w:rsidRDefault="007B378B">
      <w:pPr>
        <w:pStyle w:val="TOC5"/>
        <w:rPr>
          <w:rFonts w:eastAsiaTheme="minorEastAsia"/>
          <w:noProof/>
          <w:lang w:eastAsia="en-GB"/>
        </w:rPr>
      </w:pPr>
      <w:hyperlink w:anchor="_Toc34208461" w:history="1">
        <w:r w:rsidR="008A47AC" w:rsidRPr="00793E8D">
          <w:rPr>
            <w:rStyle w:val="Hyperlink"/>
            <w:rFonts w:ascii="Arial" w:hAnsi="Arial" w:cs="Arial"/>
            <w:noProof/>
          </w:rPr>
          <w:t>5.3.3.1.3 Cytokeratin-14</w:t>
        </w:r>
        <w:r w:rsidR="008A47AC">
          <w:rPr>
            <w:noProof/>
            <w:webHidden/>
          </w:rPr>
          <w:tab/>
        </w:r>
        <w:r w:rsidR="008A47AC">
          <w:rPr>
            <w:noProof/>
            <w:webHidden/>
          </w:rPr>
          <w:fldChar w:fldCharType="begin"/>
        </w:r>
        <w:r w:rsidR="008A47AC">
          <w:rPr>
            <w:noProof/>
            <w:webHidden/>
          </w:rPr>
          <w:instrText xml:space="preserve"> PAGEREF _Toc34208461 \h </w:instrText>
        </w:r>
        <w:r w:rsidR="008A47AC">
          <w:rPr>
            <w:noProof/>
            <w:webHidden/>
          </w:rPr>
        </w:r>
        <w:r w:rsidR="008A47AC">
          <w:rPr>
            <w:noProof/>
            <w:webHidden/>
          </w:rPr>
          <w:fldChar w:fldCharType="separate"/>
        </w:r>
        <w:r w:rsidR="00E57BFA">
          <w:rPr>
            <w:noProof/>
            <w:webHidden/>
          </w:rPr>
          <w:t>- 239 -</w:t>
        </w:r>
        <w:r w:rsidR="008A47AC">
          <w:rPr>
            <w:noProof/>
            <w:webHidden/>
          </w:rPr>
          <w:fldChar w:fldCharType="end"/>
        </w:r>
      </w:hyperlink>
    </w:p>
    <w:p w14:paraId="76FB5949" w14:textId="4AC02B36" w:rsidR="008A47AC" w:rsidRDefault="007B378B">
      <w:pPr>
        <w:pStyle w:val="TOC4"/>
        <w:tabs>
          <w:tab w:val="right" w:leader="dot" w:pos="9016"/>
        </w:tabs>
        <w:rPr>
          <w:rFonts w:eastAsiaTheme="minorEastAsia"/>
          <w:noProof/>
          <w:lang w:eastAsia="en-GB"/>
        </w:rPr>
      </w:pPr>
      <w:hyperlink w:anchor="_Toc34208462" w:history="1">
        <w:r w:rsidR="008A47AC" w:rsidRPr="00793E8D">
          <w:rPr>
            <w:rStyle w:val="Hyperlink"/>
            <w:rFonts w:ascii="Arial" w:hAnsi="Arial" w:cs="Arial"/>
            <w:noProof/>
          </w:rPr>
          <w:t>5.3.3.2 Immunohistochemical analysis of ECM and stromal-cell markers</w:t>
        </w:r>
        <w:r w:rsidR="008A47AC">
          <w:rPr>
            <w:noProof/>
            <w:webHidden/>
          </w:rPr>
          <w:tab/>
        </w:r>
        <w:r w:rsidR="008A47AC">
          <w:rPr>
            <w:noProof/>
            <w:webHidden/>
          </w:rPr>
          <w:fldChar w:fldCharType="begin"/>
        </w:r>
        <w:r w:rsidR="008A47AC">
          <w:rPr>
            <w:noProof/>
            <w:webHidden/>
          </w:rPr>
          <w:instrText xml:space="preserve"> PAGEREF _Toc34208462 \h </w:instrText>
        </w:r>
        <w:r w:rsidR="008A47AC">
          <w:rPr>
            <w:noProof/>
            <w:webHidden/>
          </w:rPr>
        </w:r>
        <w:r w:rsidR="008A47AC">
          <w:rPr>
            <w:noProof/>
            <w:webHidden/>
          </w:rPr>
          <w:fldChar w:fldCharType="separate"/>
        </w:r>
        <w:r w:rsidR="00E57BFA">
          <w:rPr>
            <w:noProof/>
            <w:webHidden/>
          </w:rPr>
          <w:t>- 241 -</w:t>
        </w:r>
        <w:r w:rsidR="008A47AC">
          <w:rPr>
            <w:noProof/>
            <w:webHidden/>
          </w:rPr>
          <w:fldChar w:fldCharType="end"/>
        </w:r>
      </w:hyperlink>
    </w:p>
    <w:p w14:paraId="239D426D" w14:textId="3570CF89" w:rsidR="008A47AC" w:rsidRDefault="007B378B">
      <w:pPr>
        <w:pStyle w:val="TOC5"/>
        <w:rPr>
          <w:rFonts w:eastAsiaTheme="minorEastAsia"/>
          <w:noProof/>
          <w:lang w:eastAsia="en-GB"/>
        </w:rPr>
      </w:pPr>
      <w:hyperlink w:anchor="_Toc34208463" w:history="1">
        <w:r w:rsidR="008A47AC" w:rsidRPr="00793E8D">
          <w:rPr>
            <w:rStyle w:val="Hyperlink"/>
            <w:rFonts w:ascii="Arial" w:hAnsi="Arial" w:cs="Arial"/>
            <w:noProof/>
          </w:rPr>
          <w:t>5.3.3.2.1 Tenascin-C</w:t>
        </w:r>
        <w:r w:rsidR="008A47AC">
          <w:rPr>
            <w:noProof/>
            <w:webHidden/>
          </w:rPr>
          <w:tab/>
        </w:r>
        <w:r w:rsidR="008A47AC">
          <w:rPr>
            <w:noProof/>
            <w:webHidden/>
          </w:rPr>
          <w:fldChar w:fldCharType="begin"/>
        </w:r>
        <w:r w:rsidR="008A47AC">
          <w:rPr>
            <w:noProof/>
            <w:webHidden/>
          </w:rPr>
          <w:instrText xml:space="preserve"> PAGEREF _Toc34208463 \h </w:instrText>
        </w:r>
        <w:r w:rsidR="008A47AC">
          <w:rPr>
            <w:noProof/>
            <w:webHidden/>
          </w:rPr>
        </w:r>
        <w:r w:rsidR="008A47AC">
          <w:rPr>
            <w:noProof/>
            <w:webHidden/>
          </w:rPr>
          <w:fldChar w:fldCharType="separate"/>
        </w:r>
        <w:r w:rsidR="00E57BFA">
          <w:rPr>
            <w:noProof/>
            <w:webHidden/>
          </w:rPr>
          <w:t>- 241 -</w:t>
        </w:r>
        <w:r w:rsidR="008A47AC">
          <w:rPr>
            <w:noProof/>
            <w:webHidden/>
          </w:rPr>
          <w:fldChar w:fldCharType="end"/>
        </w:r>
      </w:hyperlink>
    </w:p>
    <w:p w14:paraId="630A21A4" w14:textId="1940FFA8" w:rsidR="008A47AC" w:rsidRDefault="007B378B">
      <w:pPr>
        <w:pStyle w:val="TOC5"/>
        <w:rPr>
          <w:rFonts w:eastAsiaTheme="minorEastAsia"/>
          <w:noProof/>
          <w:lang w:eastAsia="en-GB"/>
        </w:rPr>
      </w:pPr>
      <w:hyperlink w:anchor="_Toc34208464" w:history="1">
        <w:r w:rsidR="008A47AC" w:rsidRPr="00793E8D">
          <w:rPr>
            <w:rStyle w:val="Hyperlink"/>
            <w:rFonts w:ascii="Arial" w:hAnsi="Arial" w:cs="Arial"/>
            <w:noProof/>
          </w:rPr>
          <w:t>5.3.3.2.2 Vimentin</w:t>
        </w:r>
        <w:r w:rsidR="008A47AC">
          <w:rPr>
            <w:noProof/>
            <w:webHidden/>
          </w:rPr>
          <w:tab/>
        </w:r>
        <w:r w:rsidR="008A47AC">
          <w:rPr>
            <w:noProof/>
            <w:webHidden/>
          </w:rPr>
          <w:fldChar w:fldCharType="begin"/>
        </w:r>
        <w:r w:rsidR="008A47AC">
          <w:rPr>
            <w:noProof/>
            <w:webHidden/>
          </w:rPr>
          <w:instrText xml:space="preserve"> PAGEREF _Toc34208464 \h </w:instrText>
        </w:r>
        <w:r w:rsidR="008A47AC">
          <w:rPr>
            <w:noProof/>
            <w:webHidden/>
          </w:rPr>
        </w:r>
        <w:r w:rsidR="008A47AC">
          <w:rPr>
            <w:noProof/>
            <w:webHidden/>
          </w:rPr>
          <w:fldChar w:fldCharType="separate"/>
        </w:r>
        <w:r w:rsidR="00E57BFA">
          <w:rPr>
            <w:noProof/>
            <w:webHidden/>
          </w:rPr>
          <w:t>- 243 -</w:t>
        </w:r>
        <w:r w:rsidR="008A47AC">
          <w:rPr>
            <w:noProof/>
            <w:webHidden/>
          </w:rPr>
          <w:fldChar w:fldCharType="end"/>
        </w:r>
      </w:hyperlink>
    </w:p>
    <w:p w14:paraId="16B98CD0" w14:textId="2C95740D" w:rsidR="008A47AC" w:rsidRDefault="007B378B">
      <w:pPr>
        <w:pStyle w:val="TOC5"/>
        <w:rPr>
          <w:rFonts w:eastAsiaTheme="minorEastAsia"/>
          <w:noProof/>
          <w:lang w:eastAsia="en-GB"/>
        </w:rPr>
      </w:pPr>
      <w:hyperlink w:anchor="_Toc34208465" w:history="1">
        <w:r w:rsidR="008A47AC" w:rsidRPr="00793E8D">
          <w:rPr>
            <w:rStyle w:val="Hyperlink"/>
            <w:rFonts w:ascii="Arial" w:hAnsi="Arial" w:cs="Arial"/>
            <w:noProof/>
          </w:rPr>
          <w:t>5.3.3.2.3 Fibronectin</w:t>
        </w:r>
        <w:r w:rsidR="008A47AC">
          <w:rPr>
            <w:noProof/>
            <w:webHidden/>
          </w:rPr>
          <w:tab/>
        </w:r>
        <w:r w:rsidR="008A47AC">
          <w:rPr>
            <w:noProof/>
            <w:webHidden/>
          </w:rPr>
          <w:fldChar w:fldCharType="begin"/>
        </w:r>
        <w:r w:rsidR="008A47AC">
          <w:rPr>
            <w:noProof/>
            <w:webHidden/>
          </w:rPr>
          <w:instrText xml:space="preserve"> PAGEREF _Toc34208465 \h </w:instrText>
        </w:r>
        <w:r w:rsidR="008A47AC">
          <w:rPr>
            <w:noProof/>
            <w:webHidden/>
          </w:rPr>
        </w:r>
        <w:r w:rsidR="008A47AC">
          <w:rPr>
            <w:noProof/>
            <w:webHidden/>
          </w:rPr>
          <w:fldChar w:fldCharType="separate"/>
        </w:r>
        <w:r w:rsidR="00E57BFA">
          <w:rPr>
            <w:noProof/>
            <w:webHidden/>
          </w:rPr>
          <w:t>- 245 -</w:t>
        </w:r>
        <w:r w:rsidR="008A47AC">
          <w:rPr>
            <w:noProof/>
            <w:webHidden/>
          </w:rPr>
          <w:fldChar w:fldCharType="end"/>
        </w:r>
      </w:hyperlink>
    </w:p>
    <w:p w14:paraId="675BC12E" w14:textId="016B482B" w:rsidR="008A47AC" w:rsidRDefault="007B378B">
      <w:pPr>
        <w:pStyle w:val="TOC5"/>
        <w:rPr>
          <w:rFonts w:eastAsiaTheme="minorEastAsia"/>
          <w:noProof/>
          <w:lang w:eastAsia="en-GB"/>
        </w:rPr>
      </w:pPr>
      <w:hyperlink w:anchor="_Toc34208466" w:history="1">
        <w:r w:rsidR="008A47AC" w:rsidRPr="00793E8D">
          <w:rPr>
            <w:rStyle w:val="Hyperlink"/>
            <w:rFonts w:ascii="Arial" w:hAnsi="Arial" w:cs="Arial"/>
            <w:noProof/>
          </w:rPr>
          <w:t>5.3.3.2.4 αSMA</w:t>
        </w:r>
        <w:r w:rsidR="008A47AC">
          <w:rPr>
            <w:noProof/>
            <w:webHidden/>
          </w:rPr>
          <w:tab/>
        </w:r>
        <w:r w:rsidR="008A47AC">
          <w:rPr>
            <w:noProof/>
            <w:webHidden/>
          </w:rPr>
          <w:fldChar w:fldCharType="begin"/>
        </w:r>
        <w:r w:rsidR="008A47AC">
          <w:rPr>
            <w:noProof/>
            <w:webHidden/>
          </w:rPr>
          <w:instrText xml:space="preserve"> PAGEREF _Toc34208466 \h </w:instrText>
        </w:r>
        <w:r w:rsidR="008A47AC">
          <w:rPr>
            <w:noProof/>
            <w:webHidden/>
          </w:rPr>
        </w:r>
        <w:r w:rsidR="008A47AC">
          <w:rPr>
            <w:noProof/>
            <w:webHidden/>
          </w:rPr>
          <w:fldChar w:fldCharType="separate"/>
        </w:r>
        <w:r w:rsidR="00E57BFA">
          <w:rPr>
            <w:noProof/>
            <w:webHidden/>
          </w:rPr>
          <w:t>- 247 -</w:t>
        </w:r>
        <w:r w:rsidR="008A47AC">
          <w:rPr>
            <w:noProof/>
            <w:webHidden/>
          </w:rPr>
          <w:fldChar w:fldCharType="end"/>
        </w:r>
      </w:hyperlink>
    </w:p>
    <w:p w14:paraId="460EF5B3" w14:textId="50039F7B" w:rsidR="008A47AC" w:rsidRDefault="007B378B">
      <w:pPr>
        <w:pStyle w:val="TOC5"/>
        <w:rPr>
          <w:rFonts w:eastAsiaTheme="minorEastAsia"/>
          <w:noProof/>
          <w:lang w:eastAsia="en-GB"/>
        </w:rPr>
      </w:pPr>
      <w:hyperlink w:anchor="_Toc34208467" w:history="1">
        <w:r w:rsidR="008A47AC" w:rsidRPr="00793E8D">
          <w:rPr>
            <w:rStyle w:val="Hyperlink"/>
            <w:rFonts w:ascii="Arial" w:hAnsi="Arial" w:cs="Arial"/>
            <w:noProof/>
          </w:rPr>
          <w:t>5.3.3.2.5 Versican</w:t>
        </w:r>
        <w:r w:rsidR="008A47AC">
          <w:rPr>
            <w:noProof/>
            <w:webHidden/>
          </w:rPr>
          <w:tab/>
        </w:r>
        <w:r w:rsidR="008A47AC">
          <w:rPr>
            <w:noProof/>
            <w:webHidden/>
          </w:rPr>
          <w:fldChar w:fldCharType="begin"/>
        </w:r>
        <w:r w:rsidR="008A47AC">
          <w:rPr>
            <w:noProof/>
            <w:webHidden/>
          </w:rPr>
          <w:instrText xml:space="preserve"> PAGEREF _Toc34208467 \h </w:instrText>
        </w:r>
        <w:r w:rsidR="008A47AC">
          <w:rPr>
            <w:noProof/>
            <w:webHidden/>
          </w:rPr>
        </w:r>
        <w:r w:rsidR="008A47AC">
          <w:rPr>
            <w:noProof/>
            <w:webHidden/>
          </w:rPr>
          <w:fldChar w:fldCharType="separate"/>
        </w:r>
        <w:r w:rsidR="00E57BFA">
          <w:rPr>
            <w:noProof/>
            <w:webHidden/>
          </w:rPr>
          <w:t>- 249 -</w:t>
        </w:r>
        <w:r w:rsidR="008A47AC">
          <w:rPr>
            <w:noProof/>
            <w:webHidden/>
          </w:rPr>
          <w:fldChar w:fldCharType="end"/>
        </w:r>
      </w:hyperlink>
    </w:p>
    <w:p w14:paraId="46F4B4C2" w14:textId="3C55DF36" w:rsidR="008A47AC" w:rsidRDefault="007B378B">
      <w:pPr>
        <w:pStyle w:val="TOC5"/>
        <w:rPr>
          <w:rFonts w:eastAsiaTheme="minorEastAsia"/>
          <w:noProof/>
          <w:lang w:eastAsia="en-GB"/>
        </w:rPr>
      </w:pPr>
      <w:hyperlink w:anchor="_Toc34208468" w:history="1">
        <w:r w:rsidR="008A47AC" w:rsidRPr="00793E8D">
          <w:rPr>
            <w:rStyle w:val="Hyperlink"/>
            <w:rFonts w:ascii="Arial" w:hAnsi="Arial" w:cs="Arial"/>
            <w:noProof/>
          </w:rPr>
          <w:t>5.3.3.2.2 Collagen type 1</w:t>
        </w:r>
        <w:r w:rsidR="008A47AC">
          <w:rPr>
            <w:noProof/>
            <w:webHidden/>
          </w:rPr>
          <w:tab/>
        </w:r>
        <w:r w:rsidR="008A47AC">
          <w:rPr>
            <w:noProof/>
            <w:webHidden/>
          </w:rPr>
          <w:fldChar w:fldCharType="begin"/>
        </w:r>
        <w:r w:rsidR="008A47AC">
          <w:rPr>
            <w:noProof/>
            <w:webHidden/>
          </w:rPr>
          <w:instrText xml:space="preserve"> PAGEREF _Toc34208468 \h </w:instrText>
        </w:r>
        <w:r w:rsidR="008A47AC">
          <w:rPr>
            <w:noProof/>
            <w:webHidden/>
          </w:rPr>
        </w:r>
        <w:r w:rsidR="008A47AC">
          <w:rPr>
            <w:noProof/>
            <w:webHidden/>
          </w:rPr>
          <w:fldChar w:fldCharType="separate"/>
        </w:r>
        <w:r w:rsidR="00E57BFA">
          <w:rPr>
            <w:noProof/>
            <w:webHidden/>
          </w:rPr>
          <w:t>- 251 -</w:t>
        </w:r>
        <w:r w:rsidR="008A47AC">
          <w:rPr>
            <w:noProof/>
            <w:webHidden/>
          </w:rPr>
          <w:fldChar w:fldCharType="end"/>
        </w:r>
      </w:hyperlink>
    </w:p>
    <w:p w14:paraId="34C7636C" w14:textId="319514F0" w:rsidR="008A47AC" w:rsidRDefault="007B378B">
      <w:pPr>
        <w:pStyle w:val="TOC4"/>
        <w:tabs>
          <w:tab w:val="right" w:leader="dot" w:pos="9016"/>
        </w:tabs>
        <w:rPr>
          <w:rFonts w:eastAsiaTheme="minorEastAsia"/>
          <w:noProof/>
          <w:lang w:eastAsia="en-GB"/>
        </w:rPr>
      </w:pPr>
      <w:hyperlink w:anchor="_Toc34208469" w:history="1">
        <w:r w:rsidR="008A47AC" w:rsidRPr="00793E8D">
          <w:rPr>
            <w:rStyle w:val="Hyperlink"/>
            <w:rFonts w:ascii="Arial" w:hAnsi="Arial" w:cs="Arial"/>
            <w:noProof/>
          </w:rPr>
          <w:t>5.3.3.3 Immunohistochemical analysis of basal cells and basement membrane components</w:t>
        </w:r>
        <w:r w:rsidR="008A47AC">
          <w:rPr>
            <w:noProof/>
            <w:webHidden/>
          </w:rPr>
          <w:tab/>
        </w:r>
        <w:r w:rsidR="008A47AC">
          <w:rPr>
            <w:noProof/>
            <w:webHidden/>
          </w:rPr>
          <w:fldChar w:fldCharType="begin"/>
        </w:r>
        <w:r w:rsidR="008A47AC">
          <w:rPr>
            <w:noProof/>
            <w:webHidden/>
          </w:rPr>
          <w:instrText xml:space="preserve"> PAGEREF _Toc34208469 \h </w:instrText>
        </w:r>
        <w:r w:rsidR="008A47AC">
          <w:rPr>
            <w:noProof/>
            <w:webHidden/>
          </w:rPr>
        </w:r>
        <w:r w:rsidR="008A47AC">
          <w:rPr>
            <w:noProof/>
            <w:webHidden/>
          </w:rPr>
          <w:fldChar w:fldCharType="separate"/>
        </w:r>
        <w:r w:rsidR="00E57BFA">
          <w:rPr>
            <w:noProof/>
            <w:webHidden/>
          </w:rPr>
          <w:t>- 253 -</w:t>
        </w:r>
        <w:r w:rsidR="008A47AC">
          <w:rPr>
            <w:noProof/>
            <w:webHidden/>
          </w:rPr>
          <w:fldChar w:fldCharType="end"/>
        </w:r>
      </w:hyperlink>
    </w:p>
    <w:p w14:paraId="603E041E" w14:textId="24054633" w:rsidR="008A47AC" w:rsidRDefault="007B378B">
      <w:pPr>
        <w:pStyle w:val="TOC5"/>
        <w:rPr>
          <w:rFonts w:eastAsiaTheme="minorEastAsia"/>
          <w:noProof/>
          <w:lang w:eastAsia="en-GB"/>
        </w:rPr>
      </w:pPr>
      <w:hyperlink w:anchor="_Toc34208470" w:history="1">
        <w:r w:rsidR="008A47AC" w:rsidRPr="00793E8D">
          <w:rPr>
            <w:rStyle w:val="Hyperlink"/>
            <w:rFonts w:ascii="Arial" w:hAnsi="Arial" w:cs="Arial"/>
            <w:noProof/>
          </w:rPr>
          <w:t>5.3.3.3.1 Integrin α6β4</w:t>
        </w:r>
        <w:r w:rsidR="008A47AC">
          <w:rPr>
            <w:noProof/>
            <w:webHidden/>
          </w:rPr>
          <w:tab/>
        </w:r>
        <w:r w:rsidR="008A47AC">
          <w:rPr>
            <w:noProof/>
            <w:webHidden/>
          </w:rPr>
          <w:fldChar w:fldCharType="begin"/>
        </w:r>
        <w:r w:rsidR="008A47AC">
          <w:rPr>
            <w:noProof/>
            <w:webHidden/>
          </w:rPr>
          <w:instrText xml:space="preserve"> PAGEREF _Toc34208470 \h </w:instrText>
        </w:r>
        <w:r w:rsidR="008A47AC">
          <w:rPr>
            <w:noProof/>
            <w:webHidden/>
          </w:rPr>
        </w:r>
        <w:r w:rsidR="008A47AC">
          <w:rPr>
            <w:noProof/>
            <w:webHidden/>
          </w:rPr>
          <w:fldChar w:fldCharType="separate"/>
        </w:r>
        <w:r w:rsidR="00E57BFA">
          <w:rPr>
            <w:noProof/>
            <w:webHidden/>
          </w:rPr>
          <w:t>- 253 -</w:t>
        </w:r>
        <w:r w:rsidR="008A47AC">
          <w:rPr>
            <w:noProof/>
            <w:webHidden/>
          </w:rPr>
          <w:fldChar w:fldCharType="end"/>
        </w:r>
      </w:hyperlink>
    </w:p>
    <w:p w14:paraId="4630E397" w14:textId="61DC31C9" w:rsidR="008A47AC" w:rsidRDefault="007B378B">
      <w:pPr>
        <w:pStyle w:val="TOC5"/>
        <w:rPr>
          <w:rFonts w:eastAsiaTheme="minorEastAsia"/>
          <w:noProof/>
          <w:lang w:eastAsia="en-GB"/>
        </w:rPr>
      </w:pPr>
      <w:hyperlink w:anchor="_Toc34208471" w:history="1">
        <w:r w:rsidR="008A47AC" w:rsidRPr="00793E8D">
          <w:rPr>
            <w:rStyle w:val="Hyperlink"/>
            <w:rFonts w:ascii="Arial" w:hAnsi="Arial" w:cs="Arial"/>
            <w:noProof/>
          </w:rPr>
          <w:t>5.3.3.3.2 Ki-67</w:t>
        </w:r>
        <w:r w:rsidR="008A47AC">
          <w:rPr>
            <w:noProof/>
            <w:webHidden/>
          </w:rPr>
          <w:tab/>
        </w:r>
        <w:r w:rsidR="008A47AC">
          <w:rPr>
            <w:noProof/>
            <w:webHidden/>
          </w:rPr>
          <w:fldChar w:fldCharType="begin"/>
        </w:r>
        <w:r w:rsidR="008A47AC">
          <w:rPr>
            <w:noProof/>
            <w:webHidden/>
          </w:rPr>
          <w:instrText xml:space="preserve"> PAGEREF _Toc34208471 \h </w:instrText>
        </w:r>
        <w:r w:rsidR="008A47AC">
          <w:rPr>
            <w:noProof/>
            <w:webHidden/>
          </w:rPr>
        </w:r>
        <w:r w:rsidR="008A47AC">
          <w:rPr>
            <w:noProof/>
            <w:webHidden/>
          </w:rPr>
          <w:fldChar w:fldCharType="separate"/>
        </w:r>
        <w:r w:rsidR="00E57BFA">
          <w:rPr>
            <w:noProof/>
            <w:webHidden/>
          </w:rPr>
          <w:t>- 255 -</w:t>
        </w:r>
        <w:r w:rsidR="008A47AC">
          <w:rPr>
            <w:noProof/>
            <w:webHidden/>
          </w:rPr>
          <w:fldChar w:fldCharType="end"/>
        </w:r>
      </w:hyperlink>
    </w:p>
    <w:p w14:paraId="5C97F8E3" w14:textId="53133347" w:rsidR="008A47AC" w:rsidRDefault="007B378B">
      <w:pPr>
        <w:pStyle w:val="TOC5"/>
        <w:rPr>
          <w:rFonts w:eastAsiaTheme="minorEastAsia"/>
          <w:noProof/>
          <w:lang w:eastAsia="en-GB"/>
        </w:rPr>
      </w:pPr>
      <w:hyperlink w:anchor="_Toc34208472" w:history="1">
        <w:r w:rsidR="008A47AC" w:rsidRPr="00793E8D">
          <w:rPr>
            <w:rStyle w:val="Hyperlink"/>
            <w:rFonts w:ascii="Arial" w:hAnsi="Arial" w:cs="Arial"/>
            <w:noProof/>
          </w:rPr>
          <w:t>5.3.3.3.3 Collagen type IV</w:t>
        </w:r>
        <w:r w:rsidR="008A47AC">
          <w:rPr>
            <w:noProof/>
            <w:webHidden/>
          </w:rPr>
          <w:tab/>
        </w:r>
        <w:r w:rsidR="008A47AC">
          <w:rPr>
            <w:noProof/>
            <w:webHidden/>
          </w:rPr>
          <w:fldChar w:fldCharType="begin"/>
        </w:r>
        <w:r w:rsidR="008A47AC">
          <w:rPr>
            <w:noProof/>
            <w:webHidden/>
          </w:rPr>
          <w:instrText xml:space="preserve"> PAGEREF _Toc34208472 \h </w:instrText>
        </w:r>
        <w:r w:rsidR="008A47AC">
          <w:rPr>
            <w:noProof/>
            <w:webHidden/>
          </w:rPr>
        </w:r>
        <w:r w:rsidR="008A47AC">
          <w:rPr>
            <w:noProof/>
            <w:webHidden/>
          </w:rPr>
          <w:fldChar w:fldCharType="separate"/>
        </w:r>
        <w:r w:rsidR="00E57BFA">
          <w:rPr>
            <w:noProof/>
            <w:webHidden/>
          </w:rPr>
          <w:t>- 257 -</w:t>
        </w:r>
        <w:r w:rsidR="008A47AC">
          <w:rPr>
            <w:noProof/>
            <w:webHidden/>
          </w:rPr>
          <w:fldChar w:fldCharType="end"/>
        </w:r>
      </w:hyperlink>
    </w:p>
    <w:p w14:paraId="4D33FEEC" w14:textId="64DE3689" w:rsidR="008A47AC" w:rsidRDefault="007B378B">
      <w:pPr>
        <w:pStyle w:val="TOC4"/>
        <w:tabs>
          <w:tab w:val="right" w:leader="dot" w:pos="9016"/>
        </w:tabs>
        <w:rPr>
          <w:rFonts w:eastAsiaTheme="minorEastAsia"/>
          <w:noProof/>
          <w:lang w:eastAsia="en-GB"/>
        </w:rPr>
      </w:pPr>
      <w:hyperlink w:anchor="_Toc34208473" w:history="1">
        <w:r w:rsidR="008A47AC" w:rsidRPr="00793E8D">
          <w:rPr>
            <w:rStyle w:val="Hyperlink"/>
            <w:rFonts w:ascii="Arial" w:hAnsi="Arial" w:cs="Arial"/>
            <w:noProof/>
          </w:rPr>
          <w:t>5.3.2.2 Matrix remodelling tissue-engineered oral mucosa models</w:t>
        </w:r>
        <w:r w:rsidR="008A47AC">
          <w:rPr>
            <w:noProof/>
            <w:webHidden/>
          </w:rPr>
          <w:tab/>
        </w:r>
        <w:r w:rsidR="008A47AC">
          <w:rPr>
            <w:noProof/>
            <w:webHidden/>
          </w:rPr>
          <w:fldChar w:fldCharType="begin"/>
        </w:r>
        <w:r w:rsidR="008A47AC">
          <w:rPr>
            <w:noProof/>
            <w:webHidden/>
          </w:rPr>
          <w:instrText xml:space="preserve"> PAGEREF _Toc34208473 \h </w:instrText>
        </w:r>
        <w:r w:rsidR="008A47AC">
          <w:rPr>
            <w:noProof/>
            <w:webHidden/>
          </w:rPr>
        </w:r>
        <w:r w:rsidR="008A47AC">
          <w:rPr>
            <w:noProof/>
            <w:webHidden/>
          </w:rPr>
          <w:fldChar w:fldCharType="separate"/>
        </w:r>
        <w:r w:rsidR="00E57BFA">
          <w:rPr>
            <w:noProof/>
            <w:webHidden/>
          </w:rPr>
          <w:t>- 259 -</w:t>
        </w:r>
        <w:r w:rsidR="008A47AC">
          <w:rPr>
            <w:noProof/>
            <w:webHidden/>
          </w:rPr>
          <w:fldChar w:fldCharType="end"/>
        </w:r>
      </w:hyperlink>
    </w:p>
    <w:p w14:paraId="5EC77122" w14:textId="792E253B" w:rsidR="008A47AC" w:rsidRDefault="007B378B">
      <w:pPr>
        <w:pStyle w:val="TOC2"/>
        <w:tabs>
          <w:tab w:val="right" w:leader="dot" w:pos="9016"/>
        </w:tabs>
        <w:rPr>
          <w:rFonts w:eastAsiaTheme="minorEastAsia"/>
          <w:noProof/>
          <w:lang w:eastAsia="en-GB"/>
        </w:rPr>
      </w:pPr>
      <w:hyperlink w:anchor="_Toc34208474" w:history="1">
        <w:r w:rsidR="008A47AC" w:rsidRPr="00793E8D">
          <w:rPr>
            <w:rStyle w:val="Hyperlink"/>
            <w:rFonts w:ascii="Arial" w:hAnsi="Arial" w:cs="Arial"/>
            <w:noProof/>
          </w:rPr>
          <w:t>5.4 Discussion</w:t>
        </w:r>
        <w:r w:rsidR="008A47AC">
          <w:rPr>
            <w:noProof/>
            <w:webHidden/>
          </w:rPr>
          <w:tab/>
        </w:r>
        <w:r w:rsidR="008A47AC">
          <w:rPr>
            <w:noProof/>
            <w:webHidden/>
          </w:rPr>
          <w:fldChar w:fldCharType="begin"/>
        </w:r>
        <w:r w:rsidR="008A47AC">
          <w:rPr>
            <w:noProof/>
            <w:webHidden/>
          </w:rPr>
          <w:instrText xml:space="preserve"> PAGEREF _Toc34208474 \h </w:instrText>
        </w:r>
        <w:r w:rsidR="008A47AC">
          <w:rPr>
            <w:noProof/>
            <w:webHidden/>
          </w:rPr>
        </w:r>
        <w:r w:rsidR="008A47AC">
          <w:rPr>
            <w:noProof/>
            <w:webHidden/>
          </w:rPr>
          <w:fldChar w:fldCharType="separate"/>
        </w:r>
        <w:r w:rsidR="00E57BFA">
          <w:rPr>
            <w:noProof/>
            <w:webHidden/>
          </w:rPr>
          <w:t>- 261 -</w:t>
        </w:r>
        <w:r w:rsidR="008A47AC">
          <w:rPr>
            <w:noProof/>
            <w:webHidden/>
          </w:rPr>
          <w:fldChar w:fldCharType="end"/>
        </w:r>
      </w:hyperlink>
    </w:p>
    <w:p w14:paraId="244C178B" w14:textId="01B2A528" w:rsidR="008A47AC" w:rsidRDefault="007B378B">
      <w:pPr>
        <w:pStyle w:val="TOC1"/>
        <w:rPr>
          <w:rFonts w:eastAsiaTheme="minorEastAsia"/>
          <w:b w:val="0"/>
          <w:bCs w:val="0"/>
          <w:lang w:eastAsia="en-GB"/>
        </w:rPr>
      </w:pPr>
      <w:hyperlink w:anchor="_Toc34208475" w:history="1">
        <w:r w:rsidR="008A47AC" w:rsidRPr="00793E8D">
          <w:rPr>
            <w:rStyle w:val="Hyperlink"/>
          </w:rPr>
          <w:t>Chapter 6</w:t>
        </w:r>
        <w:r w:rsidR="008A47AC">
          <w:rPr>
            <w:webHidden/>
          </w:rPr>
          <w:tab/>
        </w:r>
        <w:r w:rsidR="008A47AC">
          <w:rPr>
            <w:webHidden/>
          </w:rPr>
          <w:fldChar w:fldCharType="begin"/>
        </w:r>
        <w:r w:rsidR="008A47AC">
          <w:rPr>
            <w:webHidden/>
          </w:rPr>
          <w:instrText xml:space="preserve"> PAGEREF _Toc34208475 \h </w:instrText>
        </w:r>
        <w:r w:rsidR="008A47AC">
          <w:rPr>
            <w:webHidden/>
          </w:rPr>
        </w:r>
        <w:r w:rsidR="008A47AC">
          <w:rPr>
            <w:webHidden/>
          </w:rPr>
          <w:fldChar w:fldCharType="separate"/>
        </w:r>
        <w:r w:rsidR="00E57BFA">
          <w:rPr>
            <w:webHidden/>
          </w:rPr>
          <w:t>- 267 -</w:t>
        </w:r>
        <w:r w:rsidR="008A47AC">
          <w:rPr>
            <w:webHidden/>
          </w:rPr>
          <w:fldChar w:fldCharType="end"/>
        </w:r>
      </w:hyperlink>
    </w:p>
    <w:p w14:paraId="16300272" w14:textId="096FAB64" w:rsidR="008A47AC" w:rsidRDefault="007B378B">
      <w:pPr>
        <w:pStyle w:val="TOC1"/>
        <w:rPr>
          <w:rFonts w:eastAsiaTheme="minorEastAsia"/>
          <w:b w:val="0"/>
          <w:bCs w:val="0"/>
          <w:lang w:eastAsia="en-GB"/>
        </w:rPr>
      </w:pPr>
      <w:hyperlink w:anchor="_Toc34208476" w:history="1">
        <w:r w:rsidR="008A47AC" w:rsidRPr="00793E8D">
          <w:rPr>
            <w:rStyle w:val="Hyperlink"/>
          </w:rPr>
          <w:t>General discussion, future concepts and conclusion</w:t>
        </w:r>
        <w:r w:rsidR="008A47AC">
          <w:rPr>
            <w:webHidden/>
          </w:rPr>
          <w:tab/>
        </w:r>
        <w:r w:rsidR="008A47AC">
          <w:rPr>
            <w:webHidden/>
          </w:rPr>
          <w:fldChar w:fldCharType="begin"/>
        </w:r>
        <w:r w:rsidR="008A47AC">
          <w:rPr>
            <w:webHidden/>
          </w:rPr>
          <w:instrText xml:space="preserve"> PAGEREF _Toc34208476 \h </w:instrText>
        </w:r>
        <w:r w:rsidR="008A47AC">
          <w:rPr>
            <w:webHidden/>
          </w:rPr>
        </w:r>
        <w:r w:rsidR="008A47AC">
          <w:rPr>
            <w:webHidden/>
          </w:rPr>
          <w:fldChar w:fldCharType="separate"/>
        </w:r>
        <w:r w:rsidR="00E57BFA">
          <w:rPr>
            <w:webHidden/>
          </w:rPr>
          <w:t>- 267 -</w:t>
        </w:r>
        <w:r w:rsidR="008A47AC">
          <w:rPr>
            <w:webHidden/>
          </w:rPr>
          <w:fldChar w:fldCharType="end"/>
        </w:r>
      </w:hyperlink>
    </w:p>
    <w:p w14:paraId="4ADA85D0" w14:textId="7E433076" w:rsidR="008A47AC" w:rsidRDefault="007B378B">
      <w:pPr>
        <w:pStyle w:val="TOC2"/>
        <w:tabs>
          <w:tab w:val="right" w:leader="dot" w:pos="9016"/>
        </w:tabs>
        <w:rPr>
          <w:rFonts w:eastAsiaTheme="minorEastAsia"/>
          <w:noProof/>
          <w:lang w:eastAsia="en-GB"/>
        </w:rPr>
      </w:pPr>
      <w:hyperlink w:anchor="_Toc34208477" w:history="1">
        <w:r w:rsidR="008A47AC" w:rsidRPr="00793E8D">
          <w:rPr>
            <w:rStyle w:val="Hyperlink"/>
            <w:rFonts w:ascii="Arial" w:hAnsi="Arial" w:cs="Arial"/>
            <w:noProof/>
          </w:rPr>
          <w:t>6.0 General discussion</w:t>
        </w:r>
        <w:r w:rsidR="008A47AC">
          <w:rPr>
            <w:noProof/>
            <w:webHidden/>
          </w:rPr>
          <w:tab/>
        </w:r>
        <w:r w:rsidR="008A47AC">
          <w:rPr>
            <w:noProof/>
            <w:webHidden/>
          </w:rPr>
          <w:fldChar w:fldCharType="begin"/>
        </w:r>
        <w:r w:rsidR="008A47AC">
          <w:rPr>
            <w:noProof/>
            <w:webHidden/>
          </w:rPr>
          <w:instrText xml:space="preserve"> PAGEREF _Toc34208477 \h </w:instrText>
        </w:r>
        <w:r w:rsidR="008A47AC">
          <w:rPr>
            <w:noProof/>
            <w:webHidden/>
          </w:rPr>
        </w:r>
        <w:r w:rsidR="008A47AC">
          <w:rPr>
            <w:noProof/>
            <w:webHidden/>
          </w:rPr>
          <w:fldChar w:fldCharType="separate"/>
        </w:r>
        <w:r w:rsidR="00E57BFA">
          <w:rPr>
            <w:noProof/>
            <w:webHidden/>
          </w:rPr>
          <w:t>- 268 -</w:t>
        </w:r>
        <w:r w:rsidR="008A47AC">
          <w:rPr>
            <w:noProof/>
            <w:webHidden/>
          </w:rPr>
          <w:fldChar w:fldCharType="end"/>
        </w:r>
      </w:hyperlink>
    </w:p>
    <w:p w14:paraId="3C4C5175" w14:textId="11DE1604" w:rsidR="008A47AC" w:rsidRDefault="007B378B">
      <w:pPr>
        <w:pStyle w:val="TOC2"/>
        <w:tabs>
          <w:tab w:val="right" w:leader="dot" w:pos="9016"/>
        </w:tabs>
        <w:rPr>
          <w:rFonts w:eastAsiaTheme="minorEastAsia"/>
          <w:noProof/>
          <w:lang w:eastAsia="en-GB"/>
        </w:rPr>
      </w:pPr>
      <w:hyperlink w:anchor="_Toc34208478" w:history="1">
        <w:r w:rsidR="008A47AC" w:rsidRPr="00793E8D">
          <w:rPr>
            <w:rStyle w:val="Hyperlink"/>
            <w:rFonts w:ascii="Arial" w:hAnsi="Arial" w:cs="Arial"/>
            <w:noProof/>
          </w:rPr>
          <w:t>6.1 The ECM in cancer progression</w:t>
        </w:r>
        <w:r w:rsidR="008A47AC">
          <w:rPr>
            <w:noProof/>
            <w:webHidden/>
          </w:rPr>
          <w:tab/>
        </w:r>
        <w:r w:rsidR="008A47AC">
          <w:rPr>
            <w:noProof/>
            <w:webHidden/>
          </w:rPr>
          <w:fldChar w:fldCharType="begin"/>
        </w:r>
        <w:r w:rsidR="008A47AC">
          <w:rPr>
            <w:noProof/>
            <w:webHidden/>
          </w:rPr>
          <w:instrText xml:space="preserve"> PAGEREF _Toc34208478 \h </w:instrText>
        </w:r>
        <w:r w:rsidR="008A47AC">
          <w:rPr>
            <w:noProof/>
            <w:webHidden/>
          </w:rPr>
        </w:r>
        <w:r w:rsidR="008A47AC">
          <w:rPr>
            <w:noProof/>
            <w:webHidden/>
          </w:rPr>
          <w:fldChar w:fldCharType="separate"/>
        </w:r>
        <w:r w:rsidR="00E57BFA">
          <w:rPr>
            <w:noProof/>
            <w:webHidden/>
          </w:rPr>
          <w:t>- 268 -</w:t>
        </w:r>
        <w:r w:rsidR="008A47AC">
          <w:rPr>
            <w:noProof/>
            <w:webHidden/>
          </w:rPr>
          <w:fldChar w:fldCharType="end"/>
        </w:r>
      </w:hyperlink>
    </w:p>
    <w:p w14:paraId="56DDC7A0" w14:textId="4E3571CA" w:rsidR="008A47AC" w:rsidRDefault="007B378B">
      <w:pPr>
        <w:pStyle w:val="TOC2"/>
        <w:tabs>
          <w:tab w:val="right" w:leader="dot" w:pos="9016"/>
        </w:tabs>
        <w:rPr>
          <w:rFonts w:eastAsiaTheme="minorEastAsia"/>
          <w:noProof/>
          <w:lang w:eastAsia="en-GB"/>
        </w:rPr>
      </w:pPr>
      <w:hyperlink w:anchor="_Toc34208479" w:history="1">
        <w:r w:rsidR="008A47AC" w:rsidRPr="00793E8D">
          <w:rPr>
            <w:rStyle w:val="Hyperlink"/>
            <w:rFonts w:ascii="Arial" w:hAnsi="Arial" w:cs="Arial"/>
            <w:noProof/>
          </w:rPr>
          <w:t>6.2 Assessing oral myofibroblastic phenotype</w:t>
        </w:r>
        <w:r w:rsidR="008A47AC">
          <w:rPr>
            <w:noProof/>
            <w:webHidden/>
          </w:rPr>
          <w:tab/>
        </w:r>
        <w:r w:rsidR="008A47AC">
          <w:rPr>
            <w:noProof/>
            <w:webHidden/>
          </w:rPr>
          <w:fldChar w:fldCharType="begin"/>
        </w:r>
        <w:r w:rsidR="008A47AC">
          <w:rPr>
            <w:noProof/>
            <w:webHidden/>
          </w:rPr>
          <w:instrText xml:space="preserve"> PAGEREF _Toc34208479 \h </w:instrText>
        </w:r>
        <w:r w:rsidR="008A47AC">
          <w:rPr>
            <w:noProof/>
            <w:webHidden/>
          </w:rPr>
        </w:r>
        <w:r w:rsidR="008A47AC">
          <w:rPr>
            <w:noProof/>
            <w:webHidden/>
          </w:rPr>
          <w:fldChar w:fldCharType="separate"/>
        </w:r>
        <w:r w:rsidR="00E57BFA">
          <w:rPr>
            <w:noProof/>
            <w:webHidden/>
          </w:rPr>
          <w:t>- 269 -</w:t>
        </w:r>
        <w:r w:rsidR="008A47AC">
          <w:rPr>
            <w:noProof/>
            <w:webHidden/>
          </w:rPr>
          <w:fldChar w:fldCharType="end"/>
        </w:r>
      </w:hyperlink>
    </w:p>
    <w:p w14:paraId="154021F7" w14:textId="0D8E036E" w:rsidR="008A47AC" w:rsidRDefault="007B378B">
      <w:pPr>
        <w:pStyle w:val="TOC2"/>
        <w:tabs>
          <w:tab w:val="right" w:leader="dot" w:pos="9016"/>
        </w:tabs>
        <w:rPr>
          <w:rFonts w:eastAsiaTheme="minorEastAsia"/>
          <w:noProof/>
          <w:lang w:eastAsia="en-GB"/>
        </w:rPr>
      </w:pPr>
      <w:hyperlink w:anchor="_Toc34208480" w:history="1">
        <w:r w:rsidR="008A47AC" w:rsidRPr="00793E8D">
          <w:rPr>
            <w:rStyle w:val="Hyperlink"/>
            <w:rFonts w:ascii="Arial" w:hAnsi="Arial" w:cs="Arial"/>
            <w:noProof/>
          </w:rPr>
          <w:t>6.3 Mimicking properties of the ECM in OSCC</w:t>
        </w:r>
        <w:r w:rsidR="008A47AC">
          <w:rPr>
            <w:noProof/>
            <w:webHidden/>
          </w:rPr>
          <w:tab/>
        </w:r>
        <w:r w:rsidR="008A47AC">
          <w:rPr>
            <w:noProof/>
            <w:webHidden/>
          </w:rPr>
          <w:fldChar w:fldCharType="begin"/>
        </w:r>
        <w:r w:rsidR="008A47AC">
          <w:rPr>
            <w:noProof/>
            <w:webHidden/>
          </w:rPr>
          <w:instrText xml:space="preserve"> PAGEREF _Toc34208480 \h </w:instrText>
        </w:r>
        <w:r w:rsidR="008A47AC">
          <w:rPr>
            <w:noProof/>
            <w:webHidden/>
          </w:rPr>
        </w:r>
        <w:r w:rsidR="008A47AC">
          <w:rPr>
            <w:noProof/>
            <w:webHidden/>
          </w:rPr>
          <w:fldChar w:fldCharType="separate"/>
        </w:r>
        <w:r w:rsidR="00E57BFA">
          <w:rPr>
            <w:noProof/>
            <w:webHidden/>
          </w:rPr>
          <w:t>- 270 -</w:t>
        </w:r>
        <w:r w:rsidR="008A47AC">
          <w:rPr>
            <w:noProof/>
            <w:webHidden/>
          </w:rPr>
          <w:fldChar w:fldCharType="end"/>
        </w:r>
      </w:hyperlink>
    </w:p>
    <w:p w14:paraId="5863B63A" w14:textId="06C76191" w:rsidR="008A47AC" w:rsidRDefault="007B378B">
      <w:pPr>
        <w:pStyle w:val="TOC3"/>
        <w:tabs>
          <w:tab w:val="right" w:leader="dot" w:pos="9016"/>
        </w:tabs>
        <w:rPr>
          <w:rFonts w:eastAsiaTheme="minorEastAsia"/>
          <w:noProof/>
          <w:lang w:eastAsia="en-GB"/>
        </w:rPr>
      </w:pPr>
      <w:hyperlink w:anchor="_Toc34208481" w:history="1">
        <w:r w:rsidR="008A47AC" w:rsidRPr="00793E8D">
          <w:rPr>
            <w:rStyle w:val="Hyperlink"/>
            <w:rFonts w:ascii="Arial" w:hAnsi="Arial" w:cs="Arial"/>
            <w:noProof/>
          </w:rPr>
          <w:t>6.3.1 Geometrical properties of FDM in OSCC</w:t>
        </w:r>
        <w:r w:rsidR="008A47AC">
          <w:rPr>
            <w:noProof/>
            <w:webHidden/>
          </w:rPr>
          <w:tab/>
        </w:r>
        <w:r w:rsidR="008A47AC">
          <w:rPr>
            <w:noProof/>
            <w:webHidden/>
          </w:rPr>
          <w:fldChar w:fldCharType="begin"/>
        </w:r>
        <w:r w:rsidR="008A47AC">
          <w:rPr>
            <w:noProof/>
            <w:webHidden/>
          </w:rPr>
          <w:instrText xml:space="preserve"> PAGEREF _Toc34208481 \h </w:instrText>
        </w:r>
        <w:r w:rsidR="008A47AC">
          <w:rPr>
            <w:noProof/>
            <w:webHidden/>
          </w:rPr>
        </w:r>
        <w:r w:rsidR="008A47AC">
          <w:rPr>
            <w:noProof/>
            <w:webHidden/>
          </w:rPr>
          <w:fldChar w:fldCharType="separate"/>
        </w:r>
        <w:r w:rsidR="00E57BFA">
          <w:rPr>
            <w:noProof/>
            <w:webHidden/>
          </w:rPr>
          <w:t>- 271 -</w:t>
        </w:r>
        <w:r w:rsidR="008A47AC">
          <w:rPr>
            <w:noProof/>
            <w:webHidden/>
          </w:rPr>
          <w:fldChar w:fldCharType="end"/>
        </w:r>
      </w:hyperlink>
    </w:p>
    <w:p w14:paraId="0452C370" w14:textId="75B2189D" w:rsidR="008A47AC" w:rsidRDefault="007B378B">
      <w:pPr>
        <w:pStyle w:val="TOC3"/>
        <w:tabs>
          <w:tab w:val="right" w:leader="dot" w:pos="9016"/>
        </w:tabs>
        <w:rPr>
          <w:rFonts w:eastAsiaTheme="minorEastAsia"/>
          <w:noProof/>
          <w:lang w:eastAsia="en-GB"/>
        </w:rPr>
      </w:pPr>
      <w:hyperlink w:anchor="_Toc34208482" w:history="1">
        <w:r w:rsidR="008A47AC" w:rsidRPr="00793E8D">
          <w:rPr>
            <w:rStyle w:val="Hyperlink"/>
            <w:rFonts w:ascii="Arial" w:hAnsi="Arial" w:cs="Arial"/>
            <w:noProof/>
          </w:rPr>
          <w:t>6.3.2 Physical and mechanical properties of FDM in OSCC</w:t>
        </w:r>
        <w:r w:rsidR="008A47AC">
          <w:rPr>
            <w:noProof/>
            <w:webHidden/>
          </w:rPr>
          <w:tab/>
        </w:r>
        <w:r w:rsidR="008A47AC">
          <w:rPr>
            <w:noProof/>
            <w:webHidden/>
          </w:rPr>
          <w:fldChar w:fldCharType="begin"/>
        </w:r>
        <w:r w:rsidR="008A47AC">
          <w:rPr>
            <w:noProof/>
            <w:webHidden/>
          </w:rPr>
          <w:instrText xml:space="preserve"> PAGEREF _Toc34208482 \h </w:instrText>
        </w:r>
        <w:r w:rsidR="008A47AC">
          <w:rPr>
            <w:noProof/>
            <w:webHidden/>
          </w:rPr>
        </w:r>
        <w:r w:rsidR="008A47AC">
          <w:rPr>
            <w:noProof/>
            <w:webHidden/>
          </w:rPr>
          <w:fldChar w:fldCharType="separate"/>
        </w:r>
        <w:r w:rsidR="00E57BFA">
          <w:rPr>
            <w:noProof/>
            <w:webHidden/>
          </w:rPr>
          <w:t>- 271 -</w:t>
        </w:r>
        <w:r w:rsidR="008A47AC">
          <w:rPr>
            <w:noProof/>
            <w:webHidden/>
          </w:rPr>
          <w:fldChar w:fldCharType="end"/>
        </w:r>
      </w:hyperlink>
    </w:p>
    <w:p w14:paraId="76205688" w14:textId="307BD2B3" w:rsidR="008A47AC" w:rsidRDefault="007B378B">
      <w:pPr>
        <w:pStyle w:val="TOC3"/>
        <w:tabs>
          <w:tab w:val="right" w:leader="dot" w:pos="9016"/>
        </w:tabs>
        <w:rPr>
          <w:rFonts w:eastAsiaTheme="minorEastAsia"/>
          <w:noProof/>
          <w:lang w:eastAsia="en-GB"/>
        </w:rPr>
      </w:pPr>
      <w:hyperlink w:anchor="_Toc34208483" w:history="1">
        <w:r w:rsidR="008A47AC" w:rsidRPr="00793E8D">
          <w:rPr>
            <w:rStyle w:val="Hyperlink"/>
            <w:rFonts w:ascii="Arial" w:hAnsi="Arial" w:cs="Arial"/>
            <w:noProof/>
          </w:rPr>
          <w:t>6.3.3 Biochemical properties of FDM</w:t>
        </w:r>
        <w:r w:rsidR="008A47AC">
          <w:rPr>
            <w:noProof/>
            <w:webHidden/>
          </w:rPr>
          <w:tab/>
        </w:r>
        <w:r w:rsidR="008A47AC">
          <w:rPr>
            <w:noProof/>
            <w:webHidden/>
          </w:rPr>
          <w:fldChar w:fldCharType="begin"/>
        </w:r>
        <w:r w:rsidR="008A47AC">
          <w:rPr>
            <w:noProof/>
            <w:webHidden/>
          </w:rPr>
          <w:instrText xml:space="preserve"> PAGEREF _Toc34208483 \h </w:instrText>
        </w:r>
        <w:r w:rsidR="008A47AC">
          <w:rPr>
            <w:noProof/>
            <w:webHidden/>
          </w:rPr>
        </w:r>
        <w:r w:rsidR="008A47AC">
          <w:rPr>
            <w:noProof/>
            <w:webHidden/>
          </w:rPr>
          <w:fldChar w:fldCharType="separate"/>
        </w:r>
        <w:r w:rsidR="00E57BFA">
          <w:rPr>
            <w:noProof/>
            <w:webHidden/>
          </w:rPr>
          <w:t>- 273 -</w:t>
        </w:r>
        <w:r w:rsidR="008A47AC">
          <w:rPr>
            <w:noProof/>
            <w:webHidden/>
          </w:rPr>
          <w:fldChar w:fldCharType="end"/>
        </w:r>
      </w:hyperlink>
    </w:p>
    <w:p w14:paraId="51A49E1C" w14:textId="0575936B" w:rsidR="008A47AC" w:rsidRDefault="007B378B">
      <w:pPr>
        <w:pStyle w:val="TOC2"/>
        <w:tabs>
          <w:tab w:val="right" w:leader="dot" w:pos="9016"/>
        </w:tabs>
        <w:rPr>
          <w:rFonts w:eastAsiaTheme="minorEastAsia"/>
          <w:noProof/>
          <w:lang w:eastAsia="en-GB"/>
        </w:rPr>
      </w:pPr>
      <w:hyperlink w:anchor="_Toc34208484" w:history="1">
        <w:r w:rsidR="008A47AC" w:rsidRPr="00793E8D">
          <w:rPr>
            <w:rStyle w:val="Hyperlink"/>
            <w:rFonts w:ascii="Arial" w:hAnsi="Arial" w:cs="Arial"/>
            <w:noProof/>
          </w:rPr>
          <w:t>6.4 FDM as three-dimensional platforms for drug screening</w:t>
        </w:r>
        <w:r w:rsidR="008A47AC">
          <w:rPr>
            <w:noProof/>
            <w:webHidden/>
          </w:rPr>
          <w:tab/>
        </w:r>
        <w:r w:rsidR="008A47AC">
          <w:rPr>
            <w:noProof/>
            <w:webHidden/>
          </w:rPr>
          <w:fldChar w:fldCharType="begin"/>
        </w:r>
        <w:r w:rsidR="008A47AC">
          <w:rPr>
            <w:noProof/>
            <w:webHidden/>
          </w:rPr>
          <w:instrText xml:space="preserve"> PAGEREF _Toc34208484 \h </w:instrText>
        </w:r>
        <w:r w:rsidR="008A47AC">
          <w:rPr>
            <w:noProof/>
            <w:webHidden/>
          </w:rPr>
        </w:r>
        <w:r w:rsidR="008A47AC">
          <w:rPr>
            <w:noProof/>
            <w:webHidden/>
          </w:rPr>
          <w:fldChar w:fldCharType="separate"/>
        </w:r>
        <w:r w:rsidR="00E57BFA">
          <w:rPr>
            <w:noProof/>
            <w:webHidden/>
          </w:rPr>
          <w:t>- 273 -</w:t>
        </w:r>
        <w:r w:rsidR="008A47AC">
          <w:rPr>
            <w:noProof/>
            <w:webHidden/>
          </w:rPr>
          <w:fldChar w:fldCharType="end"/>
        </w:r>
      </w:hyperlink>
    </w:p>
    <w:p w14:paraId="33527802" w14:textId="7DA5AF5A" w:rsidR="008A47AC" w:rsidRDefault="007B378B">
      <w:pPr>
        <w:pStyle w:val="TOC2"/>
        <w:tabs>
          <w:tab w:val="right" w:leader="dot" w:pos="9016"/>
        </w:tabs>
        <w:rPr>
          <w:rFonts w:eastAsiaTheme="minorEastAsia"/>
          <w:noProof/>
          <w:lang w:eastAsia="en-GB"/>
        </w:rPr>
      </w:pPr>
      <w:hyperlink w:anchor="_Toc34208485" w:history="1">
        <w:r w:rsidR="008A47AC" w:rsidRPr="00793E8D">
          <w:rPr>
            <w:rStyle w:val="Hyperlink"/>
            <w:rFonts w:ascii="Arial" w:hAnsi="Arial" w:cs="Arial"/>
            <w:noProof/>
          </w:rPr>
          <w:t>6.5 Generating full-thickness oral mucosa models in OSCC progression</w:t>
        </w:r>
        <w:r w:rsidR="008A47AC">
          <w:rPr>
            <w:noProof/>
            <w:webHidden/>
          </w:rPr>
          <w:tab/>
        </w:r>
        <w:r w:rsidR="008A47AC">
          <w:rPr>
            <w:noProof/>
            <w:webHidden/>
          </w:rPr>
          <w:fldChar w:fldCharType="begin"/>
        </w:r>
        <w:r w:rsidR="008A47AC">
          <w:rPr>
            <w:noProof/>
            <w:webHidden/>
          </w:rPr>
          <w:instrText xml:space="preserve"> PAGEREF _Toc34208485 \h </w:instrText>
        </w:r>
        <w:r w:rsidR="008A47AC">
          <w:rPr>
            <w:noProof/>
            <w:webHidden/>
          </w:rPr>
        </w:r>
        <w:r w:rsidR="008A47AC">
          <w:rPr>
            <w:noProof/>
            <w:webHidden/>
          </w:rPr>
          <w:fldChar w:fldCharType="separate"/>
        </w:r>
        <w:r w:rsidR="00E57BFA">
          <w:rPr>
            <w:noProof/>
            <w:webHidden/>
          </w:rPr>
          <w:t>- 275 -</w:t>
        </w:r>
        <w:r w:rsidR="008A47AC">
          <w:rPr>
            <w:noProof/>
            <w:webHidden/>
          </w:rPr>
          <w:fldChar w:fldCharType="end"/>
        </w:r>
      </w:hyperlink>
    </w:p>
    <w:p w14:paraId="7DD2A46A" w14:textId="6C715D05" w:rsidR="008A47AC" w:rsidRDefault="007B378B">
      <w:pPr>
        <w:pStyle w:val="TOC3"/>
        <w:tabs>
          <w:tab w:val="right" w:leader="dot" w:pos="9016"/>
        </w:tabs>
        <w:rPr>
          <w:rFonts w:eastAsiaTheme="minorEastAsia"/>
          <w:noProof/>
          <w:lang w:eastAsia="en-GB"/>
        </w:rPr>
      </w:pPr>
      <w:hyperlink w:anchor="_Toc34208486" w:history="1">
        <w:r w:rsidR="008A47AC" w:rsidRPr="00793E8D">
          <w:rPr>
            <w:rStyle w:val="Hyperlink"/>
            <w:rFonts w:ascii="Arial" w:hAnsi="Arial" w:cs="Arial"/>
            <w:noProof/>
          </w:rPr>
          <w:t>6.5.1 Dysregulation of ECM molecules and remodelling in OSCC progression</w:t>
        </w:r>
        <w:r w:rsidR="008A47AC">
          <w:rPr>
            <w:noProof/>
            <w:webHidden/>
          </w:rPr>
          <w:tab/>
        </w:r>
        <w:r w:rsidR="008A47AC">
          <w:rPr>
            <w:noProof/>
            <w:webHidden/>
          </w:rPr>
          <w:fldChar w:fldCharType="begin"/>
        </w:r>
        <w:r w:rsidR="008A47AC">
          <w:rPr>
            <w:noProof/>
            <w:webHidden/>
          </w:rPr>
          <w:instrText xml:space="preserve"> PAGEREF _Toc34208486 \h </w:instrText>
        </w:r>
        <w:r w:rsidR="008A47AC">
          <w:rPr>
            <w:noProof/>
            <w:webHidden/>
          </w:rPr>
        </w:r>
        <w:r w:rsidR="008A47AC">
          <w:rPr>
            <w:noProof/>
            <w:webHidden/>
          </w:rPr>
          <w:fldChar w:fldCharType="separate"/>
        </w:r>
        <w:r w:rsidR="00E57BFA">
          <w:rPr>
            <w:noProof/>
            <w:webHidden/>
          </w:rPr>
          <w:t>- 275 -</w:t>
        </w:r>
        <w:r w:rsidR="008A47AC">
          <w:rPr>
            <w:noProof/>
            <w:webHidden/>
          </w:rPr>
          <w:fldChar w:fldCharType="end"/>
        </w:r>
      </w:hyperlink>
    </w:p>
    <w:p w14:paraId="14FA5F7C" w14:textId="32937E03" w:rsidR="008A47AC" w:rsidRDefault="007B378B">
      <w:pPr>
        <w:pStyle w:val="TOC2"/>
        <w:tabs>
          <w:tab w:val="right" w:leader="dot" w:pos="9016"/>
        </w:tabs>
        <w:rPr>
          <w:rFonts w:eastAsiaTheme="minorEastAsia"/>
          <w:noProof/>
          <w:lang w:eastAsia="en-GB"/>
        </w:rPr>
      </w:pPr>
      <w:hyperlink w:anchor="_Toc34208487" w:history="1">
        <w:r w:rsidR="008A47AC" w:rsidRPr="00793E8D">
          <w:rPr>
            <w:rStyle w:val="Hyperlink"/>
            <w:rFonts w:ascii="Arial" w:hAnsi="Arial" w:cs="Arial"/>
            <w:noProof/>
          </w:rPr>
          <w:t>6.6 Future work</w:t>
        </w:r>
        <w:r w:rsidR="008A47AC">
          <w:rPr>
            <w:noProof/>
            <w:webHidden/>
          </w:rPr>
          <w:tab/>
        </w:r>
        <w:r w:rsidR="008A47AC">
          <w:rPr>
            <w:noProof/>
            <w:webHidden/>
          </w:rPr>
          <w:fldChar w:fldCharType="begin"/>
        </w:r>
        <w:r w:rsidR="008A47AC">
          <w:rPr>
            <w:noProof/>
            <w:webHidden/>
          </w:rPr>
          <w:instrText xml:space="preserve"> PAGEREF _Toc34208487 \h </w:instrText>
        </w:r>
        <w:r w:rsidR="008A47AC">
          <w:rPr>
            <w:noProof/>
            <w:webHidden/>
          </w:rPr>
        </w:r>
        <w:r w:rsidR="008A47AC">
          <w:rPr>
            <w:noProof/>
            <w:webHidden/>
          </w:rPr>
          <w:fldChar w:fldCharType="separate"/>
        </w:r>
        <w:r w:rsidR="00E57BFA">
          <w:rPr>
            <w:noProof/>
            <w:webHidden/>
          </w:rPr>
          <w:t>- 276 -</w:t>
        </w:r>
        <w:r w:rsidR="008A47AC">
          <w:rPr>
            <w:noProof/>
            <w:webHidden/>
          </w:rPr>
          <w:fldChar w:fldCharType="end"/>
        </w:r>
      </w:hyperlink>
    </w:p>
    <w:p w14:paraId="642DDDF4" w14:textId="011BC8ED" w:rsidR="008A47AC" w:rsidRDefault="007B378B">
      <w:pPr>
        <w:pStyle w:val="TOC2"/>
        <w:tabs>
          <w:tab w:val="right" w:leader="dot" w:pos="9016"/>
        </w:tabs>
        <w:rPr>
          <w:rFonts w:eastAsiaTheme="minorEastAsia"/>
          <w:noProof/>
          <w:lang w:eastAsia="en-GB"/>
        </w:rPr>
      </w:pPr>
      <w:hyperlink w:anchor="_Toc34208488" w:history="1">
        <w:r w:rsidR="008A47AC" w:rsidRPr="00793E8D">
          <w:rPr>
            <w:rStyle w:val="Hyperlink"/>
            <w:rFonts w:ascii="Arial" w:hAnsi="Arial" w:cs="Arial"/>
            <w:noProof/>
          </w:rPr>
          <w:t>6.7 Clinical significance</w:t>
        </w:r>
        <w:r w:rsidR="008A47AC">
          <w:rPr>
            <w:noProof/>
            <w:webHidden/>
          </w:rPr>
          <w:tab/>
        </w:r>
        <w:r w:rsidR="008A47AC">
          <w:rPr>
            <w:noProof/>
            <w:webHidden/>
          </w:rPr>
          <w:fldChar w:fldCharType="begin"/>
        </w:r>
        <w:r w:rsidR="008A47AC">
          <w:rPr>
            <w:noProof/>
            <w:webHidden/>
          </w:rPr>
          <w:instrText xml:space="preserve"> PAGEREF _Toc34208488 \h </w:instrText>
        </w:r>
        <w:r w:rsidR="008A47AC">
          <w:rPr>
            <w:noProof/>
            <w:webHidden/>
          </w:rPr>
        </w:r>
        <w:r w:rsidR="008A47AC">
          <w:rPr>
            <w:noProof/>
            <w:webHidden/>
          </w:rPr>
          <w:fldChar w:fldCharType="separate"/>
        </w:r>
        <w:r w:rsidR="00E57BFA">
          <w:rPr>
            <w:noProof/>
            <w:webHidden/>
          </w:rPr>
          <w:t>- 278 -</w:t>
        </w:r>
        <w:r w:rsidR="008A47AC">
          <w:rPr>
            <w:noProof/>
            <w:webHidden/>
          </w:rPr>
          <w:fldChar w:fldCharType="end"/>
        </w:r>
      </w:hyperlink>
    </w:p>
    <w:p w14:paraId="4EA8C589" w14:textId="3C9F43B5" w:rsidR="008A47AC" w:rsidRDefault="007B378B">
      <w:pPr>
        <w:pStyle w:val="TOC2"/>
        <w:tabs>
          <w:tab w:val="right" w:leader="dot" w:pos="9016"/>
        </w:tabs>
        <w:rPr>
          <w:rFonts w:eastAsiaTheme="minorEastAsia"/>
          <w:noProof/>
          <w:lang w:eastAsia="en-GB"/>
        </w:rPr>
      </w:pPr>
      <w:hyperlink w:anchor="_Toc34208489" w:history="1">
        <w:r w:rsidR="008A47AC" w:rsidRPr="00793E8D">
          <w:rPr>
            <w:rStyle w:val="Hyperlink"/>
            <w:rFonts w:ascii="Arial" w:hAnsi="Arial" w:cs="Arial"/>
            <w:noProof/>
          </w:rPr>
          <w:t>6.8 Conclusion</w:t>
        </w:r>
        <w:r w:rsidR="008A47AC">
          <w:rPr>
            <w:noProof/>
            <w:webHidden/>
          </w:rPr>
          <w:tab/>
        </w:r>
        <w:r w:rsidR="008A47AC">
          <w:rPr>
            <w:noProof/>
            <w:webHidden/>
          </w:rPr>
          <w:fldChar w:fldCharType="begin"/>
        </w:r>
        <w:r w:rsidR="008A47AC">
          <w:rPr>
            <w:noProof/>
            <w:webHidden/>
          </w:rPr>
          <w:instrText xml:space="preserve"> PAGEREF _Toc34208489 \h </w:instrText>
        </w:r>
        <w:r w:rsidR="008A47AC">
          <w:rPr>
            <w:noProof/>
            <w:webHidden/>
          </w:rPr>
        </w:r>
        <w:r w:rsidR="008A47AC">
          <w:rPr>
            <w:noProof/>
            <w:webHidden/>
          </w:rPr>
          <w:fldChar w:fldCharType="separate"/>
        </w:r>
        <w:r w:rsidR="00E57BFA">
          <w:rPr>
            <w:noProof/>
            <w:webHidden/>
          </w:rPr>
          <w:t>- 278 -</w:t>
        </w:r>
        <w:r w:rsidR="008A47AC">
          <w:rPr>
            <w:noProof/>
            <w:webHidden/>
          </w:rPr>
          <w:fldChar w:fldCharType="end"/>
        </w:r>
      </w:hyperlink>
    </w:p>
    <w:p w14:paraId="3BAF0830" w14:textId="0FFB319F" w:rsidR="008A47AC" w:rsidRDefault="007B378B">
      <w:pPr>
        <w:pStyle w:val="TOC1"/>
        <w:rPr>
          <w:rFonts w:eastAsiaTheme="minorEastAsia"/>
          <w:b w:val="0"/>
          <w:bCs w:val="0"/>
          <w:lang w:eastAsia="en-GB"/>
        </w:rPr>
      </w:pPr>
      <w:hyperlink w:anchor="_Toc34208490" w:history="1">
        <w:r w:rsidR="008A47AC" w:rsidRPr="00793E8D">
          <w:rPr>
            <w:rStyle w:val="Hyperlink"/>
          </w:rPr>
          <w:t>Chapter 7</w:t>
        </w:r>
        <w:r w:rsidR="008A47AC">
          <w:rPr>
            <w:webHidden/>
          </w:rPr>
          <w:tab/>
        </w:r>
        <w:r w:rsidR="008A47AC">
          <w:rPr>
            <w:webHidden/>
          </w:rPr>
          <w:fldChar w:fldCharType="begin"/>
        </w:r>
        <w:r w:rsidR="008A47AC">
          <w:rPr>
            <w:webHidden/>
          </w:rPr>
          <w:instrText xml:space="preserve"> PAGEREF _Toc34208490 \h </w:instrText>
        </w:r>
        <w:r w:rsidR="008A47AC">
          <w:rPr>
            <w:webHidden/>
          </w:rPr>
        </w:r>
        <w:r w:rsidR="008A47AC">
          <w:rPr>
            <w:webHidden/>
          </w:rPr>
          <w:fldChar w:fldCharType="separate"/>
        </w:r>
        <w:r w:rsidR="00E57BFA">
          <w:rPr>
            <w:webHidden/>
          </w:rPr>
          <w:t>- 280 -</w:t>
        </w:r>
        <w:r w:rsidR="008A47AC">
          <w:rPr>
            <w:webHidden/>
          </w:rPr>
          <w:fldChar w:fldCharType="end"/>
        </w:r>
      </w:hyperlink>
    </w:p>
    <w:p w14:paraId="44D9F719" w14:textId="747D5ACA" w:rsidR="008A47AC" w:rsidRDefault="007B378B">
      <w:pPr>
        <w:pStyle w:val="TOC1"/>
        <w:rPr>
          <w:rFonts w:eastAsiaTheme="minorEastAsia"/>
          <w:b w:val="0"/>
          <w:bCs w:val="0"/>
          <w:lang w:eastAsia="en-GB"/>
        </w:rPr>
      </w:pPr>
      <w:hyperlink w:anchor="_Toc34208491" w:history="1">
        <w:r w:rsidR="008A47AC" w:rsidRPr="00793E8D">
          <w:rPr>
            <w:rStyle w:val="Hyperlink"/>
          </w:rPr>
          <w:t>Appendix</w:t>
        </w:r>
        <w:r w:rsidR="008A47AC">
          <w:rPr>
            <w:webHidden/>
          </w:rPr>
          <w:tab/>
        </w:r>
        <w:r w:rsidR="008A47AC">
          <w:rPr>
            <w:webHidden/>
          </w:rPr>
          <w:fldChar w:fldCharType="begin"/>
        </w:r>
        <w:r w:rsidR="008A47AC">
          <w:rPr>
            <w:webHidden/>
          </w:rPr>
          <w:instrText xml:space="preserve"> PAGEREF _Toc34208491 \h </w:instrText>
        </w:r>
        <w:r w:rsidR="008A47AC">
          <w:rPr>
            <w:webHidden/>
          </w:rPr>
        </w:r>
        <w:r w:rsidR="008A47AC">
          <w:rPr>
            <w:webHidden/>
          </w:rPr>
          <w:fldChar w:fldCharType="separate"/>
        </w:r>
        <w:r w:rsidR="00E57BFA">
          <w:rPr>
            <w:webHidden/>
          </w:rPr>
          <w:t>- 280 -</w:t>
        </w:r>
        <w:r w:rsidR="008A47AC">
          <w:rPr>
            <w:webHidden/>
          </w:rPr>
          <w:fldChar w:fldCharType="end"/>
        </w:r>
      </w:hyperlink>
    </w:p>
    <w:p w14:paraId="78E955DE" w14:textId="0F27B989" w:rsidR="008A47AC" w:rsidRDefault="007B378B">
      <w:pPr>
        <w:pStyle w:val="TOC1"/>
        <w:rPr>
          <w:rFonts w:eastAsiaTheme="minorEastAsia"/>
          <w:b w:val="0"/>
          <w:bCs w:val="0"/>
          <w:lang w:eastAsia="en-GB"/>
        </w:rPr>
      </w:pPr>
      <w:hyperlink w:anchor="_Toc34208492" w:history="1">
        <w:r w:rsidR="008A47AC" w:rsidRPr="00793E8D">
          <w:rPr>
            <w:rStyle w:val="Hyperlink"/>
          </w:rPr>
          <w:t>References</w:t>
        </w:r>
        <w:r w:rsidR="008A47AC">
          <w:rPr>
            <w:webHidden/>
          </w:rPr>
          <w:tab/>
        </w:r>
        <w:r w:rsidR="008A47AC">
          <w:rPr>
            <w:webHidden/>
          </w:rPr>
          <w:fldChar w:fldCharType="begin"/>
        </w:r>
        <w:r w:rsidR="008A47AC">
          <w:rPr>
            <w:webHidden/>
          </w:rPr>
          <w:instrText xml:space="preserve"> PAGEREF _Toc34208492 \h </w:instrText>
        </w:r>
        <w:r w:rsidR="008A47AC">
          <w:rPr>
            <w:webHidden/>
          </w:rPr>
        </w:r>
        <w:r w:rsidR="008A47AC">
          <w:rPr>
            <w:webHidden/>
          </w:rPr>
          <w:fldChar w:fldCharType="separate"/>
        </w:r>
        <w:r w:rsidR="00E57BFA">
          <w:rPr>
            <w:webHidden/>
          </w:rPr>
          <w:t>- 287 -</w:t>
        </w:r>
        <w:r w:rsidR="008A47AC">
          <w:rPr>
            <w:webHidden/>
          </w:rPr>
          <w:fldChar w:fldCharType="end"/>
        </w:r>
      </w:hyperlink>
    </w:p>
    <w:p w14:paraId="501AD5CB" w14:textId="72CC7B0F" w:rsidR="003C2FCD" w:rsidRPr="004617DE" w:rsidRDefault="00601C49" w:rsidP="004617DE">
      <w:pPr>
        <w:spacing w:line="240" w:lineRule="auto"/>
        <w:jc w:val="both"/>
        <w:rPr>
          <w:rFonts w:ascii="Arial" w:hAnsi="Arial" w:cs="Arial"/>
        </w:rPr>
      </w:pPr>
      <w:r w:rsidRPr="004617DE">
        <w:rPr>
          <w:rFonts w:ascii="Arial" w:hAnsi="Arial" w:cs="Arial"/>
        </w:rPr>
        <w:fldChar w:fldCharType="end"/>
      </w:r>
    </w:p>
    <w:p w14:paraId="3B8CC9BB" w14:textId="119523BE" w:rsidR="003C2FCD" w:rsidRDefault="003C2FCD" w:rsidP="003C2FCD"/>
    <w:p w14:paraId="2188E706" w14:textId="77777777" w:rsidR="001A0AEF" w:rsidRDefault="001A0AEF" w:rsidP="003C2FCD"/>
    <w:p w14:paraId="76833693" w14:textId="77777777" w:rsidR="004617DE" w:rsidRDefault="004617DE" w:rsidP="00E67EA7">
      <w:pPr>
        <w:tabs>
          <w:tab w:val="left" w:pos="6020"/>
        </w:tabs>
      </w:pPr>
    </w:p>
    <w:p w14:paraId="5E412ED9" w14:textId="77777777" w:rsidR="004617DE" w:rsidRDefault="004617DE" w:rsidP="00E67EA7">
      <w:pPr>
        <w:tabs>
          <w:tab w:val="left" w:pos="6020"/>
        </w:tabs>
      </w:pPr>
    </w:p>
    <w:p w14:paraId="291D77A2" w14:textId="77777777" w:rsidR="004617DE" w:rsidRDefault="004617DE" w:rsidP="00E67EA7">
      <w:pPr>
        <w:tabs>
          <w:tab w:val="left" w:pos="6020"/>
        </w:tabs>
      </w:pPr>
    </w:p>
    <w:p w14:paraId="47F1FA0E" w14:textId="77777777" w:rsidR="004617DE" w:rsidRDefault="004617DE" w:rsidP="00E67EA7">
      <w:pPr>
        <w:tabs>
          <w:tab w:val="left" w:pos="6020"/>
        </w:tabs>
      </w:pPr>
    </w:p>
    <w:p w14:paraId="52838DF7" w14:textId="77777777" w:rsidR="004617DE" w:rsidRDefault="004617DE" w:rsidP="00E67EA7">
      <w:pPr>
        <w:tabs>
          <w:tab w:val="left" w:pos="6020"/>
        </w:tabs>
      </w:pPr>
    </w:p>
    <w:p w14:paraId="7DD297D2" w14:textId="77777777" w:rsidR="004617DE" w:rsidRDefault="004617DE" w:rsidP="00E67EA7">
      <w:pPr>
        <w:tabs>
          <w:tab w:val="left" w:pos="6020"/>
        </w:tabs>
      </w:pPr>
    </w:p>
    <w:p w14:paraId="00528174" w14:textId="77777777" w:rsidR="004617DE" w:rsidRDefault="004617DE" w:rsidP="00E67EA7">
      <w:pPr>
        <w:tabs>
          <w:tab w:val="left" w:pos="6020"/>
        </w:tabs>
      </w:pPr>
    </w:p>
    <w:p w14:paraId="55768619" w14:textId="77777777" w:rsidR="004617DE" w:rsidRDefault="004617DE" w:rsidP="00E67EA7">
      <w:pPr>
        <w:tabs>
          <w:tab w:val="left" w:pos="6020"/>
        </w:tabs>
      </w:pPr>
    </w:p>
    <w:p w14:paraId="7B296463" w14:textId="77777777" w:rsidR="004617DE" w:rsidRDefault="004617DE" w:rsidP="00E67EA7">
      <w:pPr>
        <w:tabs>
          <w:tab w:val="left" w:pos="6020"/>
        </w:tabs>
      </w:pPr>
    </w:p>
    <w:p w14:paraId="73111355" w14:textId="77777777" w:rsidR="004617DE" w:rsidRDefault="004617DE" w:rsidP="00E67EA7">
      <w:pPr>
        <w:tabs>
          <w:tab w:val="left" w:pos="6020"/>
        </w:tabs>
      </w:pPr>
    </w:p>
    <w:p w14:paraId="64991A60" w14:textId="77777777" w:rsidR="004617DE" w:rsidRDefault="004617DE" w:rsidP="00E67EA7">
      <w:pPr>
        <w:tabs>
          <w:tab w:val="left" w:pos="6020"/>
        </w:tabs>
      </w:pPr>
    </w:p>
    <w:p w14:paraId="6CFFCA40" w14:textId="77777777" w:rsidR="004617DE" w:rsidRDefault="004617DE" w:rsidP="00E67EA7">
      <w:pPr>
        <w:tabs>
          <w:tab w:val="left" w:pos="6020"/>
        </w:tabs>
      </w:pPr>
    </w:p>
    <w:p w14:paraId="6B031EF1" w14:textId="77777777" w:rsidR="004617DE" w:rsidRDefault="004617DE" w:rsidP="00E67EA7">
      <w:pPr>
        <w:tabs>
          <w:tab w:val="left" w:pos="6020"/>
        </w:tabs>
      </w:pPr>
    </w:p>
    <w:p w14:paraId="7B522FFF" w14:textId="77777777" w:rsidR="004617DE" w:rsidRDefault="004617DE" w:rsidP="00E67EA7">
      <w:pPr>
        <w:tabs>
          <w:tab w:val="left" w:pos="6020"/>
        </w:tabs>
      </w:pPr>
    </w:p>
    <w:p w14:paraId="281C8DD2" w14:textId="1C841B1F" w:rsidR="004617DE" w:rsidRDefault="004617DE" w:rsidP="00E67EA7">
      <w:pPr>
        <w:tabs>
          <w:tab w:val="left" w:pos="6020"/>
        </w:tabs>
      </w:pPr>
    </w:p>
    <w:p w14:paraId="131147BC" w14:textId="18F9B81D" w:rsidR="00BA5EB2" w:rsidRDefault="00BA5EB2" w:rsidP="00E67EA7">
      <w:pPr>
        <w:tabs>
          <w:tab w:val="left" w:pos="6020"/>
        </w:tabs>
      </w:pPr>
    </w:p>
    <w:p w14:paraId="3F18E895" w14:textId="399F70E0" w:rsidR="00BA5EB2" w:rsidRDefault="00BA5EB2" w:rsidP="00E67EA7">
      <w:pPr>
        <w:tabs>
          <w:tab w:val="left" w:pos="6020"/>
        </w:tabs>
      </w:pPr>
    </w:p>
    <w:p w14:paraId="34BA0590" w14:textId="5F742407" w:rsidR="00BA5EB2" w:rsidRDefault="00BA5EB2" w:rsidP="00E67EA7">
      <w:pPr>
        <w:tabs>
          <w:tab w:val="left" w:pos="6020"/>
        </w:tabs>
      </w:pPr>
    </w:p>
    <w:p w14:paraId="0596FBA9" w14:textId="0C413114" w:rsidR="00BA5EB2" w:rsidRDefault="00BA5EB2" w:rsidP="00E67EA7">
      <w:pPr>
        <w:tabs>
          <w:tab w:val="left" w:pos="6020"/>
        </w:tabs>
      </w:pPr>
    </w:p>
    <w:p w14:paraId="3C0485F6" w14:textId="149402F7" w:rsidR="00BA5EB2" w:rsidRDefault="00BA5EB2" w:rsidP="00E67EA7">
      <w:pPr>
        <w:tabs>
          <w:tab w:val="left" w:pos="6020"/>
        </w:tabs>
      </w:pPr>
    </w:p>
    <w:p w14:paraId="0D4273FB" w14:textId="49682B24" w:rsidR="00BA5EB2" w:rsidRDefault="00BA5EB2" w:rsidP="00E67EA7">
      <w:pPr>
        <w:tabs>
          <w:tab w:val="left" w:pos="6020"/>
        </w:tabs>
      </w:pPr>
    </w:p>
    <w:p w14:paraId="3C4BDE71" w14:textId="77777777" w:rsidR="00BA5EB2" w:rsidRDefault="00BA5EB2" w:rsidP="00E67EA7">
      <w:pPr>
        <w:tabs>
          <w:tab w:val="left" w:pos="6020"/>
        </w:tabs>
      </w:pPr>
    </w:p>
    <w:p w14:paraId="6216CFE8" w14:textId="77777777" w:rsidR="00BA5EB2" w:rsidRDefault="00E67EA7" w:rsidP="00635343">
      <w:pPr>
        <w:tabs>
          <w:tab w:val="left" w:pos="6020"/>
        </w:tabs>
      </w:pPr>
      <w:r>
        <w:tab/>
      </w:r>
    </w:p>
    <w:p w14:paraId="50FCC349" w14:textId="49D3EC23" w:rsidR="00D026A8" w:rsidRPr="00635343" w:rsidRDefault="001777F0" w:rsidP="00635343">
      <w:pPr>
        <w:tabs>
          <w:tab w:val="left" w:pos="6020"/>
        </w:tabs>
      </w:pPr>
      <w:r w:rsidRPr="00741BC3">
        <w:rPr>
          <w:color w:val="4472C4" w:themeColor="accent1"/>
          <w:sz w:val="44"/>
          <w:szCs w:val="44"/>
        </w:rPr>
        <w:lastRenderedPageBreak/>
        <w:t>List of figures</w:t>
      </w:r>
    </w:p>
    <w:p w14:paraId="621E2EC2" w14:textId="4F9C1F64" w:rsidR="001777F0" w:rsidRPr="003D5E91" w:rsidRDefault="001777F0" w:rsidP="003D5E91">
      <w:pPr>
        <w:spacing w:line="276" w:lineRule="auto"/>
        <w:jc w:val="both"/>
        <w:rPr>
          <w:rFonts w:ascii="Arial" w:hAnsi="Arial" w:cs="Arial"/>
          <w:i/>
          <w:iCs/>
          <w:color w:val="595959" w:themeColor="text1" w:themeTint="A6"/>
        </w:rPr>
      </w:pPr>
      <w:r w:rsidRPr="003D5E91">
        <w:rPr>
          <w:rFonts w:ascii="Arial" w:hAnsi="Arial" w:cs="Arial"/>
          <w:b/>
          <w:bCs/>
          <w:color w:val="595959" w:themeColor="text1" w:themeTint="A6"/>
        </w:rPr>
        <w:t xml:space="preserve">Figure </w:t>
      </w:r>
      <w:r w:rsidR="007C27F8" w:rsidRPr="003D5E91">
        <w:rPr>
          <w:rFonts w:ascii="Arial" w:hAnsi="Arial" w:cs="Arial"/>
          <w:b/>
          <w:bCs/>
          <w:color w:val="595959" w:themeColor="text1" w:themeTint="A6"/>
        </w:rPr>
        <w:fldChar w:fldCharType="begin"/>
      </w:r>
      <w:r w:rsidR="007C27F8" w:rsidRPr="003D5E91">
        <w:rPr>
          <w:rFonts w:ascii="Arial" w:hAnsi="Arial" w:cs="Arial"/>
          <w:b/>
          <w:bCs/>
          <w:color w:val="595959" w:themeColor="text1" w:themeTint="A6"/>
        </w:rPr>
        <w:instrText xml:space="preserve"> SEQ Figure \* ARABIC </w:instrText>
      </w:r>
      <w:r w:rsidR="007C27F8" w:rsidRPr="003D5E91">
        <w:rPr>
          <w:rFonts w:ascii="Arial" w:hAnsi="Arial" w:cs="Arial"/>
          <w:b/>
          <w:bCs/>
          <w:color w:val="595959" w:themeColor="text1" w:themeTint="A6"/>
        </w:rPr>
        <w:fldChar w:fldCharType="separate"/>
      </w:r>
      <w:r w:rsidR="00E57BFA">
        <w:rPr>
          <w:rFonts w:ascii="Arial" w:hAnsi="Arial" w:cs="Arial"/>
          <w:b/>
          <w:bCs/>
          <w:noProof/>
          <w:color w:val="595959" w:themeColor="text1" w:themeTint="A6"/>
        </w:rPr>
        <w:t>1</w:t>
      </w:r>
      <w:r w:rsidR="007C27F8" w:rsidRPr="003D5E91">
        <w:rPr>
          <w:rFonts w:ascii="Arial" w:hAnsi="Arial" w:cs="Arial"/>
          <w:b/>
          <w:bCs/>
          <w:noProof/>
          <w:color w:val="595959" w:themeColor="text1" w:themeTint="A6"/>
        </w:rPr>
        <w:fldChar w:fldCharType="end"/>
      </w:r>
      <w:r w:rsidRPr="003D5E91">
        <w:rPr>
          <w:rFonts w:ascii="Arial" w:hAnsi="Arial" w:cs="Arial"/>
          <w:b/>
          <w:bCs/>
          <w:color w:val="595959" w:themeColor="text1" w:themeTint="A6"/>
        </w:rPr>
        <w:t>.1</w:t>
      </w:r>
      <w:r w:rsidRPr="003D5E91">
        <w:rPr>
          <w:rFonts w:ascii="Arial" w:hAnsi="Arial" w:cs="Arial"/>
          <w:color w:val="595959" w:themeColor="text1" w:themeTint="A6"/>
        </w:rPr>
        <w:t xml:space="preserve"> Schematic of the cell layers found in the oral mucosa</w:t>
      </w:r>
      <w:r w:rsidR="00FE685C" w:rsidRPr="003D5E91">
        <w:rPr>
          <w:rFonts w:ascii="Arial" w:hAnsi="Arial" w:cs="Arial"/>
          <w:color w:val="595959" w:themeColor="text1" w:themeTint="A6"/>
        </w:rPr>
        <w:t>…………………………</w:t>
      </w:r>
      <w:r w:rsidR="003F5CA6" w:rsidRPr="003D5E91">
        <w:rPr>
          <w:rFonts w:ascii="Arial" w:hAnsi="Arial" w:cs="Arial"/>
          <w:color w:val="595959" w:themeColor="text1" w:themeTint="A6"/>
        </w:rPr>
        <w:t>…</w:t>
      </w:r>
      <w:r w:rsidR="003D5E91">
        <w:rPr>
          <w:rFonts w:ascii="Arial" w:hAnsi="Arial" w:cs="Arial"/>
          <w:color w:val="595959" w:themeColor="text1" w:themeTint="A6"/>
        </w:rPr>
        <w:t>-</w:t>
      </w:r>
      <w:r w:rsidR="00C15C8D" w:rsidRPr="003D5E91">
        <w:rPr>
          <w:rFonts w:ascii="Arial" w:hAnsi="Arial" w:cs="Arial"/>
          <w:color w:val="595959" w:themeColor="text1" w:themeTint="A6"/>
        </w:rPr>
        <w:t>2</w:t>
      </w:r>
      <w:r w:rsidR="00626979">
        <w:rPr>
          <w:rFonts w:ascii="Arial" w:hAnsi="Arial" w:cs="Arial"/>
          <w:color w:val="595959" w:themeColor="text1" w:themeTint="A6"/>
        </w:rPr>
        <w:t>5</w:t>
      </w:r>
      <w:r w:rsidR="003D5E91">
        <w:rPr>
          <w:rFonts w:ascii="Arial" w:hAnsi="Arial" w:cs="Arial"/>
          <w:color w:val="595959" w:themeColor="text1" w:themeTint="A6"/>
        </w:rPr>
        <w:t>-</w:t>
      </w:r>
    </w:p>
    <w:p w14:paraId="3F49480E" w14:textId="77777777" w:rsidR="00C832B7" w:rsidRPr="003D5E91" w:rsidRDefault="002A6879" w:rsidP="003D5E91">
      <w:pPr>
        <w:spacing w:line="276" w:lineRule="auto"/>
        <w:jc w:val="both"/>
        <w:rPr>
          <w:rFonts w:ascii="Arial" w:hAnsi="Arial" w:cs="Arial"/>
          <w:color w:val="595959" w:themeColor="text1" w:themeTint="A6"/>
        </w:rPr>
      </w:pPr>
      <w:r w:rsidRPr="003D5E91">
        <w:rPr>
          <w:rFonts w:ascii="Arial" w:hAnsi="Arial" w:cs="Arial"/>
          <w:b/>
          <w:bCs/>
          <w:color w:val="595959" w:themeColor="text1" w:themeTint="A6"/>
        </w:rPr>
        <w:t>Figure 1.2.</w:t>
      </w:r>
      <w:r w:rsidRPr="003D5E91">
        <w:rPr>
          <w:rFonts w:ascii="Arial" w:hAnsi="Arial" w:cs="Arial"/>
          <w:color w:val="595959" w:themeColor="text1" w:themeTint="A6"/>
        </w:rPr>
        <w:t xml:space="preserve"> Major connective tissue protein constituents and annotated </w:t>
      </w:r>
    </w:p>
    <w:p w14:paraId="1F70FDF2" w14:textId="015BAA8E" w:rsidR="002A6879" w:rsidRPr="003D5E91" w:rsidRDefault="00CA65FC" w:rsidP="000C2DF7">
      <w:pPr>
        <w:spacing w:line="276" w:lineRule="auto"/>
        <w:jc w:val="both"/>
        <w:rPr>
          <w:rFonts w:ascii="Arial" w:hAnsi="Arial" w:cs="Arial"/>
          <w:color w:val="595959" w:themeColor="text1" w:themeTint="A6"/>
        </w:rPr>
      </w:pPr>
      <w:r>
        <w:rPr>
          <w:rFonts w:ascii="Arial" w:hAnsi="Arial" w:cs="Arial"/>
          <w:color w:val="595959" w:themeColor="text1" w:themeTint="A6"/>
        </w:rPr>
        <w:t>D</w:t>
      </w:r>
      <w:r w:rsidR="002A6879" w:rsidRPr="003D5E91">
        <w:rPr>
          <w:rFonts w:ascii="Arial" w:hAnsi="Arial" w:cs="Arial"/>
          <w:color w:val="595959" w:themeColor="text1" w:themeTint="A6"/>
        </w:rPr>
        <w:t>iagrams</w:t>
      </w:r>
      <w:r w:rsidR="00C15C8D" w:rsidRPr="003D5E91">
        <w:rPr>
          <w:rFonts w:ascii="Arial" w:hAnsi="Arial" w:cs="Arial"/>
          <w:color w:val="595959" w:themeColor="text1" w:themeTint="A6"/>
        </w:rPr>
        <w:t>………………………………………………………………………………………</w:t>
      </w:r>
      <w:r w:rsidR="00324ECB" w:rsidRPr="003D5E91">
        <w:rPr>
          <w:rFonts w:ascii="Arial" w:hAnsi="Arial" w:cs="Arial"/>
          <w:color w:val="595959" w:themeColor="text1" w:themeTint="A6"/>
        </w:rPr>
        <w:t>…</w:t>
      </w:r>
      <w:r w:rsidR="0093500D">
        <w:rPr>
          <w:rFonts w:ascii="Arial" w:hAnsi="Arial" w:cs="Arial"/>
          <w:color w:val="595959" w:themeColor="text1" w:themeTint="A6"/>
        </w:rPr>
        <w:t>...</w:t>
      </w:r>
      <w:r w:rsidR="003D5E91">
        <w:rPr>
          <w:rFonts w:ascii="Arial" w:hAnsi="Arial" w:cs="Arial"/>
          <w:color w:val="595959" w:themeColor="text1" w:themeTint="A6"/>
        </w:rPr>
        <w:t>-</w:t>
      </w:r>
      <w:r w:rsidR="00324ECB" w:rsidRPr="003D5E91">
        <w:rPr>
          <w:rFonts w:ascii="Arial" w:hAnsi="Arial" w:cs="Arial"/>
          <w:color w:val="595959" w:themeColor="text1" w:themeTint="A6"/>
        </w:rPr>
        <w:t>3</w:t>
      </w:r>
      <w:r w:rsidR="00626979">
        <w:rPr>
          <w:rFonts w:ascii="Arial" w:hAnsi="Arial" w:cs="Arial"/>
          <w:color w:val="595959" w:themeColor="text1" w:themeTint="A6"/>
        </w:rPr>
        <w:t>1</w:t>
      </w:r>
      <w:r w:rsidR="003D5E91">
        <w:rPr>
          <w:rFonts w:ascii="Arial" w:hAnsi="Arial" w:cs="Arial"/>
          <w:color w:val="595959" w:themeColor="text1" w:themeTint="A6"/>
        </w:rPr>
        <w:t>-</w:t>
      </w:r>
    </w:p>
    <w:p w14:paraId="2BA3F5EA" w14:textId="77777777" w:rsidR="00C832B7" w:rsidRPr="003D5E91" w:rsidRDefault="002A6879" w:rsidP="003D5E91">
      <w:pPr>
        <w:spacing w:line="276" w:lineRule="auto"/>
        <w:jc w:val="both"/>
        <w:rPr>
          <w:rFonts w:ascii="Arial" w:hAnsi="Arial" w:cs="Arial"/>
          <w:color w:val="595959" w:themeColor="text1" w:themeTint="A6"/>
        </w:rPr>
      </w:pPr>
      <w:r w:rsidRPr="0093500D">
        <w:rPr>
          <w:rFonts w:ascii="Arial" w:hAnsi="Arial" w:cs="Arial"/>
          <w:b/>
          <w:bCs/>
          <w:color w:val="595959" w:themeColor="text1" w:themeTint="A6"/>
        </w:rPr>
        <w:t>Figure 1.3.</w:t>
      </w:r>
      <w:r w:rsidRPr="003D5E91">
        <w:rPr>
          <w:rFonts w:ascii="Arial" w:hAnsi="Arial" w:cs="Arial"/>
          <w:color w:val="595959" w:themeColor="text1" w:themeTint="A6"/>
        </w:rPr>
        <w:t xml:space="preserve"> Diagram depicting the intertwined roles of the ECM in tumour </w:t>
      </w:r>
    </w:p>
    <w:p w14:paraId="31516941" w14:textId="1501620A" w:rsidR="002A6879" w:rsidRPr="003D5E91" w:rsidRDefault="004844CC" w:rsidP="003D5E91">
      <w:pPr>
        <w:spacing w:line="276" w:lineRule="auto"/>
        <w:jc w:val="both"/>
        <w:rPr>
          <w:rFonts w:ascii="Arial" w:hAnsi="Arial" w:cs="Arial"/>
          <w:color w:val="595959" w:themeColor="text1" w:themeTint="A6"/>
        </w:rPr>
      </w:pPr>
      <w:r w:rsidRPr="003D5E91">
        <w:rPr>
          <w:rFonts w:ascii="Arial" w:hAnsi="Arial" w:cs="Arial"/>
          <w:color w:val="595959" w:themeColor="text1" w:themeTint="A6"/>
        </w:rPr>
        <w:t>P</w:t>
      </w:r>
      <w:r w:rsidR="002A6879" w:rsidRPr="003D5E91">
        <w:rPr>
          <w:rFonts w:ascii="Arial" w:hAnsi="Arial" w:cs="Arial"/>
          <w:color w:val="595959" w:themeColor="text1" w:themeTint="A6"/>
        </w:rPr>
        <w:t>rogression</w:t>
      </w:r>
      <w:r w:rsidRPr="003D5E91">
        <w:rPr>
          <w:rFonts w:ascii="Arial" w:hAnsi="Arial" w:cs="Arial"/>
          <w:color w:val="595959" w:themeColor="text1" w:themeTint="A6"/>
        </w:rPr>
        <w:t>………………………………………………………………………………………..</w:t>
      </w:r>
      <w:r w:rsidR="00447BF9">
        <w:rPr>
          <w:rFonts w:ascii="Arial" w:hAnsi="Arial" w:cs="Arial"/>
          <w:color w:val="595959" w:themeColor="text1" w:themeTint="A6"/>
        </w:rPr>
        <w:t>.-</w:t>
      </w:r>
      <w:r w:rsidRPr="003D5E91">
        <w:rPr>
          <w:rFonts w:ascii="Arial" w:hAnsi="Arial" w:cs="Arial"/>
          <w:color w:val="595959" w:themeColor="text1" w:themeTint="A6"/>
        </w:rPr>
        <w:t>3</w:t>
      </w:r>
      <w:r w:rsidR="00626979">
        <w:rPr>
          <w:rFonts w:ascii="Arial" w:hAnsi="Arial" w:cs="Arial"/>
          <w:color w:val="595959" w:themeColor="text1" w:themeTint="A6"/>
        </w:rPr>
        <w:t>2</w:t>
      </w:r>
      <w:r w:rsidR="00447BF9">
        <w:rPr>
          <w:rFonts w:ascii="Arial" w:hAnsi="Arial" w:cs="Arial"/>
          <w:color w:val="595959" w:themeColor="text1" w:themeTint="A6"/>
        </w:rPr>
        <w:t>-</w:t>
      </w:r>
    </w:p>
    <w:p w14:paraId="1278D8B7" w14:textId="2F8CE6A1" w:rsidR="003F5F43" w:rsidRPr="003D5E91" w:rsidRDefault="003F5F43" w:rsidP="003D5E91">
      <w:pPr>
        <w:spacing w:line="276" w:lineRule="auto"/>
        <w:jc w:val="both"/>
        <w:rPr>
          <w:rFonts w:ascii="Arial" w:hAnsi="Arial" w:cs="Arial"/>
          <w:color w:val="595959" w:themeColor="text1" w:themeTint="A6"/>
        </w:rPr>
      </w:pPr>
      <w:r w:rsidRPr="0093500D">
        <w:rPr>
          <w:rFonts w:ascii="Arial" w:hAnsi="Arial" w:cs="Arial"/>
          <w:b/>
          <w:bCs/>
          <w:color w:val="595959" w:themeColor="text1" w:themeTint="A6"/>
        </w:rPr>
        <w:t>Figure 1.4</w:t>
      </w:r>
      <w:r w:rsidRPr="003D5E91">
        <w:rPr>
          <w:rFonts w:ascii="Arial" w:hAnsi="Arial" w:cs="Arial"/>
          <w:color w:val="595959" w:themeColor="text1" w:themeTint="A6"/>
        </w:rPr>
        <w:t xml:space="preserve"> Flow diagram depicting the roles of CAF in OSCC disease progression</w:t>
      </w:r>
      <w:r w:rsidR="004844CC" w:rsidRPr="003D5E91">
        <w:rPr>
          <w:rFonts w:ascii="Arial" w:hAnsi="Arial" w:cs="Arial"/>
          <w:color w:val="595959" w:themeColor="text1" w:themeTint="A6"/>
        </w:rPr>
        <w:t>……..</w:t>
      </w:r>
      <w:r w:rsidR="003F5CA6" w:rsidRPr="003D5E91">
        <w:rPr>
          <w:rFonts w:ascii="Arial" w:hAnsi="Arial" w:cs="Arial"/>
          <w:color w:val="595959" w:themeColor="text1" w:themeTint="A6"/>
        </w:rPr>
        <w:t>.</w:t>
      </w:r>
      <w:r w:rsidR="00447BF9">
        <w:rPr>
          <w:rFonts w:ascii="Arial" w:hAnsi="Arial" w:cs="Arial"/>
          <w:color w:val="595959" w:themeColor="text1" w:themeTint="A6"/>
        </w:rPr>
        <w:t>..-</w:t>
      </w:r>
      <w:r w:rsidR="004844CC" w:rsidRPr="003D5E91">
        <w:rPr>
          <w:rFonts w:ascii="Arial" w:hAnsi="Arial" w:cs="Arial"/>
          <w:color w:val="595959" w:themeColor="text1" w:themeTint="A6"/>
        </w:rPr>
        <w:t>3</w:t>
      </w:r>
      <w:r w:rsidR="00626979">
        <w:rPr>
          <w:rFonts w:ascii="Arial" w:hAnsi="Arial" w:cs="Arial"/>
          <w:color w:val="595959" w:themeColor="text1" w:themeTint="A6"/>
        </w:rPr>
        <w:t>5</w:t>
      </w:r>
      <w:r w:rsidR="00447BF9">
        <w:rPr>
          <w:rFonts w:ascii="Arial" w:hAnsi="Arial" w:cs="Arial"/>
          <w:color w:val="595959" w:themeColor="text1" w:themeTint="A6"/>
        </w:rPr>
        <w:t>-</w:t>
      </w:r>
    </w:p>
    <w:p w14:paraId="51900198" w14:textId="689D20FF" w:rsidR="00C064B8" w:rsidRPr="003D5E91" w:rsidRDefault="003F5F43" w:rsidP="003D5E91">
      <w:pPr>
        <w:spacing w:line="276" w:lineRule="auto"/>
        <w:jc w:val="both"/>
        <w:rPr>
          <w:rFonts w:ascii="Arial" w:hAnsi="Arial" w:cs="Arial"/>
          <w:color w:val="595959" w:themeColor="text1" w:themeTint="A6"/>
          <w:kern w:val="24"/>
        </w:rPr>
      </w:pPr>
      <w:r w:rsidRPr="00CA65FC">
        <w:rPr>
          <w:rFonts w:ascii="Arial" w:hAnsi="Arial" w:cs="Arial"/>
          <w:b/>
          <w:bCs/>
          <w:color w:val="595959" w:themeColor="text1" w:themeTint="A6"/>
          <w:kern w:val="24"/>
        </w:rPr>
        <w:t>Figure 1.5.</w:t>
      </w:r>
      <w:r w:rsidRPr="003D5E91">
        <w:rPr>
          <w:rFonts w:ascii="Arial" w:hAnsi="Arial" w:cs="Arial"/>
          <w:color w:val="595959" w:themeColor="text1" w:themeTint="A6"/>
          <w:kern w:val="24"/>
        </w:rPr>
        <w:t xml:space="preserve"> Diagram of collagen cross-linking and subsequent effects</w:t>
      </w:r>
      <w:r w:rsidR="004844CC" w:rsidRPr="003D5E91">
        <w:rPr>
          <w:rFonts w:ascii="Arial" w:hAnsi="Arial" w:cs="Arial"/>
          <w:color w:val="595959" w:themeColor="text1" w:themeTint="A6"/>
          <w:kern w:val="24"/>
        </w:rPr>
        <w:t>……………………</w:t>
      </w:r>
      <w:r w:rsidR="00447BF9">
        <w:rPr>
          <w:rFonts w:ascii="Arial" w:hAnsi="Arial" w:cs="Arial"/>
          <w:color w:val="595959" w:themeColor="text1" w:themeTint="A6"/>
          <w:kern w:val="24"/>
        </w:rPr>
        <w:t>…-</w:t>
      </w:r>
      <w:r w:rsidR="009975A9" w:rsidRPr="003D5E91">
        <w:rPr>
          <w:rFonts w:ascii="Arial" w:hAnsi="Arial" w:cs="Arial"/>
          <w:color w:val="595959" w:themeColor="text1" w:themeTint="A6"/>
          <w:kern w:val="24"/>
        </w:rPr>
        <w:t>4</w:t>
      </w:r>
      <w:r w:rsidR="00626979">
        <w:rPr>
          <w:rFonts w:ascii="Arial" w:hAnsi="Arial" w:cs="Arial"/>
          <w:color w:val="595959" w:themeColor="text1" w:themeTint="A6"/>
          <w:kern w:val="24"/>
        </w:rPr>
        <w:t>1</w:t>
      </w:r>
      <w:r w:rsidR="00447BF9">
        <w:rPr>
          <w:rFonts w:ascii="Arial" w:hAnsi="Arial" w:cs="Arial"/>
          <w:color w:val="595959" w:themeColor="text1" w:themeTint="A6"/>
          <w:kern w:val="24"/>
        </w:rPr>
        <w:t>-</w:t>
      </w:r>
    </w:p>
    <w:p w14:paraId="6D771F95" w14:textId="1A84CAE2" w:rsidR="007B63A0" w:rsidRPr="003D5E91" w:rsidRDefault="007B63A0" w:rsidP="003D5E91">
      <w:pPr>
        <w:spacing w:line="276" w:lineRule="auto"/>
        <w:jc w:val="both"/>
        <w:rPr>
          <w:rFonts w:ascii="Arial" w:hAnsi="Arial" w:cs="Arial"/>
          <w:color w:val="595959" w:themeColor="text1" w:themeTint="A6"/>
        </w:rPr>
      </w:pPr>
      <w:r w:rsidRPr="00CA65FC">
        <w:rPr>
          <w:rFonts w:ascii="Arial" w:hAnsi="Arial" w:cs="Arial"/>
          <w:b/>
          <w:bCs/>
          <w:color w:val="595959" w:themeColor="text1" w:themeTint="A6"/>
        </w:rPr>
        <w:t>Figure 1.6</w:t>
      </w:r>
      <w:r w:rsidRPr="003D5E91">
        <w:rPr>
          <w:rFonts w:ascii="Arial" w:hAnsi="Arial" w:cs="Arial"/>
          <w:color w:val="595959" w:themeColor="text1" w:themeTint="A6"/>
        </w:rPr>
        <w:t xml:space="preserve"> Schematic showing ECM impact on the hallmarks of cancer</w:t>
      </w:r>
      <w:r w:rsidR="009975A9" w:rsidRPr="003D5E91">
        <w:rPr>
          <w:rFonts w:ascii="Arial" w:hAnsi="Arial" w:cs="Arial"/>
          <w:color w:val="595959" w:themeColor="text1" w:themeTint="A6"/>
        </w:rPr>
        <w:t>…………………</w:t>
      </w:r>
      <w:r w:rsidR="00121A90">
        <w:rPr>
          <w:rFonts w:ascii="Arial" w:hAnsi="Arial" w:cs="Arial"/>
          <w:color w:val="595959" w:themeColor="text1" w:themeTint="A6"/>
        </w:rPr>
        <w:t>…-</w:t>
      </w:r>
      <w:r w:rsidR="009975A9" w:rsidRPr="003D5E91">
        <w:rPr>
          <w:rFonts w:ascii="Arial" w:hAnsi="Arial" w:cs="Arial"/>
          <w:color w:val="595959" w:themeColor="text1" w:themeTint="A6"/>
        </w:rPr>
        <w:t>4</w:t>
      </w:r>
      <w:r w:rsidR="00626979">
        <w:rPr>
          <w:rFonts w:ascii="Arial" w:hAnsi="Arial" w:cs="Arial"/>
          <w:color w:val="595959" w:themeColor="text1" w:themeTint="A6"/>
        </w:rPr>
        <w:t>5</w:t>
      </w:r>
      <w:r w:rsidR="00121A90">
        <w:rPr>
          <w:rFonts w:ascii="Arial" w:hAnsi="Arial" w:cs="Arial"/>
          <w:color w:val="595959" w:themeColor="text1" w:themeTint="A6"/>
        </w:rPr>
        <w:t>-</w:t>
      </w:r>
    </w:p>
    <w:p w14:paraId="440B6430" w14:textId="793FA0AC" w:rsidR="00755BDD" w:rsidRPr="003D5E91" w:rsidRDefault="00755BDD" w:rsidP="003D5E91">
      <w:pPr>
        <w:spacing w:line="276" w:lineRule="auto"/>
        <w:jc w:val="both"/>
        <w:rPr>
          <w:rFonts w:ascii="Arial" w:hAnsi="Arial" w:cs="Arial"/>
          <w:i/>
          <w:color w:val="595959" w:themeColor="text1" w:themeTint="A6"/>
        </w:rPr>
      </w:pPr>
      <w:r w:rsidRPr="00CA65FC">
        <w:rPr>
          <w:rFonts w:ascii="Arial" w:hAnsi="Arial" w:cs="Arial"/>
          <w:b/>
          <w:bCs/>
          <w:color w:val="595959" w:themeColor="text1" w:themeTint="A6"/>
        </w:rPr>
        <w:t>Figure 2.1</w:t>
      </w:r>
      <w:r w:rsidRPr="003D5E91">
        <w:rPr>
          <w:rFonts w:ascii="Arial" w:hAnsi="Arial" w:cs="Arial"/>
          <w:color w:val="595959" w:themeColor="text1" w:themeTint="A6"/>
        </w:rPr>
        <w:t xml:space="preserve"> Fibroblast differentiation protocol</w:t>
      </w:r>
      <w:r w:rsidR="009975A9" w:rsidRPr="003D5E91">
        <w:rPr>
          <w:rFonts w:ascii="Arial" w:hAnsi="Arial" w:cs="Arial"/>
          <w:color w:val="595959" w:themeColor="text1" w:themeTint="A6"/>
        </w:rPr>
        <w:t>…………………………………………………</w:t>
      </w:r>
      <w:r w:rsidR="00121A90">
        <w:rPr>
          <w:rFonts w:ascii="Arial" w:hAnsi="Arial" w:cs="Arial"/>
          <w:color w:val="595959" w:themeColor="text1" w:themeTint="A6"/>
        </w:rPr>
        <w:t>…-</w:t>
      </w:r>
      <w:r w:rsidR="004F5A99" w:rsidRPr="003D5E91">
        <w:rPr>
          <w:rFonts w:ascii="Arial" w:hAnsi="Arial" w:cs="Arial"/>
          <w:color w:val="595959" w:themeColor="text1" w:themeTint="A6"/>
        </w:rPr>
        <w:t>7</w:t>
      </w:r>
      <w:r w:rsidR="00626979">
        <w:rPr>
          <w:rFonts w:ascii="Arial" w:hAnsi="Arial" w:cs="Arial"/>
          <w:color w:val="595959" w:themeColor="text1" w:themeTint="A6"/>
        </w:rPr>
        <w:t>3</w:t>
      </w:r>
      <w:r w:rsidR="00121A90">
        <w:rPr>
          <w:rFonts w:ascii="Arial" w:hAnsi="Arial" w:cs="Arial"/>
          <w:color w:val="595959" w:themeColor="text1" w:themeTint="A6"/>
        </w:rPr>
        <w:t>-</w:t>
      </w:r>
    </w:p>
    <w:p w14:paraId="4F03D144" w14:textId="438DD884" w:rsidR="006519A9" w:rsidRPr="003D5E91" w:rsidRDefault="006519A9" w:rsidP="003D5E91">
      <w:pPr>
        <w:spacing w:line="276" w:lineRule="auto"/>
        <w:jc w:val="both"/>
        <w:rPr>
          <w:rFonts w:ascii="Arial" w:hAnsi="Arial" w:cs="Arial"/>
          <w:i/>
          <w:color w:val="595959" w:themeColor="text1" w:themeTint="A6"/>
        </w:rPr>
      </w:pPr>
      <w:r w:rsidRPr="00CA65FC">
        <w:rPr>
          <w:rFonts w:ascii="Arial" w:hAnsi="Arial" w:cs="Arial"/>
          <w:b/>
          <w:bCs/>
          <w:color w:val="595959" w:themeColor="text1" w:themeTint="A6"/>
        </w:rPr>
        <w:t>Figure 2.2</w:t>
      </w:r>
      <w:r w:rsidRPr="003D5E91">
        <w:rPr>
          <w:rFonts w:ascii="Arial" w:hAnsi="Arial" w:cs="Arial"/>
          <w:color w:val="595959" w:themeColor="text1" w:themeTint="A6"/>
        </w:rPr>
        <w:t xml:space="preserve"> Schematic of fibroblast-derived matrix development</w:t>
      </w:r>
      <w:r w:rsidR="004F5A99" w:rsidRPr="003D5E91">
        <w:rPr>
          <w:rFonts w:ascii="Arial" w:hAnsi="Arial" w:cs="Arial"/>
          <w:color w:val="595959" w:themeColor="text1" w:themeTint="A6"/>
        </w:rPr>
        <w:t>……………………………</w:t>
      </w:r>
      <w:r w:rsidR="00121A90">
        <w:rPr>
          <w:rFonts w:ascii="Arial" w:hAnsi="Arial" w:cs="Arial"/>
          <w:color w:val="595959" w:themeColor="text1" w:themeTint="A6"/>
        </w:rPr>
        <w:t>..-</w:t>
      </w:r>
      <w:r w:rsidR="004F5A99" w:rsidRPr="003D5E91">
        <w:rPr>
          <w:rFonts w:ascii="Arial" w:hAnsi="Arial" w:cs="Arial"/>
          <w:color w:val="595959" w:themeColor="text1" w:themeTint="A6"/>
        </w:rPr>
        <w:t>7</w:t>
      </w:r>
      <w:r w:rsidR="00626979">
        <w:rPr>
          <w:rFonts w:ascii="Arial" w:hAnsi="Arial" w:cs="Arial"/>
          <w:color w:val="595959" w:themeColor="text1" w:themeTint="A6"/>
        </w:rPr>
        <w:t>5</w:t>
      </w:r>
      <w:r w:rsidR="00121A90">
        <w:rPr>
          <w:rFonts w:ascii="Arial" w:hAnsi="Arial" w:cs="Arial"/>
          <w:color w:val="595959" w:themeColor="text1" w:themeTint="A6"/>
        </w:rPr>
        <w:t>-</w:t>
      </w:r>
    </w:p>
    <w:p w14:paraId="36E287D4" w14:textId="266CBE9B" w:rsidR="00271AC6" w:rsidRPr="003D5E91" w:rsidRDefault="00EB206F" w:rsidP="003D5E91">
      <w:pPr>
        <w:spacing w:line="276" w:lineRule="auto"/>
        <w:jc w:val="both"/>
        <w:rPr>
          <w:rFonts w:ascii="Arial" w:hAnsi="Arial" w:cs="Arial"/>
          <w:i/>
          <w:color w:val="595959" w:themeColor="text1" w:themeTint="A6"/>
        </w:rPr>
      </w:pPr>
      <w:r w:rsidRPr="00CA65FC">
        <w:rPr>
          <w:rFonts w:ascii="Arial" w:hAnsi="Arial" w:cs="Arial"/>
          <w:b/>
          <w:bCs/>
          <w:color w:val="595959" w:themeColor="text1" w:themeTint="A6"/>
        </w:rPr>
        <w:t>Figure 2.3</w:t>
      </w:r>
      <w:r w:rsidRPr="003D5E91">
        <w:rPr>
          <w:rFonts w:ascii="Arial" w:hAnsi="Arial" w:cs="Arial"/>
          <w:color w:val="595959" w:themeColor="text1" w:themeTint="A6"/>
        </w:rPr>
        <w:t xml:space="preserve"> Schematic of fibroblast-derived matrix development for large </w:t>
      </w:r>
      <w:r w:rsidR="00271AC6" w:rsidRPr="003D5E91">
        <w:rPr>
          <w:rFonts w:ascii="Arial" w:hAnsi="Arial" w:cs="Arial"/>
          <w:color w:val="595959" w:themeColor="text1" w:themeTint="A6"/>
        </w:rPr>
        <w:t>organotypic</w:t>
      </w:r>
    </w:p>
    <w:p w14:paraId="08C32065" w14:textId="37947FFF" w:rsidR="00EB206F" w:rsidRPr="003D5E91" w:rsidRDefault="00EB206F" w:rsidP="003D5E91">
      <w:pPr>
        <w:spacing w:line="276" w:lineRule="auto"/>
        <w:jc w:val="both"/>
        <w:rPr>
          <w:rFonts w:ascii="Arial" w:hAnsi="Arial" w:cs="Arial"/>
          <w:i/>
          <w:color w:val="595959" w:themeColor="text1" w:themeTint="A6"/>
        </w:rPr>
      </w:pPr>
      <w:r w:rsidRPr="003D5E91">
        <w:rPr>
          <w:rFonts w:ascii="Arial" w:hAnsi="Arial" w:cs="Arial"/>
          <w:color w:val="595959" w:themeColor="text1" w:themeTint="A6"/>
        </w:rPr>
        <w:t xml:space="preserve"> </w:t>
      </w:r>
      <w:r w:rsidR="004F5A99" w:rsidRPr="003D5E91">
        <w:rPr>
          <w:rFonts w:ascii="Arial" w:hAnsi="Arial" w:cs="Arial"/>
          <w:color w:val="595959" w:themeColor="text1" w:themeTint="A6"/>
        </w:rPr>
        <w:t>I</w:t>
      </w:r>
      <w:r w:rsidRPr="003D5E91">
        <w:rPr>
          <w:rFonts w:ascii="Arial" w:hAnsi="Arial" w:cs="Arial"/>
          <w:color w:val="595959" w:themeColor="text1" w:themeTint="A6"/>
        </w:rPr>
        <w:t>nserts</w:t>
      </w:r>
      <w:r w:rsidR="004F5A99" w:rsidRPr="003D5E91">
        <w:rPr>
          <w:rFonts w:ascii="Arial" w:hAnsi="Arial" w:cs="Arial"/>
          <w:color w:val="595959" w:themeColor="text1" w:themeTint="A6"/>
        </w:rPr>
        <w:t>…………………………………………………………………………………………</w:t>
      </w:r>
      <w:r w:rsidR="00121A90">
        <w:rPr>
          <w:rFonts w:ascii="Arial" w:hAnsi="Arial" w:cs="Arial"/>
          <w:color w:val="595959" w:themeColor="text1" w:themeTint="A6"/>
        </w:rPr>
        <w:t>…</w:t>
      </w:r>
      <w:r w:rsidR="006D592E">
        <w:rPr>
          <w:rFonts w:ascii="Arial" w:hAnsi="Arial" w:cs="Arial"/>
          <w:color w:val="595959" w:themeColor="text1" w:themeTint="A6"/>
        </w:rPr>
        <w:t>...</w:t>
      </w:r>
      <w:r w:rsidR="00121A90">
        <w:rPr>
          <w:rFonts w:ascii="Arial" w:hAnsi="Arial" w:cs="Arial"/>
          <w:color w:val="595959" w:themeColor="text1" w:themeTint="A6"/>
        </w:rPr>
        <w:t>-</w:t>
      </w:r>
      <w:r w:rsidR="004F5A99" w:rsidRPr="003D5E91">
        <w:rPr>
          <w:rFonts w:ascii="Arial" w:hAnsi="Arial" w:cs="Arial"/>
          <w:color w:val="595959" w:themeColor="text1" w:themeTint="A6"/>
        </w:rPr>
        <w:t>7</w:t>
      </w:r>
      <w:r w:rsidR="00626979">
        <w:rPr>
          <w:rFonts w:ascii="Arial" w:hAnsi="Arial" w:cs="Arial"/>
          <w:color w:val="595959" w:themeColor="text1" w:themeTint="A6"/>
        </w:rPr>
        <w:t>7</w:t>
      </w:r>
      <w:r w:rsidR="00121A90">
        <w:rPr>
          <w:rFonts w:ascii="Arial" w:hAnsi="Arial" w:cs="Arial"/>
          <w:color w:val="595959" w:themeColor="text1" w:themeTint="A6"/>
        </w:rPr>
        <w:t>-</w:t>
      </w:r>
    </w:p>
    <w:p w14:paraId="3E94E039" w14:textId="18F06F47" w:rsidR="00FD75E4" w:rsidRPr="003D5E91" w:rsidRDefault="00FD75E4" w:rsidP="003D5E91">
      <w:pPr>
        <w:spacing w:line="276" w:lineRule="auto"/>
        <w:jc w:val="both"/>
        <w:rPr>
          <w:rFonts w:ascii="Arial" w:hAnsi="Arial" w:cs="Arial"/>
          <w:i/>
          <w:color w:val="595959" w:themeColor="text1" w:themeTint="A6"/>
        </w:rPr>
      </w:pPr>
      <w:r w:rsidRPr="00CA65FC">
        <w:rPr>
          <w:rFonts w:ascii="Arial" w:hAnsi="Arial" w:cs="Arial"/>
          <w:b/>
          <w:bCs/>
          <w:color w:val="595959" w:themeColor="text1" w:themeTint="A6"/>
        </w:rPr>
        <w:t>Figure 2.4</w:t>
      </w:r>
      <w:r w:rsidRPr="003D5E91">
        <w:rPr>
          <w:rFonts w:ascii="Arial" w:hAnsi="Arial" w:cs="Arial"/>
          <w:color w:val="595959" w:themeColor="text1" w:themeTint="A6"/>
        </w:rPr>
        <w:t xml:space="preserve"> Schematic of the generation of full thickness oral mucosa models</w:t>
      </w:r>
      <w:r w:rsidR="003F5CA6" w:rsidRPr="003D5E91">
        <w:rPr>
          <w:rFonts w:ascii="Arial" w:hAnsi="Arial" w:cs="Arial"/>
          <w:color w:val="595959" w:themeColor="text1" w:themeTint="A6"/>
        </w:rPr>
        <w:t>……………</w:t>
      </w:r>
      <w:r w:rsidR="004F5A0D">
        <w:rPr>
          <w:rFonts w:ascii="Arial" w:hAnsi="Arial" w:cs="Arial"/>
          <w:color w:val="595959" w:themeColor="text1" w:themeTint="A6"/>
        </w:rPr>
        <w:t>..</w:t>
      </w:r>
      <w:r w:rsidR="006D592E">
        <w:rPr>
          <w:rFonts w:ascii="Arial" w:hAnsi="Arial" w:cs="Arial"/>
          <w:color w:val="595959" w:themeColor="text1" w:themeTint="A6"/>
        </w:rPr>
        <w:t>.-</w:t>
      </w:r>
      <w:r w:rsidR="003F5CA6" w:rsidRPr="003D5E91">
        <w:rPr>
          <w:rFonts w:ascii="Arial" w:hAnsi="Arial" w:cs="Arial"/>
          <w:color w:val="595959" w:themeColor="text1" w:themeTint="A6"/>
        </w:rPr>
        <w:t>7</w:t>
      </w:r>
      <w:r w:rsidR="00626979">
        <w:rPr>
          <w:rFonts w:ascii="Arial" w:hAnsi="Arial" w:cs="Arial"/>
          <w:color w:val="595959" w:themeColor="text1" w:themeTint="A6"/>
        </w:rPr>
        <w:t>9</w:t>
      </w:r>
      <w:r w:rsidR="006D592E">
        <w:rPr>
          <w:rFonts w:ascii="Arial" w:hAnsi="Arial" w:cs="Arial"/>
          <w:color w:val="595959" w:themeColor="text1" w:themeTint="A6"/>
        </w:rPr>
        <w:t>-</w:t>
      </w:r>
    </w:p>
    <w:p w14:paraId="337E55B1" w14:textId="52C578C3" w:rsidR="00FD75E4" w:rsidRPr="003D5E91" w:rsidRDefault="00FD75E4" w:rsidP="003D5E91">
      <w:pPr>
        <w:spacing w:line="276" w:lineRule="auto"/>
        <w:jc w:val="both"/>
        <w:rPr>
          <w:rFonts w:ascii="Arial" w:hAnsi="Arial" w:cs="Arial"/>
          <w:i/>
          <w:color w:val="595959" w:themeColor="text1" w:themeTint="A6"/>
        </w:rPr>
      </w:pPr>
      <w:r w:rsidRPr="00CA65FC">
        <w:rPr>
          <w:rFonts w:ascii="Arial" w:hAnsi="Arial" w:cs="Arial"/>
          <w:b/>
          <w:bCs/>
          <w:color w:val="595959" w:themeColor="text1" w:themeTint="A6"/>
        </w:rPr>
        <w:t>Figure 2.5</w:t>
      </w:r>
      <w:r w:rsidRPr="003D5E91">
        <w:rPr>
          <w:rFonts w:ascii="Arial" w:hAnsi="Arial" w:cs="Arial"/>
          <w:color w:val="595959" w:themeColor="text1" w:themeTint="A6"/>
        </w:rPr>
        <w:t xml:space="preserve"> Schematic of TEER analysis set-up</w:t>
      </w:r>
      <w:r w:rsidR="003F5CA6" w:rsidRPr="003D5E91">
        <w:rPr>
          <w:rFonts w:ascii="Arial" w:hAnsi="Arial" w:cs="Arial"/>
          <w:color w:val="595959" w:themeColor="text1" w:themeTint="A6"/>
        </w:rPr>
        <w:t>………………………………………………</w:t>
      </w:r>
      <w:r w:rsidR="006D592E">
        <w:rPr>
          <w:rFonts w:ascii="Arial" w:hAnsi="Arial" w:cs="Arial"/>
          <w:color w:val="595959" w:themeColor="text1" w:themeTint="A6"/>
        </w:rPr>
        <w:t>.</w:t>
      </w:r>
      <w:r w:rsidR="004F5A0D">
        <w:rPr>
          <w:rFonts w:ascii="Arial" w:hAnsi="Arial" w:cs="Arial"/>
          <w:color w:val="595959" w:themeColor="text1" w:themeTint="A6"/>
        </w:rPr>
        <w:t>..</w:t>
      </w:r>
      <w:r w:rsidR="006D592E">
        <w:rPr>
          <w:rFonts w:ascii="Arial" w:hAnsi="Arial" w:cs="Arial"/>
          <w:color w:val="595959" w:themeColor="text1" w:themeTint="A6"/>
        </w:rPr>
        <w:t>-</w:t>
      </w:r>
      <w:r w:rsidR="003F5CA6" w:rsidRPr="003D5E91">
        <w:rPr>
          <w:rFonts w:ascii="Arial" w:hAnsi="Arial" w:cs="Arial"/>
          <w:color w:val="595959" w:themeColor="text1" w:themeTint="A6"/>
        </w:rPr>
        <w:t>9</w:t>
      </w:r>
      <w:r w:rsidR="00626979">
        <w:rPr>
          <w:rFonts w:ascii="Arial" w:hAnsi="Arial" w:cs="Arial"/>
          <w:color w:val="595959" w:themeColor="text1" w:themeTint="A6"/>
        </w:rPr>
        <w:t>3</w:t>
      </w:r>
      <w:r w:rsidR="006D592E">
        <w:rPr>
          <w:rFonts w:ascii="Arial" w:hAnsi="Arial" w:cs="Arial"/>
          <w:color w:val="595959" w:themeColor="text1" w:themeTint="A6"/>
        </w:rPr>
        <w:t>-</w:t>
      </w:r>
    </w:p>
    <w:p w14:paraId="29C8CCF2" w14:textId="77777777" w:rsidR="00C832B7" w:rsidRPr="003D5E91" w:rsidRDefault="00FD75E4" w:rsidP="003D5E91">
      <w:pPr>
        <w:spacing w:line="276" w:lineRule="auto"/>
        <w:jc w:val="both"/>
        <w:rPr>
          <w:rFonts w:ascii="Arial" w:hAnsi="Arial" w:cs="Arial"/>
          <w:i/>
          <w:color w:val="595959" w:themeColor="text1" w:themeTint="A6"/>
        </w:rPr>
      </w:pPr>
      <w:r w:rsidRPr="00CA65FC">
        <w:rPr>
          <w:rFonts w:ascii="Arial" w:hAnsi="Arial" w:cs="Arial"/>
          <w:b/>
          <w:bCs/>
          <w:color w:val="595959" w:themeColor="text1" w:themeTint="A6"/>
        </w:rPr>
        <w:t>Figure 2.6</w:t>
      </w:r>
      <w:r w:rsidRPr="003D5E91">
        <w:rPr>
          <w:rFonts w:ascii="Arial" w:hAnsi="Arial" w:cs="Arial"/>
          <w:color w:val="595959" w:themeColor="text1" w:themeTint="A6"/>
        </w:rPr>
        <w:t xml:space="preserve"> Measuring the effective Young’s modulus of fibroblast-derived matrices</w:t>
      </w:r>
    </w:p>
    <w:p w14:paraId="6A6483DB" w14:textId="07120323" w:rsidR="00FD75E4" w:rsidRPr="003D5E91" w:rsidRDefault="00FD75E4" w:rsidP="003D5E91">
      <w:pPr>
        <w:spacing w:line="276" w:lineRule="auto"/>
        <w:jc w:val="both"/>
        <w:rPr>
          <w:rFonts w:ascii="Arial" w:hAnsi="Arial" w:cs="Arial"/>
          <w:i/>
          <w:color w:val="595959" w:themeColor="text1" w:themeTint="A6"/>
        </w:rPr>
      </w:pPr>
      <w:r w:rsidRPr="003D5E91">
        <w:rPr>
          <w:rFonts w:ascii="Arial" w:hAnsi="Arial" w:cs="Arial"/>
          <w:color w:val="595959" w:themeColor="text1" w:themeTint="A6"/>
        </w:rPr>
        <w:t xml:space="preserve"> using AFM</w:t>
      </w:r>
      <w:r w:rsidR="003F5CA6" w:rsidRPr="003D5E91">
        <w:rPr>
          <w:rFonts w:ascii="Arial" w:hAnsi="Arial" w:cs="Arial"/>
          <w:color w:val="595959" w:themeColor="text1" w:themeTint="A6"/>
        </w:rPr>
        <w:t>………………………………………………………………………………………</w:t>
      </w:r>
      <w:r w:rsidR="006D592E">
        <w:rPr>
          <w:rFonts w:ascii="Arial" w:hAnsi="Arial" w:cs="Arial"/>
          <w:color w:val="595959" w:themeColor="text1" w:themeTint="A6"/>
        </w:rPr>
        <w:t>…-</w:t>
      </w:r>
      <w:r w:rsidR="00271273" w:rsidRPr="003D5E91">
        <w:rPr>
          <w:rFonts w:ascii="Arial" w:hAnsi="Arial" w:cs="Arial"/>
          <w:color w:val="595959" w:themeColor="text1" w:themeTint="A6"/>
        </w:rPr>
        <w:t>9</w:t>
      </w:r>
      <w:r w:rsidR="00626979">
        <w:rPr>
          <w:rFonts w:ascii="Arial" w:hAnsi="Arial" w:cs="Arial"/>
          <w:color w:val="595959" w:themeColor="text1" w:themeTint="A6"/>
        </w:rPr>
        <w:t>7</w:t>
      </w:r>
      <w:r w:rsidR="006D592E">
        <w:rPr>
          <w:rFonts w:ascii="Arial" w:hAnsi="Arial" w:cs="Arial"/>
          <w:color w:val="595959" w:themeColor="text1" w:themeTint="A6"/>
        </w:rPr>
        <w:t>-</w:t>
      </w:r>
    </w:p>
    <w:p w14:paraId="0CD47B2A" w14:textId="302876C0" w:rsidR="00DD31CA" w:rsidRPr="003D5E91" w:rsidRDefault="00DD31CA" w:rsidP="003D5E91">
      <w:pPr>
        <w:spacing w:line="276" w:lineRule="auto"/>
        <w:jc w:val="both"/>
        <w:rPr>
          <w:rFonts w:ascii="Arial" w:eastAsia="SimSun" w:hAnsi="Arial" w:cs="Arial"/>
          <w:color w:val="595959" w:themeColor="text1" w:themeTint="A6"/>
          <w:kern w:val="24"/>
        </w:rPr>
      </w:pPr>
      <w:r w:rsidRPr="00D278B8">
        <w:rPr>
          <w:rFonts w:ascii="Arial" w:eastAsia="SimSun" w:hAnsi="Arial" w:cs="Arial"/>
          <w:b/>
          <w:bCs/>
          <w:color w:val="595959" w:themeColor="text1" w:themeTint="A6"/>
          <w:kern w:val="24"/>
        </w:rPr>
        <w:t>Figure 3.1</w:t>
      </w:r>
      <w:r w:rsidRPr="003D5E91">
        <w:rPr>
          <w:rFonts w:ascii="Arial" w:eastAsia="SimSun" w:hAnsi="Arial" w:cs="Arial"/>
          <w:color w:val="595959" w:themeColor="text1" w:themeTint="A6"/>
          <w:kern w:val="24"/>
        </w:rPr>
        <w:t xml:space="preserve"> Schematic of the materials and methods utilised in this chapter</w:t>
      </w:r>
      <w:r w:rsidR="00271273" w:rsidRPr="003D5E91">
        <w:rPr>
          <w:rFonts w:ascii="Arial" w:eastAsia="SimSun" w:hAnsi="Arial" w:cs="Arial"/>
          <w:color w:val="595959" w:themeColor="text1" w:themeTint="A6"/>
          <w:kern w:val="24"/>
        </w:rPr>
        <w:t>……………</w:t>
      </w:r>
      <w:r w:rsidR="004F5A0D">
        <w:rPr>
          <w:rFonts w:ascii="Arial" w:eastAsia="SimSun" w:hAnsi="Arial" w:cs="Arial"/>
          <w:color w:val="595959" w:themeColor="text1" w:themeTint="A6"/>
          <w:kern w:val="24"/>
        </w:rPr>
        <w:t>…..-</w:t>
      </w:r>
      <w:r w:rsidR="00271273" w:rsidRPr="003D5E91">
        <w:rPr>
          <w:rFonts w:ascii="Arial" w:eastAsia="SimSun" w:hAnsi="Arial" w:cs="Arial"/>
          <w:color w:val="595959" w:themeColor="text1" w:themeTint="A6"/>
          <w:kern w:val="24"/>
        </w:rPr>
        <w:t>10</w:t>
      </w:r>
      <w:r w:rsidR="00626979">
        <w:rPr>
          <w:rFonts w:ascii="Arial" w:eastAsia="SimSun" w:hAnsi="Arial" w:cs="Arial"/>
          <w:color w:val="595959" w:themeColor="text1" w:themeTint="A6"/>
          <w:kern w:val="24"/>
        </w:rPr>
        <w:t>3</w:t>
      </w:r>
      <w:r w:rsidR="004F5A0D">
        <w:rPr>
          <w:rFonts w:ascii="Arial" w:eastAsia="SimSun" w:hAnsi="Arial" w:cs="Arial"/>
          <w:color w:val="595959" w:themeColor="text1" w:themeTint="A6"/>
          <w:kern w:val="24"/>
        </w:rPr>
        <w:t>-</w:t>
      </w:r>
    </w:p>
    <w:p w14:paraId="037D21DD" w14:textId="77777777" w:rsidR="00C832B7" w:rsidRPr="003D5E91" w:rsidRDefault="00DD31CA" w:rsidP="003D5E91">
      <w:pPr>
        <w:spacing w:line="276" w:lineRule="auto"/>
        <w:jc w:val="both"/>
        <w:rPr>
          <w:rFonts w:ascii="Arial" w:eastAsia="SimSun" w:hAnsi="Arial" w:cs="Arial"/>
          <w:color w:val="595959" w:themeColor="text1" w:themeTint="A6"/>
          <w:kern w:val="24"/>
        </w:rPr>
      </w:pPr>
      <w:r w:rsidRPr="00D278B8">
        <w:rPr>
          <w:rFonts w:ascii="Arial" w:eastAsia="SimSun" w:hAnsi="Arial" w:cs="Arial"/>
          <w:b/>
          <w:bCs/>
          <w:color w:val="595959" w:themeColor="text1" w:themeTint="A6"/>
          <w:kern w:val="24"/>
        </w:rPr>
        <w:t>Figure 3.2</w:t>
      </w:r>
      <w:r w:rsidRPr="003D5E91">
        <w:rPr>
          <w:rFonts w:ascii="Arial" w:eastAsia="SimSun" w:hAnsi="Arial" w:cs="Arial"/>
          <w:color w:val="595959" w:themeColor="text1" w:themeTint="A6"/>
          <w:kern w:val="24"/>
        </w:rPr>
        <w:t xml:space="preserve"> Short-term expression data for the myofibroblast marker αSMA in NOF </w:t>
      </w:r>
    </w:p>
    <w:p w14:paraId="4E85B527" w14:textId="5EF5A494" w:rsidR="00DD31CA" w:rsidRPr="003D5E91" w:rsidRDefault="00DD31CA" w:rsidP="003D5E91">
      <w:pPr>
        <w:spacing w:line="276" w:lineRule="auto"/>
        <w:jc w:val="both"/>
        <w:rPr>
          <w:rFonts w:ascii="Arial" w:eastAsia="SimSun" w:hAnsi="Arial" w:cs="Arial"/>
          <w:color w:val="595959" w:themeColor="text1" w:themeTint="A6"/>
          <w:kern w:val="24"/>
        </w:rPr>
      </w:pPr>
      <w:r w:rsidRPr="003D5E91">
        <w:rPr>
          <w:rFonts w:ascii="Arial" w:eastAsia="SimSun" w:hAnsi="Arial" w:cs="Arial"/>
          <w:color w:val="595959" w:themeColor="text1" w:themeTint="A6"/>
          <w:kern w:val="24"/>
        </w:rPr>
        <w:t>with and</w:t>
      </w:r>
      <w:r w:rsidR="00271273" w:rsidRPr="003D5E91">
        <w:rPr>
          <w:rFonts w:ascii="Arial" w:eastAsia="SimSun" w:hAnsi="Arial" w:cs="Arial"/>
          <w:color w:val="595959" w:themeColor="text1" w:themeTint="A6"/>
          <w:kern w:val="24"/>
        </w:rPr>
        <w:t xml:space="preserve"> </w:t>
      </w:r>
      <w:r w:rsidRPr="003D5E91">
        <w:rPr>
          <w:rFonts w:ascii="Arial" w:eastAsia="SimSun" w:hAnsi="Arial" w:cs="Arial"/>
          <w:color w:val="595959" w:themeColor="text1" w:themeTint="A6"/>
          <w:kern w:val="24"/>
        </w:rPr>
        <w:t>without TGFβ-1 stimulation</w:t>
      </w:r>
      <w:r w:rsidR="00271273" w:rsidRPr="003D5E91">
        <w:rPr>
          <w:rFonts w:ascii="Arial" w:eastAsia="SimSun" w:hAnsi="Arial" w:cs="Arial"/>
          <w:color w:val="595959" w:themeColor="text1" w:themeTint="A6"/>
          <w:kern w:val="24"/>
        </w:rPr>
        <w:t>………………………………………………………</w:t>
      </w:r>
      <w:r w:rsidR="004F5A0D">
        <w:rPr>
          <w:rFonts w:ascii="Arial" w:eastAsia="SimSun" w:hAnsi="Arial" w:cs="Arial"/>
          <w:color w:val="595959" w:themeColor="text1" w:themeTint="A6"/>
          <w:kern w:val="24"/>
        </w:rPr>
        <w:t>…..-</w:t>
      </w:r>
      <w:r w:rsidR="00271273" w:rsidRPr="003D5E91">
        <w:rPr>
          <w:rFonts w:ascii="Arial" w:eastAsia="SimSun" w:hAnsi="Arial" w:cs="Arial"/>
          <w:color w:val="595959" w:themeColor="text1" w:themeTint="A6"/>
          <w:kern w:val="24"/>
        </w:rPr>
        <w:t>10</w:t>
      </w:r>
      <w:r w:rsidR="00626979">
        <w:rPr>
          <w:rFonts w:ascii="Arial" w:eastAsia="SimSun" w:hAnsi="Arial" w:cs="Arial"/>
          <w:color w:val="595959" w:themeColor="text1" w:themeTint="A6"/>
          <w:kern w:val="24"/>
        </w:rPr>
        <w:t>5</w:t>
      </w:r>
      <w:r w:rsidR="004F5A0D">
        <w:rPr>
          <w:rFonts w:ascii="Arial" w:eastAsia="SimSun" w:hAnsi="Arial" w:cs="Arial"/>
          <w:color w:val="595959" w:themeColor="text1" w:themeTint="A6"/>
          <w:kern w:val="24"/>
        </w:rPr>
        <w:t>-</w:t>
      </w:r>
    </w:p>
    <w:p w14:paraId="05F51A91" w14:textId="77777777" w:rsidR="00C832B7" w:rsidRPr="003D5E91" w:rsidRDefault="00DD31CA" w:rsidP="003D5E91">
      <w:pPr>
        <w:spacing w:line="276" w:lineRule="auto"/>
        <w:jc w:val="both"/>
        <w:rPr>
          <w:rFonts w:ascii="Arial" w:eastAsia="SimSun" w:hAnsi="Arial" w:cs="Arial"/>
          <w:color w:val="595959" w:themeColor="text1" w:themeTint="A6"/>
          <w:kern w:val="24"/>
        </w:rPr>
      </w:pPr>
      <w:r w:rsidRPr="00D278B8">
        <w:rPr>
          <w:rFonts w:ascii="Arial" w:eastAsia="SimSun" w:hAnsi="Arial" w:cs="Arial"/>
          <w:b/>
          <w:bCs/>
          <w:color w:val="595959" w:themeColor="text1" w:themeTint="A6"/>
          <w:kern w:val="24"/>
        </w:rPr>
        <w:t>Figure 3.3</w:t>
      </w:r>
      <w:r w:rsidRPr="003D5E91">
        <w:rPr>
          <w:rFonts w:ascii="Arial" w:eastAsia="SimSun" w:hAnsi="Arial" w:cs="Arial"/>
          <w:color w:val="595959" w:themeColor="text1" w:themeTint="A6"/>
          <w:kern w:val="24"/>
        </w:rPr>
        <w:t xml:space="preserve"> Short-term expression data for the glycoprotein FN1-EDA in NOF with</w:t>
      </w:r>
    </w:p>
    <w:p w14:paraId="7A836A2A" w14:textId="71C4B95A" w:rsidR="00DD31CA" w:rsidRPr="003D5E91" w:rsidRDefault="00DD31CA" w:rsidP="003D5E91">
      <w:pPr>
        <w:spacing w:line="276" w:lineRule="auto"/>
        <w:jc w:val="both"/>
        <w:rPr>
          <w:rFonts w:ascii="Arial" w:eastAsia="SimSun" w:hAnsi="Arial" w:cs="Arial"/>
          <w:color w:val="595959" w:themeColor="text1" w:themeTint="A6"/>
          <w:kern w:val="24"/>
        </w:rPr>
      </w:pPr>
      <w:r w:rsidRPr="003D5E91">
        <w:rPr>
          <w:rFonts w:ascii="Arial" w:eastAsia="SimSun" w:hAnsi="Arial" w:cs="Arial"/>
          <w:color w:val="595959" w:themeColor="text1" w:themeTint="A6"/>
          <w:kern w:val="24"/>
        </w:rPr>
        <w:t xml:space="preserve"> and without TGFβ-1 stimulation</w:t>
      </w:r>
      <w:r w:rsidR="00271273" w:rsidRPr="003D5E91">
        <w:rPr>
          <w:rFonts w:ascii="Arial" w:eastAsia="SimSun" w:hAnsi="Arial" w:cs="Arial"/>
          <w:color w:val="595959" w:themeColor="text1" w:themeTint="A6"/>
          <w:kern w:val="24"/>
        </w:rPr>
        <w:t>……………………………………………………………</w:t>
      </w:r>
      <w:r w:rsidR="004F5A0D">
        <w:rPr>
          <w:rFonts w:ascii="Arial" w:eastAsia="SimSun" w:hAnsi="Arial" w:cs="Arial"/>
          <w:color w:val="595959" w:themeColor="text1" w:themeTint="A6"/>
          <w:kern w:val="24"/>
        </w:rPr>
        <w:t>….-</w:t>
      </w:r>
      <w:r w:rsidR="00204CEE" w:rsidRPr="003D5E91">
        <w:rPr>
          <w:rFonts w:ascii="Arial" w:eastAsia="SimSun" w:hAnsi="Arial" w:cs="Arial"/>
          <w:color w:val="595959" w:themeColor="text1" w:themeTint="A6"/>
          <w:kern w:val="24"/>
        </w:rPr>
        <w:t>10</w:t>
      </w:r>
      <w:r w:rsidR="00626979">
        <w:rPr>
          <w:rFonts w:ascii="Arial" w:eastAsia="SimSun" w:hAnsi="Arial" w:cs="Arial"/>
          <w:color w:val="595959" w:themeColor="text1" w:themeTint="A6"/>
          <w:kern w:val="24"/>
        </w:rPr>
        <w:t>6</w:t>
      </w:r>
      <w:r w:rsidR="004F5A0D">
        <w:rPr>
          <w:rFonts w:ascii="Arial" w:eastAsia="SimSun" w:hAnsi="Arial" w:cs="Arial"/>
          <w:color w:val="595959" w:themeColor="text1" w:themeTint="A6"/>
          <w:kern w:val="24"/>
        </w:rPr>
        <w:t>-</w:t>
      </w:r>
    </w:p>
    <w:p w14:paraId="35E5D5AD" w14:textId="77777777" w:rsidR="00271AC6" w:rsidRPr="003D5E91" w:rsidRDefault="00DD31CA" w:rsidP="003D5E91">
      <w:pPr>
        <w:spacing w:line="276" w:lineRule="auto"/>
        <w:jc w:val="both"/>
        <w:rPr>
          <w:rFonts w:ascii="Arial" w:eastAsia="SimSun" w:hAnsi="Arial" w:cs="Arial"/>
          <w:color w:val="595959" w:themeColor="text1" w:themeTint="A6"/>
          <w:kern w:val="24"/>
        </w:rPr>
      </w:pPr>
      <w:r w:rsidRPr="00D278B8">
        <w:rPr>
          <w:rFonts w:ascii="Arial" w:eastAsia="SimSun" w:hAnsi="Arial" w:cs="Arial"/>
          <w:b/>
          <w:bCs/>
          <w:color w:val="595959" w:themeColor="text1" w:themeTint="A6"/>
          <w:kern w:val="24"/>
        </w:rPr>
        <w:t>Figure 3.4</w:t>
      </w:r>
      <w:r w:rsidRPr="003D5E91">
        <w:rPr>
          <w:rFonts w:ascii="Arial" w:eastAsia="SimSun" w:hAnsi="Arial" w:cs="Arial"/>
          <w:color w:val="595959" w:themeColor="text1" w:themeTint="A6"/>
          <w:kern w:val="24"/>
        </w:rPr>
        <w:t xml:space="preserve"> Short-term expression data for ECM protein COL1A1 in NOF with and </w:t>
      </w:r>
    </w:p>
    <w:p w14:paraId="1E8CB4A9" w14:textId="7996D26B" w:rsidR="00DD31CA" w:rsidRPr="003D5E91" w:rsidRDefault="00DD31CA" w:rsidP="003D5E91">
      <w:pPr>
        <w:spacing w:line="276" w:lineRule="auto"/>
        <w:jc w:val="both"/>
        <w:rPr>
          <w:rFonts w:ascii="Arial" w:eastAsia="SimSun" w:hAnsi="Arial" w:cs="Arial"/>
          <w:color w:val="595959" w:themeColor="text1" w:themeTint="A6"/>
          <w:kern w:val="24"/>
        </w:rPr>
      </w:pPr>
      <w:r w:rsidRPr="003D5E91">
        <w:rPr>
          <w:rFonts w:ascii="Arial" w:eastAsia="SimSun" w:hAnsi="Arial" w:cs="Arial"/>
          <w:color w:val="595959" w:themeColor="text1" w:themeTint="A6"/>
          <w:kern w:val="24"/>
        </w:rPr>
        <w:t>without TGFβ-1 stimulation</w:t>
      </w:r>
      <w:r w:rsidR="00204CEE" w:rsidRPr="003D5E91">
        <w:rPr>
          <w:rFonts w:ascii="Arial" w:eastAsia="SimSun" w:hAnsi="Arial" w:cs="Arial"/>
          <w:color w:val="595959" w:themeColor="text1" w:themeTint="A6"/>
          <w:kern w:val="24"/>
        </w:rPr>
        <w:t>………………………………………………………………</w:t>
      </w:r>
      <w:r w:rsidR="004F5A0D">
        <w:rPr>
          <w:rFonts w:ascii="Arial" w:eastAsia="SimSun" w:hAnsi="Arial" w:cs="Arial"/>
          <w:color w:val="595959" w:themeColor="text1" w:themeTint="A6"/>
          <w:kern w:val="24"/>
        </w:rPr>
        <w:t>…</w:t>
      </w:r>
      <w:r w:rsidR="00204CEE" w:rsidRPr="003D5E91">
        <w:rPr>
          <w:rFonts w:ascii="Arial" w:eastAsia="SimSun" w:hAnsi="Arial" w:cs="Arial"/>
          <w:color w:val="595959" w:themeColor="text1" w:themeTint="A6"/>
          <w:kern w:val="24"/>
        </w:rPr>
        <w:t>….</w:t>
      </w:r>
      <w:r w:rsidR="004F5A0D">
        <w:rPr>
          <w:rFonts w:ascii="Arial" w:eastAsia="SimSun" w:hAnsi="Arial" w:cs="Arial"/>
          <w:color w:val="595959" w:themeColor="text1" w:themeTint="A6"/>
          <w:kern w:val="24"/>
        </w:rPr>
        <w:t>-</w:t>
      </w:r>
      <w:r w:rsidR="00204CEE" w:rsidRPr="003D5E91">
        <w:rPr>
          <w:rFonts w:ascii="Arial" w:eastAsia="SimSun" w:hAnsi="Arial" w:cs="Arial"/>
          <w:color w:val="595959" w:themeColor="text1" w:themeTint="A6"/>
          <w:kern w:val="24"/>
        </w:rPr>
        <w:t>10</w:t>
      </w:r>
      <w:r w:rsidR="00626979">
        <w:rPr>
          <w:rFonts w:ascii="Arial" w:eastAsia="SimSun" w:hAnsi="Arial" w:cs="Arial"/>
          <w:color w:val="595959" w:themeColor="text1" w:themeTint="A6"/>
          <w:kern w:val="24"/>
        </w:rPr>
        <w:t>7</w:t>
      </w:r>
      <w:r w:rsidR="004F5A0D">
        <w:rPr>
          <w:rFonts w:ascii="Arial" w:eastAsia="SimSun" w:hAnsi="Arial" w:cs="Arial"/>
          <w:color w:val="595959" w:themeColor="text1" w:themeTint="A6"/>
          <w:kern w:val="24"/>
        </w:rPr>
        <w:t>-</w:t>
      </w:r>
    </w:p>
    <w:p w14:paraId="21681E5E" w14:textId="77777777" w:rsidR="00271AC6" w:rsidRPr="003D5E91" w:rsidRDefault="00DD31CA" w:rsidP="003D5E91">
      <w:pPr>
        <w:spacing w:line="276" w:lineRule="auto"/>
        <w:jc w:val="both"/>
        <w:rPr>
          <w:rFonts w:ascii="Arial" w:eastAsia="SimSun" w:hAnsi="Arial" w:cs="Arial"/>
          <w:color w:val="595959" w:themeColor="text1" w:themeTint="A6"/>
          <w:kern w:val="24"/>
        </w:rPr>
      </w:pPr>
      <w:r w:rsidRPr="00D278B8">
        <w:rPr>
          <w:rFonts w:ascii="Arial" w:eastAsia="SimSun" w:hAnsi="Arial" w:cs="Arial"/>
          <w:b/>
          <w:bCs/>
          <w:color w:val="595959" w:themeColor="text1" w:themeTint="A6"/>
          <w:kern w:val="24"/>
        </w:rPr>
        <w:t>Figure 3.5</w:t>
      </w:r>
      <w:r w:rsidRPr="003D5E91">
        <w:rPr>
          <w:rFonts w:ascii="Arial" w:eastAsia="SimSun" w:hAnsi="Arial" w:cs="Arial"/>
          <w:color w:val="595959" w:themeColor="text1" w:themeTint="A6"/>
          <w:kern w:val="24"/>
        </w:rPr>
        <w:t xml:space="preserve"> Short-term expression data for the matrix marker VCAN in NOF with and </w:t>
      </w:r>
    </w:p>
    <w:p w14:paraId="16FB8459" w14:textId="42193511" w:rsidR="00DD31CA" w:rsidRPr="003D5E91" w:rsidRDefault="00DD31CA" w:rsidP="003D5E91">
      <w:pPr>
        <w:spacing w:line="276" w:lineRule="auto"/>
        <w:jc w:val="both"/>
        <w:rPr>
          <w:rFonts w:ascii="Arial" w:hAnsi="Arial" w:cs="Arial"/>
          <w:color w:val="595959" w:themeColor="text1" w:themeTint="A6"/>
        </w:rPr>
      </w:pPr>
      <w:r w:rsidRPr="003D5E91">
        <w:rPr>
          <w:rFonts w:ascii="Arial" w:eastAsia="SimSun" w:hAnsi="Arial" w:cs="Arial"/>
          <w:color w:val="595959" w:themeColor="text1" w:themeTint="A6"/>
          <w:kern w:val="24"/>
        </w:rPr>
        <w:t>without TGFβ-1 stimulation</w:t>
      </w:r>
      <w:r w:rsidR="00204CEE" w:rsidRPr="003D5E91">
        <w:rPr>
          <w:rFonts w:ascii="Arial" w:eastAsia="SimSun" w:hAnsi="Arial" w:cs="Arial"/>
          <w:color w:val="595959" w:themeColor="text1" w:themeTint="A6"/>
          <w:kern w:val="24"/>
        </w:rPr>
        <w:t>…………………………………………………………………</w:t>
      </w:r>
      <w:r w:rsidR="00AB0753">
        <w:rPr>
          <w:rFonts w:ascii="Arial" w:eastAsia="SimSun" w:hAnsi="Arial" w:cs="Arial"/>
          <w:color w:val="595959" w:themeColor="text1" w:themeTint="A6"/>
          <w:kern w:val="24"/>
        </w:rPr>
        <w:t>….-</w:t>
      </w:r>
      <w:r w:rsidR="00204CEE" w:rsidRPr="003D5E91">
        <w:rPr>
          <w:rFonts w:ascii="Arial" w:eastAsia="SimSun" w:hAnsi="Arial" w:cs="Arial"/>
          <w:color w:val="595959" w:themeColor="text1" w:themeTint="A6"/>
          <w:kern w:val="24"/>
        </w:rPr>
        <w:t>10</w:t>
      </w:r>
      <w:r w:rsidR="00626979">
        <w:rPr>
          <w:rFonts w:ascii="Arial" w:eastAsia="SimSun" w:hAnsi="Arial" w:cs="Arial"/>
          <w:color w:val="595959" w:themeColor="text1" w:themeTint="A6"/>
          <w:kern w:val="24"/>
        </w:rPr>
        <w:t>8</w:t>
      </w:r>
      <w:r w:rsidR="00AB0753">
        <w:rPr>
          <w:rFonts w:ascii="Arial" w:eastAsia="SimSun" w:hAnsi="Arial" w:cs="Arial"/>
          <w:color w:val="595959" w:themeColor="text1" w:themeTint="A6"/>
          <w:kern w:val="24"/>
        </w:rPr>
        <w:t>-</w:t>
      </w:r>
      <w:r w:rsidRPr="003D5E91">
        <w:rPr>
          <w:rFonts w:ascii="Arial" w:eastAsia="SimSun" w:hAnsi="Arial" w:cs="Arial"/>
          <w:color w:val="595959" w:themeColor="text1" w:themeTint="A6"/>
          <w:kern w:val="24"/>
        </w:rPr>
        <w:t xml:space="preserve"> </w:t>
      </w:r>
    </w:p>
    <w:p w14:paraId="19BA4DE9" w14:textId="77777777" w:rsidR="00511DBD" w:rsidRPr="003D5E91" w:rsidRDefault="00DD31CA" w:rsidP="003D5E91">
      <w:pPr>
        <w:spacing w:line="276" w:lineRule="auto"/>
        <w:jc w:val="both"/>
        <w:rPr>
          <w:rFonts w:ascii="Arial" w:eastAsia="SimSun" w:hAnsi="Arial" w:cs="Arial"/>
          <w:color w:val="595959" w:themeColor="text1" w:themeTint="A6"/>
          <w:kern w:val="24"/>
        </w:rPr>
      </w:pPr>
      <w:r w:rsidRPr="00D278B8">
        <w:rPr>
          <w:rFonts w:ascii="Arial" w:eastAsia="SimSun" w:hAnsi="Arial" w:cs="Arial"/>
          <w:b/>
          <w:bCs/>
          <w:color w:val="595959" w:themeColor="text1" w:themeTint="A6"/>
          <w:kern w:val="24"/>
        </w:rPr>
        <w:t>Figure 3.6</w:t>
      </w:r>
      <w:r w:rsidRPr="003D5E91">
        <w:rPr>
          <w:rFonts w:ascii="Arial" w:eastAsia="SimSun" w:hAnsi="Arial" w:cs="Arial"/>
          <w:color w:val="595959" w:themeColor="text1" w:themeTint="A6"/>
          <w:kern w:val="24"/>
        </w:rPr>
        <w:t xml:space="preserve"> Short-term expression data for the myofibroblast marker TNC in NOF with </w:t>
      </w:r>
    </w:p>
    <w:p w14:paraId="4A1112B6" w14:textId="45113D7F" w:rsidR="00DD31CA" w:rsidRPr="003D5E91" w:rsidRDefault="00511DBD" w:rsidP="003D5E91">
      <w:pPr>
        <w:spacing w:line="276" w:lineRule="auto"/>
        <w:jc w:val="both"/>
        <w:rPr>
          <w:rFonts w:ascii="Arial" w:eastAsia="SimSun" w:hAnsi="Arial" w:cs="Arial"/>
          <w:color w:val="595959" w:themeColor="text1" w:themeTint="A6"/>
          <w:kern w:val="24"/>
        </w:rPr>
      </w:pPr>
      <w:r w:rsidRPr="003D5E91">
        <w:rPr>
          <w:rFonts w:ascii="Arial" w:eastAsia="SimSun" w:hAnsi="Arial" w:cs="Arial"/>
          <w:color w:val="595959" w:themeColor="text1" w:themeTint="A6"/>
          <w:kern w:val="24"/>
        </w:rPr>
        <w:t>A</w:t>
      </w:r>
      <w:r w:rsidR="00DD31CA" w:rsidRPr="003D5E91">
        <w:rPr>
          <w:rFonts w:ascii="Arial" w:eastAsia="SimSun" w:hAnsi="Arial" w:cs="Arial"/>
          <w:color w:val="595959" w:themeColor="text1" w:themeTint="A6"/>
          <w:kern w:val="24"/>
        </w:rPr>
        <w:t>nd</w:t>
      </w:r>
      <w:r w:rsidRPr="003D5E91">
        <w:rPr>
          <w:rFonts w:ascii="Arial" w:eastAsia="SimSun" w:hAnsi="Arial" w:cs="Arial"/>
          <w:color w:val="595959" w:themeColor="text1" w:themeTint="A6"/>
          <w:kern w:val="24"/>
        </w:rPr>
        <w:t xml:space="preserve"> </w:t>
      </w:r>
      <w:r w:rsidR="00DD31CA" w:rsidRPr="003D5E91">
        <w:rPr>
          <w:rFonts w:ascii="Arial" w:eastAsia="SimSun" w:hAnsi="Arial" w:cs="Arial"/>
          <w:color w:val="595959" w:themeColor="text1" w:themeTint="A6"/>
          <w:kern w:val="24"/>
        </w:rPr>
        <w:t>without TGFβ-1 stimulation</w:t>
      </w:r>
      <w:r w:rsidR="00204CEE" w:rsidRPr="003D5E91">
        <w:rPr>
          <w:rFonts w:ascii="Arial" w:eastAsia="SimSun" w:hAnsi="Arial" w:cs="Arial"/>
          <w:color w:val="595959" w:themeColor="text1" w:themeTint="A6"/>
          <w:kern w:val="24"/>
        </w:rPr>
        <w:t>…………………………………………………………</w:t>
      </w:r>
      <w:r w:rsidRPr="003D5E91">
        <w:rPr>
          <w:rFonts w:ascii="Arial" w:eastAsia="SimSun" w:hAnsi="Arial" w:cs="Arial"/>
          <w:color w:val="595959" w:themeColor="text1" w:themeTint="A6"/>
          <w:kern w:val="24"/>
        </w:rPr>
        <w:t>...</w:t>
      </w:r>
      <w:r w:rsidR="0044290D" w:rsidRPr="003D5E91">
        <w:rPr>
          <w:rFonts w:ascii="Arial" w:eastAsia="SimSun" w:hAnsi="Arial" w:cs="Arial"/>
          <w:color w:val="595959" w:themeColor="text1" w:themeTint="A6"/>
          <w:kern w:val="24"/>
        </w:rPr>
        <w:t>.</w:t>
      </w:r>
      <w:r w:rsidR="00AB0753">
        <w:rPr>
          <w:rFonts w:ascii="Arial" w:eastAsia="SimSun" w:hAnsi="Arial" w:cs="Arial"/>
          <w:color w:val="595959" w:themeColor="text1" w:themeTint="A6"/>
          <w:kern w:val="24"/>
        </w:rPr>
        <w:t>....-</w:t>
      </w:r>
      <w:r w:rsidR="0044290D" w:rsidRPr="003D5E91">
        <w:rPr>
          <w:rFonts w:ascii="Arial" w:eastAsia="SimSun" w:hAnsi="Arial" w:cs="Arial"/>
          <w:color w:val="595959" w:themeColor="text1" w:themeTint="A6"/>
          <w:kern w:val="24"/>
        </w:rPr>
        <w:t>10</w:t>
      </w:r>
      <w:r w:rsidR="00626979">
        <w:rPr>
          <w:rFonts w:ascii="Arial" w:eastAsia="SimSun" w:hAnsi="Arial" w:cs="Arial"/>
          <w:color w:val="595959" w:themeColor="text1" w:themeTint="A6"/>
          <w:kern w:val="24"/>
        </w:rPr>
        <w:t>9</w:t>
      </w:r>
      <w:r w:rsidR="00AB0753">
        <w:rPr>
          <w:rFonts w:ascii="Arial" w:eastAsia="SimSun" w:hAnsi="Arial" w:cs="Arial"/>
          <w:color w:val="595959" w:themeColor="text1" w:themeTint="A6"/>
          <w:kern w:val="24"/>
        </w:rPr>
        <w:t>-</w:t>
      </w:r>
      <w:r w:rsidR="00DD31CA" w:rsidRPr="003D5E91">
        <w:rPr>
          <w:rFonts w:ascii="Arial" w:eastAsia="SimSun" w:hAnsi="Arial" w:cs="Arial"/>
          <w:color w:val="595959" w:themeColor="text1" w:themeTint="A6"/>
          <w:kern w:val="24"/>
        </w:rPr>
        <w:t xml:space="preserve">  </w:t>
      </w:r>
    </w:p>
    <w:p w14:paraId="390CBD5B" w14:textId="77777777" w:rsidR="00511DBD" w:rsidRPr="003D5E91" w:rsidRDefault="00BE4D60" w:rsidP="003D5E91">
      <w:pPr>
        <w:spacing w:line="276" w:lineRule="auto"/>
        <w:jc w:val="both"/>
        <w:rPr>
          <w:rFonts w:ascii="Arial" w:eastAsia="SimSun" w:hAnsi="Arial" w:cs="Arial"/>
          <w:color w:val="595959" w:themeColor="text1" w:themeTint="A6"/>
          <w:kern w:val="24"/>
        </w:rPr>
      </w:pPr>
      <w:r w:rsidRPr="00D278B8">
        <w:rPr>
          <w:rFonts w:ascii="Arial" w:eastAsia="SimSun" w:hAnsi="Arial" w:cs="Arial"/>
          <w:b/>
          <w:bCs/>
          <w:color w:val="595959" w:themeColor="text1" w:themeTint="A6"/>
          <w:kern w:val="24"/>
        </w:rPr>
        <w:t>Figure 3.7</w:t>
      </w:r>
      <w:r w:rsidRPr="003D5E91">
        <w:rPr>
          <w:rFonts w:ascii="Arial" w:eastAsia="SimSun" w:hAnsi="Arial" w:cs="Arial"/>
          <w:color w:val="595959" w:themeColor="text1" w:themeTint="A6"/>
          <w:kern w:val="24"/>
        </w:rPr>
        <w:t xml:space="preserve"> Long-term expression data for the myofibroblast marker αSMA in NOF with </w:t>
      </w:r>
    </w:p>
    <w:p w14:paraId="0B59C812" w14:textId="6E019E0A" w:rsidR="00BE4D60" w:rsidRPr="003D5E91" w:rsidRDefault="00511DBD" w:rsidP="003D5E91">
      <w:pPr>
        <w:spacing w:line="276" w:lineRule="auto"/>
        <w:jc w:val="both"/>
        <w:rPr>
          <w:rFonts w:ascii="Arial" w:eastAsia="SimSun" w:hAnsi="Arial" w:cs="Arial"/>
          <w:color w:val="595959" w:themeColor="text1" w:themeTint="A6"/>
          <w:kern w:val="24"/>
        </w:rPr>
      </w:pPr>
      <w:r w:rsidRPr="003D5E91">
        <w:rPr>
          <w:rFonts w:ascii="Arial" w:eastAsia="SimSun" w:hAnsi="Arial" w:cs="Arial"/>
          <w:color w:val="595959" w:themeColor="text1" w:themeTint="A6"/>
          <w:kern w:val="24"/>
        </w:rPr>
        <w:t>A</w:t>
      </w:r>
      <w:r w:rsidR="00BE4D60" w:rsidRPr="003D5E91">
        <w:rPr>
          <w:rFonts w:ascii="Arial" w:eastAsia="SimSun" w:hAnsi="Arial" w:cs="Arial"/>
          <w:color w:val="595959" w:themeColor="text1" w:themeTint="A6"/>
          <w:kern w:val="24"/>
        </w:rPr>
        <w:t>nd</w:t>
      </w:r>
      <w:r w:rsidRPr="003D5E91">
        <w:rPr>
          <w:rFonts w:ascii="Arial" w:eastAsia="SimSun" w:hAnsi="Arial" w:cs="Arial"/>
          <w:color w:val="595959" w:themeColor="text1" w:themeTint="A6"/>
          <w:kern w:val="24"/>
        </w:rPr>
        <w:t xml:space="preserve"> </w:t>
      </w:r>
      <w:r w:rsidR="00BE4D60" w:rsidRPr="003D5E91">
        <w:rPr>
          <w:rFonts w:ascii="Arial" w:eastAsia="SimSun" w:hAnsi="Arial" w:cs="Arial"/>
          <w:color w:val="595959" w:themeColor="text1" w:themeTint="A6"/>
          <w:kern w:val="24"/>
        </w:rPr>
        <w:t>without TGFβ-1 stimulation</w:t>
      </w:r>
      <w:r w:rsidR="0044290D" w:rsidRPr="003D5E91">
        <w:rPr>
          <w:rFonts w:ascii="Arial" w:eastAsia="SimSun" w:hAnsi="Arial" w:cs="Arial"/>
          <w:color w:val="595959" w:themeColor="text1" w:themeTint="A6"/>
          <w:kern w:val="24"/>
        </w:rPr>
        <w:t>………………………………………</w:t>
      </w:r>
      <w:r w:rsidRPr="003D5E91">
        <w:rPr>
          <w:rFonts w:ascii="Arial" w:eastAsia="SimSun" w:hAnsi="Arial" w:cs="Arial"/>
          <w:color w:val="595959" w:themeColor="text1" w:themeTint="A6"/>
          <w:kern w:val="24"/>
        </w:rPr>
        <w:t>..</w:t>
      </w:r>
      <w:r w:rsidR="0044290D" w:rsidRPr="003D5E91">
        <w:rPr>
          <w:rFonts w:ascii="Arial" w:eastAsia="SimSun" w:hAnsi="Arial" w:cs="Arial"/>
          <w:color w:val="595959" w:themeColor="text1" w:themeTint="A6"/>
          <w:kern w:val="24"/>
        </w:rPr>
        <w:t>…………………</w:t>
      </w:r>
      <w:r w:rsidR="00AB0753">
        <w:rPr>
          <w:rFonts w:ascii="Arial" w:eastAsia="SimSun" w:hAnsi="Arial" w:cs="Arial"/>
          <w:color w:val="595959" w:themeColor="text1" w:themeTint="A6"/>
          <w:kern w:val="24"/>
        </w:rPr>
        <w:t>…..-</w:t>
      </w:r>
      <w:r w:rsidR="0044290D" w:rsidRPr="003D5E91">
        <w:rPr>
          <w:rFonts w:ascii="Arial" w:eastAsia="SimSun" w:hAnsi="Arial" w:cs="Arial"/>
          <w:color w:val="595959" w:themeColor="text1" w:themeTint="A6"/>
          <w:kern w:val="24"/>
        </w:rPr>
        <w:t>1</w:t>
      </w:r>
      <w:r w:rsidR="00626979">
        <w:rPr>
          <w:rFonts w:ascii="Arial" w:eastAsia="SimSun" w:hAnsi="Arial" w:cs="Arial"/>
          <w:color w:val="595959" w:themeColor="text1" w:themeTint="A6"/>
          <w:kern w:val="24"/>
        </w:rPr>
        <w:t>11</w:t>
      </w:r>
      <w:r w:rsidR="00AB0753">
        <w:rPr>
          <w:rFonts w:ascii="Arial" w:eastAsia="SimSun" w:hAnsi="Arial" w:cs="Arial"/>
          <w:color w:val="595959" w:themeColor="text1" w:themeTint="A6"/>
          <w:kern w:val="24"/>
        </w:rPr>
        <w:t>-</w:t>
      </w:r>
      <w:r w:rsidR="00BE4D60" w:rsidRPr="003D5E91">
        <w:rPr>
          <w:rFonts w:ascii="Arial" w:eastAsia="SimSun" w:hAnsi="Arial" w:cs="Arial"/>
          <w:color w:val="595959" w:themeColor="text1" w:themeTint="A6"/>
          <w:kern w:val="24"/>
        </w:rPr>
        <w:t xml:space="preserve">   </w:t>
      </w:r>
    </w:p>
    <w:p w14:paraId="04683D32" w14:textId="77777777" w:rsidR="00C37912" w:rsidRPr="003D5E91" w:rsidRDefault="00BE4D60" w:rsidP="003D5E91">
      <w:pPr>
        <w:spacing w:line="276" w:lineRule="auto"/>
        <w:jc w:val="both"/>
        <w:rPr>
          <w:rFonts w:ascii="Arial" w:eastAsia="SimSun" w:hAnsi="Arial" w:cs="Arial"/>
          <w:color w:val="595959" w:themeColor="text1" w:themeTint="A6"/>
          <w:kern w:val="24"/>
        </w:rPr>
      </w:pPr>
      <w:r w:rsidRPr="00D278B8">
        <w:rPr>
          <w:rFonts w:ascii="Arial" w:eastAsia="SimSun" w:hAnsi="Arial" w:cs="Arial"/>
          <w:b/>
          <w:bCs/>
          <w:color w:val="595959" w:themeColor="text1" w:themeTint="A6"/>
          <w:kern w:val="24"/>
        </w:rPr>
        <w:lastRenderedPageBreak/>
        <w:t>Figure 3.8</w:t>
      </w:r>
      <w:r w:rsidRPr="003D5E91">
        <w:rPr>
          <w:rFonts w:ascii="Arial" w:eastAsia="SimSun" w:hAnsi="Arial" w:cs="Arial"/>
          <w:color w:val="595959" w:themeColor="text1" w:themeTint="A6"/>
          <w:kern w:val="24"/>
        </w:rPr>
        <w:t xml:space="preserve"> Long-term expression data for the myofibroblasts marker FN1-EDA in NOF </w:t>
      </w:r>
    </w:p>
    <w:p w14:paraId="0E5D0780" w14:textId="12EA9442" w:rsidR="00BE4D60" w:rsidRPr="003D5E91" w:rsidRDefault="00BE4D60" w:rsidP="003D5E91">
      <w:pPr>
        <w:spacing w:line="276" w:lineRule="auto"/>
        <w:jc w:val="both"/>
        <w:rPr>
          <w:rFonts w:ascii="Arial" w:eastAsia="SimSun" w:hAnsi="Arial" w:cs="Arial"/>
          <w:color w:val="595959" w:themeColor="text1" w:themeTint="A6"/>
          <w:kern w:val="24"/>
        </w:rPr>
      </w:pPr>
      <w:r w:rsidRPr="003D5E91">
        <w:rPr>
          <w:rFonts w:ascii="Arial" w:eastAsia="SimSun" w:hAnsi="Arial" w:cs="Arial"/>
          <w:color w:val="595959" w:themeColor="text1" w:themeTint="A6"/>
          <w:kern w:val="24"/>
        </w:rPr>
        <w:t>with and without TGFβ-1 stimulation</w:t>
      </w:r>
      <w:r w:rsidR="00C37912" w:rsidRPr="003D5E91">
        <w:rPr>
          <w:rFonts w:ascii="Arial" w:eastAsia="SimSun" w:hAnsi="Arial" w:cs="Arial"/>
          <w:color w:val="595959" w:themeColor="text1" w:themeTint="A6"/>
          <w:kern w:val="24"/>
        </w:rPr>
        <w:t>……………………………………………………</w:t>
      </w:r>
      <w:r w:rsidR="0024390E">
        <w:rPr>
          <w:rFonts w:ascii="Arial" w:eastAsia="SimSun" w:hAnsi="Arial" w:cs="Arial"/>
          <w:color w:val="595959" w:themeColor="text1" w:themeTint="A6"/>
          <w:kern w:val="24"/>
        </w:rPr>
        <w:t>………-</w:t>
      </w:r>
      <w:r w:rsidR="00C37912" w:rsidRPr="003D5E91">
        <w:rPr>
          <w:rFonts w:ascii="Arial" w:eastAsia="SimSun" w:hAnsi="Arial" w:cs="Arial"/>
          <w:color w:val="595959" w:themeColor="text1" w:themeTint="A6"/>
          <w:kern w:val="24"/>
        </w:rPr>
        <w:t>11</w:t>
      </w:r>
      <w:r w:rsidR="00C13555">
        <w:rPr>
          <w:rFonts w:ascii="Arial" w:eastAsia="SimSun" w:hAnsi="Arial" w:cs="Arial"/>
          <w:color w:val="595959" w:themeColor="text1" w:themeTint="A6"/>
          <w:kern w:val="24"/>
        </w:rPr>
        <w:t>2</w:t>
      </w:r>
      <w:r w:rsidR="0024390E">
        <w:rPr>
          <w:rFonts w:ascii="Arial" w:eastAsia="SimSun" w:hAnsi="Arial" w:cs="Arial"/>
          <w:color w:val="595959" w:themeColor="text1" w:themeTint="A6"/>
          <w:kern w:val="24"/>
        </w:rPr>
        <w:t>-</w:t>
      </w:r>
      <w:r w:rsidRPr="003D5E91">
        <w:rPr>
          <w:rFonts w:ascii="Arial" w:eastAsia="SimSun" w:hAnsi="Arial" w:cs="Arial"/>
          <w:color w:val="595959" w:themeColor="text1" w:themeTint="A6"/>
          <w:kern w:val="24"/>
        </w:rPr>
        <w:t xml:space="preserve"> </w:t>
      </w:r>
    </w:p>
    <w:p w14:paraId="1D0B8FE1" w14:textId="77777777" w:rsidR="00BE4D60" w:rsidRPr="003D5E91" w:rsidRDefault="00BE4D60" w:rsidP="003D5E91">
      <w:pPr>
        <w:spacing w:line="276" w:lineRule="auto"/>
        <w:jc w:val="both"/>
        <w:rPr>
          <w:rFonts w:ascii="Arial" w:eastAsia="SimSun" w:hAnsi="Arial" w:cs="Arial"/>
          <w:color w:val="595959" w:themeColor="text1" w:themeTint="A6"/>
          <w:kern w:val="24"/>
        </w:rPr>
      </w:pPr>
      <w:r w:rsidRPr="00D278B8">
        <w:rPr>
          <w:rFonts w:ascii="Arial" w:eastAsia="SimSun" w:hAnsi="Arial" w:cs="Arial"/>
          <w:b/>
          <w:bCs/>
          <w:color w:val="595959" w:themeColor="text1" w:themeTint="A6"/>
          <w:kern w:val="24"/>
        </w:rPr>
        <w:t>Figure 3.9</w:t>
      </w:r>
      <w:r w:rsidRPr="003D5E91">
        <w:rPr>
          <w:rFonts w:ascii="Arial" w:eastAsia="SimSun" w:hAnsi="Arial" w:cs="Arial"/>
          <w:color w:val="595959" w:themeColor="text1" w:themeTint="A6"/>
          <w:kern w:val="24"/>
        </w:rPr>
        <w:t xml:space="preserve"> Long-term expression data for the ECM marker COL1A1 in NOF with and </w:t>
      </w:r>
    </w:p>
    <w:p w14:paraId="21F56C61" w14:textId="057E09EA" w:rsidR="00BE4D60" w:rsidRPr="003D5E91" w:rsidRDefault="00BE4D60" w:rsidP="003D5E91">
      <w:pPr>
        <w:spacing w:line="276" w:lineRule="auto"/>
        <w:jc w:val="both"/>
        <w:rPr>
          <w:rFonts w:ascii="Arial" w:eastAsia="SimSun" w:hAnsi="Arial" w:cs="Arial"/>
          <w:color w:val="595959" w:themeColor="text1" w:themeTint="A6"/>
          <w:kern w:val="24"/>
        </w:rPr>
      </w:pPr>
      <w:r w:rsidRPr="003D5E91">
        <w:rPr>
          <w:rFonts w:ascii="Arial" w:eastAsia="SimSun" w:hAnsi="Arial" w:cs="Arial"/>
          <w:color w:val="595959" w:themeColor="text1" w:themeTint="A6"/>
          <w:kern w:val="24"/>
        </w:rPr>
        <w:t>without TGFβ-1 stimulation</w:t>
      </w:r>
      <w:r w:rsidR="00C37912" w:rsidRPr="003D5E91">
        <w:rPr>
          <w:rFonts w:ascii="Arial" w:eastAsia="SimSun" w:hAnsi="Arial" w:cs="Arial"/>
          <w:color w:val="595959" w:themeColor="text1" w:themeTint="A6"/>
          <w:kern w:val="24"/>
        </w:rPr>
        <w:t>………………………………………………………………</w:t>
      </w:r>
      <w:r w:rsidR="0024390E">
        <w:rPr>
          <w:rFonts w:ascii="Arial" w:eastAsia="SimSun" w:hAnsi="Arial" w:cs="Arial"/>
          <w:color w:val="595959" w:themeColor="text1" w:themeTint="A6"/>
          <w:kern w:val="24"/>
        </w:rPr>
        <w:t>……..-</w:t>
      </w:r>
      <w:r w:rsidR="00C37912" w:rsidRPr="003D5E91">
        <w:rPr>
          <w:rFonts w:ascii="Arial" w:eastAsia="SimSun" w:hAnsi="Arial" w:cs="Arial"/>
          <w:color w:val="595959" w:themeColor="text1" w:themeTint="A6"/>
          <w:kern w:val="24"/>
        </w:rPr>
        <w:t>11</w:t>
      </w:r>
      <w:r w:rsidR="00497D70">
        <w:rPr>
          <w:rFonts w:ascii="Arial" w:eastAsia="SimSun" w:hAnsi="Arial" w:cs="Arial"/>
          <w:color w:val="595959" w:themeColor="text1" w:themeTint="A6"/>
          <w:kern w:val="24"/>
        </w:rPr>
        <w:t>3</w:t>
      </w:r>
      <w:r w:rsidR="0024390E">
        <w:rPr>
          <w:rFonts w:ascii="Arial" w:eastAsia="SimSun" w:hAnsi="Arial" w:cs="Arial"/>
          <w:color w:val="595959" w:themeColor="text1" w:themeTint="A6"/>
          <w:kern w:val="24"/>
        </w:rPr>
        <w:t>-</w:t>
      </w:r>
      <w:r w:rsidRPr="003D5E91">
        <w:rPr>
          <w:rFonts w:ascii="Arial" w:eastAsia="SimSun" w:hAnsi="Arial" w:cs="Arial"/>
          <w:color w:val="595959" w:themeColor="text1" w:themeTint="A6"/>
          <w:kern w:val="24"/>
        </w:rPr>
        <w:t xml:space="preserve">   </w:t>
      </w:r>
    </w:p>
    <w:p w14:paraId="67042F71" w14:textId="77777777" w:rsidR="00BE4D60" w:rsidRPr="003D5E91" w:rsidRDefault="00BE4D60" w:rsidP="003D5E91">
      <w:pPr>
        <w:spacing w:line="276" w:lineRule="auto"/>
        <w:jc w:val="both"/>
        <w:rPr>
          <w:rFonts w:ascii="Arial" w:eastAsia="SimSun" w:hAnsi="Arial" w:cs="Arial"/>
          <w:color w:val="595959" w:themeColor="text1" w:themeTint="A6"/>
          <w:kern w:val="24"/>
        </w:rPr>
      </w:pPr>
      <w:r w:rsidRPr="00D278B8">
        <w:rPr>
          <w:rFonts w:ascii="Arial" w:eastAsia="SimSun" w:hAnsi="Arial" w:cs="Arial"/>
          <w:b/>
          <w:bCs/>
          <w:color w:val="595959" w:themeColor="text1" w:themeTint="A6"/>
          <w:kern w:val="24"/>
        </w:rPr>
        <w:t>Figure 3.10</w:t>
      </w:r>
      <w:r w:rsidRPr="003D5E91">
        <w:rPr>
          <w:rFonts w:ascii="Arial" w:eastAsia="SimSun" w:hAnsi="Arial" w:cs="Arial"/>
          <w:color w:val="595959" w:themeColor="text1" w:themeTint="A6"/>
          <w:kern w:val="24"/>
        </w:rPr>
        <w:t xml:space="preserve"> Long-term expression data for the ECM marker VCAN in NOF with and </w:t>
      </w:r>
    </w:p>
    <w:p w14:paraId="5F4B8586" w14:textId="2711A160" w:rsidR="00BE4D60" w:rsidRPr="003D5E91" w:rsidRDefault="00BE4D60" w:rsidP="003D5E91">
      <w:pPr>
        <w:spacing w:line="276" w:lineRule="auto"/>
        <w:jc w:val="both"/>
        <w:rPr>
          <w:rFonts w:ascii="Arial" w:hAnsi="Arial" w:cs="Arial"/>
          <w:color w:val="595959" w:themeColor="text1" w:themeTint="A6"/>
        </w:rPr>
      </w:pPr>
      <w:r w:rsidRPr="003D5E91">
        <w:rPr>
          <w:rFonts w:ascii="Arial" w:eastAsia="SimSun" w:hAnsi="Arial" w:cs="Arial"/>
          <w:color w:val="595959" w:themeColor="text1" w:themeTint="A6"/>
          <w:kern w:val="24"/>
        </w:rPr>
        <w:t>without TGFβ-1 stimulation</w:t>
      </w:r>
      <w:r w:rsidR="00C37912" w:rsidRPr="003D5E91">
        <w:rPr>
          <w:rFonts w:ascii="Arial" w:eastAsia="SimSun" w:hAnsi="Arial" w:cs="Arial"/>
          <w:color w:val="595959" w:themeColor="text1" w:themeTint="A6"/>
          <w:kern w:val="24"/>
        </w:rPr>
        <w:t>………………………………………………………………</w:t>
      </w:r>
      <w:r w:rsidR="0097223D">
        <w:rPr>
          <w:rFonts w:ascii="Arial" w:eastAsia="SimSun" w:hAnsi="Arial" w:cs="Arial"/>
          <w:color w:val="595959" w:themeColor="text1" w:themeTint="A6"/>
          <w:kern w:val="24"/>
        </w:rPr>
        <w:t>……..-</w:t>
      </w:r>
      <w:r w:rsidR="007218EE" w:rsidRPr="003D5E91">
        <w:rPr>
          <w:rFonts w:ascii="Arial" w:eastAsia="SimSun" w:hAnsi="Arial" w:cs="Arial"/>
          <w:color w:val="595959" w:themeColor="text1" w:themeTint="A6"/>
          <w:kern w:val="24"/>
        </w:rPr>
        <w:t>11</w:t>
      </w:r>
      <w:r w:rsidR="00497D70">
        <w:rPr>
          <w:rFonts w:ascii="Arial" w:eastAsia="SimSun" w:hAnsi="Arial" w:cs="Arial"/>
          <w:color w:val="595959" w:themeColor="text1" w:themeTint="A6"/>
          <w:kern w:val="24"/>
        </w:rPr>
        <w:t>4</w:t>
      </w:r>
      <w:r w:rsidR="0097223D">
        <w:rPr>
          <w:rFonts w:ascii="Arial" w:eastAsia="SimSun" w:hAnsi="Arial" w:cs="Arial"/>
          <w:color w:val="595959" w:themeColor="text1" w:themeTint="A6"/>
          <w:kern w:val="24"/>
        </w:rPr>
        <w:t>-</w:t>
      </w:r>
      <w:r w:rsidRPr="003D5E91">
        <w:rPr>
          <w:rFonts w:ascii="Arial" w:eastAsia="SimSun" w:hAnsi="Arial" w:cs="Arial"/>
          <w:color w:val="595959" w:themeColor="text1" w:themeTint="A6"/>
          <w:kern w:val="24"/>
        </w:rPr>
        <w:t xml:space="preserve">   </w:t>
      </w:r>
    </w:p>
    <w:p w14:paraId="6F751468" w14:textId="77777777" w:rsidR="00BE4D60" w:rsidRPr="003D5E91" w:rsidRDefault="00BE4D60" w:rsidP="003D5E91">
      <w:pPr>
        <w:spacing w:line="276" w:lineRule="auto"/>
        <w:jc w:val="both"/>
        <w:rPr>
          <w:rFonts w:ascii="Arial" w:eastAsia="SimSun" w:hAnsi="Arial" w:cs="Arial"/>
          <w:color w:val="595959" w:themeColor="text1" w:themeTint="A6"/>
          <w:kern w:val="24"/>
        </w:rPr>
      </w:pPr>
      <w:r w:rsidRPr="00D278B8">
        <w:rPr>
          <w:rFonts w:ascii="Arial" w:eastAsia="SimSun" w:hAnsi="Arial" w:cs="Arial"/>
          <w:b/>
          <w:bCs/>
          <w:color w:val="595959" w:themeColor="text1" w:themeTint="A6"/>
          <w:kern w:val="24"/>
        </w:rPr>
        <w:t>Figure 3.11</w:t>
      </w:r>
      <w:r w:rsidRPr="003D5E91">
        <w:rPr>
          <w:rFonts w:ascii="Arial" w:eastAsia="SimSun" w:hAnsi="Arial" w:cs="Arial"/>
          <w:color w:val="595959" w:themeColor="text1" w:themeTint="A6"/>
          <w:kern w:val="24"/>
        </w:rPr>
        <w:t xml:space="preserve"> Long-term expression data for the ECM marker TNC in NOF with and</w:t>
      </w:r>
    </w:p>
    <w:p w14:paraId="6F4E6009" w14:textId="4B2E5B3E" w:rsidR="00BE4D60" w:rsidRPr="003D5E91" w:rsidRDefault="00BE4D60" w:rsidP="003D5E91">
      <w:pPr>
        <w:spacing w:line="276" w:lineRule="auto"/>
        <w:jc w:val="both"/>
        <w:rPr>
          <w:rFonts w:ascii="Arial" w:eastAsia="SimSun" w:hAnsi="Arial" w:cs="Arial"/>
          <w:color w:val="595959" w:themeColor="text1" w:themeTint="A6"/>
          <w:kern w:val="24"/>
        </w:rPr>
      </w:pPr>
      <w:r w:rsidRPr="003D5E91">
        <w:rPr>
          <w:rFonts w:ascii="Arial" w:eastAsia="SimSun" w:hAnsi="Arial" w:cs="Arial"/>
          <w:color w:val="595959" w:themeColor="text1" w:themeTint="A6"/>
          <w:kern w:val="24"/>
        </w:rPr>
        <w:t xml:space="preserve"> without TGFβ-1 stimulation</w:t>
      </w:r>
      <w:r w:rsidR="007218EE" w:rsidRPr="003D5E91">
        <w:rPr>
          <w:rFonts w:ascii="Arial" w:eastAsia="SimSun" w:hAnsi="Arial" w:cs="Arial"/>
          <w:color w:val="595959" w:themeColor="text1" w:themeTint="A6"/>
          <w:kern w:val="24"/>
        </w:rPr>
        <w:t>……………………………………………………………</w:t>
      </w:r>
      <w:r w:rsidR="0097223D">
        <w:rPr>
          <w:rFonts w:ascii="Arial" w:eastAsia="SimSun" w:hAnsi="Arial" w:cs="Arial"/>
          <w:color w:val="595959" w:themeColor="text1" w:themeTint="A6"/>
          <w:kern w:val="24"/>
        </w:rPr>
        <w:t>……</w:t>
      </w:r>
      <w:r w:rsidR="000935D1">
        <w:rPr>
          <w:rFonts w:ascii="Arial" w:eastAsia="SimSun" w:hAnsi="Arial" w:cs="Arial"/>
          <w:color w:val="595959" w:themeColor="text1" w:themeTint="A6"/>
          <w:kern w:val="24"/>
        </w:rPr>
        <w:t>..</w:t>
      </w:r>
      <w:r w:rsidR="0097223D">
        <w:rPr>
          <w:rFonts w:ascii="Arial" w:eastAsia="SimSun" w:hAnsi="Arial" w:cs="Arial"/>
          <w:color w:val="595959" w:themeColor="text1" w:themeTint="A6"/>
          <w:kern w:val="24"/>
        </w:rPr>
        <w:t>…-11</w:t>
      </w:r>
      <w:r w:rsidR="00497D70">
        <w:rPr>
          <w:rFonts w:ascii="Arial" w:eastAsia="SimSun" w:hAnsi="Arial" w:cs="Arial"/>
          <w:color w:val="595959" w:themeColor="text1" w:themeTint="A6"/>
          <w:kern w:val="24"/>
        </w:rPr>
        <w:t>5</w:t>
      </w:r>
      <w:r w:rsidR="0097223D">
        <w:rPr>
          <w:rFonts w:ascii="Arial" w:eastAsia="SimSun" w:hAnsi="Arial" w:cs="Arial"/>
          <w:color w:val="595959" w:themeColor="text1" w:themeTint="A6"/>
          <w:kern w:val="24"/>
        </w:rPr>
        <w:t>-</w:t>
      </w:r>
    </w:p>
    <w:p w14:paraId="0CF11D83" w14:textId="77777777" w:rsidR="00BE4D60" w:rsidRPr="003D5E91" w:rsidRDefault="00BE4D60" w:rsidP="003D5E91">
      <w:pPr>
        <w:spacing w:line="276" w:lineRule="auto"/>
        <w:jc w:val="both"/>
        <w:rPr>
          <w:rFonts w:ascii="Arial" w:eastAsia="SimSun" w:hAnsi="Arial" w:cs="Arial"/>
          <w:color w:val="595959" w:themeColor="text1" w:themeTint="A6"/>
          <w:kern w:val="24"/>
        </w:rPr>
      </w:pPr>
      <w:r w:rsidRPr="00D278B8">
        <w:rPr>
          <w:rFonts w:ascii="Arial" w:eastAsia="SimSun" w:hAnsi="Arial" w:cs="Arial"/>
          <w:b/>
          <w:bCs/>
          <w:color w:val="595959" w:themeColor="text1" w:themeTint="A6"/>
          <w:kern w:val="24"/>
        </w:rPr>
        <w:t>Figure 3.12</w:t>
      </w:r>
      <w:r w:rsidRPr="003D5E91">
        <w:rPr>
          <w:rFonts w:ascii="Arial" w:eastAsia="SimSun" w:hAnsi="Arial" w:cs="Arial"/>
          <w:color w:val="595959" w:themeColor="text1" w:themeTint="A6"/>
          <w:kern w:val="24"/>
        </w:rPr>
        <w:t xml:space="preserve"> Immunoblotting for αSMA abundance in NOF with and without TGFβ-1 </w:t>
      </w:r>
    </w:p>
    <w:p w14:paraId="0F7B96FE" w14:textId="5844647C" w:rsidR="00BE4D60" w:rsidRPr="003D5E91" w:rsidRDefault="007218EE" w:rsidP="003D5E91">
      <w:pPr>
        <w:spacing w:line="276" w:lineRule="auto"/>
        <w:jc w:val="both"/>
        <w:rPr>
          <w:rFonts w:ascii="Arial" w:eastAsia="SimSun" w:hAnsi="Arial" w:cs="Arial"/>
          <w:color w:val="595959" w:themeColor="text1" w:themeTint="A6"/>
          <w:kern w:val="24"/>
        </w:rPr>
      </w:pPr>
      <w:r w:rsidRPr="003D5E91">
        <w:rPr>
          <w:rFonts w:ascii="Arial" w:eastAsia="SimSun" w:hAnsi="Arial" w:cs="Arial"/>
          <w:color w:val="595959" w:themeColor="text1" w:themeTint="A6"/>
          <w:kern w:val="24"/>
        </w:rPr>
        <w:t>s</w:t>
      </w:r>
      <w:r w:rsidR="00BE4D60" w:rsidRPr="003D5E91">
        <w:rPr>
          <w:rFonts w:ascii="Arial" w:eastAsia="SimSun" w:hAnsi="Arial" w:cs="Arial"/>
          <w:color w:val="595959" w:themeColor="text1" w:themeTint="A6"/>
          <w:kern w:val="24"/>
        </w:rPr>
        <w:t>timulation</w:t>
      </w:r>
      <w:r w:rsidRPr="003D5E91">
        <w:rPr>
          <w:rFonts w:ascii="Arial" w:eastAsia="SimSun" w:hAnsi="Arial" w:cs="Arial"/>
          <w:color w:val="595959" w:themeColor="text1" w:themeTint="A6"/>
          <w:kern w:val="24"/>
        </w:rPr>
        <w:t>…………………………………………………………………………………</w:t>
      </w:r>
      <w:r w:rsidR="00EC264E">
        <w:rPr>
          <w:rFonts w:ascii="Arial" w:eastAsia="SimSun" w:hAnsi="Arial" w:cs="Arial"/>
          <w:color w:val="595959" w:themeColor="text1" w:themeTint="A6"/>
          <w:kern w:val="24"/>
        </w:rPr>
        <w:t>……..</w:t>
      </w:r>
      <w:r w:rsidR="005E70EF">
        <w:rPr>
          <w:rFonts w:ascii="Arial" w:eastAsia="SimSun" w:hAnsi="Arial" w:cs="Arial"/>
          <w:color w:val="595959" w:themeColor="text1" w:themeTint="A6"/>
          <w:kern w:val="24"/>
        </w:rPr>
        <w:t>.</w:t>
      </w:r>
      <w:r w:rsidR="00EC264E">
        <w:rPr>
          <w:rFonts w:ascii="Arial" w:eastAsia="SimSun" w:hAnsi="Arial" w:cs="Arial"/>
          <w:color w:val="595959" w:themeColor="text1" w:themeTint="A6"/>
          <w:kern w:val="24"/>
        </w:rPr>
        <w:t>-</w:t>
      </w:r>
      <w:r w:rsidRPr="003D5E91">
        <w:rPr>
          <w:rFonts w:ascii="Arial" w:eastAsia="SimSun" w:hAnsi="Arial" w:cs="Arial"/>
          <w:color w:val="595959" w:themeColor="text1" w:themeTint="A6"/>
          <w:kern w:val="24"/>
        </w:rPr>
        <w:t>11</w:t>
      </w:r>
      <w:r w:rsidR="00844EDA">
        <w:rPr>
          <w:rFonts w:ascii="Arial" w:eastAsia="SimSun" w:hAnsi="Arial" w:cs="Arial"/>
          <w:color w:val="595959" w:themeColor="text1" w:themeTint="A6"/>
          <w:kern w:val="24"/>
        </w:rPr>
        <w:t>7</w:t>
      </w:r>
      <w:r w:rsidR="005E70EF">
        <w:rPr>
          <w:rFonts w:ascii="Arial" w:eastAsia="SimSun" w:hAnsi="Arial" w:cs="Arial"/>
          <w:color w:val="595959" w:themeColor="text1" w:themeTint="A6"/>
          <w:kern w:val="24"/>
        </w:rPr>
        <w:t>-</w:t>
      </w:r>
    </w:p>
    <w:p w14:paraId="3BD6E7DB" w14:textId="77777777" w:rsidR="007336FD" w:rsidRPr="003D5E91" w:rsidRDefault="00BE4D60" w:rsidP="003D5E91">
      <w:pPr>
        <w:spacing w:line="276" w:lineRule="auto"/>
        <w:jc w:val="both"/>
        <w:rPr>
          <w:rFonts w:ascii="Arial" w:eastAsia="SimSun" w:hAnsi="Arial" w:cs="Arial"/>
          <w:color w:val="595959" w:themeColor="text1" w:themeTint="A6"/>
          <w:kern w:val="24"/>
        </w:rPr>
      </w:pPr>
      <w:r w:rsidRPr="00D278B8">
        <w:rPr>
          <w:rFonts w:ascii="Arial" w:eastAsia="SimSun" w:hAnsi="Arial" w:cs="Arial"/>
          <w:b/>
          <w:bCs/>
          <w:color w:val="595959" w:themeColor="text1" w:themeTint="A6"/>
          <w:kern w:val="24"/>
        </w:rPr>
        <w:t>Figure 3.13</w:t>
      </w:r>
      <w:r w:rsidRPr="003D5E91">
        <w:rPr>
          <w:rFonts w:ascii="Arial" w:eastAsia="SimSun" w:hAnsi="Arial" w:cs="Arial"/>
          <w:color w:val="595959" w:themeColor="text1" w:themeTint="A6"/>
          <w:kern w:val="24"/>
        </w:rPr>
        <w:t xml:space="preserve"> Immunoblotting for FN1-EDA abundance in NOF with and without </w:t>
      </w:r>
    </w:p>
    <w:p w14:paraId="6FC421D8" w14:textId="116F7242" w:rsidR="00BE4D60" w:rsidRPr="003D5E91" w:rsidRDefault="00BE4D60" w:rsidP="003D5E91">
      <w:pPr>
        <w:spacing w:line="276" w:lineRule="auto"/>
        <w:jc w:val="both"/>
        <w:rPr>
          <w:rFonts w:ascii="Arial" w:eastAsia="SimSun" w:hAnsi="Arial" w:cs="Arial"/>
          <w:color w:val="595959" w:themeColor="text1" w:themeTint="A6"/>
          <w:kern w:val="24"/>
        </w:rPr>
      </w:pPr>
      <w:r w:rsidRPr="003D5E91">
        <w:rPr>
          <w:rFonts w:ascii="Arial" w:eastAsia="SimSun" w:hAnsi="Arial" w:cs="Arial"/>
          <w:color w:val="595959" w:themeColor="text1" w:themeTint="A6"/>
          <w:kern w:val="24"/>
        </w:rPr>
        <w:t>TGFβ-1</w:t>
      </w:r>
      <w:r w:rsidR="007336FD" w:rsidRPr="003D5E91">
        <w:rPr>
          <w:rFonts w:ascii="Arial" w:eastAsia="SimSun" w:hAnsi="Arial" w:cs="Arial"/>
          <w:color w:val="595959" w:themeColor="text1" w:themeTint="A6"/>
          <w:kern w:val="24"/>
        </w:rPr>
        <w:t xml:space="preserve"> </w:t>
      </w:r>
      <w:r w:rsidRPr="003D5E91">
        <w:rPr>
          <w:rFonts w:ascii="Arial" w:eastAsia="SimSun" w:hAnsi="Arial" w:cs="Arial"/>
          <w:color w:val="595959" w:themeColor="text1" w:themeTint="A6"/>
          <w:kern w:val="24"/>
        </w:rPr>
        <w:t>stimulation</w:t>
      </w:r>
      <w:r w:rsidR="007336FD" w:rsidRPr="003D5E91">
        <w:rPr>
          <w:rFonts w:ascii="Arial" w:eastAsia="SimSun" w:hAnsi="Arial" w:cs="Arial"/>
          <w:color w:val="595959" w:themeColor="text1" w:themeTint="A6"/>
          <w:kern w:val="24"/>
        </w:rPr>
        <w:t>………………………………………………………………………</w:t>
      </w:r>
      <w:r w:rsidR="005E70EF">
        <w:rPr>
          <w:rFonts w:ascii="Arial" w:eastAsia="SimSun" w:hAnsi="Arial" w:cs="Arial"/>
          <w:color w:val="595959" w:themeColor="text1" w:themeTint="A6"/>
          <w:kern w:val="24"/>
        </w:rPr>
        <w:t>………-</w:t>
      </w:r>
      <w:r w:rsidR="007336FD" w:rsidRPr="003D5E91">
        <w:rPr>
          <w:rFonts w:ascii="Arial" w:eastAsia="SimSun" w:hAnsi="Arial" w:cs="Arial"/>
          <w:color w:val="595959" w:themeColor="text1" w:themeTint="A6"/>
          <w:kern w:val="24"/>
        </w:rPr>
        <w:t>11</w:t>
      </w:r>
      <w:r w:rsidR="00844EDA">
        <w:rPr>
          <w:rFonts w:ascii="Arial" w:eastAsia="SimSun" w:hAnsi="Arial" w:cs="Arial"/>
          <w:color w:val="595959" w:themeColor="text1" w:themeTint="A6"/>
          <w:kern w:val="24"/>
        </w:rPr>
        <w:t>8</w:t>
      </w:r>
      <w:r w:rsidR="005E70EF">
        <w:rPr>
          <w:rFonts w:ascii="Arial" w:eastAsia="SimSun" w:hAnsi="Arial" w:cs="Arial"/>
          <w:color w:val="595959" w:themeColor="text1" w:themeTint="A6"/>
          <w:kern w:val="24"/>
        </w:rPr>
        <w:t>-</w:t>
      </w:r>
    </w:p>
    <w:p w14:paraId="544B10D8" w14:textId="77777777" w:rsidR="007336FD" w:rsidRPr="003D5E91" w:rsidRDefault="00BE4D60" w:rsidP="003D5E91">
      <w:pPr>
        <w:spacing w:line="276" w:lineRule="auto"/>
        <w:jc w:val="both"/>
        <w:rPr>
          <w:rFonts w:ascii="Arial" w:eastAsia="SimSun" w:hAnsi="Arial" w:cs="Arial"/>
          <w:color w:val="595959" w:themeColor="text1" w:themeTint="A6"/>
          <w:kern w:val="24"/>
        </w:rPr>
      </w:pPr>
      <w:r w:rsidRPr="00D278B8">
        <w:rPr>
          <w:rFonts w:ascii="Arial" w:eastAsia="SimSun" w:hAnsi="Arial" w:cs="Arial"/>
          <w:b/>
          <w:bCs/>
          <w:color w:val="595959" w:themeColor="text1" w:themeTint="A6"/>
          <w:kern w:val="24"/>
        </w:rPr>
        <w:t>Figure 3.14</w:t>
      </w:r>
      <w:r w:rsidRPr="003D5E91">
        <w:rPr>
          <w:rFonts w:ascii="Arial" w:eastAsia="SimSun" w:hAnsi="Arial" w:cs="Arial"/>
          <w:color w:val="595959" w:themeColor="text1" w:themeTint="A6"/>
          <w:kern w:val="24"/>
        </w:rPr>
        <w:t xml:space="preserve"> Immunoblotting for COL1A1 abundance in NOF with and without</w:t>
      </w:r>
    </w:p>
    <w:p w14:paraId="52535933" w14:textId="5410FDAC" w:rsidR="00BE4D60" w:rsidRPr="003D5E91" w:rsidRDefault="00BE4D60" w:rsidP="003D5E91">
      <w:pPr>
        <w:spacing w:line="276" w:lineRule="auto"/>
        <w:jc w:val="both"/>
        <w:rPr>
          <w:rFonts w:ascii="Arial" w:eastAsia="SimSun" w:hAnsi="Arial" w:cs="Arial"/>
          <w:color w:val="595959" w:themeColor="text1" w:themeTint="A6"/>
          <w:kern w:val="24"/>
        </w:rPr>
      </w:pPr>
      <w:r w:rsidRPr="003D5E91">
        <w:rPr>
          <w:rFonts w:ascii="Arial" w:eastAsia="SimSun" w:hAnsi="Arial" w:cs="Arial"/>
          <w:color w:val="595959" w:themeColor="text1" w:themeTint="A6"/>
          <w:kern w:val="24"/>
        </w:rPr>
        <w:t xml:space="preserve"> TGFβ-1 stimulation </w:t>
      </w:r>
      <w:r w:rsidR="007336FD" w:rsidRPr="003D5E91">
        <w:rPr>
          <w:rFonts w:ascii="Arial" w:eastAsia="SimSun" w:hAnsi="Arial" w:cs="Arial"/>
          <w:color w:val="595959" w:themeColor="text1" w:themeTint="A6"/>
          <w:kern w:val="24"/>
        </w:rPr>
        <w:t>……………………………………………………………………</w:t>
      </w:r>
      <w:r w:rsidR="005E70EF">
        <w:rPr>
          <w:rFonts w:ascii="Arial" w:eastAsia="SimSun" w:hAnsi="Arial" w:cs="Arial"/>
          <w:color w:val="595959" w:themeColor="text1" w:themeTint="A6"/>
          <w:kern w:val="24"/>
        </w:rPr>
        <w:t>………..-</w:t>
      </w:r>
      <w:r w:rsidR="007336FD" w:rsidRPr="003D5E91">
        <w:rPr>
          <w:rFonts w:ascii="Arial" w:eastAsia="SimSun" w:hAnsi="Arial" w:cs="Arial"/>
          <w:color w:val="595959" w:themeColor="text1" w:themeTint="A6"/>
          <w:kern w:val="24"/>
        </w:rPr>
        <w:t>11</w:t>
      </w:r>
      <w:r w:rsidR="00844EDA">
        <w:rPr>
          <w:rFonts w:ascii="Arial" w:eastAsia="SimSun" w:hAnsi="Arial" w:cs="Arial"/>
          <w:color w:val="595959" w:themeColor="text1" w:themeTint="A6"/>
          <w:kern w:val="24"/>
        </w:rPr>
        <w:t>9</w:t>
      </w:r>
      <w:r w:rsidR="005C684D">
        <w:rPr>
          <w:rFonts w:ascii="Arial" w:eastAsia="SimSun" w:hAnsi="Arial" w:cs="Arial"/>
          <w:color w:val="595959" w:themeColor="text1" w:themeTint="A6"/>
          <w:kern w:val="24"/>
        </w:rPr>
        <w:t>-</w:t>
      </w:r>
    </w:p>
    <w:p w14:paraId="622FEBA3" w14:textId="77777777" w:rsidR="00C3424A" w:rsidRPr="003D5E91" w:rsidRDefault="00BE4D60" w:rsidP="003D5E91">
      <w:pPr>
        <w:spacing w:line="276" w:lineRule="auto"/>
        <w:jc w:val="both"/>
        <w:rPr>
          <w:rFonts w:ascii="Arial" w:eastAsia="SimSun" w:hAnsi="Arial" w:cs="Arial"/>
          <w:color w:val="595959" w:themeColor="text1" w:themeTint="A6"/>
          <w:kern w:val="24"/>
        </w:rPr>
      </w:pPr>
      <w:r w:rsidRPr="00D278B8">
        <w:rPr>
          <w:rFonts w:ascii="Arial" w:eastAsia="SimSun" w:hAnsi="Arial" w:cs="Arial"/>
          <w:b/>
          <w:bCs/>
          <w:color w:val="595959" w:themeColor="text1" w:themeTint="A6"/>
          <w:kern w:val="24"/>
        </w:rPr>
        <w:t>Figure 3.15</w:t>
      </w:r>
      <w:r w:rsidRPr="003D5E91">
        <w:rPr>
          <w:rFonts w:ascii="Arial" w:eastAsia="SimSun" w:hAnsi="Arial" w:cs="Arial"/>
          <w:color w:val="595959" w:themeColor="text1" w:themeTint="A6"/>
          <w:kern w:val="24"/>
        </w:rPr>
        <w:t xml:space="preserve"> Immunoblotting for VCAN abundance in NOF with and without </w:t>
      </w:r>
    </w:p>
    <w:p w14:paraId="6291CB92" w14:textId="4990CBF4" w:rsidR="00BE4D60" w:rsidRPr="003D5E91" w:rsidRDefault="00BE4D60" w:rsidP="003D5E91">
      <w:pPr>
        <w:spacing w:line="276" w:lineRule="auto"/>
        <w:jc w:val="both"/>
        <w:rPr>
          <w:rFonts w:ascii="Arial" w:eastAsia="SimSun" w:hAnsi="Arial" w:cs="Arial"/>
          <w:color w:val="595959" w:themeColor="text1" w:themeTint="A6"/>
          <w:kern w:val="24"/>
        </w:rPr>
      </w:pPr>
      <w:r w:rsidRPr="003D5E91">
        <w:rPr>
          <w:rFonts w:ascii="Arial" w:eastAsia="SimSun" w:hAnsi="Arial" w:cs="Arial"/>
          <w:color w:val="595959" w:themeColor="text1" w:themeTint="A6"/>
          <w:kern w:val="24"/>
        </w:rPr>
        <w:t>TGFβ-1</w:t>
      </w:r>
      <w:r w:rsidR="00C3424A" w:rsidRPr="003D5E91">
        <w:rPr>
          <w:rFonts w:ascii="Arial" w:eastAsia="SimSun" w:hAnsi="Arial" w:cs="Arial"/>
          <w:color w:val="595959" w:themeColor="text1" w:themeTint="A6"/>
          <w:kern w:val="24"/>
        </w:rPr>
        <w:t xml:space="preserve"> </w:t>
      </w:r>
      <w:r w:rsidRPr="003D5E91">
        <w:rPr>
          <w:rFonts w:ascii="Arial" w:eastAsia="SimSun" w:hAnsi="Arial" w:cs="Arial"/>
          <w:color w:val="595959" w:themeColor="text1" w:themeTint="A6"/>
          <w:kern w:val="24"/>
        </w:rPr>
        <w:t>stimulation</w:t>
      </w:r>
      <w:r w:rsidR="00C3424A" w:rsidRPr="003D5E91">
        <w:rPr>
          <w:rFonts w:ascii="Arial" w:eastAsia="SimSun" w:hAnsi="Arial" w:cs="Arial"/>
          <w:color w:val="595959" w:themeColor="text1" w:themeTint="A6"/>
          <w:kern w:val="24"/>
        </w:rPr>
        <w:t>………………………………………………………………………</w:t>
      </w:r>
      <w:r w:rsidR="005C684D">
        <w:rPr>
          <w:rFonts w:ascii="Arial" w:eastAsia="SimSun" w:hAnsi="Arial" w:cs="Arial"/>
          <w:color w:val="595959" w:themeColor="text1" w:themeTint="A6"/>
          <w:kern w:val="24"/>
        </w:rPr>
        <w:t>………-</w:t>
      </w:r>
      <w:r w:rsidR="00C3424A" w:rsidRPr="003D5E91">
        <w:rPr>
          <w:rFonts w:ascii="Arial" w:eastAsia="SimSun" w:hAnsi="Arial" w:cs="Arial"/>
          <w:color w:val="595959" w:themeColor="text1" w:themeTint="A6"/>
          <w:kern w:val="24"/>
        </w:rPr>
        <w:t>1</w:t>
      </w:r>
      <w:r w:rsidR="00844EDA">
        <w:rPr>
          <w:rFonts w:ascii="Arial" w:eastAsia="SimSun" w:hAnsi="Arial" w:cs="Arial"/>
          <w:color w:val="595959" w:themeColor="text1" w:themeTint="A6"/>
          <w:kern w:val="24"/>
        </w:rPr>
        <w:t>20</w:t>
      </w:r>
      <w:r w:rsidR="005C684D">
        <w:rPr>
          <w:rFonts w:ascii="Arial" w:eastAsia="SimSun" w:hAnsi="Arial" w:cs="Arial"/>
          <w:color w:val="595959" w:themeColor="text1" w:themeTint="A6"/>
          <w:kern w:val="24"/>
        </w:rPr>
        <w:t>-</w:t>
      </w:r>
    </w:p>
    <w:p w14:paraId="3B8F1D31" w14:textId="77777777" w:rsidR="00ED492B" w:rsidRPr="003D5E91" w:rsidRDefault="00BE4D60" w:rsidP="003D5E91">
      <w:pPr>
        <w:spacing w:line="276" w:lineRule="auto"/>
        <w:jc w:val="both"/>
        <w:rPr>
          <w:rFonts w:ascii="Arial" w:eastAsia="SimSun" w:hAnsi="Arial" w:cs="Arial"/>
          <w:color w:val="595959" w:themeColor="text1" w:themeTint="A6"/>
          <w:kern w:val="24"/>
        </w:rPr>
      </w:pPr>
      <w:r w:rsidRPr="00D278B8">
        <w:rPr>
          <w:rFonts w:ascii="Arial" w:eastAsia="SimSun" w:hAnsi="Arial" w:cs="Arial"/>
          <w:b/>
          <w:bCs/>
          <w:color w:val="595959" w:themeColor="text1" w:themeTint="A6"/>
          <w:kern w:val="24"/>
        </w:rPr>
        <w:t>Figure 3.16</w:t>
      </w:r>
      <w:r w:rsidRPr="003D5E91">
        <w:rPr>
          <w:rFonts w:ascii="Arial" w:eastAsia="SimSun" w:hAnsi="Arial" w:cs="Arial"/>
          <w:color w:val="595959" w:themeColor="text1" w:themeTint="A6"/>
          <w:kern w:val="24"/>
        </w:rPr>
        <w:t xml:space="preserve"> Immunoblotting for αSMA abundance in NOF with and without </w:t>
      </w:r>
    </w:p>
    <w:p w14:paraId="0E3B9C46" w14:textId="302C7A99" w:rsidR="00BE4D60" w:rsidRPr="003D5E91" w:rsidRDefault="00BE4D60" w:rsidP="003D5E91">
      <w:pPr>
        <w:spacing w:line="276" w:lineRule="auto"/>
        <w:jc w:val="both"/>
        <w:rPr>
          <w:rFonts w:ascii="Arial" w:eastAsia="SimSun" w:hAnsi="Arial" w:cs="Arial"/>
          <w:color w:val="595959" w:themeColor="text1" w:themeTint="A6"/>
          <w:kern w:val="24"/>
        </w:rPr>
      </w:pPr>
      <w:r w:rsidRPr="003D5E91">
        <w:rPr>
          <w:rFonts w:ascii="Arial" w:eastAsia="SimSun" w:hAnsi="Arial" w:cs="Arial"/>
          <w:color w:val="595959" w:themeColor="text1" w:themeTint="A6"/>
          <w:kern w:val="24"/>
        </w:rPr>
        <w:t>TGFβ-1 stimulation</w:t>
      </w:r>
      <w:r w:rsidR="00164092" w:rsidRPr="003D5E91">
        <w:rPr>
          <w:rFonts w:ascii="Arial" w:eastAsia="SimSun" w:hAnsi="Arial" w:cs="Arial"/>
          <w:color w:val="595959" w:themeColor="text1" w:themeTint="A6"/>
          <w:kern w:val="24"/>
        </w:rPr>
        <w:t>………………………………………………………………………</w:t>
      </w:r>
      <w:r w:rsidR="005C684D">
        <w:rPr>
          <w:rFonts w:ascii="Arial" w:eastAsia="SimSun" w:hAnsi="Arial" w:cs="Arial"/>
          <w:color w:val="595959" w:themeColor="text1" w:themeTint="A6"/>
          <w:kern w:val="24"/>
        </w:rPr>
        <w:t>………-</w:t>
      </w:r>
      <w:r w:rsidR="00164092" w:rsidRPr="003D5E91">
        <w:rPr>
          <w:rFonts w:ascii="Arial" w:eastAsia="SimSun" w:hAnsi="Arial" w:cs="Arial"/>
          <w:color w:val="595959" w:themeColor="text1" w:themeTint="A6"/>
          <w:kern w:val="24"/>
        </w:rPr>
        <w:t>1</w:t>
      </w:r>
      <w:r w:rsidR="00844EDA">
        <w:rPr>
          <w:rFonts w:ascii="Arial" w:eastAsia="SimSun" w:hAnsi="Arial" w:cs="Arial"/>
          <w:color w:val="595959" w:themeColor="text1" w:themeTint="A6"/>
          <w:kern w:val="24"/>
        </w:rPr>
        <w:t>21</w:t>
      </w:r>
      <w:r w:rsidR="005C684D">
        <w:rPr>
          <w:rFonts w:ascii="Arial" w:eastAsia="SimSun" w:hAnsi="Arial" w:cs="Arial"/>
          <w:color w:val="595959" w:themeColor="text1" w:themeTint="A6"/>
          <w:kern w:val="24"/>
        </w:rPr>
        <w:t>-</w:t>
      </w:r>
    </w:p>
    <w:p w14:paraId="60E5C470" w14:textId="77777777" w:rsidR="00164092" w:rsidRPr="003D5E91" w:rsidRDefault="0009309A" w:rsidP="003D5E91">
      <w:pPr>
        <w:spacing w:line="276" w:lineRule="auto"/>
        <w:jc w:val="both"/>
        <w:rPr>
          <w:rFonts w:ascii="Arial" w:eastAsia="SimSun" w:hAnsi="Arial" w:cs="Arial"/>
          <w:color w:val="595959" w:themeColor="text1" w:themeTint="A6"/>
          <w:kern w:val="24"/>
        </w:rPr>
      </w:pPr>
      <w:r w:rsidRPr="00D278B8">
        <w:rPr>
          <w:rFonts w:ascii="Arial" w:eastAsia="SimSun" w:hAnsi="Arial" w:cs="Arial"/>
          <w:b/>
          <w:bCs/>
          <w:color w:val="595959" w:themeColor="text1" w:themeTint="A6"/>
          <w:kern w:val="24"/>
        </w:rPr>
        <w:t>Figure 3.17</w:t>
      </w:r>
      <w:r w:rsidRPr="003D5E91">
        <w:rPr>
          <w:rFonts w:ascii="Arial" w:eastAsia="SimSun" w:hAnsi="Arial" w:cs="Arial"/>
          <w:color w:val="595959" w:themeColor="text1" w:themeTint="A6"/>
          <w:kern w:val="24"/>
        </w:rPr>
        <w:t xml:space="preserve"> Immunoblotting for FN1-EDA abundance in NOF with and without </w:t>
      </w:r>
    </w:p>
    <w:p w14:paraId="265210E7" w14:textId="76986AE9" w:rsidR="0009309A" w:rsidRPr="003D5E91" w:rsidRDefault="0009309A" w:rsidP="003D5E91">
      <w:pPr>
        <w:spacing w:line="276" w:lineRule="auto"/>
        <w:jc w:val="both"/>
        <w:rPr>
          <w:rFonts w:ascii="Arial" w:eastAsia="SimSun" w:hAnsi="Arial" w:cs="Arial"/>
          <w:color w:val="595959" w:themeColor="text1" w:themeTint="A6"/>
          <w:kern w:val="24"/>
        </w:rPr>
      </w:pPr>
      <w:r w:rsidRPr="003D5E91">
        <w:rPr>
          <w:rFonts w:ascii="Arial" w:eastAsia="SimSun" w:hAnsi="Arial" w:cs="Arial"/>
          <w:color w:val="595959" w:themeColor="text1" w:themeTint="A6"/>
          <w:kern w:val="24"/>
        </w:rPr>
        <w:t>TGFβ-1 stimulation</w:t>
      </w:r>
      <w:r w:rsidR="00164092" w:rsidRPr="003D5E91">
        <w:rPr>
          <w:rFonts w:ascii="Arial" w:eastAsia="SimSun" w:hAnsi="Arial" w:cs="Arial"/>
          <w:color w:val="595959" w:themeColor="text1" w:themeTint="A6"/>
          <w:kern w:val="24"/>
        </w:rPr>
        <w:t>……………………………………………………………………</w:t>
      </w:r>
      <w:r w:rsidR="00A33895" w:rsidRPr="003D5E91">
        <w:rPr>
          <w:rFonts w:ascii="Arial" w:eastAsia="SimSun" w:hAnsi="Arial" w:cs="Arial"/>
          <w:color w:val="595959" w:themeColor="text1" w:themeTint="A6"/>
          <w:kern w:val="24"/>
        </w:rPr>
        <w:t>…</w:t>
      </w:r>
      <w:r w:rsidR="009A734C">
        <w:rPr>
          <w:rFonts w:ascii="Arial" w:eastAsia="SimSun" w:hAnsi="Arial" w:cs="Arial"/>
          <w:color w:val="595959" w:themeColor="text1" w:themeTint="A6"/>
          <w:kern w:val="24"/>
        </w:rPr>
        <w:t>………-</w:t>
      </w:r>
      <w:r w:rsidR="00A33895" w:rsidRPr="003D5E91">
        <w:rPr>
          <w:rFonts w:ascii="Arial" w:eastAsia="SimSun" w:hAnsi="Arial" w:cs="Arial"/>
          <w:color w:val="595959" w:themeColor="text1" w:themeTint="A6"/>
          <w:kern w:val="24"/>
        </w:rPr>
        <w:t>12</w:t>
      </w:r>
      <w:r w:rsidR="00844EDA">
        <w:rPr>
          <w:rFonts w:ascii="Arial" w:eastAsia="SimSun" w:hAnsi="Arial" w:cs="Arial"/>
          <w:color w:val="595959" w:themeColor="text1" w:themeTint="A6"/>
          <w:kern w:val="24"/>
        </w:rPr>
        <w:t>2</w:t>
      </w:r>
      <w:r w:rsidR="009A734C">
        <w:rPr>
          <w:rFonts w:ascii="Arial" w:eastAsia="SimSun" w:hAnsi="Arial" w:cs="Arial"/>
          <w:color w:val="595959" w:themeColor="text1" w:themeTint="A6"/>
          <w:kern w:val="24"/>
        </w:rPr>
        <w:t>-</w:t>
      </w:r>
      <w:r w:rsidRPr="003D5E91">
        <w:rPr>
          <w:rFonts w:ascii="Arial" w:eastAsia="SimSun" w:hAnsi="Arial" w:cs="Arial"/>
          <w:color w:val="595959" w:themeColor="text1" w:themeTint="A6"/>
          <w:kern w:val="24"/>
        </w:rPr>
        <w:t xml:space="preserve"> </w:t>
      </w:r>
    </w:p>
    <w:p w14:paraId="3112EA95" w14:textId="77777777" w:rsidR="00A33895" w:rsidRPr="003D5E91" w:rsidRDefault="0009309A" w:rsidP="003D5E91">
      <w:pPr>
        <w:spacing w:line="276" w:lineRule="auto"/>
        <w:jc w:val="both"/>
        <w:rPr>
          <w:rFonts w:ascii="Arial" w:eastAsia="SimSun" w:hAnsi="Arial" w:cs="Arial"/>
          <w:color w:val="595959" w:themeColor="text1" w:themeTint="A6"/>
          <w:kern w:val="24"/>
        </w:rPr>
      </w:pPr>
      <w:r w:rsidRPr="00D278B8">
        <w:rPr>
          <w:rFonts w:ascii="Arial" w:eastAsia="SimSun" w:hAnsi="Arial" w:cs="Arial"/>
          <w:b/>
          <w:bCs/>
          <w:color w:val="595959" w:themeColor="text1" w:themeTint="A6"/>
          <w:kern w:val="24"/>
        </w:rPr>
        <w:t>Figure 3.18</w:t>
      </w:r>
      <w:r w:rsidRPr="003D5E91">
        <w:rPr>
          <w:rFonts w:ascii="Arial" w:eastAsia="SimSun" w:hAnsi="Arial" w:cs="Arial"/>
          <w:color w:val="595959" w:themeColor="text1" w:themeTint="A6"/>
          <w:kern w:val="24"/>
        </w:rPr>
        <w:t xml:space="preserve"> Immunoblotting for COL1A1 abundance in NOF with and without </w:t>
      </w:r>
    </w:p>
    <w:p w14:paraId="355F3A1F" w14:textId="516CBC18" w:rsidR="0009309A" w:rsidRPr="003D5E91" w:rsidRDefault="0009309A" w:rsidP="003D5E91">
      <w:pPr>
        <w:spacing w:line="276" w:lineRule="auto"/>
        <w:jc w:val="both"/>
        <w:rPr>
          <w:rFonts w:ascii="Arial" w:eastAsia="SimSun" w:hAnsi="Arial" w:cs="Arial"/>
          <w:color w:val="595959" w:themeColor="text1" w:themeTint="A6"/>
          <w:kern w:val="24"/>
        </w:rPr>
      </w:pPr>
      <w:r w:rsidRPr="003D5E91">
        <w:rPr>
          <w:rFonts w:ascii="Arial" w:eastAsia="SimSun" w:hAnsi="Arial" w:cs="Arial"/>
          <w:color w:val="595959" w:themeColor="text1" w:themeTint="A6"/>
          <w:kern w:val="24"/>
        </w:rPr>
        <w:t>TGFβ-1 stimulation</w:t>
      </w:r>
      <w:r w:rsidR="00A33895" w:rsidRPr="003D5E91">
        <w:rPr>
          <w:rFonts w:ascii="Arial" w:eastAsia="SimSun" w:hAnsi="Arial" w:cs="Arial"/>
          <w:color w:val="595959" w:themeColor="text1" w:themeTint="A6"/>
          <w:kern w:val="24"/>
        </w:rPr>
        <w:t>………………………………………………………………………</w:t>
      </w:r>
      <w:r w:rsidR="009A734C">
        <w:rPr>
          <w:rFonts w:ascii="Arial" w:eastAsia="SimSun" w:hAnsi="Arial" w:cs="Arial"/>
          <w:color w:val="595959" w:themeColor="text1" w:themeTint="A6"/>
          <w:kern w:val="24"/>
        </w:rPr>
        <w:t>………-</w:t>
      </w:r>
      <w:r w:rsidR="00A33895" w:rsidRPr="003D5E91">
        <w:rPr>
          <w:rFonts w:ascii="Arial" w:eastAsia="SimSun" w:hAnsi="Arial" w:cs="Arial"/>
          <w:color w:val="595959" w:themeColor="text1" w:themeTint="A6"/>
          <w:kern w:val="24"/>
        </w:rPr>
        <w:t>12</w:t>
      </w:r>
      <w:r w:rsidR="00844EDA">
        <w:rPr>
          <w:rFonts w:ascii="Arial" w:eastAsia="SimSun" w:hAnsi="Arial" w:cs="Arial"/>
          <w:color w:val="595959" w:themeColor="text1" w:themeTint="A6"/>
          <w:kern w:val="24"/>
        </w:rPr>
        <w:t>3</w:t>
      </w:r>
      <w:r w:rsidR="009A734C">
        <w:rPr>
          <w:rFonts w:ascii="Arial" w:eastAsia="SimSun" w:hAnsi="Arial" w:cs="Arial"/>
          <w:color w:val="595959" w:themeColor="text1" w:themeTint="A6"/>
          <w:kern w:val="24"/>
        </w:rPr>
        <w:t>-</w:t>
      </w:r>
      <w:r w:rsidRPr="003D5E91">
        <w:rPr>
          <w:rFonts w:ascii="Arial" w:eastAsia="SimSun" w:hAnsi="Arial" w:cs="Arial"/>
          <w:color w:val="595959" w:themeColor="text1" w:themeTint="A6"/>
          <w:kern w:val="24"/>
        </w:rPr>
        <w:t xml:space="preserve"> </w:t>
      </w:r>
    </w:p>
    <w:p w14:paraId="2BAAE289" w14:textId="77777777" w:rsidR="00A33895" w:rsidRPr="003D5E91" w:rsidRDefault="0009309A" w:rsidP="003D5E91">
      <w:pPr>
        <w:spacing w:line="276" w:lineRule="auto"/>
        <w:jc w:val="both"/>
        <w:rPr>
          <w:rFonts w:ascii="Arial" w:eastAsia="SimSun" w:hAnsi="Arial" w:cs="Arial"/>
          <w:color w:val="595959" w:themeColor="text1" w:themeTint="A6"/>
          <w:kern w:val="24"/>
        </w:rPr>
      </w:pPr>
      <w:r w:rsidRPr="00D278B8">
        <w:rPr>
          <w:rFonts w:ascii="Arial" w:eastAsia="SimSun" w:hAnsi="Arial" w:cs="Arial"/>
          <w:b/>
          <w:bCs/>
          <w:color w:val="595959" w:themeColor="text1" w:themeTint="A6"/>
          <w:kern w:val="24"/>
        </w:rPr>
        <w:t>Figure 3.19</w:t>
      </w:r>
      <w:r w:rsidRPr="003D5E91">
        <w:rPr>
          <w:rFonts w:ascii="Arial" w:eastAsia="SimSun" w:hAnsi="Arial" w:cs="Arial"/>
          <w:color w:val="595959" w:themeColor="text1" w:themeTint="A6"/>
          <w:kern w:val="24"/>
        </w:rPr>
        <w:t xml:space="preserve"> Immunoblotting for VCAN abundance in NOF with and without </w:t>
      </w:r>
    </w:p>
    <w:p w14:paraId="214586B0" w14:textId="56C8B077" w:rsidR="0009309A" w:rsidRPr="003D5E91" w:rsidRDefault="0009309A" w:rsidP="003D5E91">
      <w:pPr>
        <w:spacing w:line="276" w:lineRule="auto"/>
        <w:jc w:val="both"/>
        <w:rPr>
          <w:rFonts w:ascii="Arial" w:eastAsia="SimSun" w:hAnsi="Arial" w:cs="Arial"/>
          <w:color w:val="595959" w:themeColor="text1" w:themeTint="A6"/>
          <w:kern w:val="24"/>
        </w:rPr>
      </w:pPr>
      <w:r w:rsidRPr="003D5E91">
        <w:rPr>
          <w:rFonts w:ascii="Arial" w:eastAsia="SimSun" w:hAnsi="Arial" w:cs="Arial"/>
          <w:color w:val="595959" w:themeColor="text1" w:themeTint="A6"/>
          <w:kern w:val="24"/>
        </w:rPr>
        <w:t>TGFβ-1 stimulation</w:t>
      </w:r>
      <w:r w:rsidR="00A33895" w:rsidRPr="003D5E91">
        <w:rPr>
          <w:rFonts w:ascii="Arial" w:eastAsia="SimSun" w:hAnsi="Arial" w:cs="Arial"/>
          <w:color w:val="595959" w:themeColor="text1" w:themeTint="A6"/>
          <w:kern w:val="24"/>
        </w:rPr>
        <w:t>………………………………………………………………………</w:t>
      </w:r>
      <w:r w:rsidR="00DD077C">
        <w:rPr>
          <w:rFonts w:ascii="Arial" w:eastAsia="SimSun" w:hAnsi="Arial" w:cs="Arial"/>
          <w:color w:val="595959" w:themeColor="text1" w:themeTint="A6"/>
          <w:kern w:val="24"/>
        </w:rPr>
        <w:t>………-</w:t>
      </w:r>
      <w:r w:rsidR="005B248F" w:rsidRPr="003D5E91">
        <w:rPr>
          <w:rFonts w:ascii="Arial" w:eastAsia="SimSun" w:hAnsi="Arial" w:cs="Arial"/>
          <w:color w:val="595959" w:themeColor="text1" w:themeTint="A6"/>
          <w:kern w:val="24"/>
        </w:rPr>
        <w:t>12</w:t>
      </w:r>
      <w:r w:rsidR="00844EDA">
        <w:rPr>
          <w:rFonts w:ascii="Arial" w:eastAsia="SimSun" w:hAnsi="Arial" w:cs="Arial"/>
          <w:color w:val="595959" w:themeColor="text1" w:themeTint="A6"/>
          <w:kern w:val="24"/>
        </w:rPr>
        <w:t>4</w:t>
      </w:r>
      <w:r w:rsidR="00DD077C">
        <w:rPr>
          <w:rFonts w:ascii="Arial" w:eastAsia="SimSun" w:hAnsi="Arial" w:cs="Arial"/>
          <w:color w:val="595959" w:themeColor="text1" w:themeTint="A6"/>
          <w:kern w:val="24"/>
        </w:rPr>
        <w:t>-</w:t>
      </w:r>
      <w:r w:rsidRPr="003D5E91">
        <w:rPr>
          <w:rFonts w:ascii="Arial" w:eastAsia="SimSun" w:hAnsi="Arial" w:cs="Arial"/>
          <w:color w:val="595959" w:themeColor="text1" w:themeTint="A6"/>
          <w:kern w:val="24"/>
        </w:rPr>
        <w:t xml:space="preserve"> </w:t>
      </w:r>
    </w:p>
    <w:p w14:paraId="0BFC04C4" w14:textId="77777777" w:rsidR="005B248F" w:rsidRPr="003D5E91" w:rsidRDefault="0009309A" w:rsidP="003D5E91">
      <w:pPr>
        <w:spacing w:line="276" w:lineRule="auto"/>
        <w:jc w:val="both"/>
        <w:rPr>
          <w:rFonts w:ascii="Arial" w:eastAsia="SimSun" w:hAnsi="Arial" w:cs="Arial"/>
          <w:color w:val="595959" w:themeColor="text1" w:themeTint="A6"/>
          <w:kern w:val="24"/>
        </w:rPr>
      </w:pPr>
      <w:r w:rsidRPr="004336DB">
        <w:rPr>
          <w:rFonts w:ascii="Arial" w:eastAsia="SimSun" w:hAnsi="Arial" w:cs="Arial"/>
          <w:b/>
          <w:bCs/>
          <w:color w:val="595959" w:themeColor="text1" w:themeTint="A6"/>
          <w:kern w:val="24"/>
        </w:rPr>
        <w:t>Figure 3.20</w:t>
      </w:r>
      <w:r w:rsidRPr="003D5E91">
        <w:rPr>
          <w:rFonts w:ascii="Arial" w:eastAsia="SimSun" w:hAnsi="Arial" w:cs="Arial"/>
          <w:color w:val="595959" w:themeColor="text1" w:themeTint="A6"/>
          <w:kern w:val="24"/>
        </w:rPr>
        <w:t xml:space="preserve"> Short-term expression data for the myofibroblast marker αSMA in </w:t>
      </w:r>
    </w:p>
    <w:p w14:paraId="034CD619" w14:textId="23D34322" w:rsidR="0009309A" w:rsidRPr="003D5E91" w:rsidRDefault="0009309A" w:rsidP="003D5E91">
      <w:pPr>
        <w:spacing w:line="276" w:lineRule="auto"/>
        <w:jc w:val="both"/>
        <w:rPr>
          <w:rFonts w:ascii="Arial" w:eastAsia="SimSun" w:hAnsi="Arial" w:cs="Arial"/>
          <w:color w:val="595959" w:themeColor="text1" w:themeTint="A6"/>
          <w:kern w:val="24"/>
        </w:rPr>
      </w:pPr>
      <w:r w:rsidRPr="003D5E91">
        <w:rPr>
          <w:rFonts w:ascii="Arial" w:eastAsia="SimSun" w:hAnsi="Arial" w:cs="Arial"/>
          <w:color w:val="595959" w:themeColor="text1" w:themeTint="A6"/>
          <w:kern w:val="24"/>
        </w:rPr>
        <w:t>CAF with and without TGFβ-1 stimulation</w:t>
      </w:r>
      <w:r w:rsidR="005B248F" w:rsidRPr="003D5E91">
        <w:rPr>
          <w:rFonts w:ascii="Arial" w:eastAsia="SimSun" w:hAnsi="Arial" w:cs="Arial"/>
          <w:color w:val="595959" w:themeColor="text1" w:themeTint="A6"/>
          <w:kern w:val="24"/>
        </w:rPr>
        <w:t>……………………………………………</w:t>
      </w:r>
      <w:r w:rsidR="00DD077C">
        <w:rPr>
          <w:rFonts w:ascii="Arial" w:eastAsia="SimSun" w:hAnsi="Arial" w:cs="Arial"/>
          <w:color w:val="595959" w:themeColor="text1" w:themeTint="A6"/>
          <w:kern w:val="24"/>
        </w:rPr>
        <w:t>………..-</w:t>
      </w:r>
      <w:r w:rsidR="005B248F" w:rsidRPr="003D5E91">
        <w:rPr>
          <w:rFonts w:ascii="Arial" w:eastAsia="SimSun" w:hAnsi="Arial" w:cs="Arial"/>
          <w:color w:val="595959" w:themeColor="text1" w:themeTint="A6"/>
          <w:kern w:val="24"/>
        </w:rPr>
        <w:t>12</w:t>
      </w:r>
      <w:r w:rsidR="00844EDA">
        <w:rPr>
          <w:rFonts w:ascii="Arial" w:eastAsia="SimSun" w:hAnsi="Arial" w:cs="Arial"/>
          <w:color w:val="595959" w:themeColor="text1" w:themeTint="A6"/>
          <w:kern w:val="24"/>
        </w:rPr>
        <w:t>6</w:t>
      </w:r>
      <w:r w:rsidR="00DD077C">
        <w:rPr>
          <w:rFonts w:ascii="Arial" w:eastAsia="SimSun" w:hAnsi="Arial" w:cs="Arial"/>
          <w:color w:val="595959" w:themeColor="text1" w:themeTint="A6"/>
          <w:kern w:val="24"/>
        </w:rPr>
        <w:t>-</w:t>
      </w:r>
    </w:p>
    <w:p w14:paraId="572A20F5" w14:textId="77777777" w:rsidR="005B248F" w:rsidRPr="003D5E91" w:rsidRDefault="0009309A" w:rsidP="003D5E91">
      <w:pPr>
        <w:spacing w:line="276" w:lineRule="auto"/>
        <w:jc w:val="both"/>
        <w:rPr>
          <w:rFonts w:ascii="Arial" w:eastAsia="SimSun" w:hAnsi="Arial" w:cs="Arial"/>
          <w:color w:val="595959" w:themeColor="text1" w:themeTint="A6"/>
          <w:kern w:val="24"/>
        </w:rPr>
      </w:pPr>
      <w:r w:rsidRPr="004336DB">
        <w:rPr>
          <w:rFonts w:ascii="Arial" w:eastAsia="SimSun" w:hAnsi="Arial" w:cs="Arial"/>
          <w:b/>
          <w:bCs/>
          <w:color w:val="595959" w:themeColor="text1" w:themeTint="A6"/>
          <w:kern w:val="24"/>
        </w:rPr>
        <w:t>Figure 3.21</w:t>
      </w:r>
      <w:r w:rsidRPr="003D5E91">
        <w:rPr>
          <w:rFonts w:ascii="Arial" w:eastAsia="SimSun" w:hAnsi="Arial" w:cs="Arial"/>
          <w:color w:val="595959" w:themeColor="text1" w:themeTint="A6"/>
          <w:kern w:val="24"/>
        </w:rPr>
        <w:t xml:space="preserve"> Short-term expression data for the myofibroblast marker </w:t>
      </w:r>
    </w:p>
    <w:p w14:paraId="35BE2D7D" w14:textId="11955CD5" w:rsidR="0009309A" w:rsidRPr="003D5E91" w:rsidRDefault="0009309A" w:rsidP="003D5E91">
      <w:pPr>
        <w:spacing w:line="276" w:lineRule="auto"/>
        <w:jc w:val="both"/>
        <w:rPr>
          <w:rFonts w:ascii="Arial" w:eastAsia="SimSun" w:hAnsi="Arial" w:cs="Arial"/>
          <w:color w:val="595959" w:themeColor="text1" w:themeTint="A6"/>
          <w:kern w:val="24"/>
        </w:rPr>
      </w:pPr>
      <w:r w:rsidRPr="003D5E91">
        <w:rPr>
          <w:rFonts w:ascii="Arial" w:eastAsia="SimSun" w:hAnsi="Arial" w:cs="Arial"/>
          <w:color w:val="595959" w:themeColor="text1" w:themeTint="A6"/>
          <w:kern w:val="24"/>
        </w:rPr>
        <w:t>FN1-EDA in CAF with and without TGFβ-1 stimulation</w:t>
      </w:r>
      <w:r w:rsidR="005B248F" w:rsidRPr="003D5E91">
        <w:rPr>
          <w:rFonts w:ascii="Arial" w:eastAsia="SimSun" w:hAnsi="Arial" w:cs="Arial"/>
          <w:color w:val="595959" w:themeColor="text1" w:themeTint="A6"/>
          <w:kern w:val="24"/>
        </w:rPr>
        <w:t>…………………………</w:t>
      </w:r>
      <w:r w:rsidR="009304D7">
        <w:rPr>
          <w:rFonts w:ascii="Arial" w:eastAsia="SimSun" w:hAnsi="Arial" w:cs="Arial"/>
          <w:color w:val="595959" w:themeColor="text1" w:themeTint="A6"/>
          <w:kern w:val="24"/>
        </w:rPr>
        <w:t>…………….-</w:t>
      </w:r>
      <w:r w:rsidR="00700E31" w:rsidRPr="003D5E91">
        <w:rPr>
          <w:rFonts w:ascii="Arial" w:eastAsia="SimSun" w:hAnsi="Arial" w:cs="Arial"/>
          <w:color w:val="595959" w:themeColor="text1" w:themeTint="A6"/>
          <w:kern w:val="24"/>
        </w:rPr>
        <w:t>12</w:t>
      </w:r>
      <w:r w:rsidR="005456FB">
        <w:rPr>
          <w:rFonts w:ascii="Arial" w:eastAsia="SimSun" w:hAnsi="Arial" w:cs="Arial"/>
          <w:color w:val="595959" w:themeColor="text1" w:themeTint="A6"/>
          <w:kern w:val="24"/>
        </w:rPr>
        <w:t>7</w:t>
      </w:r>
      <w:r w:rsidR="009304D7">
        <w:rPr>
          <w:rFonts w:ascii="Arial" w:eastAsia="SimSun" w:hAnsi="Arial" w:cs="Arial"/>
          <w:color w:val="595959" w:themeColor="text1" w:themeTint="A6"/>
          <w:kern w:val="24"/>
        </w:rPr>
        <w:t>-</w:t>
      </w:r>
      <w:r w:rsidRPr="003D5E91">
        <w:rPr>
          <w:rFonts w:ascii="Arial" w:eastAsia="SimSun" w:hAnsi="Arial" w:cs="Arial"/>
          <w:color w:val="595959" w:themeColor="text1" w:themeTint="A6"/>
          <w:kern w:val="24"/>
        </w:rPr>
        <w:t xml:space="preserve">  </w:t>
      </w:r>
    </w:p>
    <w:p w14:paraId="3A33C3DA" w14:textId="77777777" w:rsidR="00700E31" w:rsidRPr="003D5E91" w:rsidRDefault="0009309A" w:rsidP="003D5E91">
      <w:pPr>
        <w:spacing w:line="276" w:lineRule="auto"/>
        <w:jc w:val="both"/>
        <w:rPr>
          <w:rFonts w:ascii="Arial" w:eastAsia="SimSun" w:hAnsi="Arial" w:cs="Arial"/>
          <w:color w:val="595959" w:themeColor="text1" w:themeTint="A6"/>
          <w:kern w:val="24"/>
        </w:rPr>
      </w:pPr>
      <w:r w:rsidRPr="004336DB">
        <w:rPr>
          <w:rFonts w:ascii="Arial" w:eastAsia="SimSun" w:hAnsi="Arial" w:cs="Arial"/>
          <w:b/>
          <w:bCs/>
          <w:color w:val="595959" w:themeColor="text1" w:themeTint="A6"/>
          <w:kern w:val="24"/>
        </w:rPr>
        <w:t>Figure 3.22</w:t>
      </w:r>
      <w:r w:rsidRPr="003D5E91">
        <w:rPr>
          <w:rFonts w:ascii="Arial" w:eastAsia="SimSun" w:hAnsi="Arial" w:cs="Arial"/>
          <w:color w:val="595959" w:themeColor="text1" w:themeTint="A6"/>
          <w:kern w:val="24"/>
        </w:rPr>
        <w:t xml:space="preserve"> Short-term expression data for the myofibroblast marker </w:t>
      </w:r>
    </w:p>
    <w:p w14:paraId="5BE3D4ED" w14:textId="14F35E00" w:rsidR="0009309A" w:rsidRPr="003D5E91" w:rsidRDefault="0009309A" w:rsidP="003D5E91">
      <w:pPr>
        <w:spacing w:line="276" w:lineRule="auto"/>
        <w:jc w:val="both"/>
        <w:rPr>
          <w:rFonts w:ascii="Arial" w:eastAsia="SimSun" w:hAnsi="Arial" w:cs="Arial"/>
          <w:color w:val="595959" w:themeColor="text1" w:themeTint="A6"/>
          <w:kern w:val="24"/>
        </w:rPr>
      </w:pPr>
      <w:r w:rsidRPr="003D5E91">
        <w:rPr>
          <w:rFonts w:ascii="Arial" w:eastAsia="SimSun" w:hAnsi="Arial" w:cs="Arial"/>
          <w:color w:val="595959" w:themeColor="text1" w:themeTint="A6"/>
          <w:kern w:val="24"/>
        </w:rPr>
        <w:t>COL1A1 in CAF with and without TGFβ-1 stimulation</w:t>
      </w:r>
      <w:r w:rsidR="00700E31" w:rsidRPr="003D5E91">
        <w:rPr>
          <w:rFonts w:ascii="Arial" w:eastAsia="SimSun" w:hAnsi="Arial" w:cs="Arial"/>
          <w:color w:val="595959" w:themeColor="text1" w:themeTint="A6"/>
          <w:kern w:val="24"/>
        </w:rPr>
        <w:t>…………………………...</w:t>
      </w:r>
      <w:r w:rsidR="009304D7">
        <w:rPr>
          <w:rFonts w:ascii="Arial" w:eastAsia="SimSun" w:hAnsi="Arial" w:cs="Arial"/>
          <w:color w:val="595959" w:themeColor="text1" w:themeTint="A6"/>
          <w:kern w:val="24"/>
        </w:rPr>
        <w:t>................-</w:t>
      </w:r>
      <w:r w:rsidR="00700E31" w:rsidRPr="003D5E91">
        <w:rPr>
          <w:rFonts w:ascii="Arial" w:eastAsia="SimSun" w:hAnsi="Arial" w:cs="Arial"/>
          <w:color w:val="595959" w:themeColor="text1" w:themeTint="A6"/>
          <w:kern w:val="24"/>
        </w:rPr>
        <w:t>12</w:t>
      </w:r>
      <w:r w:rsidR="005456FB">
        <w:rPr>
          <w:rFonts w:ascii="Arial" w:eastAsia="SimSun" w:hAnsi="Arial" w:cs="Arial"/>
          <w:color w:val="595959" w:themeColor="text1" w:themeTint="A6"/>
          <w:kern w:val="24"/>
        </w:rPr>
        <w:t>8</w:t>
      </w:r>
      <w:r w:rsidR="009304D7">
        <w:rPr>
          <w:rFonts w:ascii="Arial" w:eastAsia="SimSun" w:hAnsi="Arial" w:cs="Arial"/>
          <w:color w:val="595959" w:themeColor="text1" w:themeTint="A6"/>
          <w:kern w:val="24"/>
        </w:rPr>
        <w:t>-</w:t>
      </w:r>
    </w:p>
    <w:p w14:paraId="1B87F116" w14:textId="77777777" w:rsidR="00700E31" w:rsidRPr="003D5E91" w:rsidRDefault="0009309A" w:rsidP="003D5E91">
      <w:pPr>
        <w:spacing w:line="276" w:lineRule="auto"/>
        <w:jc w:val="both"/>
        <w:rPr>
          <w:rFonts w:ascii="Arial" w:eastAsia="SimSun" w:hAnsi="Arial" w:cs="Arial"/>
          <w:color w:val="595959" w:themeColor="text1" w:themeTint="A6"/>
          <w:kern w:val="24"/>
        </w:rPr>
      </w:pPr>
      <w:r w:rsidRPr="004336DB">
        <w:rPr>
          <w:rFonts w:ascii="Arial" w:eastAsia="SimSun" w:hAnsi="Arial" w:cs="Arial"/>
          <w:b/>
          <w:bCs/>
          <w:color w:val="595959" w:themeColor="text1" w:themeTint="A6"/>
          <w:kern w:val="24"/>
        </w:rPr>
        <w:t>Figure 3.23</w:t>
      </w:r>
      <w:r w:rsidRPr="003D5E91">
        <w:rPr>
          <w:rFonts w:ascii="Arial" w:eastAsia="SimSun" w:hAnsi="Arial" w:cs="Arial"/>
          <w:color w:val="595959" w:themeColor="text1" w:themeTint="A6"/>
          <w:kern w:val="24"/>
        </w:rPr>
        <w:t xml:space="preserve"> Short-term expression data for the myofibroblast marker </w:t>
      </w:r>
    </w:p>
    <w:p w14:paraId="580E44A6" w14:textId="2729F1D3" w:rsidR="0009309A" w:rsidRPr="003D5E91" w:rsidRDefault="0009309A" w:rsidP="003D5E91">
      <w:pPr>
        <w:spacing w:line="276" w:lineRule="auto"/>
        <w:jc w:val="both"/>
        <w:rPr>
          <w:rFonts w:ascii="Arial" w:eastAsia="SimSun" w:hAnsi="Arial" w:cs="Arial"/>
          <w:color w:val="595959" w:themeColor="text1" w:themeTint="A6"/>
          <w:kern w:val="24"/>
        </w:rPr>
      </w:pPr>
      <w:r w:rsidRPr="003D5E91">
        <w:rPr>
          <w:rFonts w:ascii="Arial" w:eastAsia="SimSun" w:hAnsi="Arial" w:cs="Arial"/>
          <w:color w:val="595959" w:themeColor="text1" w:themeTint="A6"/>
          <w:kern w:val="24"/>
        </w:rPr>
        <w:lastRenderedPageBreak/>
        <w:t>VCAN in CAF with and without TGFβ-1 stimulation</w:t>
      </w:r>
      <w:r w:rsidR="00700E31" w:rsidRPr="003D5E91">
        <w:rPr>
          <w:rFonts w:ascii="Arial" w:eastAsia="SimSun" w:hAnsi="Arial" w:cs="Arial"/>
          <w:color w:val="595959" w:themeColor="text1" w:themeTint="A6"/>
          <w:kern w:val="24"/>
        </w:rPr>
        <w:t>……………………………</w:t>
      </w:r>
      <w:r w:rsidR="00661045">
        <w:rPr>
          <w:rFonts w:ascii="Arial" w:eastAsia="SimSun" w:hAnsi="Arial" w:cs="Arial"/>
          <w:color w:val="595959" w:themeColor="text1" w:themeTint="A6"/>
          <w:kern w:val="24"/>
        </w:rPr>
        <w:t>……………..-</w:t>
      </w:r>
      <w:r w:rsidR="00064864" w:rsidRPr="003D5E91">
        <w:rPr>
          <w:rFonts w:ascii="Arial" w:eastAsia="SimSun" w:hAnsi="Arial" w:cs="Arial"/>
          <w:color w:val="595959" w:themeColor="text1" w:themeTint="A6"/>
          <w:kern w:val="24"/>
        </w:rPr>
        <w:t>12</w:t>
      </w:r>
      <w:r w:rsidR="005456FB">
        <w:rPr>
          <w:rFonts w:ascii="Arial" w:eastAsia="SimSun" w:hAnsi="Arial" w:cs="Arial"/>
          <w:color w:val="595959" w:themeColor="text1" w:themeTint="A6"/>
          <w:kern w:val="24"/>
        </w:rPr>
        <w:t>9</w:t>
      </w:r>
      <w:r w:rsidR="00661045">
        <w:rPr>
          <w:rFonts w:ascii="Arial" w:eastAsia="SimSun" w:hAnsi="Arial" w:cs="Arial"/>
          <w:color w:val="595959" w:themeColor="text1" w:themeTint="A6"/>
          <w:kern w:val="24"/>
        </w:rPr>
        <w:t>-</w:t>
      </w:r>
    </w:p>
    <w:p w14:paraId="615EC559" w14:textId="77777777" w:rsidR="00064864" w:rsidRPr="003D5E91" w:rsidRDefault="0009309A" w:rsidP="003D5E91">
      <w:pPr>
        <w:spacing w:line="276" w:lineRule="auto"/>
        <w:jc w:val="both"/>
        <w:rPr>
          <w:rFonts w:ascii="Arial" w:eastAsia="SimSun" w:hAnsi="Arial" w:cs="Arial"/>
          <w:color w:val="595959" w:themeColor="text1" w:themeTint="A6"/>
          <w:kern w:val="24"/>
        </w:rPr>
      </w:pPr>
      <w:r w:rsidRPr="004336DB">
        <w:rPr>
          <w:rFonts w:ascii="Arial" w:eastAsia="SimSun" w:hAnsi="Arial" w:cs="Arial"/>
          <w:b/>
          <w:bCs/>
          <w:color w:val="595959" w:themeColor="text1" w:themeTint="A6"/>
          <w:kern w:val="24"/>
        </w:rPr>
        <w:t>Figure 3.24</w:t>
      </w:r>
      <w:r w:rsidRPr="003D5E91">
        <w:rPr>
          <w:rFonts w:ascii="Arial" w:eastAsia="SimSun" w:hAnsi="Arial" w:cs="Arial"/>
          <w:color w:val="595959" w:themeColor="text1" w:themeTint="A6"/>
          <w:kern w:val="24"/>
        </w:rPr>
        <w:t xml:space="preserve"> Short-term expression data for the myofibroblast marker </w:t>
      </w:r>
    </w:p>
    <w:p w14:paraId="2EEA8661" w14:textId="67F30F31" w:rsidR="0009309A" w:rsidRPr="003D5E91" w:rsidRDefault="0009309A" w:rsidP="003D5E91">
      <w:pPr>
        <w:spacing w:line="276" w:lineRule="auto"/>
        <w:jc w:val="both"/>
        <w:rPr>
          <w:rFonts w:ascii="Arial" w:eastAsia="SimSun" w:hAnsi="Arial" w:cs="Arial"/>
          <w:color w:val="595959" w:themeColor="text1" w:themeTint="A6"/>
          <w:kern w:val="24"/>
        </w:rPr>
      </w:pPr>
      <w:r w:rsidRPr="003D5E91">
        <w:rPr>
          <w:rFonts w:ascii="Arial" w:eastAsia="SimSun" w:hAnsi="Arial" w:cs="Arial"/>
          <w:color w:val="595959" w:themeColor="text1" w:themeTint="A6"/>
          <w:kern w:val="24"/>
        </w:rPr>
        <w:t>TNC in CAF with and without TGFβ-1 stimulation</w:t>
      </w:r>
      <w:r w:rsidR="00064864" w:rsidRPr="003D5E91">
        <w:rPr>
          <w:rFonts w:ascii="Arial" w:eastAsia="SimSun" w:hAnsi="Arial" w:cs="Arial"/>
          <w:color w:val="595959" w:themeColor="text1" w:themeTint="A6"/>
          <w:kern w:val="24"/>
        </w:rPr>
        <w:t>………………………………</w:t>
      </w:r>
      <w:r w:rsidR="00661045">
        <w:rPr>
          <w:rFonts w:ascii="Arial" w:eastAsia="SimSun" w:hAnsi="Arial" w:cs="Arial"/>
          <w:color w:val="595959" w:themeColor="text1" w:themeTint="A6"/>
          <w:kern w:val="24"/>
        </w:rPr>
        <w:t>…………….-</w:t>
      </w:r>
      <w:r w:rsidR="00064864" w:rsidRPr="003D5E91">
        <w:rPr>
          <w:rFonts w:ascii="Arial" w:eastAsia="SimSun" w:hAnsi="Arial" w:cs="Arial"/>
          <w:color w:val="595959" w:themeColor="text1" w:themeTint="A6"/>
          <w:kern w:val="24"/>
        </w:rPr>
        <w:t>1</w:t>
      </w:r>
      <w:r w:rsidR="0057793F">
        <w:rPr>
          <w:rFonts w:ascii="Arial" w:eastAsia="SimSun" w:hAnsi="Arial" w:cs="Arial"/>
          <w:color w:val="595959" w:themeColor="text1" w:themeTint="A6"/>
          <w:kern w:val="24"/>
        </w:rPr>
        <w:t>30</w:t>
      </w:r>
      <w:r w:rsidR="00661045">
        <w:rPr>
          <w:rFonts w:ascii="Arial" w:eastAsia="SimSun" w:hAnsi="Arial" w:cs="Arial"/>
          <w:color w:val="595959" w:themeColor="text1" w:themeTint="A6"/>
          <w:kern w:val="24"/>
        </w:rPr>
        <w:t>-</w:t>
      </w:r>
    </w:p>
    <w:p w14:paraId="4F653465" w14:textId="77777777" w:rsidR="00681B07" w:rsidRPr="003D5E91" w:rsidRDefault="0009309A" w:rsidP="003D5E91">
      <w:pPr>
        <w:spacing w:line="276" w:lineRule="auto"/>
        <w:jc w:val="both"/>
        <w:rPr>
          <w:rFonts w:ascii="Arial" w:eastAsia="SimSun" w:hAnsi="Arial" w:cs="Arial"/>
          <w:color w:val="595959" w:themeColor="text1" w:themeTint="A6"/>
          <w:kern w:val="24"/>
        </w:rPr>
      </w:pPr>
      <w:r w:rsidRPr="004336DB">
        <w:rPr>
          <w:rFonts w:ascii="Arial" w:eastAsia="SimSun" w:hAnsi="Arial" w:cs="Arial"/>
          <w:b/>
          <w:bCs/>
          <w:color w:val="595959" w:themeColor="text1" w:themeTint="A6"/>
          <w:kern w:val="24"/>
        </w:rPr>
        <w:t>Figure 3.25</w:t>
      </w:r>
      <w:r w:rsidRPr="003D5E91">
        <w:rPr>
          <w:rFonts w:ascii="Arial" w:eastAsia="SimSun" w:hAnsi="Arial" w:cs="Arial"/>
          <w:color w:val="595959" w:themeColor="text1" w:themeTint="A6"/>
          <w:kern w:val="24"/>
        </w:rPr>
        <w:t xml:space="preserve"> Long-term expression data for the ECM marker αSMA in </w:t>
      </w:r>
    </w:p>
    <w:p w14:paraId="7631FABF" w14:textId="32771012" w:rsidR="0009309A" w:rsidRPr="003D5E91" w:rsidRDefault="0009309A" w:rsidP="003D5E91">
      <w:pPr>
        <w:spacing w:line="276" w:lineRule="auto"/>
        <w:jc w:val="both"/>
        <w:rPr>
          <w:rFonts w:ascii="Arial" w:eastAsia="SimSun" w:hAnsi="Arial" w:cs="Arial"/>
          <w:color w:val="595959" w:themeColor="text1" w:themeTint="A6"/>
          <w:kern w:val="24"/>
        </w:rPr>
      </w:pPr>
      <w:r w:rsidRPr="003D5E91">
        <w:rPr>
          <w:rFonts w:ascii="Arial" w:eastAsia="SimSun" w:hAnsi="Arial" w:cs="Arial"/>
          <w:color w:val="595959" w:themeColor="text1" w:themeTint="A6"/>
          <w:kern w:val="24"/>
        </w:rPr>
        <w:t>CAF with and without TGFβ-1 stimulation</w:t>
      </w:r>
      <w:r w:rsidR="00681B07" w:rsidRPr="003D5E91">
        <w:rPr>
          <w:rFonts w:ascii="Arial" w:eastAsia="SimSun" w:hAnsi="Arial" w:cs="Arial"/>
          <w:color w:val="595959" w:themeColor="text1" w:themeTint="A6"/>
          <w:kern w:val="24"/>
        </w:rPr>
        <w:t>………………………………………</w:t>
      </w:r>
      <w:r w:rsidR="00317A81">
        <w:rPr>
          <w:rFonts w:ascii="Arial" w:eastAsia="SimSun" w:hAnsi="Arial" w:cs="Arial"/>
          <w:color w:val="595959" w:themeColor="text1" w:themeTint="A6"/>
          <w:kern w:val="24"/>
        </w:rPr>
        <w:t>……………..-</w:t>
      </w:r>
      <w:r w:rsidR="00681B07" w:rsidRPr="003D5E91">
        <w:rPr>
          <w:rFonts w:ascii="Arial" w:eastAsia="SimSun" w:hAnsi="Arial" w:cs="Arial"/>
          <w:color w:val="595959" w:themeColor="text1" w:themeTint="A6"/>
          <w:kern w:val="24"/>
        </w:rPr>
        <w:t>1</w:t>
      </w:r>
      <w:r w:rsidR="00844EDA">
        <w:rPr>
          <w:rFonts w:ascii="Arial" w:eastAsia="SimSun" w:hAnsi="Arial" w:cs="Arial"/>
          <w:color w:val="595959" w:themeColor="text1" w:themeTint="A6"/>
          <w:kern w:val="24"/>
        </w:rPr>
        <w:t>3</w:t>
      </w:r>
      <w:r w:rsidR="0057793F">
        <w:rPr>
          <w:rFonts w:ascii="Arial" w:eastAsia="SimSun" w:hAnsi="Arial" w:cs="Arial"/>
          <w:color w:val="595959" w:themeColor="text1" w:themeTint="A6"/>
          <w:kern w:val="24"/>
        </w:rPr>
        <w:t>1</w:t>
      </w:r>
      <w:r w:rsidR="00317A81">
        <w:rPr>
          <w:rFonts w:ascii="Arial" w:eastAsia="SimSun" w:hAnsi="Arial" w:cs="Arial"/>
          <w:color w:val="595959" w:themeColor="text1" w:themeTint="A6"/>
          <w:kern w:val="24"/>
        </w:rPr>
        <w:t>-</w:t>
      </w:r>
    </w:p>
    <w:p w14:paraId="33DB18A8" w14:textId="77777777" w:rsidR="00681B07" w:rsidRPr="003D5E91" w:rsidRDefault="0009309A" w:rsidP="003D5E91">
      <w:pPr>
        <w:spacing w:line="276" w:lineRule="auto"/>
        <w:jc w:val="both"/>
        <w:rPr>
          <w:rFonts w:ascii="Arial" w:eastAsia="SimSun" w:hAnsi="Arial" w:cs="Arial"/>
          <w:color w:val="595959" w:themeColor="text1" w:themeTint="A6"/>
          <w:kern w:val="24"/>
        </w:rPr>
      </w:pPr>
      <w:r w:rsidRPr="004336DB">
        <w:rPr>
          <w:rFonts w:ascii="Arial" w:eastAsia="SimSun" w:hAnsi="Arial" w:cs="Arial"/>
          <w:b/>
          <w:bCs/>
          <w:color w:val="595959" w:themeColor="text1" w:themeTint="A6"/>
          <w:kern w:val="24"/>
        </w:rPr>
        <w:t>Figure 3.26</w:t>
      </w:r>
      <w:r w:rsidRPr="003D5E91">
        <w:rPr>
          <w:rFonts w:ascii="Arial" w:eastAsia="SimSun" w:hAnsi="Arial" w:cs="Arial"/>
          <w:color w:val="595959" w:themeColor="text1" w:themeTint="A6"/>
          <w:kern w:val="24"/>
        </w:rPr>
        <w:t xml:space="preserve"> Long-term expression data for the ECM marker FN1-EDA </w:t>
      </w:r>
    </w:p>
    <w:p w14:paraId="766D6479" w14:textId="42DFBE47" w:rsidR="0009309A" w:rsidRPr="003D5E91" w:rsidRDefault="0009309A" w:rsidP="003D5E91">
      <w:pPr>
        <w:spacing w:line="276" w:lineRule="auto"/>
        <w:jc w:val="both"/>
        <w:rPr>
          <w:rFonts w:ascii="Arial" w:eastAsia="SimSun" w:hAnsi="Arial" w:cs="Arial"/>
          <w:color w:val="595959" w:themeColor="text1" w:themeTint="A6"/>
          <w:kern w:val="24"/>
        </w:rPr>
      </w:pPr>
      <w:r w:rsidRPr="003D5E91">
        <w:rPr>
          <w:rFonts w:ascii="Arial" w:eastAsia="SimSun" w:hAnsi="Arial" w:cs="Arial"/>
          <w:color w:val="595959" w:themeColor="text1" w:themeTint="A6"/>
          <w:kern w:val="24"/>
        </w:rPr>
        <w:t>in CAF with and without TGFβ-1 stimulation</w:t>
      </w:r>
      <w:r w:rsidR="00681B07" w:rsidRPr="003D5E91">
        <w:rPr>
          <w:rFonts w:ascii="Arial" w:eastAsia="SimSun" w:hAnsi="Arial" w:cs="Arial"/>
          <w:color w:val="595959" w:themeColor="text1" w:themeTint="A6"/>
          <w:kern w:val="24"/>
        </w:rPr>
        <w:t>……………………………………</w:t>
      </w:r>
      <w:r w:rsidR="00317A81">
        <w:rPr>
          <w:rFonts w:ascii="Arial" w:eastAsia="SimSun" w:hAnsi="Arial" w:cs="Arial"/>
          <w:color w:val="595959" w:themeColor="text1" w:themeTint="A6"/>
          <w:kern w:val="24"/>
        </w:rPr>
        <w:t>……………..-</w:t>
      </w:r>
      <w:r w:rsidR="008C5708" w:rsidRPr="003D5E91">
        <w:rPr>
          <w:rFonts w:ascii="Arial" w:eastAsia="SimSun" w:hAnsi="Arial" w:cs="Arial"/>
          <w:color w:val="595959" w:themeColor="text1" w:themeTint="A6"/>
          <w:kern w:val="24"/>
        </w:rPr>
        <w:t>1</w:t>
      </w:r>
      <w:r w:rsidR="00844EDA">
        <w:rPr>
          <w:rFonts w:ascii="Arial" w:eastAsia="SimSun" w:hAnsi="Arial" w:cs="Arial"/>
          <w:color w:val="595959" w:themeColor="text1" w:themeTint="A6"/>
          <w:kern w:val="24"/>
        </w:rPr>
        <w:t>3</w:t>
      </w:r>
      <w:r w:rsidR="003B5B90">
        <w:rPr>
          <w:rFonts w:ascii="Arial" w:eastAsia="SimSun" w:hAnsi="Arial" w:cs="Arial"/>
          <w:color w:val="595959" w:themeColor="text1" w:themeTint="A6"/>
          <w:kern w:val="24"/>
        </w:rPr>
        <w:t>2</w:t>
      </w:r>
      <w:r w:rsidR="00317A81">
        <w:rPr>
          <w:rFonts w:ascii="Arial" w:eastAsia="SimSun" w:hAnsi="Arial" w:cs="Arial"/>
          <w:color w:val="595959" w:themeColor="text1" w:themeTint="A6"/>
          <w:kern w:val="24"/>
        </w:rPr>
        <w:t>-</w:t>
      </w:r>
    </w:p>
    <w:p w14:paraId="575FEE9C" w14:textId="77777777" w:rsidR="008C5708" w:rsidRPr="003D5E91" w:rsidRDefault="006D3B19" w:rsidP="003D5E91">
      <w:pPr>
        <w:spacing w:line="276" w:lineRule="auto"/>
        <w:jc w:val="both"/>
        <w:rPr>
          <w:rFonts w:ascii="Arial" w:eastAsia="SimSun" w:hAnsi="Arial" w:cs="Arial"/>
          <w:color w:val="595959" w:themeColor="text1" w:themeTint="A6"/>
          <w:kern w:val="24"/>
        </w:rPr>
      </w:pPr>
      <w:r w:rsidRPr="004336DB">
        <w:rPr>
          <w:rFonts w:ascii="Arial" w:eastAsia="SimSun" w:hAnsi="Arial" w:cs="Arial"/>
          <w:b/>
          <w:bCs/>
          <w:color w:val="595959" w:themeColor="text1" w:themeTint="A6"/>
          <w:kern w:val="24"/>
        </w:rPr>
        <w:t>Figure 3.27</w:t>
      </w:r>
      <w:r w:rsidRPr="003D5E91">
        <w:rPr>
          <w:rFonts w:ascii="Arial" w:eastAsia="SimSun" w:hAnsi="Arial" w:cs="Arial"/>
          <w:color w:val="595959" w:themeColor="text1" w:themeTint="A6"/>
          <w:kern w:val="24"/>
        </w:rPr>
        <w:t xml:space="preserve"> Long-term expression data for the ECM marker COL1A1 </w:t>
      </w:r>
    </w:p>
    <w:p w14:paraId="189850B7" w14:textId="6433183E" w:rsidR="006D3B19" w:rsidRPr="003D5E91" w:rsidRDefault="006D3B19" w:rsidP="003D5E91">
      <w:pPr>
        <w:spacing w:line="276" w:lineRule="auto"/>
        <w:jc w:val="both"/>
        <w:rPr>
          <w:rFonts w:ascii="Arial" w:eastAsia="SimSun" w:hAnsi="Arial" w:cs="Arial"/>
          <w:color w:val="595959" w:themeColor="text1" w:themeTint="A6"/>
          <w:kern w:val="24"/>
        </w:rPr>
      </w:pPr>
      <w:r w:rsidRPr="003D5E91">
        <w:rPr>
          <w:rFonts w:ascii="Arial" w:eastAsia="SimSun" w:hAnsi="Arial" w:cs="Arial"/>
          <w:color w:val="595959" w:themeColor="text1" w:themeTint="A6"/>
          <w:kern w:val="24"/>
        </w:rPr>
        <w:t>in CAF with and without TGFβ-1 stimulation</w:t>
      </w:r>
      <w:r w:rsidR="008C5708" w:rsidRPr="003D5E91">
        <w:rPr>
          <w:rFonts w:ascii="Arial" w:eastAsia="SimSun" w:hAnsi="Arial" w:cs="Arial"/>
          <w:color w:val="595959" w:themeColor="text1" w:themeTint="A6"/>
          <w:kern w:val="24"/>
        </w:rPr>
        <w:t>……………………………………</w:t>
      </w:r>
      <w:r w:rsidR="0074253D">
        <w:rPr>
          <w:rFonts w:ascii="Arial" w:eastAsia="SimSun" w:hAnsi="Arial" w:cs="Arial"/>
          <w:color w:val="595959" w:themeColor="text1" w:themeTint="A6"/>
          <w:kern w:val="24"/>
        </w:rPr>
        <w:t>……………..-</w:t>
      </w:r>
      <w:r w:rsidR="008C5708" w:rsidRPr="003D5E91">
        <w:rPr>
          <w:rFonts w:ascii="Arial" w:eastAsia="SimSun" w:hAnsi="Arial" w:cs="Arial"/>
          <w:color w:val="595959" w:themeColor="text1" w:themeTint="A6"/>
          <w:kern w:val="24"/>
        </w:rPr>
        <w:t>1</w:t>
      </w:r>
      <w:r w:rsidR="00844EDA">
        <w:rPr>
          <w:rFonts w:ascii="Arial" w:eastAsia="SimSun" w:hAnsi="Arial" w:cs="Arial"/>
          <w:color w:val="595959" w:themeColor="text1" w:themeTint="A6"/>
          <w:kern w:val="24"/>
        </w:rPr>
        <w:t>3</w:t>
      </w:r>
      <w:r w:rsidR="003B5B90">
        <w:rPr>
          <w:rFonts w:ascii="Arial" w:eastAsia="SimSun" w:hAnsi="Arial" w:cs="Arial"/>
          <w:color w:val="595959" w:themeColor="text1" w:themeTint="A6"/>
          <w:kern w:val="24"/>
        </w:rPr>
        <w:t>3</w:t>
      </w:r>
      <w:r w:rsidR="0074253D">
        <w:rPr>
          <w:rFonts w:ascii="Arial" w:eastAsia="SimSun" w:hAnsi="Arial" w:cs="Arial"/>
          <w:color w:val="595959" w:themeColor="text1" w:themeTint="A6"/>
          <w:kern w:val="24"/>
        </w:rPr>
        <w:t>-</w:t>
      </w:r>
    </w:p>
    <w:p w14:paraId="7DD42FB5" w14:textId="77777777" w:rsidR="00DD7CB3" w:rsidRPr="003D5E91" w:rsidRDefault="006D3B19" w:rsidP="003D5E91">
      <w:pPr>
        <w:spacing w:line="276" w:lineRule="auto"/>
        <w:jc w:val="both"/>
        <w:rPr>
          <w:rFonts w:ascii="Arial" w:eastAsia="SimSun" w:hAnsi="Arial" w:cs="Arial"/>
          <w:color w:val="595959" w:themeColor="text1" w:themeTint="A6"/>
          <w:kern w:val="24"/>
        </w:rPr>
      </w:pPr>
      <w:r w:rsidRPr="004336DB">
        <w:rPr>
          <w:rFonts w:ascii="Arial" w:eastAsia="SimSun" w:hAnsi="Arial" w:cs="Arial"/>
          <w:b/>
          <w:bCs/>
          <w:color w:val="595959" w:themeColor="text1" w:themeTint="A6"/>
          <w:kern w:val="24"/>
        </w:rPr>
        <w:t>Figure 3.28</w:t>
      </w:r>
      <w:r w:rsidRPr="003D5E91">
        <w:rPr>
          <w:rFonts w:ascii="Arial" w:eastAsia="SimSun" w:hAnsi="Arial" w:cs="Arial"/>
          <w:color w:val="595959" w:themeColor="text1" w:themeTint="A6"/>
          <w:kern w:val="24"/>
        </w:rPr>
        <w:t xml:space="preserve"> Long-term expression data for the ECM marker VCAN in CAF</w:t>
      </w:r>
    </w:p>
    <w:p w14:paraId="265D435D" w14:textId="0C13C244" w:rsidR="006D3B19" w:rsidRPr="003D5E91" w:rsidRDefault="006D3B19" w:rsidP="003D5E91">
      <w:pPr>
        <w:spacing w:line="276" w:lineRule="auto"/>
        <w:jc w:val="both"/>
        <w:rPr>
          <w:rFonts w:ascii="Arial" w:eastAsia="SimSun" w:hAnsi="Arial" w:cs="Arial"/>
          <w:color w:val="595959" w:themeColor="text1" w:themeTint="A6"/>
          <w:kern w:val="24"/>
        </w:rPr>
      </w:pPr>
      <w:r w:rsidRPr="003D5E91">
        <w:rPr>
          <w:rFonts w:ascii="Arial" w:eastAsia="SimSun" w:hAnsi="Arial" w:cs="Arial"/>
          <w:color w:val="595959" w:themeColor="text1" w:themeTint="A6"/>
          <w:kern w:val="24"/>
        </w:rPr>
        <w:t xml:space="preserve"> with and without TGFβ-1 stimulation</w:t>
      </w:r>
      <w:r w:rsidR="008C5708" w:rsidRPr="003D5E91">
        <w:rPr>
          <w:rFonts w:ascii="Arial" w:eastAsia="SimSun" w:hAnsi="Arial" w:cs="Arial"/>
          <w:color w:val="595959" w:themeColor="text1" w:themeTint="A6"/>
          <w:kern w:val="24"/>
        </w:rPr>
        <w:t>……………………………………………</w:t>
      </w:r>
      <w:r w:rsidR="0074253D">
        <w:rPr>
          <w:rFonts w:ascii="Arial" w:eastAsia="SimSun" w:hAnsi="Arial" w:cs="Arial"/>
          <w:color w:val="595959" w:themeColor="text1" w:themeTint="A6"/>
          <w:kern w:val="24"/>
        </w:rPr>
        <w:t>……………</w:t>
      </w:r>
      <w:r w:rsidR="004D5CB9">
        <w:rPr>
          <w:rFonts w:ascii="Arial" w:eastAsia="SimSun" w:hAnsi="Arial" w:cs="Arial"/>
          <w:color w:val="595959" w:themeColor="text1" w:themeTint="A6"/>
          <w:kern w:val="24"/>
        </w:rPr>
        <w:t>..</w:t>
      </w:r>
      <w:r w:rsidR="0074253D">
        <w:rPr>
          <w:rFonts w:ascii="Arial" w:eastAsia="SimSun" w:hAnsi="Arial" w:cs="Arial"/>
          <w:color w:val="595959" w:themeColor="text1" w:themeTint="A6"/>
          <w:kern w:val="24"/>
        </w:rPr>
        <w:t>-</w:t>
      </w:r>
      <w:r w:rsidR="00491F6D" w:rsidRPr="003D5E91">
        <w:rPr>
          <w:rFonts w:ascii="Arial" w:eastAsia="SimSun" w:hAnsi="Arial" w:cs="Arial"/>
          <w:color w:val="595959" w:themeColor="text1" w:themeTint="A6"/>
          <w:kern w:val="24"/>
        </w:rPr>
        <w:t>1</w:t>
      </w:r>
      <w:r w:rsidR="00844EDA">
        <w:rPr>
          <w:rFonts w:ascii="Arial" w:eastAsia="SimSun" w:hAnsi="Arial" w:cs="Arial"/>
          <w:color w:val="595959" w:themeColor="text1" w:themeTint="A6"/>
          <w:kern w:val="24"/>
        </w:rPr>
        <w:t>3</w:t>
      </w:r>
      <w:r w:rsidR="003B5B90">
        <w:rPr>
          <w:rFonts w:ascii="Arial" w:eastAsia="SimSun" w:hAnsi="Arial" w:cs="Arial"/>
          <w:color w:val="595959" w:themeColor="text1" w:themeTint="A6"/>
          <w:kern w:val="24"/>
        </w:rPr>
        <w:t>4</w:t>
      </w:r>
      <w:r w:rsidR="0074253D">
        <w:rPr>
          <w:rFonts w:ascii="Arial" w:eastAsia="SimSun" w:hAnsi="Arial" w:cs="Arial"/>
          <w:color w:val="595959" w:themeColor="text1" w:themeTint="A6"/>
          <w:kern w:val="24"/>
        </w:rPr>
        <w:t>-</w:t>
      </w:r>
    </w:p>
    <w:p w14:paraId="6E54CDA6" w14:textId="77777777" w:rsidR="00DD7CB3" w:rsidRPr="003D5E91" w:rsidRDefault="006D3B19" w:rsidP="003D5E91">
      <w:pPr>
        <w:spacing w:line="276" w:lineRule="auto"/>
        <w:jc w:val="both"/>
        <w:rPr>
          <w:rFonts w:ascii="Arial" w:eastAsia="SimSun" w:hAnsi="Arial" w:cs="Arial"/>
          <w:color w:val="595959" w:themeColor="text1" w:themeTint="A6"/>
          <w:kern w:val="24"/>
        </w:rPr>
      </w:pPr>
      <w:r w:rsidRPr="004336DB">
        <w:rPr>
          <w:rFonts w:ascii="Arial" w:eastAsia="SimSun" w:hAnsi="Arial" w:cs="Arial"/>
          <w:b/>
          <w:bCs/>
          <w:color w:val="595959" w:themeColor="text1" w:themeTint="A6"/>
          <w:kern w:val="24"/>
        </w:rPr>
        <w:t>Figure 3.29</w:t>
      </w:r>
      <w:r w:rsidRPr="003D5E91">
        <w:rPr>
          <w:rFonts w:ascii="Arial" w:eastAsia="SimSun" w:hAnsi="Arial" w:cs="Arial"/>
          <w:color w:val="595959" w:themeColor="text1" w:themeTint="A6"/>
          <w:kern w:val="24"/>
        </w:rPr>
        <w:t xml:space="preserve"> Long-term expression data for the ECM marker TNC in CAF </w:t>
      </w:r>
    </w:p>
    <w:p w14:paraId="62EE1A2E" w14:textId="289AD524" w:rsidR="006D3B19" w:rsidRPr="003D5E91" w:rsidRDefault="006D3B19" w:rsidP="003D5E91">
      <w:pPr>
        <w:spacing w:line="276" w:lineRule="auto"/>
        <w:jc w:val="both"/>
        <w:rPr>
          <w:rFonts w:ascii="Arial" w:hAnsi="Arial" w:cs="Arial"/>
          <w:color w:val="595959" w:themeColor="text1" w:themeTint="A6"/>
        </w:rPr>
      </w:pPr>
      <w:r w:rsidRPr="003D5E91">
        <w:rPr>
          <w:rFonts w:ascii="Arial" w:eastAsia="SimSun" w:hAnsi="Arial" w:cs="Arial"/>
          <w:color w:val="595959" w:themeColor="text1" w:themeTint="A6"/>
          <w:kern w:val="24"/>
        </w:rPr>
        <w:t>with and without TGFβ-1 stimulation</w:t>
      </w:r>
      <w:r w:rsidR="00491F6D" w:rsidRPr="003D5E91">
        <w:rPr>
          <w:rFonts w:ascii="Arial" w:eastAsia="SimSun" w:hAnsi="Arial" w:cs="Arial"/>
          <w:color w:val="595959" w:themeColor="text1" w:themeTint="A6"/>
          <w:kern w:val="24"/>
        </w:rPr>
        <w:t>……………………………………………</w:t>
      </w:r>
      <w:r w:rsidR="00D15C52">
        <w:rPr>
          <w:rFonts w:ascii="Arial" w:eastAsia="SimSun" w:hAnsi="Arial" w:cs="Arial"/>
          <w:color w:val="595959" w:themeColor="text1" w:themeTint="A6"/>
          <w:kern w:val="24"/>
        </w:rPr>
        <w:t>……………</w:t>
      </w:r>
      <w:r w:rsidR="00EC0296">
        <w:rPr>
          <w:rFonts w:ascii="Arial" w:eastAsia="SimSun" w:hAnsi="Arial" w:cs="Arial"/>
          <w:color w:val="595959" w:themeColor="text1" w:themeTint="A6"/>
          <w:kern w:val="24"/>
        </w:rPr>
        <w:t>…</w:t>
      </w:r>
      <w:r w:rsidR="00D15C52">
        <w:rPr>
          <w:rFonts w:ascii="Arial" w:eastAsia="SimSun" w:hAnsi="Arial" w:cs="Arial"/>
          <w:color w:val="595959" w:themeColor="text1" w:themeTint="A6"/>
          <w:kern w:val="24"/>
        </w:rPr>
        <w:t>-</w:t>
      </w:r>
      <w:r w:rsidR="00491F6D" w:rsidRPr="003D5E91">
        <w:rPr>
          <w:rFonts w:ascii="Arial" w:eastAsia="SimSun" w:hAnsi="Arial" w:cs="Arial"/>
          <w:color w:val="595959" w:themeColor="text1" w:themeTint="A6"/>
          <w:kern w:val="24"/>
        </w:rPr>
        <w:t>13</w:t>
      </w:r>
      <w:r w:rsidR="003B5B90">
        <w:rPr>
          <w:rFonts w:ascii="Arial" w:eastAsia="SimSun" w:hAnsi="Arial" w:cs="Arial"/>
          <w:color w:val="595959" w:themeColor="text1" w:themeTint="A6"/>
          <w:kern w:val="24"/>
        </w:rPr>
        <w:t>5</w:t>
      </w:r>
      <w:r w:rsidR="00EC0296">
        <w:rPr>
          <w:rFonts w:ascii="Arial" w:eastAsia="SimSun" w:hAnsi="Arial" w:cs="Arial"/>
          <w:color w:val="595959" w:themeColor="text1" w:themeTint="A6"/>
          <w:kern w:val="24"/>
        </w:rPr>
        <w:t>-</w:t>
      </w:r>
    </w:p>
    <w:p w14:paraId="5FF6DA2A" w14:textId="77777777" w:rsidR="00491F6D" w:rsidRPr="003D5E91" w:rsidRDefault="006D3B19" w:rsidP="003D5E91">
      <w:pPr>
        <w:spacing w:line="276" w:lineRule="auto"/>
        <w:jc w:val="both"/>
        <w:rPr>
          <w:rFonts w:ascii="Arial" w:eastAsia="SimSun" w:hAnsi="Arial" w:cs="Arial"/>
          <w:color w:val="595959" w:themeColor="text1" w:themeTint="A6"/>
          <w:kern w:val="24"/>
        </w:rPr>
      </w:pPr>
      <w:r w:rsidRPr="004336DB">
        <w:rPr>
          <w:rFonts w:ascii="Arial" w:eastAsia="SimSun" w:hAnsi="Arial" w:cs="Arial"/>
          <w:b/>
          <w:bCs/>
          <w:color w:val="595959" w:themeColor="text1" w:themeTint="A6"/>
          <w:kern w:val="24"/>
        </w:rPr>
        <w:t>Figure 3.30</w:t>
      </w:r>
      <w:r w:rsidRPr="003D5E91">
        <w:rPr>
          <w:rFonts w:ascii="Arial" w:eastAsia="SimSun" w:hAnsi="Arial" w:cs="Arial"/>
          <w:color w:val="595959" w:themeColor="text1" w:themeTint="A6"/>
          <w:kern w:val="24"/>
        </w:rPr>
        <w:t xml:space="preserve"> Immunoblotting for αSMA abundance in CAF with and without </w:t>
      </w:r>
    </w:p>
    <w:p w14:paraId="636F36EB" w14:textId="0A41B75B" w:rsidR="006D3B19" w:rsidRPr="003D5E91" w:rsidRDefault="006D3B19" w:rsidP="003D5E91">
      <w:pPr>
        <w:spacing w:line="276" w:lineRule="auto"/>
        <w:jc w:val="both"/>
        <w:rPr>
          <w:rFonts w:ascii="Arial" w:eastAsia="SimSun" w:hAnsi="Arial" w:cs="Arial"/>
          <w:color w:val="595959" w:themeColor="text1" w:themeTint="A6"/>
          <w:kern w:val="24"/>
        </w:rPr>
      </w:pPr>
      <w:r w:rsidRPr="003D5E91">
        <w:rPr>
          <w:rFonts w:ascii="Arial" w:eastAsia="SimSun" w:hAnsi="Arial" w:cs="Arial"/>
          <w:color w:val="595959" w:themeColor="text1" w:themeTint="A6"/>
          <w:kern w:val="24"/>
        </w:rPr>
        <w:t>TGFβ-1 stimulation</w:t>
      </w:r>
      <w:r w:rsidR="00491F6D" w:rsidRPr="003D5E91">
        <w:rPr>
          <w:rFonts w:ascii="Arial" w:eastAsia="SimSun" w:hAnsi="Arial" w:cs="Arial"/>
          <w:color w:val="595959" w:themeColor="text1" w:themeTint="A6"/>
          <w:kern w:val="24"/>
        </w:rPr>
        <w:t>…………………………………………………………………</w:t>
      </w:r>
      <w:r w:rsidR="00EC0296">
        <w:rPr>
          <w:rFonts w:ascii="Arial" w:eastAsia="SimSun" w:hAnsi="Arial" w:cs="Arial"/>
          <w:color w:val="595959" w:themeColor="text1" w:themeTint="A6"/>
          <w:kern w:val="24"/>
        </w:rPr>
        <w:t>……………-</w:t>
      </w:r>
      <w:r w:rsidR="00CC005A" w:rsidRPr="003D5E91">
        <w:rPr>
          <w:rFonts w:ascii="Arial" w:eastAsia="SimSun" w:hAnsi="Arial" w:cs="Arial"/>
          <w:color w:val="595959" w:themeColor="text1" w:themeTint="A6"/>
          <w:kern w:val="24"/>
        </w:rPr>
        <w:t>13</w:t>
      </w:r>
      <w:r w:rsidR="00654415">
        <w:rPr>
          <w:rFonts w:ascii="Arial" w:eastAsia="SimSun" w:hAnsi="Arial" w:cs="Arial"/>
          <w:color w:val="595959" w:themeColor="text1" w:themeTint="A6"/>
          <w:kern w:val="24"/>
        </w:rPr>
        <w:t>6</w:t>
      </w:r>
      <w:r w:rsidR="00EC0296">
        <w:rPr>
          <w:rFonts w:ascii="Arial" w:eastAsia="SimSun" w:hAnsi="Arial" w:cs="Arial"/>
          <w:color w:val="595959" w:themeColor="text1" w:themeTint="A6"/>
          <w:kern w:val="24"/>
        </w:rPr>
        <w:t>-</w:t>
      </w:r>
      <w:r w:rsidRPr="003D5E91">
        <w:rPr>
          <w:rFonts w:ascii="Arial" w:eastAsia="SimSun" w:hAnsi="Arial" w:cs="Arial"/>
          <w:color w:val="595959" w:themeColor="text1" w:themeTint="A6"/>
          <w:kern w:val="24"/>
        </w:rPr>
        <w:t xml:space="preserve"> </w:t>
      </w:r>
    </w:p>
    <w:p w14:paraId="640E8CAA" w14:textId="77777777" w:rsidR="00CC005A" w:rsidRPr="003D5E91" w:rsidRDefault="006D3B19" w:rsidP="003D5E91">
      <w:pPr>
        <w:spacing w:line="276" w:lineRule="auto"/>
        <w:jc w:val="both"/>
        <w:rPr>
          <w:rFonts w:ascii="Arial" w:eastAsia="SimSun" w:hAnsi="Arial" w:cs="Arial"/>
          <w:color w:val="595959" w:themeColor="text1" w:themeTint="A6"/>
          <w:kern w:val="24"/>
        </w:rPr>
      </w:pPr>
      <w:r w:rsidRPr="004336DB">
        <w:rPr>
          <w:rFonts w:ascii="Arial" w:eastAsia="SimSun" w:hAnsi="Arial" w:cs="Arial"/>
          <w:b/>
          <w:bCs/>
          <w:color w:val="595959" w:themeColor="text1" w:themeTint="A6"/>
          <w:kern w:val="24"/>
        </w:rPr>
        <w:t>Figure 3.31</w:t>
      </w:r>
      <w:r w:rsidRPr="003D5E91">
        <w:rPr>
          <w:rFonts w:ascii="Arial" w:eastAsia="SimSun" w:hAnsi="Arial" w:cs="Arial"/>
          <w:color w:val="595959" w:themeColor="text1" w:themeTint="A6"/>
          <w:kern w:val="24"/>
        </w:rPr>
        <w:t xml:space="preserve"> Immunoblotting for COL1A1 abundance in CAF with and without </w:t>
      </w:r>
    </w:p>
    <w:p w14:paraId="3C9AB7E7" w14:textId="714DF2F7" w:rsidR="006D3B19" w:rsidRPr="003D5E91" w:rsidRDefault="006D3B19" w:rsidP="003D5E91">
      <w:pPr>
        <w:spacing w:line="276" w:lineRule="auto"/>
        <w:jc w:val="both"/>
        <w:rPr>
          <w:rFonts w:ascii="Arial" w:eastAsia="SimSun" w:hAnsi="Arial" w:cs="Arial"/>
          <w:color w:val="595959" w:themeColor="text1" w:themeTint="A6"/>
          <w:kern w:val="24"/>
        </w:rPr>
      </w:pPr>
      <w:r w:rsidRPr="003D5E91">
        <w:rPr>
          <w:rFonts w:ascii="Arial" w:eastAsia="SimSun" w:hAnsi="Arial" w:cs="Arial"/>
          <w:color w:val="595959" w:themeColor="text1" w:themeTint="A6"/>
          <w:kern w:val="24"/>
        </w:rPr>
        <w:t>TGFβ-1 stimulation</w:t>
      </w:r>
      <w:r w:rsidR="008D5DCE" w:rsidRPr="003D5E91">
        <w:rPr>
          <w:rFonts w:ascii="Arial" w:eastAsia="SimSun" w:hAnsi="Arial" w:cs="Arial"/>
          <w:color w:val="595959" w:themeColor="text1" w:themeTint="A6"/>
          <w:kern w:val="24"/>
        </w:rPr>
        <w:t>…………………………………………………………………</w:t>
      </w:r>
      <w:r w:rsidR="00EC0296">
        <w:rPr>
          <w:rFonts w:ascii="Arial" w:eastAsia="SimSun" w:hAnsi="Arial" w:cs="Arial"/>
          <w:color w:val="595959" w:themeColor="text1" w:themeTint="A6"/>
          <w:kern w:val="24"/>
        </w:rPr>
        <w:t>……………-</w:t>
      </w:r>
      <w:r w:rsidR="008D5DCE" w:rsidRPr="003D5E91">
        <w:rPr>
          <w:rFonts w:ascii="Arial" w:eastAsia="SimSun" w:hAnsi="Arial" w:cs="Arial"/>
          <w:color w:val="595959" w:themeColor="text1" w:themeTint="A6"/>
          <w:kern w:val="24"/>
        </w:rPr>
        <w:t>13</w:t>
      </w:r>
      <w:r w:rsidR="00844EDA">
        <w:rPr>
          <w:rFonts w:ascii="Arial" w:eastAsia="SimSun" w:hAnsi="Arial" w:cs="Arial"/>
          <w:color w:val="595959" w:themeColor="text1" w:themeTint="A6"/>
          <w:kern w:val="24"/>
        </w:rPr>
        <w:t>6</w:t>
      </w:r>
      <w:r w:rsidR="00EC0296">
        <w:rPr>
          <w:rFonts w:ascii="Arial" w:eastAsia="SimSun" w:hAnsi="Arial" w:cs="Arial"/>
          <w:color w:val="595959" w:themeColor="text1" w:themeTint="A6"/>
          <w:kern w:val="24"/>
        </w:rPr>
        <w:t>-</w:t>
      </w:r>
      <w:r w:rsidRPr="003D5E91">
        <w:rPr>
          <w:rFonts w:ascii="Arial" w:eastAsia="SimSun" w:hAnsi="Arial" w:cs="Arial"/>
          <w:color w:val="595959" w:themeColor="text1" w:themeTint="A6"/>
          <w:kern w:val="24"/>
        </w:rPr>
        <w:t xml:space="preserve"> </w:t>
      </w:r>
    </w:p>
    <w:p w14:paraId="1845A361" w14:textId="77777777" w:rsidR="008D5DCE" w:rsidRPr="003D5E91" w:rsidRDefault="006D3B19" w:rsidP="003D5E91">
      <w:pPr>
        <w:spacing w:line="276" w:lineRule="auto"/>
        <w:jc w:val="both"/>
        <w:rPr>
          <w:rFonts w:ascii="Arial" w:eastAsia="SimSun" w:hAnsi="Arial" w:cs="Arial"/>
          <w:color w:val="595959" w:themeColor="text1" w:themeTint="A6"/>
          <w:kern w:val="24"/>
        </w:rPr>
      </w:pPr>
      <w:r w:rsidRPr="004336DB">
        <w:rPr>
          <w:rFonts w:ascii="Arial" w:eastAsia="SimSun" w:hAnsi="Arial" w:cs="Arial"/>
          <w:b/>
          <w:bCs/>
          <w:color w:val="595959" w:themeColor="text1" w:themeTint="A6"/>
          <w:kern w:val="24"/>
        </w:rPr>
        <w:t>Figure 3.32</w:t>
      </w:r>
      <w:r w:rsidRPr="003D5E91">
        <w:rPr>
          <w:rFonts w:ascii="Arial" w:eastAsia="SimSun" w:hAnsi="Arial" w:cs="Arial"/>
          <w:color w:val="595959" w:themeColor="text1" w:themeTint="A6"/>
          <w:kern w:val="24"/>
        </w:rPr>
        <w:t xml:space="preserve"> Immunoblotting for FN1-EDA abundance in CAF with and without </w:t>
      </w:r>
    </w:p>
    <w:p w14:paraId="168DED4A" w14:textId="74D687BE" w:rsidR="006D3B19" w:rsidRPr="003D5E91" w:rsidRDefault="006D3B19" w:rsidP="003D5E91">
      <w:pPr>
        <w:spacing w:line="276" w:lineRule="auto"/>
        <w:jc w:val="both"/>
        <w:rPr>
          <w:rFonts w:ascii="Arial" w:eastAsia="SimSun" w:hAnsi="Arial" w:cs="Arial"/>
          <w:color w:val="595959" w:themeColor="text1" w:themeTint="A6"/>
          <w:kern w:val="24"/>
        </w:rPr>
      </w:pPr>
      <w:r w:rsidRPr="003D5E91">
        <w:rPr>
          <w:rFonts w:ascii="Arial" w:eastAsia="SimSun" w:hAnsi="Arial" w:cs="Arial"/>
          <w:color w:val="595959" w:themeColor="text1" w:themeTint="A6"/>
          <w:kern w:val="24"/>
        </w:rPr>
        <w:t xml:space="preserve">TGFβ-1 stimulation </w:t>
      </w:r>
      <w:r w:rsidR="008D5DCE" w:rsidRPr="003D5E91">
        <w:rPr>
          <w:rFonts w:ascii="Arial" w:eastAsia="SimSun" w:hAnsi="Arial" w:cs="Arial"/>
          <w:color w:val="595959" w:themeColor="text1" w:themeTint="A6"/>
          <w:kern w:val="24"/>
        </w:rPr>
        <w:t>…………………………………………………………………</w:t>
      </w:r>
      <w:r w:rsidR="007F0CEF">
        <w:rPr>
          <w:rFonts w:ascii="Arial" w:eastAsia="SimSun" w:hAnsi="Arial" w:cs="Arial"/>
          <w:color w:val="595959" w:themeColor="text1" w:themeTint="A6"/>
          <w:kern w:val="24"/>
        </w:rPr>
        <w:t>……………-</w:t>
      </w:r>
      <w:r w:rsidR="00A64D85" w:rsidRPr="003D5E91">
        <w:rPr>
          <w:rFonts w:ascii="Arial" w:eastAsia="SimSun" w:hAnsi="Arial" w:cs="Arial"/>
          <w:color w:val="595959" w:themeColor="text1" w:themeTint="A6"/>
          <w:kern w:val="24"/>
        </w:rPr>
        <w:t>1</w:t>
      </w:r>
      <w:r w:rsidR="007F0CEF">
        <w:rPr>
          <w:rFonts w:ascii="Arial" w:eastAsia="SimSun" w:hAnsi="Arial" w:cs="Arial"/>
          <w:color w:val="595959" w:themeColor="text1" w:themeTint="A6"/>
          <w:kern w:val="24"/>
        </w:rPr>
        <w:t>3</w:t>
      </w:r>
      <w:r w:rsidR="00844EDA">
        <w:rPr>
          <w:rFonts w:ascii="Arial" w:eastAsia="SimSun" w:hAnsi="Arial" w:cs="Arial"/>
          <w:color w:val="595959" w:themeColor="text1" w:themeTint="A6"/>
          <w:kern w:val="24"/>
        </w:rPr>
        <w:t>7</w:t>
      </w:r>
      <w:r w:rsidR="007F0CEF">
        <w:rPr>
          <w:rFonts w:ascii="Arial" w:eastAsia="SimSun" w:hAnsi="Arial" w:cs="Arial"/>
          <w:color w:val="595959" w:themeColor="text1" w:themeTint="A6"/>
          <w:kern w:val="24"/>
        </w:rPr>
        <w:t>-</w:t>
      </w:r>
    </w:p>
    <w:p w14:paraId="292E1088" w14:textId="77777777" w:rsidR="00A64D85" w:rsidRPr="003D5E91" w:rsidRDefault="006D3B19" w:rsidP="003D5E91">
      <w:pPr>
        <w:spacing w:line="276" w:lineRule="auto"/>
        <w:jc w:val="both"/>
        <w:rPr>
          <w:rFonts w:ascii="Arial" w:eastAsia="SimSun" w:hAnsi="Arial" w:cs="Arial"/>
          <w:color w:val="595959" w:themeColor="text1" w:themeTint="A6"/>
          <w:kern w:val="24"/>
        </w:rPr>
      </w:pPr>
      <w:r w:rsidRPr="004336DB">
        <w:rPr>
          <w:rFonts w:ascii="Arial" w:eastAsia="SimSun" w:hAnsi="Arial" w:cs="Arial"/>
          <w:b/>
          <w:bCs/>
          <w:color w:val="595959" w:themeColor="text1" w:themeTint="A6"/>
          <w:kern w:val="24"/>
        </w:rPr>
        <w:t>Figure 3.33</w:t>
      </w:r>
      <w:r w:rsidRPr="003D5E91">
        <w:rPr>
          <w:rFonts w:ascii="Arial" w:eastAsia="SimSun" w:hAnsi="Arial" w:cs="Arial"/>
          <w:color w:val="595959" w:themeColor="text1" w:themeTint="A6"/>
          <w:kern w:val="24"/>
        </w:rPr>
        <w:t xml:space="preserve"> Immunoblotting for VCAN abundance in CAF with and without </w:t>
      </w:r>
    </w:p>
    <w:p w14:paraId="5DD4F796" w14:textId="781D980E" w:rsidR="006D3B19" w:rsidRPr="003D5E91" w:rsidRDefault="006D3B19" w:rsidP="003D5E91">
      <w:pPr>
        <w:spacing w:line="276" w:lineRule="auto"/>
        <w:jc w:val="both"/>
        <w:rPr>
          <w:rFonts w:ascii="Arial" w:eastAsia="SimSun" w:hAnsi="Arial" w:cs="Arial"/>
          <w:color w:val="595959" w:themeColor="text1" w:themeTint="A6"/>
          <w:kern w:val="24"/>
        </w:rPr>
      </w:pPr>
      <w:r w:rsidRPr="003D5E91">
        <w:rPr>
          <w:rFonts w:ascii="Arial" w:eastAsia="SimSun" w:hAnsi="Arial" w:cs="Arial"/>
          <w:color w:val="595959" w:themeColor="text1" w:themeTint="A6"/>
          <w:kern w:val="24"/>
        </w:rPr>
        <w:t>TGFβ-1 stimulation</w:t>
      </w:r>
      <w:r w:rsidR="00A64D85" w:rsidRPr="003D5E91">
        <w:rPr>
          <w:rFonts w:ascii="Arial" w:eastAsia="SimSun" w:hAnsi="Arial" w:cs="Arial"/>
          <w:color w:val="595959" w:themeColor="text1" w:themeTint="A6"/>
          <w:kern w:val="24"/>
        </w:rPr>
        <w:t>…………………………………………………………………</w:t>
      </w:r>
      <w:r w:rsidR="007F0CEF">
        <w:rPr>
          <w:rFonts w:ascii="Arial" w:eastAsia="SimSun" w:hAnsi="Arial" w:cs="Arial"/>
          <w:color w:val="595959" w:themeColor="text1" w:themeTint="A6"/>
          <w:kern w:val="24"/>
        </w:rPr>
        <w:t>……………-</w:t>
      </w:r>
      <w:r w:rsidR="00A64D85" w:rsidRPr="003D5E91">
        <w:rPr>
          <w:rFonts w:ascii="Arial" w:eastAsia="SimSun" w:hAnsi="Arial" w:cs="Arial"/>
          <w:color w:val="595959" w:themeColor="text1" w:themeTint="A6"/>
          <w:kern w:val="24"/>
        </w:rPr>
        <w:t>13</w:t>
      </w:r>
      <w:r w:rsidR="00844EDA">
        <w:rPr>
          <w:rFonts w:ascii="Arial" w:eastAsia="SimSun" w:hAnsi="Arial" w:cs="Arial"/>
          <w:color w:val="595959" w:themeColor="text1" w:themeTint="A6"/>
          <w:kern w:val="24"/>
        </w:rPr>
        <w:t>8</w:t>
      </w:r>
      <w:r w:rsidR="007F0CEF">
        <w:rPr>
          <w:rFonts w:ascii="Arial" w:eastAsia="SimSun" w:hAnsi="Arial" w:cs="Arial"/>
          <w:color w:val="595959" w:themeColor="text1" w:themeTint="A6"/>
          <w:kern w:val="24"/>
        </w:rPr>
        <w:t>-</w:t>
      </w:r>
    </w:p>
    <w:p w14:paraId="3270AA2D" w14:textId="77777777" w:rsidR="00A64D85" w:rsidRPr="003D5E91" w:rsidRDefault="006D3B19" w:rsidP="003D5E91">
      <w:pPr>
        <w:spacing w:line="276" w:lineRule="auto"/>
        <w:jc w:val="both"/>
        <w:rPr>
          <w:rFonts w:ascii="Arial" w:eastAsia="SimSun" w:hAnsi="Arial" w:cs="Arial"/>
          <w:color w:val="595959" w:themeColor="text1" w:themeTint="A6"/>
          <w:kern w:val="24"/>
        </w:rPr>
      </w:pPr>
      <w:r w:rsidRPr="004336DB">
        <w:rPr>
          <w:rFonts w:ascii="Arial" w:eastAsia="SimSun" w:hAnsi="Arial" w:cs="Arial"/>
          <w:b/>
          <w:bCs/>
          <w:color w:val="595959" w:themeColor="text1" w:themeTint="A6"/>
          <w:kern w:val="24"/>
        </w:rPr>
        <w:t>Figure 3.34</w:t>
      </w:r>
      <w:r w:rsidRPr="003D5E91">
        <w:rPr>
          <w:rFonts w:ascii="Arial" w:eastAsia="SimSun" w:hAnsi="Arial" w:cs="Arial"/>
          <w:color w:val="595959" w:themeColor="text1" w:themeTint="A6"/>
          <w:kern w:val="24"/>
        </w:rPr>
        <w:t xml:space="preserve"> Immunoblotting for αSMA abundance in CAF with and without </w:t>
      </w:r>
    </w:p>
    <w:p w14:paraId="4E2B2F2D" w14:textId="39D322D7" w:rsidR="006D3B19" w:rsidRPr="003D5E91" w:rsidRDefault="006D3B19" w:rsidP="003D5E91">
      <w:pPr>
        <w:spacing w:line="276" w:lineRule="auto"/>
        <w:jc w:val="both"/>
        <w:rPr>
          <w:rFonts w:ascii="Arial" w:eastAsia="SimSun" w:hAnsi="Arial" w:cs="Arial"/>
          <w:color w:val="595959" w:themeColor="text1" w:themeTint="A6"/>
          <w:kern w:val="24"/>
        </w:rPr>
      </w:pPr>
      <w:r w:rsidRPr="003D5E91">
        <w:rPr>
          <w:rFonts w:ascii="Arial" w:eastAsia="SimSun" w:hAnsi="Arial" w:cs="Arial"/>
          <w:color w:val="595959" w:themeColor="text1" w:themeTint="A6"/>
          <w:kern w:val="24"/>
        </w:rPr>
        <w:t>TGFβ-1 stimulation</w:t>
      </w:r>
      <w:r w:rsidR="00A64D85" w:rsidRPr="003D5E91">
        <w:rPr>
          <w:rFonts w:ascii="Arial" w:eastAsia="SimSun" w:hAnsi="Arial" w:cs="Arial"/>
          <w:color w:val="595959" w:themeColor="text1" w:themeTint="A6"/>
          <w:kern w:val="24"/>
        </w:rPr>
        <w:t>…………………………………………………………………</w:t>
      </w:r>
      <w:r w:rsidR="00205547">
        <w:rPr>
          <w:rFonts w:ascii="Arial" w:eastAsia="SimSun" w:hAnsi="Arial" w:cs="Arial"/>
          <w:color w:val="595959" w:themeColor="text1" w:themeTint="A6"/>
          <w:kern w:val="24"/>
        </w:rPr>
        <w:t>……………-</w:t>
      </w:r>
      <w:r w:rsidR="00A11522" w:rsidRPr="003D5E91">
        <w:rPr>
          <w:rFonts w:ascii="Arial" w:eastAsia="SimSun" w:hAnsi="Arial" w:cs="Arial"/>
          <w:color w:val="595959" w:themeColor="text1" w:themeTint="A6"/>
          <w:kern w:val="24"/>
        </w:rPr>
        <w:t>1</w:t>
      </w:r>
      <w:r w:rsidR="00205547">
        <w:rPr>
          <w:rFonts w:ascii="Arial" w:eastAsia="SimSun" w:hAnsi="Arial" w:cs="Arial"/>
          <w:color w:val="595959" w:themeColor="text1" w:themeTint="A6"/>
          <w:kern w:val="24"/>
        </w:rPr>
        <w:t>3</w:t>
      </w:r>
      <w:r w:rsidR="00844EDA">
        <w:rPr>
          <w:rFonts w:ascii="Arial" w:eastAsia="SimSun" w:hAnsi="Arial" w:cs="Arial"/>
          <w:color w:val="595959" w:themeColor="text1" w:themeTint="A6"/>
          <w:kern w:val="24"/>
        </w:rPr>
        <w:t>9</w:t>
      </w:r>
      <w:r w:rsidR="00205547">
        <w:rPr>
          <w:rFonts w:ascii="Arial" w:eastAsia="SimSun" w:hAnsi="Arial" w:cs="Arial"/>
          <w:color w:val="595959" w:themeColor="text1" w:themeTint="A6"/>
          <w:kern w:val="24"/>
        </w:rPr>
        <w:t>-</w:t>
      </w:r>
      <w:r w:rsidRPr="003D5E91">
        <w:rPr>
          <w:rFonts w:ascii="Arial" w:eastAsia="SimSun" w:hAnsi="Arial" w:cs="Arial"/>
          <w:color w:val="595959" w:themeColor="text1" w:themeTint="A6"/>
          <w:kern w:val="24"/>
        </w:rPr>
        <w:t xml:space="preserve"> </w:t>
      </w:r>
    </w:p>
    <w:p w14:paraId="7F9454B5" w14:textId="77777777" w:rsidR="00A11522" w:rsidRPr="003D5E91" w:rsidRDefault="006D3B19" w:rsidP="003D5E91">
      <w:pPr>
        <w:spacing w:line="276" w:lineRule="auto"/>
        <w:jc w:val="both"/>
        <w:rPr>
          <w:rFonts w:ascii="Arial" w:eastAsia="SimSun" w:hAnsi="Arial" w:cs="Arial"/>
          <w:color w:val="595959" w:themeColor="text1" w:themeTint="A6"/>
          <w:kern w:val="24"/>
        </w:rPr>
      </w:pPr>
      <w:r w:rsidRPr="004336DB">
        <w:rPr>
          <w:rFonts w:ascii="Arial" w:eastAsia="SimSun" w:hAnsi="Arial" w:cs="Arial"/>
          <w:b/>
          <w:bCs/>
          <w:color w:val="595959" w:themeColor="text1" w:themeTint="A6"/>
          <w:kern w:val="24"/>
        </w:rPr>
        <w:t>Figure 3.35</w:t>
      </w:r>
      <w:r w:rsidRPr="003D5E91">
        <w:rPr>
          <w:rFonts w:ascii="Arial" w:eastAsia="SimSun" w:hAnsi="Arial" w:cs="Arial"/>
          <w:color w:val="595959" w:themeColor="text1" w:themeTint="A6"/>
          <w:kern w:val="24"/>
        </w:rPr>
        <w:t xml:space="preserve"> Immunoblotting for COL1A1 abundance in CAF with and without </w:t>
      </w:r>
    </w:p>
    <w:p w14:paraId="69BDAA96" w14:textId="5E6B30B3" w:rsidR="006D3B19" w:rsidRPr="003D5E91" w:rsidRDefault="006D3B19" w:rsidP="003D5E91">
      <w:pPr>
        <w:spacing w:line="276" w:lineRule="auto"/>
        <w:jc w:val="both"/>
        <w:rPr>
          <w:rFonts w:ascii="Arial" w:eastAsia="SimSun" w:hAnsi="Arial" w:cs="Arial"/>
          <w:color w:val="595959" w:themeColor="text1" w:themeTint="A6"/>
          <w:kern w:val="24"/>
        </w:rPr>
      </w:pPr>
      <w:r w:rsidRPr="003D5E91">
        <w:rPr>
          <w:rFonts w:ascii="Arial" w:eastAsia="SimSun" w:hAnsi="Arial" w:cs="Arial"/>
          <w:color w:val="595959" w:themeColor="text1" w:themeTint="A6"/>
          <w:kern w:val="24"/>
        </w:rPr>
        <w:t>TGFβ-1 stimulation</w:t>
      </w:r>
      <w:r w:rsidR="00A11522" w:rsidRPr="003D5E91">
        <w:rPr>
          <w:rFonts w:ascii="Arial" w:eastAsia="SimSun" w:hAnsi="Arial" w:cs="Arial"/>
          <w:color w:val="595959" w:themeColor="text1" w:themeTint="A6"/>
          <w:kern w:val="24"/>
        </w:rPr>
        <w:t>……………………………………………………………………</w:t>
      </w:r>
      <w:r w:rsidR="00205547">
        <w:rPr>
          <w:rFonts w:ascii="Arial" w:eastAsia="SimSun" w:hAnsi="Arial" w:cs="Arial"/>
          <w:color w:val="595959" w:themeColor="text1" w:themeTint="A6"/>
          <w:kern w:val="24"/>
        </w:rPr>
        <w:t>…</w:t>
      </w:r>
      <w:r w:rsidR="007F0D6A">
        <w:rPr>
          <w:rFonts w:ascii="Arial" w:eastAsia="SimSun" w:hAnsi="Arial" w:cs="Arial"/>
          <w:color w:val="595959" w:themeColor="text1" w:themeTint="A6"/>
          <w:kern w:val="24"/>
        </w:rPr>
        <w:t>………-</w:t>
      </w:r>
      <w:r w:rsidR="000A24B0" w:rsidRPr="003D5E91">
        <w:rPr>
          <w:rFonts w:ascii="Arial" w:eastAsia="SimSun" w:hAnsi="Arial" w:cs="Arial"/>
          <w:color w:val="595959" w:themeColor="text1" w:themeTint="A6"/>
          <w:kern w:val="24"/>
        </w:rPr>
        <w:t>1</w:t>
      </w:r>
      <w:r w:rsidR="00844EDA">
        <w:rPr>
          <w:rFonts w:ascii="Arial" w:eastAsia="SimSun" w:hAnsi="Arial" w:cs="Arial"/>
          <w:color w:val="595959" w:themeColor="text1" w:themeTint="A6"/>
          <w:kern w:val="24"/>
        </w:rPr>
        <w:t>4</w:t>
      </w:r>
      <w:r w:rsidR="00A73389">
        <w:rPr>
          <w:rFonts w:ascii="Arial" w:eastAsia="SimSun" w:hAnsi="Arial" w:cs="Arial"/>
          <w:color w:val="595959" w:themeColor="text1" w:themeTint="A6"/>
          <w:kern w:val="24"/>
        </w:rPr>
        <w:t>1</w:t>
      </w:r>
      <w:r w:rsidR="007F0D6A">
        <w:rPr>
          <w:rFonts w:ascii="Arial" w:eastAsia="SimSun" w:hAnsi="Arial" w:cs="Arial"/>
          <w:color w:val="595959" w:themeColor="text1" w:themeTint="A6"/>
          <w:kern w:val="24"/>
        </w:rPr>
        <w:t>-</w:t>
      </w:r>
      <w:r w:rsidRPr="003D5E91">
        <w:rPr>
          <w:rFonts w:ascii="Arial" w:eastAsia="SimSun" w:hAnsi="Arial" w:cs="Arial"/>
          <w:color w:val="595959" w:themeColor="text1" w:themeTint="A6"/>
          <w:kern w:val="24"/>
        </w:rPr>
        <w:t xml:space="preserve"> </w:t>
      </w:r>
    </w:p>
    <w:p w14:paraId="57201319" w14:textId="50AD5293" w:rsidR="000A24B0" w:rsidRPr="003D5E91" w:rsidRDefault="006D3B19" w:rsidP="003D5E91">
      <w:pPr>
        <w:spacing w:line="276" w:lineRule="auto"/>
        <w:jc w:val="both"/>
        <w:rPr>
          <w:rFonts w:ascii="Arial" w:eastAsia="SimSun" w:hAnsi="Arial" w:cs="Arial"/>
          <w:color w:val="595959" w:themeColor="text1" w:themeTint="A6"/>
          <w:kern w:val="24"/>
        </w:rPr>
      </w:pPr>
      <w:r w:rsidRPr="004336DB">
        <w:rPr>
          <w:rFonts w:ascii="Arial" w:eastAsia="SimSun" w:hAnsi="Arial" w:cs="Arial"/>
          <w:b/>
          <w:bCs/>
          <w:color w:val="595959" w:themeColor="text1" w:themeTint="A6"/>
          <w:kern w:val="24"/>
        </w:rPr>
        <w:t>Figure 3.</w:t>
      </w:r>
      <w:r w:rsidR="00000272" w:rsidRPr="004336DB">
        <w:rPr>
          <w:rFonts w:ascii="Arial" w:eastAsia="SimSun" w:hAnsi="Arial" w:cs="Arial"/>
          <w:b/>
          <w:bCs/>
          <w:color w:val="595959" w:themeColor="text1" w:themeTint="A6"/>
          <w:kern w:val="24"/>
        </w:rPr>
        <w:t>3</w:t>
      </w:r>
      <w:r w:rsidRPr="004336DB">
        <w:rPr>
          <w:rFonts w:ascii="Arial" w:eastAsia="SimSun" w:hAnsi="Arial" w:cs="Arial"/>
          <w:b/>
          <w:bCs/>
          <w:color w:val="595959" w:themeColor="text1" w:themeTint="A6"/>
          <w:kern w:val="24"/>
        </w:rPr>
        <w:t>6</w:t>
      </w:r>
      <w:r w:rsidRPr="003D5E91">
        <w:rPr>
          <w:rFonts w:ascii="Arial" w:eastAsia="SimSun" w:hAnsi="Arial" w:cs="Arial"/>
          <w:color w:val="595959" w:themeColor="text1" w:themeTint="A6"/>
          <w:kern w:val="24"/>
        </w:rPr>
        <w:t xml:space="preserve"> Immunoblotting for FN1-EDA abundance in CAF with and without </w:t>
      </w:r>
    </w:p>
    <w:p w14:paraId="2C462325" w14:textId="0CCE7EE3" w:rsidR="006D3B19" w:rsidRPr="003D5E91" w:rsidRDefault="006D3B19" w:rsidP="003D5E91">
      <w:pPr>
        <w:spacing w:line="276" w:lineRule="auto"/>
        <w:jc w:val="both"/>
        <w:rPr>
          <w:rFonts w:ascii="Arial" w:eastAsia="SimSun" w:hAnsi="Arial" w:cs="Arial"/>
          <w:color w:val="595959" w:themeColor="text1" w:themeTint="A6"/>
          <w:kern w:val="24"/>
        </w:rPr>
      </w:pPr>
      <w:r w:rsidRPr="003D5E91">
        <w:rPr>
          <w:rFonts w:ascii="Arial" w:eastAsia="SimSun" w:hAnsi="Arial" w:cs="Arial"/>
          <w:color w:val="595959" w:themeColor="text1" w:themeTint="A6"/>
          <w:kern w:val="24"/>
        </w:rPr>
        <w:t>TGFβ-1 stimulation</w:t>
      </w:r>
      <w:r w:rsidR="000A24B0" w:rsidRPr="003D5E91">
        <w:rPr>
          <w:rFonts w:ascii="Arial" w:eastAsia="SimSun" w:hAnsi="Arial" w:cs="Arial"/>
          <w:color w:val="595959" w:themeColor="text1" w:themeTint="A6"/>
          <w:kern w:val="24"/>
        </w:rPr>
        <w:t>……………………………………………………………………</w:t>
      </w:r>
      <w:r w:rsidR="007F0D6A">
        <w:rPr>
          <w:rFonts w:ascii="Arial" w:eastAsia="SimSun" w:hAnsi="Arial" w:cs="Arial"/>
          <w:color w:val="595959" w:themeColor="text1" w:themeTint="A6"/>
          <w:kern w:val="24"/>
        </w:rPr>
        <w:t>…………-</w:t>
      </w:r>
      <w:r w:rsidR="000A24B0" w:rsidRPr="003D5E91">
        <w:rPr>
          <w:rFonts w:ascii="Arial" w:eastAsia="SimSun" w:hAnsi="Arial" w:cs="Arial"/>
          <w:color w:val="595959" w:themeColor="text1" w:themeTint="A6"/>
          <w:kern w:val="24"/>
        </w:rPr>
        <w:t>1</w:t>
      </w:r>
      <w:r w:rsidR="00844EDA">
        <w:rPr>
          <w:rFonts w:ascii="Arial" w:eastAsia="SimSun" w:hAnsi="Arial" w:cs="Arial"/>
          <w:color w:val="595959" w:themeColor="text1" w:themeTint="A6"/>
          <w:kern w:val="24"/>
        </w:rPr>
        <w:t>4</w:t>
      </w:r>
      <w:r w:rsidR="002F12FE">
        <w:rPr>
          <w:rFonts w:ascii="Arial" w:eastAsia="SimSun" w:hAnsi="Arial" w:cs="Arial"/>
          <w:color w:val="595959" w:themeColor="text1" w:themeTint="A6"/>
          <w:kern w:val="24"/>
        </w:rPr>
        <w:t>2</w:t>
      </w:r>
      <w:r w:rsidR="007F0D6A">
        <w:rPr>
          <w:rFonts w:ascii="Arial" w:eastAsia="SimSun" w:hAnsi="Arial" w:cs="Arial"/>
          <w:color w:val="595959" w:themeColor="text1" w:themeTint="A6"/>
          <w:kern w:val="24"/>
        </w:rPr>
        <w:t>-</w:t>
      </w:r>
      <w:r w:rsidRPr="003D5E91">
        <w:rPr>
          <w:rFonts w:ascii="Arial" w:eastAsia="SimSun" w:hAnsi="Arial" w:cs="Arial"/>
          <w:color w:val="595959" w:themeColor="text1" w:themeTint="A6"/>
          <w:kern w:val="24"/>
        </w:rPr>
        <w:t xml:space="preserve"> </w:t>
      </w:r>
    </w:p>
    <w:p w14:paraId="5CFAE757" w14:textId="22F1D6BA" w:rsidR="000A24B0" w:rsidRPr="003D5E91" w:rsidRDefault="006D3B19" w:rsidP="003D5E91">
      <w:pPr>
        <w:spacing w:line="276" w:lineRule="auto"/>
        <w:jc w:val="both"/>
        <w:rPr>
          <w:rFonts w:ascii="Arial" w:eastAsia="SimSun" w:hAnsi="Arial" w:cs="Arial"/>
          <w:color w:val="595959" w:themeColor="text1" w:themeTint="A6"/>
          <w:kern w:val="24"/>
        </w:rPr>
      </w:pPr>
      <w:r w:rsidRPr="004336DB">
        <w:rPr>
          <w:rFonts w:ascii="Arial" w:eastAsia="SimSun" w:hAnsi="Arial" w:cs="Arial"/>
          <w:b/>
          <w:bCs/>
          <w:color w:val="595959" w:themeColor="text1" w:themeTint="A6"/>
          <w:kern w:val="24"/>
        </w:rPr>
        <w:t>Figure 3.</w:t>
      </w:r>
      <w:r w:rsidR="00000272" w:rsidRPr="004336DB">
        <w:rPr>
          <w:rFonts w:ascii="Arial" w:eastAsia="SimSun" w:hAnsi="Arial" w:cs="Arial"/>
          <w:b/>
          <w:bCs/>
          <w:color w:val="595959" w:themeColor="text1" w:themeTint="A6"/>
          <w:kern w:val="24"/>
        </w:rPr>
        <w:t>3</w:t>
      </w:r>
      <w:r w:rsidRPr="004336DB">
        <w:rPr>
          <w:rFonts w:ascii="Arial" w:eastAsia="SimSun" w:hAnsi="Arial" w:cs="Arial"/>
          <w:b/>
          <w:bCs/>
          <w:color w:val="595959" w:themeColor="text1" w:themeTint="A6"/>
          <w:kern w:val="24"/>
        </w:rPr>
        <w:t>7</w:t>
      </w:r>
      <w:r w:rsidRPr="003D5E91">
        <w:rPr>
          <w:rFonts w:ascii="Arial" w:eastAsia="SimSun" w:hAnsi="Arial" w:cs="Arial"/>
          <w:color w:val="595959" w:themeColor="text1" w:themeTint="A6"/>
          <w:kern w:val="24"/>
        </w:rPr>
        <w:t xml:space="preserve"> Immunoblotting for VCAN abundance in CAF with and without </w:t>
      </w:r>
    </w:p>
    <w:p w14:paraId="19BF1670" w14:textId="70A213E1" w:rsidR="006D3B19" w:rsidRPr="003D5E91" w:rsidRDefault="006D3B19" w:rsidP="003D5E91">
      <w:pPr>
        <w:spacing w:line="276" w:lineRule="auto"/>
        <w:jc w:val="both"/>
        <w:rPr>
          <w:rFonts w:ascii="Arial" w:eastAsia="SimSun" w:hAnsi="Arial" w:cs="Arial"/>
          <w:color w:val="595959" w:themeColor="text1" w:themeTint="A6"/>
          <w:kern w:val="24"/>
        </w:rPr>
      </w:pPr>
      <w:r w:rsidRPr="003D5E91">
        <w:rPr>
          <w:rFonts w:ascii="Arial" w:eastAsia="SimSun" w:hAnsi="Arial" w:cs="Arial"/>
          <w:color w:val="595959" w:themeColor="text1" w:themeTint="A6"/>
          <w:kern w:val="24"/>
        </w:rPr>
        <w:t>TGFβ-1 stimulation</w:t>
      </w:r>
      <w:r w:rsidR="000A24B0" w:rsidRPr="003D5E91">
        <w:rPr>
          <w:rFonts w:ascii="Arial" w:eastAsia="SimSun" w:hAnsi="Arial" w:cs="Arial"/>
          <w:color w:val="595959" w:themeColor="text1" w:themeTint="A6"/>
          <w:kern w:val="24"/>
        </w:rPr>
        <w:t>……………………………………………………………………</w:t>
      </w:r>
      <w:r w:rsidR="007F0D6A">
        <w:rPr>
          <w:rFonts w:ascii="Arial" w:eastAsia="SimSun" w:hAnsi="Arial" w:cs="Arial"/>
          <w:color w:val="595959" w:themeColor="text1" w:themeTint="A6"/>
          <w:kern w:val="24"/>
        </w:rPr>
        <w:t>…………-</w:t>
      </w:r>
      <w:r w:rsidR="001F1B79" w:rsidRPr="003D5E91">
        <w:rPr>
          <w:rFonts w:ascii="Arial" w:eastAsia="SimSun" w:hAnsi="Arial" w:cs="Arial"/>
          <w:color w:val="595959" w:themeColor="text1" w:themeTint="A6"/>
          <w:kern w:val="24"/>
        </w:rPr>
        <w:t>1</w:t>
      </w:r>
      <w:r w:rsidR="00844EDA">
        <w:rPr>
          <w:rFonts w:ascii="Arial" w:eastAsia="SimSun" w:hAnsi="Arial" w:cs="Arial"/>
          <w:color w:val="595959" w:themeColor="text1" w:themeTint="A6"/>
          <w:kern w:val="24"/>
        </w:rPr>
        <w:t>4</w:t>
      </w:r>
      <w:r w:rsidR="002F12FE">
        <w:rPr>
          <w:rFonts w:ascii="Arial" w:eastAsia="SimSun" w:hAnsi="Arial" w:cs="Arial"/>
          <w:color w:val="595959" w:themeColor="text1" w:themeTint="A6"/>
          <w:kern w:val="24"/>
        </w:rPr>
        <w:t>3</w:t>
      </w:r>
      <w:r w:rsidR="007F0D6A">
        <w:rPr>
          <w:rFonts w:ascii="Arial" w:eastAsia="SimSun" w:hAnsi="Arial" w:cs="Arial"/>
          <w:color w:val="595959" w:themeColor="text1" w:themeTint="A6"/>
          <w:kern w:val="24"/>
        </w:rPr>
        <w:t>-</w:t>
      </w:r>
      <w:r w:rsidRPr="003D5E91">
        <w:rPr>
          <w:rFonts w:ascii="Arial" w:eastAsia="SimSun" w:hAnsi="Arial" w:cs="Arial"/>
          <w:color w:val="595959" w:themeColor="text1" w:themeTint="A6"/>
          <w:kern w:val="24"/>
        </w:rPr>
        <w:t xml:space="preserve"> </w:t>
      </w:r>
    </w:p>
    <w:p w14:paraId="55F75572" w14:textId="2D790270" w:rsidR="00306259" w:rsidRPr="003D5E91" w:rsidRDefault="00306259" w:rsidP="003D5E91">
      <w:pPr>
        <w:spacing w:line="276" w:lineRule="auto"/>
        <w:jc w:val="both"/>
        <w:rPr>
          <w:rFonts w:ascii="Arial" w:eastAsia="SimSun" w:hAnsi="Arial" w:cs="Arial"/>
          <w:color w:val="595959" w:themeColor="text1" w:themeTint="A6"/>
          <w:kern w:val="24"/>
        </w:rPr>
      </w:pPr>
      <w:r w:rsidRPr="004336DB">
        <w:rPr>
          <w:rFonts w:ascii="Arial" w:eastAsia="SimSun" w:hAnsi="Arial" w:cs="Arial"/>
          <w:b/>
          <w:bCs/>
          <w:color w:val="595959" w:themeColor="text1" w:themeTint="A6"/>
          <w:kern w:val="24"/>
        </w:rPr>
        <w:t>Figure 3.</w:t>
      </w:r>
      <w:r w:rsidR="00000272" w:rsidRPr="004336DB">
        <w:rPr>
          <w:rFonts w:ascii="Arial" w:eastAsia="SimSun" w:hAnsi="Arial" w:cs="Arial"/>
          <w:b/>
          <w:bCs/>
          <w:color w:val="595959" w:themeColor="text1" w:themeTint="A6"/>
          <w:kern w:val="24"/>
        </w:rPr>
        <w:t>3</w:t>
      </w:r>
      <w:r w:rsidRPr="004336DB">
        <w:rPr>
          <w:rFonts w:ascii="Arial" w:eastAsia="SimSun" w:hAnsi="Arial" w:cs="Arial"/>
          <w:b/>
          <w:bCs/>
          <w:color w:val="595959" w:themeColor="text1" w:themeTint="A6"/>
          <w:kern w:val="24"/>
        </w:rPr>
        <w:t>8</w:t>
      </w:r>
      <w:r w:rsidRPr="003D5E91">
        <w:rPr>
          <w:rFonts w:ascii="Arial" w:eastAsia="SimSun" w:hAnsi="Arial" w:cs="Arial"/>
          <w:color w:val="595959" w:themeColor="text1" w:themeTint="A6"/>
          <w:kern w:val="24"/>
        </w:rPr>
        <w:t xml:space="preserve"> αSMA stress-fibre formation in normal oral fibroblasts </w:t>
      </w:r>
      <w:r w:rsidRPr="003D5E91">
        <w:rPr>
          <w:rFonts w:ascii="Arial" w:eastAsia="SimSun" w:hAnsi="Arial" w:cs="Arial"/>
          <w:i/>
          <w:color w:val="595959" w:themeColor="text1" w:themeTint="A6"/>
          <w:kern w:val="24"/>
        </w:rPr>
        <w:t>in vitro</w:t>
      </w:r>
      <w:r w:rsidR="001F1B79" w:rsidRPr="003D5E91">
        <w:rPr>
          <w:rFonts w:ascii="Arial" w:eastAsia="SimSun" w:hAnsi="Arial" w:cs="Arial"/>
          <w:color w:val="595959" w:themeColor="text1" w:themeTint="A6"/>
          <w:kern w:val="24"/>
        </w:rPr>
        <w:t>……..</w:t>
      </w:r>
      <w:r w:rsidR="008200AE" w:rsidRPr="003D5E91">
        <w:rPr>
          <w:rFonts w:ascii="Arial" w:eastAsia="SimSun" w:hAnsi="Arial" w:cs="Arial"/>
          <w:color w:val="595959" w:themeColor="text1" w:themeTint="A6"/>
          <w:kern w:val="24"/>
        </w:rPr>
        <w:t>.</w:t>
      </w:r>
      <w:r w:rsidR="00233503">
        <w:rPr>
          <w:rFonts w:ascii="Arial" w:eastAsia="SimSun" w:hAnsi="Arial" w:cs="Arial"/>
          <w:color w:val="595959" w:themeColor="text1" w:themeTint="A6"/>
          <w:kern w:val="24"/>
        </w:rPr>
        <w:t>............-</w:t>
      </w:r>
      <w:r w:rsidR="001F1B79" w:rsidRPr="003D5E91">
        <w:rPr>
          <w:rFonts w:ascii="Arial" w:eastAsia="SimSun" w:hAnsi="Arial" w:cs="Arial"/>
          <w:color w:val="595959" w:themeColor="text1" w:themeTint="A6"/>
          <w:kern w:val="24"/>
        </w:rPr>
        <w:t>14</w:t>
      </w:r>
      <w:r w:rsidR="002F12FE">
        <w:rPr>
          <w:rFonts w:ascii="Arial" w:eastAsia="SimSun" w:hAnsi="Arial" w:cs="Arial"/>
          <w:color w:val="595959" w:themeColor="text1" w:themeTint="A6"/>
          <w:kern w:val="24"/>
        </w:rPr>
        <w:t>4</w:t>
      </w:r>
      <w:r w:rsidR="00233503">
        <w:rPr>
          <w:rFonts w:ascii="Arial" w:eastAsia="SimSun" w:hAnsi="Arial" w:cs="Arial"/>
          <w:color w:val="595959" w:themeColor="text1" w:themeTint="A6"/>
          <w:kern w:val="24"/>
        </w:rPr>
        <w:t>-</w:t>
      </w:r>
    </w:p>
    <w:p w14:paraId="590E4EDE" w14:textId="3A06D08D" w:rsidR="008200AE" w:rsidRPr="003D5E91" w:rsidRDefault="00306259" w:rsidP="003D5E91">
      <w:pPr>
        <w:spacing w:line="276" w:lineRule="auto"/>
        <w:jc w:val="both"/>
        <w:rPr>
          <w:rFonts w:ascii="Arial" w:eastAsia="SimSun" w:hAnsi="Arial" w:cs="Arial"/>
          <w:color w:val="595959" w:themeColor="text1" w:themeTint="A6"/>
          <w:kern w:val="24"/>
        </w:rPr>
      </w:pPr>
      <w:r w:rsidRPr="004336DB">
        <w:rPr>
          <w:rFonts w:ascii="Arial" w:eastAsia="SimSun" w:hAnsi="Arial" w:cs="Arial"/>
          <w:b/>
          <w:bCs/>
          <w:color w:val="595959" w:themeColor="text1" w:themeTint="A6"/>
          <w:kern w:val="24"/>
        </w:rPr>
        <w:t>Figure 3.</w:t>
      </w:r>
      <w:r w:rsidR="00000272" w:rsidRPr="004336DB">
        <w:rPr>
          <w:rFonts w:ascii="Arial" w:eastAsia="SimSun" w:hAnsi="Arial" w:cs="Arial"/>
          <w:b/>
          <w:bCs/>
          <w:color w:val="595959" w:themeColor="text1" w:themeTint="A6"/>
          <w:kern w:val="24"/>
        </w:rPr>
        <w:t>3</w:t>
      </w:r>
      <w:r w:rsidRPr="004336DB">
        <w:rPr>
          <w:rFonts w:ascii="Arial" w:eastAsia="SimSun" w:hAnsi="Arial" w:cs="Arial"/>
          <w:b/>
          <w:bCs/>
          <w:color w:val="595959" w:themeColor="text1" w:themeTint="A6"/>
          <w:kern w:val="24"/>
        </w:rPr>
        <w:t>9</w:t>
      </w:r>
      <w:r w:rsidRPr="003D5E91">
        <w:rPr>
          <w:rFonts w:ascii="Arial" w:eastAsia="SimSun" w:hAnsi="Arial" w:cs="Arial"/>
          <w:color w:val="595959" w:themeColor="text1" w:themeTint="A6"/>
          <w:kern w:val="24"/>
        </w:rPr>
        <w:t xml:space="preserve"> αSMA stress-fibre formation in oral cancer-associated fibroblast</w:t>
      </w:r>
      <w:r w:rsidR="00E2768E">
        <w:rPr>
          <w:rFonts w:ascii="Arial" w:eastAsia="SimSun" w:hAnsi="Arial" w:cs="Arial"/>
          <w:color w:val="595959" w:themeColor="text1" w:themeTint="A6"/>
          <w:kern w:val="24"/>
        </w:rPr>
        <w:t>s</w:t>
      </w:r>
    </w:p>
    <w:p w14:paraId="0C95DA26" w14:textId="3EB603A2" w:rsidR="00306259" w:rsidRPr="003D5E91" w:rsidRDefault="00306259" w:rsidP="003D5E91">
      <w:pPr>
        <w:spacing w:line="276" w:lineRule="auto"/>
        <w:jc w:val="both"/>
        <w:rPr>
          <w:rFonts w:ascii="Arial" w:eastAsia="SimSun" w:hAnsi="Arial" w:cs="Arial"/>
          <w:iCs/>
          <w:color w:val="595959" w:themeColor="text1" w:themeTint="A6"/>
          <w:kern w:val="24"/>
        </w:rPr>
      </w:pPr>
      <w:r w:rsidRPr="003D5E91">
        <w:rPr>
          <w:rFonts w:ascii="Arial" w:eastAsia="SimSun" w:hAnsi="Arial" w:cs="Arial"/>
          <w:color w:val="595959" w:themeColor="text1" w:themeTint="A6"/>
          <w:kern w:val="24"/>
        </w:rPr>
        <w:lastRenderedPageBreak/>
        <w:t xml:space="preserve"> </w:t>
      </w:r>
      <w:r w:rsidRPr="003D5E91">
        <w:rPr>
          <w:rFonts w:ascii="Arial" w:eastAsia="SimSun" w:hAnsi="Arial" w:cs="Arial"/>
          <w:i/>
          <w:color w:val="595959" w:themeColor="text1" w:themeTint="A6"/>
          <w:kern w:val="24"/>
        </w:rPr>
        <w:t>in vitro</w:t>
      </w:r>
      <w:r w:rsidR="008200AE" w:rsidRPr="003D5E91">
        <w:rPr>
          <w:rFonts w:ascii="Arial" w:eastAsia="SimSun" w:hAnsi="Arial" w:cs="Arial"/>
          <w:iCs/>
          <w:color w:val="595959" w:themeColor="text1" w:themeTint="A6"/>
          <w:kern w:val="24"/>
        </w:rPr>
        <w:t>…………………………………………………………………………………...</w:t>
      </w:r>
      <w:r w:rsidR="00E2768E">
        <w:rPr>
          <w:rFonts w:ascii="Arial" w:eastAsia="SimSun" w:hAnsi="Arial" w:cs="Arial"/>
          <w:iCs/>
          <w:color w:val="595959" w:themeColor="text1" w:themeTint="A6"/>
          <w:kern w:val="24"/>
        </w:rPr>
        <w:t>.............-</w:t>
      </w:r>
      <w:r w:rsidR="008200AE" w:rsidRPr="003D5E91">
        <w:rPr>
          <w:rFonts w:ascii="Arial" w:eastAsia="SimSun" w:hAnsi="Arial" w:cs="Arial"/>
          <w:iCs/>
          <w:color w:val="595959" w:themeColor="text1" w:themeTint="A6"/>
          <w:kern w:val="24"/>
        </w:rPr>
        <w:t>14</w:t>
      </w:r>
      <w:r w:rsidR="00E36930">
        <w:rPr>
          <w:rFonts w:ascii="Arial" w:eastAsia="SimSun" w:hAnsi="Arial" w:cs="Arial"/>
          <w:iCs/>
          <w:color w:val="595959" w:themeColor="text1" w:themeTint="A6"/>
          <w:kern w:val="24"/>
        </w:rPr>
        <w:t>6</w:t>
      </w:r>
      <w:r w:rsidR="00E2768E">
        <w:rPr>
          <w:rFonts w:ascii="Arial" w:eastAsia="SimSun" w:hAnsi="Arial" w:cs="Arial"/>
          <w:iCs/>
          <w:color w:val="595959" w:themeColor="text1" w:themeTint="A6"/>
          <w:kern w:val="24"/>
        </w:rPr>
        <w:t>-</w:t>
      </w:r>
      <w:r w:rsidRPr="003D5E91">
        <w:rPr>
          <w:rFonts w:ascii="Arial" w:eastAsia="SimSun" w:hAnsi="Arial" w:cs="Arial"/>
          <w:iCs/>
          <w:color w:val="595959" w:themeColor="text1" w:themeTint="A6"/>
          <w:kern w:val="24"/>
        </w:rPr>
        <w:t xml:space="preserve"> </w:t>
      </w:r>
    </w:p>
    <w:p w14:paraId="20383D30" w14:textId="0FC3D7E3" w:rsidR="00A321B1" w:rsidRPr="003D5E91" w:rsidRDefault="00306259" w:rsidP="003D5E91">
      <w:pPr>
        <w:spacing w:line="276" w:lineRule="auto"/>
        <w:jc w:val="both"/>
        <w:rPr>
          <w:rFonts w:ascii="Arial" w:eastAsia="SimSun" w:hAnsi="Arial" w:cs="Arial"/>
          <w:color w:val="595959" w:themeColor="text1" w:themeTint="A6"/>
          <w:kern w:val="24"/>
        </w:rPr>
      </w:pPr>
      <w:r w:rsidRPr="004336DB">
        <w:rPr>
          <w:rFonts w:ascii="Arial" w:eastAsia="SimSun" w:hAnsi="Arial" w:cs="Arial"/>
          <w:b/>
          <w:bCs/>
          <w:color w:val="595959" w:themeColor="text1" w:themeTint="A6"/>
          <w:kern w:val="24"/>
        </w:rPr>
        <w:t>Figure 3.</w:t>
      </w:r>
      <w:r w:rsidR="00000272" w:rsidRPr="004336DB">
        <w:rPr>
          <w:rFonts w:ascii="Arial" w:eastAsia="SimSun" w:hAnsi="Arial" w:cs="Arial"/>
          <w:b/>
          <w:bCs/>
          <w:color w:val="595959" w:themeColor="text1" w:themeTint="A6"/>
          <w:kern w:val="24"/>
        </w:rPr>
        <w:t>4</w:t>
      </w:r>
      <w:r w:rsidRPr="004336DB">
        <w:rPr>
          <w:rFonts w:ascii="Arial" w:eastAsia="SimSun" w:hAnsi="Arial" w:cs="Arial"/>
          <w:b/>
          <w:bCs/>
          <w:color w:val="595959" w:themeColor="text1" w:themeTint="A6"/>
          <w:kern w:val="24"/>
        </w:rPr>
        <w:t>0</w:t>
      </w:r>
      <w:r w:rsidRPr="003D5E91">
        <w:rPr>
          <w:rFonts w:ascii="Arial" w:eastAsia="SimSun" w:hAnsi="Arial" w:cs="Arial"/>
          <w:color w:val="595959" w:themeColor="text1" w:themeTint="A6"/>
          <w:kern w:val="24"/>
        </w:rPr>
        <w:t xml:space="preserve"> αSMA gene expression in NOF and CAF in response to Scriptaid </w:t>
      </w:r>
    </w:p>
    <w:p w14:paraId="6BDE8E36" w14:textId="5424773D" w:rsidR="00306259" w:rsidRPr="003D5E91" w:rsidRDefault="00306259" w:rsidP="003D5E91">
      <w:pPr>
        <w:spacing w:line="276" w:lineRule="auto"/>
        <w:jc w:val="both"/>
        <w:rPr>
          <w:rFonts w:ascii="Arial" w:eastAsia="SimSun" w:hAnsi="Arial" w:cs="Arial"/>
          <w:color w:val="595959" w:themeColor="text1" w:themeTint="A6"/>
          <w:kern w:val="24"/>
        </w:rPr>
      </w:pPr>
      <w:r w:rsidRPr="003D5E91">
        <w:rPr>
          <w:rFonts w:ascii="Arial" w:eastAsia="SimSun" w:hAnsi="Arial" w:cs="Arial"/>
          <w:color w:val="595959" w:themeColor="text1" w:themeTint="A6"/>
          <w:kern w:val="24"/>
        </w:rPr>
        <w:t>and Batimastat treatment with and without TGFβ-1 stimulation</w:t>
      </w:r>
      <w:r w:rsidR="00850C23">
        <w:rPr>
          <w:rFonts w:ascii="Arial" w:eastAsia="SimSun" w:hAnsi="Arial" w:cs="Arial"/>
          <w:color w:val="595959" w:themeColor="text1" w:themeTint="A6"/>
          <w:kern w:val="24"/>
        </w:rPr>
        <w:t>…………………………….</w:t>
      </w:r>
      <w:r w:rsidR="003D7AE8">
        <w:rPr>
          <w:rFonts w:ascii="Arial" w:eastAsia="SimSun" w:hAnsi="Arial" w:cs="Arial"/>
          <w:color w:val="595959" w:themeColor="text1" w:themeTint="A6"/>
          <w:kern w:val="24"/>
        </w:rPr>
        <w:t>.</w:t>
      </w:r>
      <w:r w:rsidR="00850C23">
        <w:rPr>
          <w:rFonts w:ascii="Arial" w:eastAsia="SimSun" w:hAnsi="Arial" w:cs="Arial"/>
          <w:color w:val="595959" w:themeColor="text1" w:themeTint="A6"/>
          <w:kern w:val="24"/>
        </w:rPr>
        <w:t>-14</w:t>
      </w:r>
      <w:r w:rsidR="00E36930">
        <w:rPr>
          <w:rFonts w:ascii="Arial" w:eastAsia="SimSun" w:hAnsi="Arial" w:cs="Arial"/>
          <w:color w:val="595959" w:themeColor="text1" w:themeTint="A6"/>
          <w:kern w:val="24"/>
        </w:rPr>
        <w:t>8</w:t>
      </w:r>
      <w:r w:rsidR="00850C23">
        <w:rPr>
          <w:rFonts w:ascii="Arial" w:eastAsia="SimSun" w:hAnsi="Arial" w:cs="Arial"/>
          <w:color w:val="595959" w:themeColor="text1" w:themeTint="A6"/>
          <w:kern w:val="24"/>
        </w:rPr>
        <w:t>-</w:t>
      </w:r>
      <w:r w:rsidRPr="003D5E91">
        <w:rPr>
          <w:rFonts w:ascii="Arial" w:eastAsia="SimSun" w:hAnsi="Arial" w:cs="Arial"/>
          <w:color w:val="595959" w:themeColor="text1" w:themeTint="A6"/>
          <w:kern w:val="24"/>
        </w:rPr>
        <w:t xml:space="preserve"> </w:t>
      </w:r>
    </w:p>
    <w:p w14:paraId="6D211DF3" w14:textId="485F69E8" w:rsidR="00C064B8" w:rsidRPr="003D5E91" w:rsidRDefault="00306259" w:rsidP="003D5E91">
      <w:pPr>
        <w:spacing w:line="276" w:lineRule="auto"/>
        <w:jc w:val="both"/>
        <w:rPr>
          <w:rFonts w:ascii="Arial" w:eastAsia="SimSun" w:hAnsi="Arial" w:cs="Arial"/>
          <w:color w:val="595959" w:themeColor="text1" w:themeTint="A6"/>
          <w:kern w:val="24"/>
        </w:rPr>
      </w:pPr>
      <w:r w:rsidRPr="004336DB">
        <w:rPr>
          <w:rFonts w:ascii="Arial" w:eastAsia="SimSun" w:hAnsi="Arial" w:cs="Arial"/>
          <w:b/>
          <w:bCs/>
          <w:color w:val="595959" w:themeColor="text1" w:themeTint="A6"/>
          <w:kern w:val="24"/>
        </w:rPr>
        <w:t>Figure 3.</w:t>
      </w:r>
      <w:r w:rsidR="00000272" w:rsidRPr="004336DB">
        <w:rPr>
          <w:rFonts w:ascii="Arial" w:eastAsia="SimSun" w:hAnsi="Arial" w:cs="Arial"/>
          <w:b/>
          <w:bCs/>
          <w:color w:val="595959" w:themeColor="text1" w:themeTint="A6"/>
          <w:kern w:val="24"/>
        </w:rPr>
        <w:t>4</w:t>
      </w:r>
      <w:r w:rsidRPr="004336DB">
        <w:rPr>
          <w:rFonts w:ascii="Arial" w:eastAsia="SimSun" w:hAnsi="Arial" w:cs="Arial"/>
          <w:b/>
          <w:bCs/>
          <w:color w:val="595959" w:themeColor="text1" w:themeTint="A6"/>
          <w:kern w:val="24"/>
        </w:rPr>
        <w:t>1</w:t>
      </w:r>
      <w:r w:rsidRPr="003D5E91">
        <w:rPr>
          <w:rFonts w:ascii="Arial" w:eastAsia="SimSun" w:hAnsi="Arial" w:cs="Arial"/>
          <w:color w:val="595959" w:themeColor="text1" w:themeTint="A6"/>
          <w:kern w:val="24"/>
        </w:rPr>
        <w:t xml:space="preserve"> Immunoblotting for αSMA abundance in NOF and CAF in response to </w:t>
      </w:r>
    </w:p>
    <w:p w14:paraId="5402A67A" w14:textId="2812E01B" w:rsidR="00306259" w:rsidRPr="003D5E91" w:rsidRDefault="00306259" w:rsidP="003D5E91">
      <w:pPr>
        <w:spacing w:line="276" w:lineRule="auto"/>
        <w:jc w:val="both"/>
        <w:rPr>
          <w:rFonts w:ascii="Arial" w:eastAsia="SimSun" w:hAnsi="Arial" w:cs="Arial"/>
          <w:color w:val="595959" w:themeColor="text1" w:themeTint="A6"/>
          <w:kern w:val="24"/>
        </w:rPr>
      </w:pPr>
      <w:r w:rsidRPr="003D5E91">
        <w:rPr>
          <w:rFonts w:ascii="Arial" w:eastAsia="SimSun" w:hAnsi="Arial" w:cs="Arial"/>
          <w:color w:val="595959" w:themeColor="text1" w:themeTint="A6"/>
          <w:kern w:val="24"/>
        </w:rPr>
        <w:t>Scriptaid and Batimastat treatment with and without TGFβ-1 stimulation</w:t>
      </w:r>
      <w:r w:rsidR="00850C23">
        <w:rPr>
          <w:rFonts w:ascii="Arial" w:eastAsia="SimSun" w:hAnsi="Arial" w:cs="Arial"/>
          <w:color w:val="595959" w:themeColor="text1" w:themeTint="A6"/>
          <w:kern w:val="24"/>
        </w:rPr>
        <w:t>…………………</w:t>
      </w:r>
      <w:r w:rsidR="003D7AE8">
        <w:rPr>
          <w:rFonts w:ascii="Arial" w:eastAsia="SimSun" w:hAnsi="Arial" w:cs="Arial"/>
          <w:color w:val="595959" w:themeColor="text1" w:themeTint="A6"/>
          <w:kern w:val="24"/>
        </w:rPr>
        <w:t>..</w:t>
      </w:r>
      <w:r w:rsidR="00850C23">
        <w:rPr>
          <w:rFonts w:ascii="Arial" w:eastAsia="SimSun" w:hAnsi="Arial" w:cs="Arial"/>
          <w:color w:val="595959" w:themeColor="text1" w:themeTint="A6"/>
          <w:kern w:val="24"/>
        </w:rPr>
        <w:t>-1</w:t>
      </w:r>
      <w:r w:rsidR="00E36930">
        <w:rPr>
          <w:rFonts w:ascii="Arial" w:eastAsia="SimSun" w:hAnsi="Arial" w:cs="Arial"/>
          <w:color w:val="595959" w:themeColor="text1" w:themeTint="A6"/>
          <w:kern w:val="24"/>
        </w:rPr>
        <w:t>50</w:t>
      </w:r>
      <w:r w:rsidR="00850C23">
        <w:rPr>
          <w:rFonts w:ascii="Arial" w:eastAsia="SimSun" w:hAnsi="Arial" w:cs="Arial"/>
          <w:color w:val="595959" w:themeColor="text1" w:themeTint="A6"/>
          <w:kern w:val="24"/>
        </w:rPr>
        <w:t>-</w:t>
      </w:r>
    </w:p>
    <w:p w14:paraId="12BF4F78" w14:textId="265D3827" w:rsidR="00C064B8" w:rsidRPr="003D5E91" w:rsidRDefault="00306259" w:rsidP="003D5E91">
      <w:pPr>
        <w:spacing w:line="276" w:lineRule="auto"/>
        <w:jc w:val="both"/>
        <w:rPr>
          <w:rFonts w:ascii="Arial" w:eastAsia="SimSun" w:hAnsi="Arial" w:cs="Arial"/>
          <w:color w:val="595959" w:themeColor="text1" w:themeTint="A6"/>
          <w:kern w:val="24"/>
        </w:rPr>
      </w:pPr>
      <w:r w:rsidRPr="004336DB">
        <w:rPr>
          <w:rFonts w:ascii="Arial" w:eastAsia="SimSun" w:hAnsi="Arial" w:cs="Arial"/>
          <w:b/>
          <w:bCs/>
          <w:color w:val="595959" w:themeColor="text1" w:themeTint="A6"/>
          <w:kern w:val="24"/>
        </w:rPr>
        <w:t>Figure 3.</w:t>
      </w:r>
      <w:r w:rsidR="00000272" w:rsidRPr="004336DB">
        <w:rPr>
          <w:rFonts w:ascii="Arial" w:eastAsia="SimSun" w:hAnsi="Arial" w:cs="Arial"/>
          <w:b/>
          <w:bCs/>
          <w:color w:val="595959" w:themeColor="text1" w:themeTint="A6"/>
          <w:kern w:val="24"/>
        </w:rPr>
        <w:t>4</w:t>
      </w:r>
      <w:r w:rsidRPr="004336DB">
        <w:rPr>
          <w:rFonts w:ascii="Arial" w:eastAsia="SimSun" w:hAnsi="Arial" w:cs="Arial"/>
          <w:b/>
          <w:bCs/>
          <w:color w:val="595959" w:themeColor="text1" w:themeTint="A6"/>
          <w:kern w:val="24"/>
        </w:rPr>
        <w:t>2</w:t>
      </w:r>
      <w:r w:rsidRPr="003D5E91">
        <w:rPr>
          <w:rFonts w:ascii="Arial" w:eastAsia="SimSun" w:hAnsi="Arial" w:cs="Arial"/>
          <w:color w:val="595959" w:themeColor="text1" w:themeTint="A6"/>
          <w:kern w:val="24"/>
        </w:rPr>
        <w:t xml:space="preserve"> FN1-EDA gene expression in NOF and CAF in response to Scriptaid and</w:t>
      </w:r>
    </w:p>
    <w:p w14:paraId="04B96FB7" w14:textId="34773472" w:rsidR="00306259" w:rsidRPr="003D5E91" w:rsidRDefault="00306259" w:rsidP="003D5E91">
      <w:pPr>
        <w:spacing w:line="276" w:lineRule="auto"/>
        <w:jc w:val="both"/>
        <w:rPr>
          <w:rFonts w:ascii="Arial" w:eastAsia="SimSun" w:hAnsi="Arial" w:cs="Arial"/>
          <w:color w:val="595959" w:themeColor="text1" w:themeTint="A6"/>
          <w:kern w:val="24"/>
        </w:rPr>
      </w:pPr>
      <w:r w:rsidRPr="003D5E91">
        <w:rPr>
          <w:rFonts w:ascii="Arial" w:eastAsia="SimSun" w:hAnsi="Arial" w:cs="Arial"/>
          <w:color w:val="595959" w:themeColor="text1" w:themeTint="A6"/>
          <w:kern w:val="24"/>
        </w:rPr>
        <w:t xml:space="preserve"> Batimastat treatment with and without TGFβ-1 stimulation</w:t>
      </w:r>
      <w:r w:rsidR="00850C23">
        <w:rPr>
          <w:rFonts w:ascii="Arial" w:eastAsia="SimSun" w:hAnsi="Arial" w:cs="Arial"/>
          <w:color w:val="595959" w:themeColor="text1" w:themeTint="A6"/>
          <w:kern w:val="24"/>
        </w:rPr>
        <w:t>………………………………</w:t>
      </w:r>
      <w:r w:rsidR="003D7AE8">
        <w:rPr>
          <w:rFonts w:ascii="Arial" w:eastAsia="SimSun" w:hAnsi="Arial" w:cs="Arial"/>
          <w:color w:val="595959" w:themeColor="text1" w:themeTint="A6"/>
          <w:kern w:val="24"/>
        </w:rPr>
        <w:t>….</w:t>
      </w:r>
      <w:r w:rsidR="00850C23">
        <w:rPr>
          <w:rFonts w:ascii="Arial" w:eastAsia="SimSun" w:hAnsi="Arial" w:cs="Arial"/>
          <w:color w:val="595959" w:themeColor="text1" w:themeTint="A6"/>
          <w:kern w:val="24"/>
        </w:rPr>
        <w:t>-15</w:t>
      </w:r>
      <w:r w:rsidR="008940DA">
        <w:rPr>
          <w:rFonts w:ascii="Arial" w:eastAsia="SimSun" w:hAnsi="Arial" w:cs="Arial"/>
          <w:color w:val="595959" w:themeColor="text1" w:themeTint="A6"/>
          <w:kern w:val="24"/>
        </w:rPr>
        <w:t>2</w:t>
      </w:r>
      <w:r w:rsidR="00850C23">
        <w:rPr>
          <w:rFonts w:ascii="Arial" w:eastAsia="SimSun" w:hAnsi="Arial" w:cs="Arial"/>
          <w:color w:val="595959" w:themeColor="text1" w:themeTint="A6"/>
          <w:kern w:val="24"/>
        </w:rPr>
        <w:t>-</w:t>
      </w:r>
    </w:p>
    <w:p w14:paraId="6CD91A20" w14:textId="6DC7832F" w:rsidR="00C064B8" w:rsidRPr="003D5E91" w:rsidRDefault="00306259" w:rsidP="003D5E91">
      <w:pPr>
        <w:spacing w:line="276" w:lineRule="auto"/>
        <w:jc w:val="both"/>
        <w:rPr>
          <w:rFonts w:ascii="Arial" w:eastAsia="SimSun" w:hAnsi="Arial" w:cs="Arial"/>
          <w:color w:val="595959" w:themeColor="text1" w:themeTint="A6"/>
          <w:kern w:val="24"/>
        </w:rPr>
      </w:pPr>
      <w:r w:rsidRPr="004336DB">
        <w:rPr>
          <w:rFonts w:ascii="Arial" w:eastAsia="SimSun" w:hAnsi="Arial" w:cs="Arial"/>
          <w:b/>
          <w:bCs/>
          <w:color w:val="595959" w:themeColor="text1" w:themeTint="A6"/>
          <w:kern w:val="24"/>
        </w:rPr>
        <w:t>Figure 3.</w:t>
      </w:r>
      <w:r w:rsidR="00000272" w:rsidRPr="004336DB">
        <w:rPr>
          <w:rFonts w:ascii="Arial" w:eastAsia="SimSun" w:hAnsi="Arial" w:cs="Arial"/>
          <w:b/>
          <w:bCs/>
          <w:color w:val="595959" w:themeColor="text1" w:themeTint="A6"/>
          <w:kern w:val="24"/>
        </w:rPr>
        <w:t>4</w:t>
      </w:r>
      <w:r w:rsidRPr="004336DB">
        <w:rPr>
          <w:rFonts w:ascii="Arial" w:eastAsia="SimSun" w:hAnsi="Arial" w:cs="Arial"/>
          <w:b/>
          <w:bCs/>
          <w:color w:val="595959" w:themeColor="text1" w:themeTint="A6"/>
          <w:kern w:val="24"/>
        </w:rPr>
        <w:t>3</w:t>
      </w:r>
      <w:r w:rsidRPr="003D5E91">
        <w:rPr>
          <w:rFonts w:ascii="Arial" w:eastAsia="SimSun" w:hAnsi="Arial" w:cs="Arial"/>
          <w:color w:val="595959" w:themeColor="text1" w:themeTint="A6"/>
          <w:kern w:val="24"/>
        </w:rPr>
        <w:t xml:space="preserve"> Immunoblotting for FN1-EDA abundance in NOF and CAF in response</w:t>
      </w:r>
    </w:p>
    <w:p w14:paraId="58FF6757" w14:textId="616444B6" w:rsidR="00306259" w:rsidRPr="003D5E91" w:rsidRDefault="00306259" w:rsidP="003D5E91">
      <w:pPr>
        <w:spacing w:line="276" w:lineRule="auto"/>
        <w:jc w:val="both"/>
        <w:rPr>
          <w:rFonts w:ascii="Arial" w:eastAsia="SimSun" w:hAnsi="Arial" w:cs="Arial"/>
          <w:color w:val="595959" w:themeColor="text1" w:themeTint="A6"/>
          <w:kern w:val="24"/>
        </w:rPr>
      </w:pPr>
      <w:r w:rsidRPr="003D5E91">
        <w:rPr>
          <w:rFonts w:ascii="Arial" w:eastAsia="SimSun" w:hAnsi="Arial" w:cs="Arial"/>
          <w:color w:val="595959" w:themeColor="text1" w:themeTint="A6"/>
          <w:kern w:val="24"/>
        </w:rPr>
        <w:t xml:space="preserve"> to Scriptaid and Batimastat treatment with and without TGFβ-1 stimulation</w:t>
      </w:r>
      <w:r w:rsidR="003D7AE8">
        <w:rPr>
          <w:rFonts w:ascii="Arial" w:eastAsia="SimSun" w:hAnsi="Arial" w:cs="Arial"/>
          <w:color w:val="595959" w:themeColor="text1" w:themeTint="A6"/>
          <w:kern w:val="24"/>
        </w:rPr>
        <w:t>……………….-15</w:t>
      </w:r>
      <w:r w:rsidR="008940DA">
        <w:rPr>
          <w:rFonts w:ascii="Arial" w:eastAsia="SimSun" w:hAnsi="Arial" w:cs="Arial"/>
          <w:color w:val="595959" w:themeColor="text1" w:themeTint="A6"/>
          <w:kern w:val="24"/>
        </w:rPr>
        <w:t>4</w:t>
      </w:r>
      <w:r w:rsidR="003D7AE8">
        <w:rPr>
          <w:rFonts w:ascii="Arial" w:eastAsia="SimSun" w:hAnsi="Arial" w:cs="Arial"/>
          <w:color w:val="595959" w:themeColor="text1" w:themeTint="A6"/>
          <w:kern w:val="24"/>
        </w:rPr>
        <w:t>-</w:t>
      </w:r>
    </w:p>
    <w:p w14:paraId="39869E86" w14:textId="24B4B719" w:rsidR="00C064B8" w:rsidRPr="003D5E91" w:rsidRDefault="00306259" w:rsidP="003D5E91">
      <w:pPr>
        <w:spacing w:line="276" w:lineRule="auto"/>
        <w:jc w:val="both"/>
        <w:rPr>
          <w:rFonts w:ascii="Arial" w:eastAsia="SimSun" w:hAnsi="Arial" w:cs="Arial"/>
          <w:color w:val="595959" w:themeColor="text1" w:themeTint="A6"/>
          <w:kern w:val="24"/>
        </w:rPr>
      </w:pPr>
      <w:r w:rsidRPr="004336DB">
        <w:rPr>
          <w:rFonts w:ascii="Arial" w:eastAsia="SimSun" w:hAnsi="Arial" w:cs="Arial"/>
          <w:b/>
          <w:bCs/>
          <w:color w:val="595959" w:themeColor="text1" w:themeTint="A6"/>
          <w:kern w:val="24"/>
        </w:rPr>
        <w:t>Figure 3.</w:t>
      </w:r>
      <w:r w:rsidR="00000272" w:rsidRPr="004336DB">
        <w:rPr>
          <w:rFonts w:ascii="Arial" w:eastAsia="SimSun" w:hAnsi="Arial" w:cs="Arial"/>
          <w:b/>
          <w:bCs/>
          <w:color w:val="595959" w:themeColor="text1" w:themeTint="A6"/>
          <w:kern w:val="24"/>
        </w:rPr>
        <w:t>4</w:t>
      </w:r>
      <w:r w:rsidRPr="004336DB">
        <w:rPr>
          <w:rFonts w:ascii="Arial" w:eastAsia="SimSun" w:hAnsi="Arial" w:cs="Arial"/>
          <w:b/>
          <w:bCs/>
          <w:color w:val="595959" w:themeColor="text1" w:themeTint="A6"/>
          <w:kern w:val="24"/>
        </w:rPr>
        <w:t>4</w:t>
      </w:r>
      <w:r w:rsidRPr="003D5E91">
        <w:rPr>
          <w:rFonts w:ascii="Arial" w:eastAsia="SimSun" w:hAnsi="Arial" w:cs="Arial"/>
          <w:color w:val="595959" w:themeColor="text1" w:themeTint="A6"/>
          <w:kern w:val="24"/>
        </w:rPr>
        <w:t xml:space="preserve"> COL1A1 gene expression in NOF and CAF in response to Scriptaid and</w:t>
      </w:r>
    </w:p>
    <w:p w14:paraId="592C66B8" w14:textId="2A79AB14" w:rsidR="00306259" w:rsidRPr="003D5E91" w:rsidRDefault="00306259" w:rsidP="003D5E91">
      <w:pPr>
        <w:spacing w:line="276" w:lineRule="auto"/>
        <w:jc w:val="both"/>
        <w:rPr>
          <w:rFonts w:ascii="Arial" w:eastAsia="SimSun" w:hAnsi="Arial" w:cs="Arial"/>
          <w:color w:val="595959" w:themeColor="text1" w:themeTint="A6"/>
          <w:kern w:val="24"/>
        </w:rPr>
      </w:pPr>
      <w:r w:rsidRPr="003D5E91">
        <w:rPr>
          <w:rFonts w:ascii="Arial" w:eastAsia="SimSun" w:hAnsi="Arial" w:cs="Arial"/>
          <w:color w:val="595959" w:themeColor="text1" w:themeTint="A6"/>
          <w:kern w:val="24"/>
        </w:rPr>
        <w:t xml:space="preserve"> Batimastat treatment with and without TGFβ-1 stimulation</w:t>
      </w:r>
      <w:r w:rsidR="003D7AE8">
        <w:rPr>
          <w:rFonts w:ascii="Arial" w:eastAsia="SimSun" w:hAnsi="Arial" w:cs="Arial"/>
          <w:color w:val="595959" w:themeColor="text1" w:themeTint="A6"/>
          <w:kern w:val="24"/>
        </w:rPr>
        <w:t>………………………………….-15</w:t>
      </w:r>
      <w:r w:rsidR="008940DA">
        <w:rPr>
          <w:rFonts w:ascii="Arial" w:eastAsia="SimSun" w:hAnsi="Arial" w:cs="Arial"/>
          <w:color w:val="595959" w:themeColor="text1" w:themeTint="A6"/>
          <w:kern w:val="24"/>
        </w:rPr>
        <w:t>6</w:t>
      </w:r>
      <w:r w:rsidR="003D7AE8">
        <w:rPr>
          <w:rFonts w:ascii="Arial" w:eastAsia="SimSun" w:hAnsi="Arial" w:cs="Arial"/>
          <w:color w:val="595959" w:themeColor="text1" w:themeTint="A6"/>
          <w:kern w:val="24"/>
        </w:rPr>
        <w:t>-</w:t>
      </w:r>
    </w:p>
    <w:p w14:paraId="48E2E291" w14:textId="28E66306" w:rsidR="00C064B8" w:rsidRPr="003D5E91" w:rsidRDefault="00306259" w:rsidP="003D5E91">
      <w:pPr>
        <w:spacing w:line="276" w:lineRule="auto"/>
        <w:jc w:val="both"/>
        <w:rPr>
          <w:rFonts w:ascii="Arial" w:eastAsia="SimSun" w:hAnsi="Arial" w:cs="Arial"/>
          <w:color w:val="595959" w:themeColor="text1" w:themeTint="A6"/>
          <w:kern w:val="24"/>
        </w:rPr>
      </w:pPr>
      <w:r w:rsidRPr="004336DB">
        <w:rPr>
          <w:rFonts w:ascii="Arial" w:eastAsia="SimSun" w:hAnsi="Arial" w:cs="Arial"/>
          <w:b/>
          <w:bCs/>
          <w:color w:val="595959" w:themeColor="text1" w:themeTint="A6"/>
          <w:kern w:val="24"/>
        </w:rPr>
        <w:t>Figure 3.</w:t>
      </w:r>
      <w:r w:rsidR="00000272" w:rsidRPr="004336DB">
        <w:rPr>
          <w:rFonts w:ascii="Arial" w:eastAsia="SimSun" w:hAnsi="Arial" w:cs="Arial"/>
          <w:b/>
          <w:bCs/>
          <w:color w:val="595959" w:themeColor="text1" w:themeTint="A6"/>
          <w:kern w:val="24"/>
        </w:rPr>
        <w:t>4</w:t>
      </w:r>
      <w:r w:rsidRPr="004336DB">
        <w:rPr>
          <w:rFonts w:ascii="Arial" w:eastAsia="SimSun" w:hAnsi="Arial" w:cs="Arial"/>
          <w:b/>
          <w:bCs/>
          <w:color w:val="595959" w:themeColor="text1" w:themeTint="A6"/>
          <w:kern w:val="24"/>
        </w:rPr>
        <w:t>5</w:t>
      </w:r>
      <w:r w:rsidRPr="003D5E91">
        <w:rPr>
          <w:rFonts w:ascii="Arial" w:eastAsia="SimSun" w:hAnsi="Arial" w:cs="Arial"/>
          <w:color w:val="595959" w:themeColor="text1" w:themeTint="A6"/>
          <w:kern w:val="24"/>
        </w:rPr>
        <w:t xml:space="preserve"> Immunoblotting for COL1A1 abundance in NOF and CAF in response</w:t>
      </w:r>
    </w:p>
    <w:p w14:paraId="176D9330" w14:textId="097070C6" w:rsidR="00306259" w:rsidRPr="003D5E91" w:rsidRDefault="00306259" w:rsidP="003D5E91">
      <w:pPr>
        <w:spacing w:line="276" w:lineRule="auto"/>
        <w:jc w:val="both"/>
        <w:rPr>
          <w:rFonts w:ascii="Arial" w:eastAsia="SimSun" w:hAnsi="Arial" w:cs="Arial"/>
          <w:color w:val="595959" w:themeColor="text1" w:themeTint="A6"/>
          <w:kern w:val="24"/>
        </w:rPr>
      </w:pPr>
      <w:r w:rsidRPr="003D5E91">
        <w:rPr>
          <w:rFonts w:ascii="Arial" w:eastAsia="SimSun" w:hAnsi="Arial" w:cs="Arial"/>
          <w:color w:val="595959" w:themeColor="text1" w:themeTint="A6"/>
          <w:kern w:val="24"/>
        </w:rPr>
        <w:t xml:space="preserve"> to Scriptaid and Batimastat treatment with and without TGFβ-1 stimulation</w:t>
      </w:r>
      <w:r w:rsidR="003D7AE8">
        <w:rPr>
          <w:rFonts w:ascii="Arial" w:eastAsia="SimSun" w:hAnsi="Arial" w:cs="Arial"/>
          <w:color w:val="595959" w:themeColor="text1" w:themeTint="A6"/>
          <w:kern w:val="24"/>
        </w:rPr>
        <w:t>……………..-15</w:t>
      </w:r>
      <w:r w:rsidR="008940DA">
        <w:rPr>
          <w:rFonts w:ascii="Arial" w:eastAsia="SimSun" w:hAnsi="Arial" w:cs="Arial"/>
          <w:color w:val="595959" w:themeColor="text1" w:themeTint="A6"/>
          <w:kern w:val="24"/>
        </w:rPr>
        <w:t>8</w:t>
      </w:r>
      <w:r w:rsidR="003D7AE8">
        <w:rPr>
          <w:rFonts w:ascii="Arial" w:eastAsia="SimSun" w:hAnsi="Arial" w:cs="Arial"/>
          <w:color w:val="595959" w:themeColor="text1" w:themeTint="A6"/>
          <w:kern w:val="24"/>
        </w:rPr>
        <w:t>-</w:t>
      </w:r>
    </w:p>
    <w:p w14:paraId="615671FE" w14:textId="236B4C7E" w:rsidR="00327453" w:rsidRPr="003D5E91" w:rsidRDefault="00327453" w:rsidP="003D5E91">
      <w:pPr>
        <w:spacing w:line="276" w:lineRule="auto"/>
        <w:jc w:val="both"/>
        <w:rPr>
          <w:rFonts w:ascii="Arial" w:hAnsi="Arial" w:cs="Arial"/>
          <w:i/>
          <w:color w:val="595959" w:themeColor="text1" w:themeTint="A6"/>
        </w:rPr>
      </w:pPr>
      <w:r w:rsidRPr="004336DB">
        <w:rPr>
          <w:rFonts w:ascii="Arial" w:hAnsi="Arial" w:cs="Arial"/>
          <w:b/>
          <w:bCs/>
          <w:color w:val="595959" w:themeColor="text1" w:themeTint="A6"/>
        </w:rPr>
        <w:t>Figure 4.1</w:t>
      </w:r>
      <w:r w:rsidRPr="003D5E91">
        <w:rPr>
          <w:rFonts w:ascii="Arial" w:hAnsi="Arial" w:cs="Arial"/>
          <w:color w:val="595959" w:themeColor="text1" w:themeTint="A6"/>
        </w:rPr>
        <w:t xml:space="preserve"> Schematic of materials and methods</w:t>
      </w:r>
      <w:r w:rsidR="0084334C">
        <w:rPr>
          <w:rFonts w:ascii="Arial" w:hAnsi="Arial" w:cs="Arial"/>
          <w:color w:val="595959" w:themeColor="text1" w:themeTint="A6"/>
        </w:rPr>
        <w:t>……………………………………………...-17</w:t>
      </w:r>
      <w:r w:rsidR="00631600">
        <w:rPr>
          <w:rFonts w:ascii="Arial" w:hAnsi="Arial" w:cs="Arial"/>
          <w:color w:val="595959" w:themeColor="text1" w:themeTint="A6"/>
        </w:rPr>
        <w:t>4</w:t>
      </w:r>
      <w:r w:rsidR="0084334C">
        <w:rPr>
          <w:rFonts w:ascii="Arial" w:hAnsi="Arial" w:cs="Arial"/>
          <w:color w:val="595959" w:themeColor="text1" w:themeTint="A6"/>
        </w:rPr>
        <w:t>-</w:t>
      </w:r>
    </w:p>
    <w:p w14:paraId="0D78E181" w14:textId="171EDE61" w:rsidR="004336DB" w:rsidRDefault="00327453" w:rsidP="003D5E91">
      <w:pPr>
        <w:spacing w:line="276" w:lineRule="auto"/>
        <w:jc w:val="both"/>
        <w:rPr>
          <w:rFonts w:ascii="Arial" w:hAnsi="Arial" w:cs="Arial"/>
          <w:color w:val="595959" w:themeColor="text1" w:themeTint="A6"/>
        </w:rPr>
      </w:pPr>
      <w:r w:rsidRPr="004336DB">
        <w:rPr>
          <w:rFonts w:ascii="Arial" w:hAnsi="Arial" w:cs="Arial"/>
          <w:b/>
          <w:bCs/>
          <w:color w:val="595959" w:themeColor="text1" w:themeTint="A6"/>
        </w:rPr>
        <w:t>Figure 4.2</w:t>
      </w:r>
      <w:r w:rsidRPr="003D5E91">
        <w:rPr>
          <w:rFonts w:ascii="Arial" w:hAnsi="Arial" w:cs="Arial"/>
          <w:color w:val="595959" w:themeColor="text1" w:themeTint="A6"/>
        </w:rPr>
        <w:t xml:space="preserve"> Morphology of NOF and CAF tissue-engineered fibroblast-deriv</w:t>
      </w:r>
      <w:r w:rsidR="00B221F6">
        <w:rPr>
          <w:rFonts w:ascii="Arial" w:hAnsi="Arial" w:cs="Arial"/>
          <w:color w:val="595959" w:themeColor="text1" w:themeTint="A6"/>
        </w:rPr>
        <w:t>ed</w:t>
      </w:r>
      <w:r w:rsidR="0084334C">
        <w:rPr>
          <w:rFonts w:ascii="Arial" w:hAnsi="Arial" w:cs="Arial"/>
          <w:color w:val="595959" w:themeColor="text1" w:themeTint="A6"/>
        </w:rPr>
        <w:t>-</w:t>
      </w:r>
    </w:p>
    <w:p w14:paraId="4C600067" w14:textId="59938FF5" w:rsidR="00327453" w:rsidRPr="003D5E91" w:rsidRDefault="00327453" w:rsidP="003D5E91">
      <w:pPr>
        <w:spacing w:line="276" w:lineRule="auto"/>
        <w:jc w:val="both"/>
        <w:rPr>
          <w:rFonts w:ascii="Arial" w:hAnsi="Arial" w:cs="Arial"/>
          <w:i/>
          <w:color w:val="595959" w:themeColor="text1" w:themeTint="A6"/>
        </w:rPr>
      </w:pPr>
      <w:r w:rsidRPr="003D5E91">
        <w:rPr>
          <w:rFonts w:ascii="Arial" w:hAnsi="Arial" w:cs="Arial"/>
          <w:color w:val="595959" w:themeColor="text1" w:themeTint="A6"/>
        </w:rPr>
        <w:t>matrices under different culture conditions</w:t>
      </w:r>
      <w:r w:rsidR="00B221F6">
        <w:rPr>
          <w:rFonts w:ascii="Arial" w:hAnsi="Arial" w:cs="Arial"/>
          <w:color w:val="595959" w:themeColor="text1" w:themeTint="A6"/>
        </w:rPr>
        <w:t>…………………………………………………….-17</w:t>
      </w:r>
      <w:r w:rsidR="009D38EA">
        <w:rPr>
          <w:rFonts w:ascii="Arial" w:hAnsi="Arial" w:cs="Arial"/>
          <w:color w:val="595959" w:themeColor="text1" w:themeTint="A6"/>
        </w:rPr>
        <w:t>7</w:t>
      </w:r>
      <w:r w:rsidR="00B221F6">
        <w:rPr>
          <w:rFonts w:ascii="Arial" w:hAnsi="Arial" w:cs="Arial"/>
          <w:color w:val="595959" w:themeColor="text1" w:themeTint="A6"/>
        </w:rPr>
        <w:t>-</w:t>
      </w:r>
    </w:p>
    <w:p w14:paraId="19FC552C" w14:textId="5038CD67" w:rsidR="00327453" w:rsidRPr="003D5E91" w:rsidRDefault="00327453" w:rsidP="003D5E91">
      <w:pPr>
        <w:spacing w:line="276" w:lineRule="auto"/>
        <w:jc w:val="both"/>
        <w:rPr>
          <w:rFonts w:ascii="Arial" w:hAnsi="Arial" w:cs="Arial"/>
          <w:i/>
          <w:color w:val="595959" w:themeColor="text1" w:themeTint="A6"/>
        </w:rPr>
      </w:pPr>
      <w:r w:rsidRPr="004336DB">
        <w:rPr>
          <w:rFonts w:ascii="Arial" w:hAnsi="Arial" w:cs="Arial"/>
          <w:b/>
          <w:bCs/>
          <w:color w:val="595959" w:themeColor="text1" w:themeTint="A6"/>
        </w:rPr>
        <w:t>Figure 4.</w:t>
      </w:r>
      <w:r w:rsidRPr="004336DB">
        <w:rPr>
          <w:rFonts w:ascii="Arial" w:hAnsi="Arial" w:cs="Arial"/>
          <w:b/>
          <w:bCs/>
          <w:noProof/>
          <w:color w:val="595959" w:themeColor="text1" w:themeTint="A6"/>
        </w:rPr>
        <w:t>3</w:t>
      </w:r>
      <w:r w:rsidRPr="003D5E91">
        <w:rPr>
          <w:rFonts w:ascii="Arial" w:hAnsi="Arial" w:cs="Arial"/>
          <w:color w:val="595959" w:themeColor="text1" w:themeTint="A6"/>
        </w:rPr>
        <w:t xml:space="preserve"> Variations in fibroblast-derived matrix thickness</w:t>
      </w:r>
      <w:r w:rsidR="00B221F6">
        <w:rPr>
          <w:rFonts w:ascii="Arial" w:hAnsi="Arial" w:cs="Arial"/>
          <w:color w:val="595959" w:themeColor="text1" w:themeTint="A6"/>
        </w:rPr>
        <w:t>………………………………</w:t>
      </w:r>
      <w:r w:rsidR="006860E8">
        <w:rPr>
          <w:rFonts w:ascii="Arial" w:hAnsi="Arial" w:cs="Arial"/>
          <w:color w:val="595959" w:themeColor="text1" w:themeTint="A6"/>
        </w:rPr>
        <w:t>…-17</w:t>
      </w:r>
      <w:r w:rsidR="009D38EA">
        <w:rPr>
          <w:rFonts w:ascii="Arial" w:hAnsi="Arial" w:cs="Arial"/>
          <w:color w:val="595959" w:themeColor="text1" w:themeTint="A6"/>
        </w:rPr>
        <w:t>9</w:t>
      </w:r>
      <w:r w:rsidR="006860E8">
        <w:rPr>
          <w:rFonts w:ascii="Arial" w:hAnsi="Arial" w:cs="Arial"/>
          <w:color w:val="595959" w:themeColor="text1" w:themeTint="A6"/>
        </w:rPr>
        <w:t>-</w:t>
      </w:r>
    </w:p>
    <w:p w14:paraId="13B12E6D" w14:textId="77777777" w:rsidR="00C409FB" w:rsidRDefault="00327453" w:rsidP="003D5E91">
      <w:pPr>
        <w:spacing w:line="276" w:lineRule="auto"/>
        <w:jc w:val="both"/>
        <w:rPr>
          <w:rFonts w:ascii="Arial" w:eastAsia="SimSun" w:hAnsi="Arial" w:cs="Arial"/>
          <w:color w:val="595959" w:themeColor="text1" w:themeTint="A6"/>
          <w:kern w:val="24"/>
        </w:rPr>
      </w:pPr>
      <w:r w:rsidRPr="004336DB">
        <w:rPr>
          <w:rFonts w:ascii="Arial" w:eastAsia="SimSun" w:hAnsi="Arial" w:cs="Arial"/>
          <w:b/>
          <w:bCs/>
          <w:color w:val="595959" w:themeColor="text1" w:themeTint="A6"/>
          <w:kern w:val="24"/>
        </w:rPr>
        <w:t>Figure 4.4</w:t>
      </w:r>
      <w:r w:rsidRPr="003D5E91">
        <w:rPr>
          <w:rFonts w:ascii="Arial" w:eastAsia="SimSun" w:hAnsi="Arial" w:cs="Arial"/>
          <w:color w:val="595959" w:themeColor="text1" w:themeTint="A6"/>
          <w:kern w:val="24"/>
        </w:rPr>
        <w:t xml:space="preserve"> Transepithelial electrical resistance of developing fibroblast-derived </w:t>
      </w:r>
    </w:p>
    <w:p w14:paraId="005C4617" w14:textId="7184A65A" w:rsidR="00327453" w:rsidRPr="003D5E91" w:rsidRDefault="006860E8" w:rsidP="003D5E91">
      <w:pPr>
        <w:spacing w:line="276" w:lineRule="auto"/>
        <w:jc w:val="both"/>
        <w:rPr>
          <w:rFonts w:ascii="Arial" w:eastAsia="SimSun" w:hAnsi="Arial" w:cs="Arial"/>
          <w:color w:val="595959" w:themeColor="text1" w:themeTint="A6"/>
          <w:kern w:val="24"/>
        </w:rPr>
      </w:pPr>
      <w:r>
        <w:rPr>
          <w:rFonts w:ascii="Arial" w:eastAsia="SimSun" w:hAnsi="Arial" w:cs="Arial"/>
          <w:color w:val="595959" w:themeColor="text1" w:themeTint="A6"/>
          <w:kern w:val="24"/>
        </w:rPr>
        <w:t>m</w:t>
      </w:r>
      <w:r w:rsidR="00327453" w:rsidRPr="003D5E91">
        <w:rPr>
          <w:rFonts w:ascii="Arial" w:eastAsia="SimSun" w:hAnsi="Arial" w:cs="Arial"/>
          <w:color w:val="595959" w:themeColor="text1" w:themeTint="A6"/>
          <w:kern w:val="24"/>
        </w:rPr>
        <w:t>atrices</w:t>
      </w:r>
      <w:r>
        <w:rPr>
          <w:rFonts w:ascii="Arial" w:eastAsia="SimSun" w:hAnsi="Arial" w:cs="Arial"/>
          <w:color w:val="595959" w:themeColor="text1" w:themeTint="A6"/>
          <w:kern w:val="24"/>
        </w:rPr>
        <w:t>…...………………………………………………………………………………………-1</w:t>
      </w:r>
      <w:r w:rsidR="009D38EA">
        <w:rPr>
          <w:rFonts w:ascii="Arial" w:eastAsia="SimSun" w:hAnsi="Arial" w:cs="Arial"/>
          <w:color w:val="595959" w:themeColor="text1" w:themeTint="A6"/>
          <w:kern w:val="24"/>
        </w:rPr>
        <w:t>80</w:t>
      </w:r>
      <w:r>
        <w:rPr>
          <w:rFonts w:ascii="Arial" w:eastAsia="SimSun" w:hAnsi="Arial" w:cs="Arial"/>
          <w:color w:val="595959" w:themeColor="text1" w:themeTint="A6"/>
          <w:kern w:val="24"/>
        </w:rPr>
        <w:t>-</w:t>
      </w:r>
    </w:p>
    <w:p w14:paraId="6EF9904F" w14:textId="6CB8E7C0" w:rsidR="00327453" w:rsidRPr="003D5E91" w:rsidRDefault="00327453" w:rsidP="003D5E91">
      <w:pPr>
        <w:spacing w:line="276" w:lineRule="auto"/>
        <w:jc w:val="both"/>
        <w:rPr>
          <w:rFonts w:ascii="Arial" w:eastAsia="SimSun" w:hAnsi="Arial" w:cs="Arial"/>
          <w:color w:val="595959" w:themeColor="text1" w:themeTint="A6"/>
          <w:kern w:val="24"/>
        </w:rPr>
      </w:pPr>
      <w:r w:rsidRPr="004336DB">
        <w:rPr>
          <w:rFonts w:ascii="Arial" w:eastAsia="SimSun" w:hAnsi="Arial" w:cs="Arial"/>
          <w:b/>
          <w:bCs/>
          <w:color w:val="595959" w:themeColor="text1" w:themeTint="A6"/>
          <w:kern w:val="24"/>
        </w:rPr>
        <w:t>Figure 4.5</w:t>
      </w:r>
      <w:r w:rsidRPr="003D5E91">
        <w:rPr>
          <w:rFonts w:ascii="Arial" w:eastAsia="SimSun" w:hAnsi="Arial" w:cs="Arial"/>
          <w:color w:val="595959" w:themeColor="text1" w:themeTint="A6"/>
          <w:kern w:val="24"/>
        </w:rPr>
        <w:t xml:space="preserve"> Metabolic activity of fibroblasts in TE-FDM over 28 days</w:t>
      </w:r>
      <w:r w:rsidR="00AB66FD">
        <w:rPr>
          <w:rFonts w:ascii="Arial" w:eastAsia="SimSun" w:hAnsi="Arial" w:cs="Arial"/>
          <w:color w:val="595959" w:themeColor="text1" w:themeTint="A6"/>
          <w:kern w:val="24"/>
        </w:rPr>
        <w:t>……………………</w:t>
      </w:r>
      <w:r w:rsidR="00BA11D3">
        <w:rPr>
          <w:rFonts w:ascii="Arial" w:eastAsia="SimSun" w:hAnsi="Arial" w:cs="Arial"/>
          <w:color w:val="595959" w:themeColor="text1" w:themeTint="A6"/>
          <w:kern w:val="24"/>
        </w:rPr>
        <w:t>..</w:t>
      </w:r>
      <w:r w:rsidR="00AB66FD">
        <w:rPr>
          <w:rFonts w:ascii="Arial" w:eastAsia="SimSun" w:hAnsi="Arial" w:cs="Arial"/>
          <w:color w:val="595959" w:themeColor="text1" w:themeTint="A6"/>
          <w:kern w:val="24"/>
        </w:rPr>
        <w:t>…-1</w:t>
      </w:r>
      <w:r w:rsidR="009D38EA">
        <w:rPr>
          <w:rFonts w:ascii="Arial" w:eastAsia="SimSun" w:hAnsi="Arial" w:cs="Arial"/>
          <w:color w:val="595959" w:themeColor="text1" w:themeTint="A6"/>
          <w:kern w:val="24"/>
        </w:rPr>
        <w:t>81</w:t>
      </w:r>
      <w:r w:rsidR="00AB66FD">
        <w:rPr>
          <w:rFonts w:ascii="Arial" w:eastAsia="SimSun" w:hAnsi="Arial" w:cs="Arial"/>
          <w:color w:val="595959" w:themeColor="text1" w:themeTint="A6"/>
          <w:kern w:val="24"/>
        </w:rPr>
        <w:t>-</w:t>
      </w:r>
    </w:p>
    <w:p w14:paraId="77220A21" w14:textId="1B045933" w:rsidR="00327453" w:rsidRPr="003D5E91" w:rsidRDefault="00327453" w:rsidP="003D5E91">
      <w:pPr>
        <w:spacing w:line="276" w:lineRule="auto"/>
        <w:jc w:val="both"/>
        <w:rPr>
          <w:rFonts w:ascii="Arial" w:hAnsi="Arial" w:cs="Arial"/>
          <w:i/>
          <w:color w:val="595959" w:themeColor="text1" w:themeTint="A6"/>
        </w:rPr>
      </w:pPr>
      <w:r w:rsidRPr="004336DB">
        <w:rPr>
          <w:rFonts w:ascii="Arial" w:hAnsi="Arial" w:cs="Arial"/>
          <w:b/>
          <w:bCs/>
          <w:color w:val="595959" w:themeColor="text1" w:themeTint="A6"/>
        </w:rPr>
        <w:t xml:space="preserve">Figure </w:t>
      </w:r>
      <w:r w:rsidRPr="004336DB">
        <w:rPr>
          <w:rFonts w:ascii="Arial" w:hAnsi="Arial" w:cs="Arial"/>
          <w:b/>
          <w:bCs/>
          <w:noProof/>
          <w:color w:val="595959" w:themeColor="text1" w:themeTint="A6"/>
        </w:rPr>
        <w:t>4.6</w:t>
      </w:r>
      <w:r w:rsidRPr="003D5E91">
        <w:rPr>
          <w:rFonts w:ascii="Arial" w:hAnsi="Arial" w:cs="Arial"/>
          <w:noProof/>
          <w:color w:val="595959" w:themeColor="text1" w:themeTint="A6"/>
        </w:rPr>
        <w:t xml:space="preserve"> SEM</w:t>
      </w:r>
      <w:r w:rsidRPr="003D5E91">
        <w:rPr>
          <w:rFonts w:ascii="Arial" w:hAnsi="Arial" w:cs="Arial"/>
          <w:color w:val="595959" w:themeColor="text1" w:themeTint="A6"/>
        </w:rPr>
        <w:t xml:space="preserve"> micrographs of oral fibroblast-derived matrices</w:t>
      </w:r>
      <w:r w:rsidR="00BA11D3">
        <w:rPr>
          <w:rFonts w:ascii="Arial" w:hAnsi="Arial" w:cs="Arial"/>
          <w:color w:val="595959" w:themeColor="text1" w:themeTint="A6"/>
        </w:rPr>
        <w:t>……………………………-1</w:t>
      </w:r>
      <w:r w:rsidR="009D38EA">
        <w:rPr>
          <w:rFonts w:ascii="Arial" w:hAnsi="Arial" w:cs="Arial"/>
          <w:color w:val="595959" w:themeColor="text1" w:themeTint="A6"/>
        </w:rPr>
        <w:t>83</w:t>
      </w:r>
      <w:r w:rsidR="00BA11D3">
        <w:rPr>
          <w:rFonts w:ascii="Arial" w:hAnsi="Arial" w:cs="Arial"/>
          <w:color w:val="595959" w:themeColor="text1" w:themeTint="A6"/>
        </w:rPr>
        <w:t>-</w:t>
      </w:r>
    </w:p>
    <w:p w14:paraId="6FEB7DB6" w14:textId="4E26E569" w:rsidR="00327453" w:rsidRPr="003D5E91" w:rsidRDefault="00327453" w:rsidP="003D5E91">
      <w:pPr>
        <w:spacing w:line="276" w:lineRule="auto"/>
        <w:jc w:val="both"/>
        <w:rPr>
          <w:rFonts w:ascii="Arial" w:hAnsi="Arial" w:cs="Arial"/>
          <w:i/>
          <w:color w:val="595959" w:themeColor="text1" w:themeTint="A6"/>
        </w:rPr>
      </w:pPr>
      <w:r w:rsidRPr="004336DB">
        <w:rPr>
          <w:rFonts w:ascii="Arial" w:hAnsi="Arial" w:cs="Arial"/>
          <w:b/>
          <w:bCs/>
          <w:color w:val="595959" w:themeColor="text1" w:themeTint="A6"/>
        </w:rPr>
        <w:t>Figure 4.7</w:t>
      </w:r>
      <w:r w:rsidRPr="003D5E91">
        <w:rPr>
          <w:rFonts w:ascii="Arial" w:hAnsi="Arial" w:cs="Arial"/>
          <w:color w:val="595959" w:themeColor="text1" w:themeTint="A6"/>
        </w:rPr>
        <w:t xml:space="preserve"> αSMA abundance in fibroblast-derived matrices</w:t>
      </w:r>
      <w:r w:rsidR="00BA11D3">
        <w:rPr>
          <w:rFonts w:ascii="Arial" w:hAnsi="Arial" w:cs="Arial"/>
          <w:color w:val="595959" w:themeColor="text1" w:themeTint="A6"/>
        </w:rPr>
        <w:t>………………………………..-1</w:t>
      </w:r>
      <w:r w:rsidR="009D38EA">
        <w:rPr>
          <w:rFonts w:ascii="Arial" w:hAnsi="Arial" w:cs="Arial"/>
          <w:color w:val="595959" w:themeColor="text1" w:themeTint="A6"/>
        </w:rPr>
        <w:t>85</w:t>
      </w:r>
      <w:r w:rsidR="00BA11D3">
        <w:rPr>
          <w:rFonts w:ascii="Arial" w:hAnsi="Arial" w:cs="Arial"/>
          <w:color w:val="595959" w:themeColor="text1" w:themeTint="A6"/>
        </w:rPr>
        <w:t>-</w:t>
      </w:r>
    </w:p>
    <w:p w14:paraId="38429459" w14:textId="1EC03096" w:rsidR="00327453" w:rsidRPr="003D5E91" w:rsidRDefault="00327453" w:rsidP="003D5E91">
      <w:pPr>
        <w:spacing w:line="276" w:lineRule="auto"/>
        <w:jc w:val="both"/>
        <w:rPr>
          <w:rFonts w:ascii="Arial" w:hAnsi="Arial" w:cs="Arial"/>
          <w:i/>
          <w:color w:val="595959" w:themeColor="text1" w:themeTint="A6"/>
        </w:rPr>
      </w:pPr>
      <w:r w:rsidRPr="004336DB">
        <w:rPr>
          <w:rFonts w:ascii="Arial" w:hAnsi="Arial" w:cs="Arial"/>
          <w:b/>
          <w:bCs/>
          <w:color w:val="595959" w:themeColor="text1" w:themeTint="A6"/>
        </w:rPr>
        <w:t>Figure 4.8</w:t>
      </w:r>
      <w:r w:rsidRPr="003D5E91">
        <w:rPr>
          <w:rFonts w:ascii="Arial" w:hAnsi="Arial" w:cs="Arial"/>
          <w:color w:val="595959" w:themeColor="text1" w:themeTint="A6"/>
        </w:rPr>
        <w:t xml:space="preserve"> FN1-EDA abundance in fibroblast-derived matrices</w:t>
      </w:r>
      <w:r w:rsidR="00145D60">
        <w:rPr>
          <w:rFonts w:ascii="Arial" w:hAnsi="Arial" w:cs="Arial"/>
          <w:color w:val="595959" w:themeColor="text1" w:themeTint="A6"/>
        </w:rPr>
        <w:t>…………………………….-18</w:t>
      </w:r>
      <w:r w:rsidR="00EC7E90">
        <w:rPr>
          <w:rFonts w:ascii="Arial" w:hAnsi="Arial" w:cs="Arial"/>
          <w:color w:val="595959" w:themeColor="text1" w:themeTint="A6"/>
        </w:rPr>
        <w:t>6</w:t>
      </w:r>
      <w:r w:rsidR="00145D60">
        <w:rPr>
          <w:rFonts w:ascii="Arial" w:hAnsi="Arial" w:cs="Arial"/>
          <w:color w:val="595959" w:themeColor="text1" w:themeTint="A6"/>
        </w:rPr>
        <w:t>-</w:t>
      </w:r>
    </w:p>
    <w:p w14:paraId="6D41DD17" w14:textId="4E14A7C8" w:rsidR="00327453" w:rsidRPr="003D5E91" w:rsidRDefault="00327453" w:rsidP="003D5E91">
      <w:pPr>
        <w:spacing w:line="276" w:lineRule="auto"/>
        <w:jc w:val="both"/>
        <w:rPr>
          <w:rFonts w:ascii="Arial" w:hAnsi="Arial" w:cs="Arial"/>
          <w:i/>
          <w:color w:val="595959" w:themeColor="text1" w:themeTint="A6"/>
        </w:rPr>
      </w:pPr>
      <w:r w:rsidRPr="004336DB">
        <w:rPr>
          <w:rFonts w:ascii="Arial" w:hAnsi="Arial" w:cs="Arial"/>
          <w:b/>
          <w:bCs/>
          <w:color w:val="595959" w:themeColor="text1" w:themeTint="A6"/>
        </w:rPr>
        <w:t>Figure 4.9</w:t>
      </w:r>
      <w:r w:rsidRPr="003D5E91">
        <w:rPr>
          <w:rFonts w:ascii="Arial" w:hAnsi="Arial" w:cs="Arial"/>
          <w:color w:val="595959" w:themeColor="text1" w:themeTint="A6"/>
        </w:rPr>
        <w:t xml:space="preserve"> VCAN abundance in fibroblast-derived matrices</w:t>
      </w:r>
      <w:r w:rsidR="00145D60">
        <w:rPr>
          <w:rFonts w:ascii="Arial" w:hAnsi="Arial" w:cs="Arial"/>
          <w:color w:val="595959" w:themeColor="text1" w:themeTint="A6"/>
        </w:rPr>
        <w:t>………………………………...-18</w:t>
      </w:r>
      <w:r w:rsidR="00EC7E90">
        <w:rPr>
          <w:rFonts w:ascii="Arial" w:hAnsi="Arial" w:cs="Arial"/>
          <w:color w:val="595959" w:themeColor="text1" w:themeTint="A6"/>
        </w:rPr>
        <w:t>7</w:t>
      </w:r>
      <w:r w:rsidR="00145D60">
        <w:rPr>
          <w:rFonts w:ascii="Arial" w:hAnsi="Arial" w:cs="Arial"/>
          <w:color w:val="595959" w:themeColor="text1" w:themeTint="A6"/>
        </w:rPr>
        <w:t>-</w:t>
      </w:r>
    </w:p>
    <w:p w14:paraId="655AC557" w14:textId="7EB4DC44" w:rsidR="00C409FB" w:rsidRDefault="00327453" w:rsidP="00C409FB">
      <w:pPr>
        <w:spacing w:line="276" w:lineRule="auto"/>
        <w:jc w:val="both"/>
        <w:rPr>
          <w:rFonts w:ascii="Arial" w:hAnsi="Arial" w:cs="Arial"/>
          <w:color w:val="595959" w:themeColor="text1" w:themeTint="A6"/>
        </w:rPr>
      </w:pPr>
      <w:r w:rsidRPr="004336DB">
        <w:rPr>
          <w:rFonts w:ascii="Arial" w:hAnsi="Arial" w:cs="Arial"/>
          <w:b/>
          <w:bCs/>
          <w:color w:val="595959" w:themeColor="text1" w:themeTint="A6"/>
        </w:rPr>
        <w:t>Figure 4.10</w:t>
      </w:r>
      <w:r w:rsidRPr="003D5E91">
        <w:rPr>
          <w:rFonts w:ascii="Arial" w:hAnsi="Arial" w:cs="Arial"/>
          <w:color w:val="595959" w:themeColor="text1" w:themeTint="A6"/>
        </w:rPr>
        <w:t xml:space="preserve"> COL1A1 abundance in fibroblast-derived matrices</w:t>
      </w:r>
      <w:r w:rsidR="00145D60">
        <w:rPr>
          <w:rFonts w:ascii="Arial" w:hAnsi="Arial" w:cs="Arial"/>
          <w:color w:val="595959" w:themeColor="text1" w:themeTint="A6"/>
        </w:rPr>
        <w:t>……………………………-18</w:t>
      </w:r>
      <w:r w:rsidR="00EC7E90">
        <w:rPr>
          <w:rFonts w:ascii="Arial" w:hAnsi="Arial" w:cs="Arial"/>
          <w:color w:val="595959" w:themeColor="text1" w:themeTint="A6"/>
        </w:rPr>
        <w:t>8</w:t>
      </w:r>
      <w:r w:rsidR="00145D60">
        <w:rPr>
          <w:rFonts w:ascii="Arial" w:hAnsi="Arial" w:cs="Arial"/>
          <w:color w:val="595959" w:themeColor="text1" w:themeTint="A6"/>
        </w:rPr>
        <w:t>-</w:t>
      </w:r>
    </w:p>
    <w:p w14:paraId="222A9083" w14:textId="63D949AF" w:rsidR="00C409FB" w:rsidRPr="00C635CA" w:rsidRDefault="003D6CCC" w:rsidP="00C409FB">
      <w:pPr>
        <w:spacing w:line="276" w:lineRule="auto"/>
        <w:jc w:val="both"/>
        <w:rPr>
          <w:rFonts w:ascii="Arial" w:hAnsi="Arial" w:cs="Arial"/>
          <w:bCs/>
          <w:iCs/>
          <w:color w:val="595959" w:themeColor="text1" w:themeTint="A6"/>
        </w:rPr>
      </w:pPr>
      <w:r w:rsidRPr="00C635CA">
        <w:rPr>
          <w:rFonts w:ascii="Arial" w:hAnsi="Arial" w:cs="Arial"/>
          <w:b/>
          <w:iCs/>
          <w:color w:val="595959" w:themeColor="text1" w:themeTint="A6"/>
        </w:rPr>
        <w:t>Figure 4.11</w:t>
      </w:r>
      <w:r w:rsidRPr="00C635CA">
        <w:rPr>
          <w:rFonts w:ascii="Arial" w:hAnsi="Arial" w:cs="Arial"/>
          <w:bCs/>
          <w:iCs/>
          <w:color w:val="595959" w:themeColor="text1" w:themeTint="A6"/>
        </w:rPr>
        <w:t xml:space="preserve"> Analysis of LAMB-5 (γ-2) abundance in fibroblast-derived matrices</w:t>
      </w:r>
      <w:r w:rsidR="00C635CA">
        <w:rPr>
          <w:rFonts w:ascii="Arial" w:hAnsi="Arial" w:cs="Arial"/>
          <w:bCs/>
          <w:iCs/>
          <w:color w:val="595959" w:themeColor="text1" w:themeTint="A6"/>
        </w:rPr>
        <w:t>…………-1</w:t>
      </w:r>
      <w:r w:rsidR="00974842">
        <w:rPr>
          <w:rFonts w:ascii="Arial" w:hAnsi="Arial" w:cs="Arial"/>
          <w:bCs/>
          <w:iCs/>
          <w:color w:val="595959" w:themeColor="text1" w:themeTint="A6"/>
        </w:rPr>
        <w:t>8</w:t>
      </w:r>
      <w:r w:rsidR="00E249DD">
        <w:rPr>
          <w:rFonts w:ascii="Arial" w:hAnsi="Arial" w:cs="Arial"/>
          <w:bCs/>
          <w:iCs/>
          <w:color w:val="595959" w:themeColor="text1" w:themeTint="A6"/>
        </w:rPr>
        <w:t>9</w:t>
      </w:r>
      <w:r w:rsidR="00C635CA">
        <w:rPr>
          <w:rFonts w:ascii="Arial" w:hAnsi="Arial" w:cs="Arial"/>
          <w:bCs/>
          <w:iCs/>
          <w:color w:val="595959" w:themeColor="text1" w:themeTint="A6"/>
        </w:rPr>
        <w:t>-</w:t>
      </w:r>
    </w:p>
    <w:p w14:paraId="18321C70" w14:textId="77777777" w:rsidR="00630389" w:rsidRPr="00C635CA" w:rsidRDefault="003D6CCC" w:rsidP="00C409FB">
      <w:pPr>
        <w:spacing w:line="276" w:lineRule="auto"/>
        <w:jc w:val="both"/>
        <w:rPr>
          <w:rFonts w:ascii="Arial" w:hAnsi="Arial" w:cs="Arial"/>
          <w:bCs/>
          <w:iCs/>
          <w:color w:val="595959" w:themeColor="text1" w:themeTint="A6"/>
        </w:rPr>
      </w:pPr>
      <w:r w:rsidRPr="00C635CA">
        <w:rPr>
          <w:rFonts w:ascii="Arial" w:hAnsi="Arial" w:cs="Arial"/>
          <w:b/>
          <w:iCs/>
          <w:color w:val="595959" w:themeColor="text1" w:themeTint="A6"/>
        </w:rPr>
        <w:t>Figure 4.12</w:t>
      </w:r>
      <w:r w:rsidRPr="00C635CA">
        <w:rPr>
          <w:rFonts w:ascii="Arial" w:hAnsi="Arial" w:cs="Arial"/>
          <w:bCs/>
          <w:iCs/>
          <w:color w:val="595959" w:themeColor="text1" w:themeTint="A6"/>
        </w:rPr>
        <w:t xml:space="preserve"> Automated segmentation and quantification of collagen fibre length, </w:t>
      </w:r>
    </w:p>
    <w:p w14:paraId="64423318" w14:textId="703E285D" w:rsidR="00C409FB" w:rsidRPr="00C635CA" w:rsidRDefault="003D6CCC" w:rsidP="00C409FB">
      <w:pPr>
        <w:spacing w:line="276" w:lineRule="auto"/>
        <w:jc w:val="both"/>
        <w:rPr>
          <w:rFonts w:ascii="Arial" w:hAnsi="Arial" w:cs="Arial"/>
          <w:bCs/>
          <w:iCs/>
          <w:color w:val="595959" w:themeColor="text1" w:themeTint="A6"/>
        </w:rPr>
      </w:pPr>
      <w:r w:rsidRPr="00C635CA">
        <w:rPr>
          <w:rFonts w:ascii="Arial" w:hAnsi="Arial" w:cs="Arial"/>
          <w:bCs/>
          <w:iCs/>
          <w:color w:val="595959" w:themeColor="text1" w:themeTint="A6"/>
        </w:rPr>
        <w:t>alignment and width</w:t>
      </w:r>
      <w:r w:rsidR="00C635CA">
        <w:rPr>
          <w:rFonts w:ascii="Arial" w:hAnsi="Arial" w:cs="Arial"/>
          <w:bCs/>
          <w:iCs/>
          <w:color w:val="595959" w:themeColor="text1" w:themeTint="A6"/>
        </w:rPr>
        <w:t>……………………………………………………………………………</w:t>
      </w:r>
      <w:r w:rsidR="006B3D16">
        <w:rPr>
          <w:rFonts w:ascii="Arial" w:hAnsi="Arial" w:cs="Arial"/>
          <w:bCs/>
          <w:iCs/>
          <w:color w:val="595959" w:themeColor="text1" w:themeTint="A6"/>
        </w:rPr>
        <w:t>...-1</w:t>
      </w:r>
      <w:r w:rsidR="00E249DD">
        <w:rPr>
          <w:rFonts w:ascii="Arial" w:hAnsi="Arial" w:cs="Arial"/>
          <w:bCs/>
          <w:iCs/>
          <w:color w:val="595959" w:themeColor="text1" w:themeTint="A6"/>
        </w:rPr>
        <w:t>91</w:t>
      </w:r>
      <w:r w:rsidR="006B3D16">
        <w:rPr>
          <w:rFonts w:ascii="Arial" w:hAnsi="Arial" w:cs="Arial"/>
          <w:bCs/>
          <w:iCs/>
          <w:color w:val="595959" w:themeColor="text1" w:themeTint="A6"/>
        </w:rPr>
        <w:t>-</w:t>
      </w:r>
    </w:p>
    <w:p w14:paraId="3F8D596A" w14:textId="0F5CC9E4" w:rsidR="00630389" w:rsidRPr="00C635CA" w:rsidRDefault="003D6CCC" w:rsidP="00630389">
      <w:pPr>
        <w:spacing w:line="276" w:lineRule="auto"/>
        <w:jc w:val="both"/>
        <w:rPr>
          <w:rFonts w:ascii="Arial" w:hAnsi="Arial" w:cs="Arial"/>
          <w:bCs/>
          <w:iCs/>
          <w:color w:val="595959" w:themeColor="text1" w:themeTint="A6"/>
        </w:rPr>
      </w:pPr>
      <w:r w:rsidRPr="00C635CA">
        <w:rPr>
          <w:rFonts w:ascii="Arial" w:hAnsi="Arial" w:cs="Arial"/>
          <w:b/>
          <w:iCs/>
          <w:color w:val="595959" w:themeColor="text1" w:themeTint="A6"/>
        </w:rPr>
        <w:t>Figure 4.13</w:t>
      </w:r>
      <w:r w:rsidRPr="00C635CA">
        <w:rPr>
          <w:rFonts w:ascii="Arial" w:hAnsi="Arial" w:cs="Arial"/>
          <w:bCs/>
          <w:iCs/>
          <w:color w:val="595959" w:themeColor="text1" w:themeTint="A6"/>
        </w:rPr>
        <w:t xml:space="preserve"> Mechanical mapping and topography of fibroblast-derived matrix</w:t>
      </w:r>
      <w:r w:rsidR="00721014">
        <w:rPr>
          <w:rFonts w:ascii="Arial" w:hAnsi="Arial" w:cs="Arial"/>
          <w:bCs/>
          <w:iCs/>
          <w:color w:val="595959" w:themeColor="text1" w:themeTint="A6"/>
        </w:rPr>
        <w:t>……………-1</w:t>
      </w:r>
      <w:r w:rsidR="00883C0C">
        <w:rPr>
          <w:rFonts w:ascii="Arial" w:hAnsi="Arial" w:cs="Arial"/>
          <w:bCs/>
          <w:iCs/>
          <w:color w:val="595959" w:themeColor="text1" w:themeTint="A6"/>
        </w:rPr>
        <w:t>93</w:t>
      </w:r>
      <w:r w:rsidR="00721014">
        <w:rPr>
          <w:rFonts w:ascii="Arial" w:hAnsi="Arial" w:cs="Arial"/>
          <w:bCs/>
          <w:iCs/>
          <w:color w:val="595959" w:themeColor="text1" w:themeTint="A6"/>
        </w:rPr>
        <w:t>-</w:t>
      </w:r>
    </w:p>
    <w:p w14:paraId="71FE1122" w14:textId="09A5C5DC" w:rsidR="003D6CCC" w:rsidRPr="00C635CA" w:rsidRDefault="003D6CCC" w:rsidP="00630389">
      <w:pPr>
        <w:spacing w:line="276" w:lineRule="auto"/>
        <w:jc w:val="both"/>
        <w:rPr>
          <w:rFonts w:ascii="Arial" w:hAnsi="Arial" w:cs="Arial"/>
          <w:iCs/>
          <w:color w:val="595959" w:themeColor="text1" w:themeTint="A6"/>
        </w:rPr>
      </w:pPr>
      <w:r w:rsidRPr="00C635CA">
        <w:rPr>
          <w:rFonts w:ascii="Arial" w:hAnsi="Arial" w:cs="Arial"/>
          <w:b/>
          <w:iCs/>
          <w:color w:val="595959" w:themeColor="text1" w:themeTint="A6"/>
        </w:rPr>
        <w:t>Figure 4.14</w:t>
      </w:r>
      <w:r w:rsidRPr="00C635CA">
        <w:rPr>
          <w:rFonts w:ascii="Arial" w:hAnsi="Arial" w:cs="Arial"/>
          <w:bCs/>
          <w:iCs/>
          <w:color w:val="595959" w:themeColor="text1" w:themeTint="A6"/>
        </w:rPr>
        <w:t xml:space="preserve"> MMP-2 and -9 activity in FDM</w:t>
      </w:r>
      <w:r w:rsidR="00721014">
        <w:rPr>
          <w:rFonts w:ascii="Arial" w:hAnsi="Arial" w:cs="Arial"/>
          <w:bCs/>
          <w:iCs/>
          <w:color w:val="595959" w:themeColor="text1" w:themeTint="A6"/>
        </w:rPr>
        <w:t>…………………………………………………….-1</w:t>
      </w:r>
      <w:r w:rsidR="00883C0C">
        <w:rPr>
          <w:rFonts w:ascii="Arial" w:hAnsi="Arial" w:cs="Arial"/>
          <w:bCs/>
          <w:iCs/>
          <w:color w:val="595959" w:themeColor="text1" w:themeTint="A6"/>
        </w:rPr>
        <w:t>94</w:t>
      </w:r>
      <w:r w:rsidR="00721014">
        <w:rPr>
          <w:rFonts w:ascii="Arial" w:hAnsi="Arial" w:cs="Arial"/>
          <w:bCs/>
          <w:iCs/>
          <w:color w:val="595959" w:themeColor="text1" w:themeTint="A6"/>
        </w:rPr>
        <w:t>-</w:t>
      </w:r>
    </w:p>
    <w:p w14:paraId="6210BEC2" w14:textId="058EAF4C" w:rsidR="00630389" w:rsidRDefault="003D6CCC" w:rsidP="003D5E91">
      <w:pPr>
        <w:pStyle w:val="NormalWeb"/>
        <w:spacing w:after="200" w:line="276" w:lineRule="auto"/>
        <w:jc w:val="both"/>
        <w:rPr>
          <w:rFonts w:ascii="Arial" w:eastAsia="SimSun" w:hAnsi="Arial" w:cs="Arial"/>
          <w:bCs/>
          <w:color w:val="595959" w:themeColor="text1" w:themeTint="A6"/>
          <w:kern w:val="24"/>
          <w:sz w:val="22"/>
          <w:szCs w:val="22"/>
        </w:rPr>
      </w:pPr>
      <w:r w:rsidRPr="004336DB">
        <w:rPr>
          <w:rFonts w:ascii="Arial" w:eastAsia="SimSun" w:hAnsi="Arial" w:cs="Arial"/>
          <w:b/>
          <w:color w:val="595959" w:themeColor="text1" w:themeTint="A6"/>
          <w:kern w:val="24"/>
          <w:sz w:val="22"/>
          <w:szCs w:val="22"/>
        </w:rPr>
        <w:t>Figure 4.15</w:t>
      </w:r>
      <w:r w:rsidRPr="003D5E91">
        <w:rPr>
          <w:rFonts w:ascii="Arial" w:eastAsia="SimSun" w:hAnsi="Arial" w:cs="Arial"/>
          <w:bCs/>
          <w:color w:val="595959" w:themeColor="text1" w:themeTint="A6"/>
          <w:kern w:val="24"/>
          <w:sz w:val="22"/>
          <w:szCs w:val="22"/>
        </w:rPr>
        <w:t xml:space="preserve"> αSMA gene expression in NOF- and CAF-DM in response to Scriptaid</w:t>
      </w:r>
    </w:p>
    <w:p w14:paraId="3AE444BB" w14:textId="65BF3408" w:rsidR="003D6CCC" w:rsidRPr="003D5E91" w:rsidRDefault="003D6CCC" w:rsidP="003D5E91">
      <w:pPr>
        <w:pStyle w:val="NormalWeb"/>
        <w:spacing w:after="200" w:line="276" w:lineRule="auto"/>
        <w:jc w:val="both"/>
        <w:rPr>
          <w:rFonts w:ascii="Arial" w:eastAsia="SimSun" w:hAnsi="Arial" w:cs="Arial"/>
          <w:bCs/>
          <w:color w:val="595959" w:themeColor="text1" w:themeTint="A6"/>
          <w:kern w:val="24"/>
          <w:sz w:val="22"/>
          <w:szCs w:val="22"/>
        </w:rPr>
      </w:pPr>
      <w:r w:rsidRPr="003D5E91">
        <w:rPr>
          <w:rFonts w:ascii="Arial" w:eastAsia="SimSun" w:hAnsi="Arial" w:cs="Arial"/>
          <w:bCs/>
          <w:color w:val="595959" w:themeColor="text1" w:themeTint="A6"/>
          <w:kern w:val="24"/>
          <w:sz w:val="22"/>
          <w:szCs w:val="22"/>
        </w:rPr>
        <w:lastRenderedPageBreak/>
        <w:t>and Batimastat treatment with and without TGFβ-1 stimulation</w:t>
      </w:r>
      <w:r w:rsidR="00721014">
        <w:rPr>
          <w:rFonts w:ascii="Arial" w:eastAsia="SimSun" w:hAnsi="Arial" w:cs="Arial"/>
          <w:bCs/>
          <w:color w:val="595959" w:themeColor="text1" w:themeTint="A6"/>
          <w:kern w:val="24"/>
          <w:sz w:val="22"/>
          <w:szCs w:val="22"/>
        </w:rPr>
        <w:t>……………………………</w:t>
      </w:r>
      <w:r w:rsidR="00D20F1C">
        <w:rPr>
          <w:rFonts w:ascii="Arial" w:eastAsia="SimSun" w:hAnsi="Arial" w:cs="Arial"/>
          <w:bCs/>
          <w:color w:val="595959" w:themeColor="text1" w:themeTint="A6"/>
          <w:kern w:val="24"/>
          <w:sz w:val="22"/>
          <w:szCs w:val="22"/>
        </w:rPr>
        <w:t>..-19</w:t>
      </w:r>
      <w:r w:rsidR="005732C1">
        <w:rPr>
          <w:rFonts w:ascii="Arial" w:eastAsia="SimSun" w:hAnsi="Arial" w:cs="Arial"/>
          <w:bCs/>
          <w:color w:val="595959" w:themeColor="text1" w:themeTint="A6"/>
          <w:kern w:val="24"/>
          <w:sz w:val="22"/>
          <w:szCs w:val="22"/>
        </w:rPr>
        <w:t>6</w:t>
      </w:r>
      <w:r w:rsidR="00D20F1C">
        <w:rPr>
          <w:rFonts w:ascii="Arial" w:eastAsia="SimSun" w:hAnsi="Arial" w:cs="Arial"/>
          <w:bCs/>
          <w:color w:val="595959" w:themeColor="text1" w:themeTint="A6"/>
          <w:kern w:val="24"/>
          <w:sz w:val="22"/>
          <w:szCs w:val="22"/>
        </w:rPr>
        <w:t>-</w:t>
      </w:r>
    </w:p>
    <w:p w14:paraId="764CD7B3" w14:textId="77777777" w:rsidR="00946060" w:rsidRDefault="003D6CCC" w:rsidP="003D5E91">
      <w:pPr>
        <w:pStyle w:val="Caption"/>
        <w:keepNext/>
        <w:spacing w:line="276" w:lineRule="auto"/>
        <w:jc w:val="both"/>
        <w:rPr>
          <w:rFonts w:ascii="Arial" w:hAnsi="Arial" w:cs="Arial"/>
          <w:bCs/>
          <w:i w:val="0"/>
          <w:color w:val="595959" w:themeColor="text1" w:themeTint="A6"/>
          <w:sz w:val="22"/>
          <w:szCs w:val="22"/>
          <w:lang w:val="en-GB"/>
        </w:rPr>
      </w:pPr>
      <w:r w:rsidRPr="00BE72AA">
        <w:rPr>
          <w:rFonts w:ascii="Arial" w:hAnsi="Arial" w:cs="Arial"/>
          <w:b/>
          <w:i w:val="0"/>
          <w:color w:val="595959" w:themeColor="text1" w:themeTint="A6"/>
          <w:sz w:val="22"/>
          <w:szCs w:val="22"/>
        </w:rPr>
        <w:t>Figure 4.16</w:t>
      </w:r>
      <w:r w:rsidRPr="003D5E91">
        <w:rPr>
          <w:rFonts w:ascii="Arial" w:hAnsi="Arial" w:cs="Arial"/>
          <w:bCs/>
          <w:i w:val="0"/>
          <w:color w:val="595959" w:themeColor="text1" w:themeTint="A6"/>
          <w:sz w:val="22"/>
          <w:szCs w:val="22"/>
        </w:rPr>
        <w:t xml:space="preserve"> Immunoblotting for αSMA abundance in NOF- and CAF-DM </w:t>
      </w:r>
      <w:r w:rsidRPr="003D5E91">
        <w:rPr>
          <w:rFonts w:ascii="Arial" w:hAnsi="Arial" w:cs="Arial"/>
          <w:bCs/>
          <w:i w:val="0"/>
          <w:color w:val="595959" w:themeColor="text1" w:themeTint="A6"/>
          <w:sz w:val="22"/>
          <w:szCs w:val="22"/>
          <w:lang w:val="en-GB"/>
        </w:rPr>
        <w:t xml:space="preserve">in response </w:t>
      </w:r>
    </w:p>
    <w:p w14:paraId="622D8BAE" w14:textId="60640078" w:rsidR="003D6CCC" w:rsidRPr="003D5E91" w:rsidRDefault="003D6CCC" w:rsidP="003D5E91">
      <w:pPr>
        <w:pStyle w:val="Caption"/>
        <w:keepNext/>
        <w:spacing w:line="276" w:lineRule="auto"/>
        <w:jc w:val="both"/>
        <w:rPr>
          <w:rFonts w:ascii="Arial" w:hAnsi="Arial" w:cs="Arial"/>
          <w:bCs/>
          <w:i w:val="0"/>
          <w:color w:val="595959" w:themeColor="text1" w:themeTint="A6"/>
          <w:sz w:val="22"/>
          <w:szCs w:val="22"/>
        </w:rPr>
      </w:pPr>
      <w:r w:rsidRPr="003D5E91">
        <w:rPr>
          <w:rFonts w:ascii="Arial" w:hAnsi="Arial" w:cs="Arial"/>
          <w:bCs/>
          <w:i w:val="0"/>
          <w:color w:val="595959" w:themeColor="text1" w:themeTint="A6"/>
          <w:sz w:val="22"/>
          <w:szCs w:val="22"/>
          <w:lang w:val="en-GB"/>
        </w:rPr>
        <w:t>to Scriptaid and Batimastat treatment with and without TGFβ-1 stimulation</w:t>
      </w:r>
      <w:r w:rsidR="00D20F1C">
        <w:rPr>
          <w:rFonts w:ascii="Arial" w:hAnsi="Arial" w:cs="Arial"/>
          <w:bCs/>
          <w:i w:val="0"/>
          <w:color w:val="595959" w:themeColor="text1" w:themeTint="A6"/>
          <w:sz w:val="22"/>
          <w:szCs w:val="22"/>
          <w:lang w:val="en-GB"/>
        </w:rPr>
        <w:t>………………</w:t>
      </w:r>
      <w:r w:rsidR="0021233E">
        <w:rPr>
          <w:rFonts w:ascii="Arial" w:hAnsi="Arial" w:cs="Arial"/>
          <w:bCs/>
          <w:i w:val="0"/>
          <w:color w:val="595959" w:themeColor="text1" w:themeTint="A6"/>
          <w:sz w:val="22"/>
          <w:szCs w:val="22"/>
          <w:lang w:val="en-GB"/>
        </w:rPr>
        <w:t>-19</w:t>
      </w:r>
      <w:r w:rsidR="005732C1">
        <w:rPr>
          <w:rFonts w:ascii="Arial" w:hAnsi="Arial" w:cs="Arial"/>
          <w:bCs/>
          <w:i w:val="0"/>
          <w:color w:val="595959" w:themeColor="text1" w:themeTint="A6"/>
          <w:sz w:val="22"/>
          <w:szCs w:val="22"/>
          <w:lang w:val="en-GB"/>
        </w:rPr>
        <w:t>8</w:t>
      </w:r>
      <w:r w:rsidR="0021233E">
        <w:rPr>
          <w:rFonts w:ascii="Arial" w:hAnsi="Arial" w:cs="Arial"/>
          <w:bCs/>
          <w:i w:val="0"/>
          <w:color w:val="595959" w:themeColor="text1" w:themeTint="A6"/>
          <w:sz w:val="22"/>
          <w:szCs w:val="22"/>
          <w:lang w:val="en-GB"/>
        </w:rPr>
        <w:t>-</w:t>
      </w:r>
    </w:p>
    <w:p w14:paraId="125E5307" w14:textId="77777777" w:rsidR="00946060" w:rsidRDefault="003D6CCC" w:rsidP="003D5E91">
      <w:pPr>
        <w:pStyle w:val="NormalWeb"/>
        <w:spacing w:after="200" w:line="276" w:lineRule="auto"/>
        <w:jc w:val="both"/>
        <w:rPr>
          <w:rFonts w:ascii="Arial" w:eastAsia="SimSun" w:hAnsi="Arial" w:cs="Arial"/>
          <w:bCs/>
          <w:color w:val="595959" w:themeColor="text1" w:themeTint="A6"/>
          <w:kern w:val="24"/>
          <w:sz w:val="22"/>
          <w:szCs w:val="22"/>
        </w:rPr>
      </w:pPr>
      <w:r w:rsidRPr="00BE72AA">
        <w:rPr>
          <w:rFonts w:ascii="Arial" w:eastAsia="SimSun" w:hAnsi="Arial" w:cs="Arial"/>
          <w:b/>
          <w:color w:val="595959" w:themeColor="text1" w:themeTint="A6"/>
          <w:kern w:val="24"/>
          <w:sz w:val="22"/>
          <w:szCs w:val="22"/>
        </w:rPr>
        <w:t>Figure 4.17</w:t>
      </w:r>
      <w:r w:rsidRPr="003D5E91">
        <w:rPr>
          <w:rFonts w:ascii="Arial" w:eastAsia="SimSun" w:hAnsi="Arial" w:cs="Arial"/>
          <w:bCs/>
          <w:color w:val="595959" w:themeColor="text1" w:themeTint="A6"/>
          <w:kern w:val="24"/>
          <w:sz w:val="22"/>
          <w:szCs w:val="22"/>
        </w:rPr>
        <w:t xml:space="preserve"> FN1-EDA gene expression in NOF- and CAF-DM in response to Scriptaid </w:t>
      </w:r>
    </w:p>
    <w:p w14:paraId="08547293" w14:textId="3E793CFD" w:rsidR="003D6CCC" w:rsidRPr="003D5E91" w:rsidRDefault="003D6CCC" w:rsidP="003D5E91">
      <w:pPr>
        <w:pStyle w:val="NormalWeb"/>
        <w:spacing w:after="200" w:line="276" w:lineRule="auto"/>
        <w:jc w:val="both"/>
        <w:rPr>
          <w:rFonts w:ascii="Arial" w:eastAsia="SimSun" w:hAnsi="Arial" w:cs="Arial"/>
          <w:bCs/>
          <w:color w:val="595959" w:themeColor="text1" w:themeTint="A6"/>
          <w:kern w:val="24"/>
          <w:sz w:val="22"/>
          <w:szCs w:val="22"/>
        </w:rPr>
      </w:pPr>
      <w:r w:rsidRPr="003D5E91">
        <w:rPr>
          <w:rFonts w:ascii="Arial" w:eastAsia="SimSun" w:hAnsi="Arial" w:cs="Arial"/>
          <w:bCs/>
          <w:color w:val="595959" w:themeColor="text1" w:themeTint="A6"/>
          <w:kern w:val="24"/>
          <w:sz w:val="22"/>
          <w:szCs w:val="22"/>
        </w:rPr>
        <w:t>and Batimastat treatment with and without TGFβ-1 stimulation</w:t>
      </w:r>
      <w:r w:rsidR="0021233E">
        <w:rPr>
          <w:rFonts w:ascii="Arial" w:eastAsia="SimSun" w:hAnsi="Arial" w:cs="Arial"/>
          <w:bCs/>
          <w:color w:val="595959" w:themeColor="text1" w:themeTint="A6"/>
          <w:kern w:val="24"/>
          <w:sz w:val="22"/>
          <w:szCs w:val="22"/>
        </w:rPr>
        <w:t>…………………………….-</w:t>
      </w:r>
      <w:r w:rsidR="005732C1">
        <w:rPr>
          <w:rFonts w:ascii="Arial" w:eastAsia="SimSun" w:hAnsi="Arial" w:cs="Arial"/>
          <w:bCs/>
          <w:color w:val="595959" w:themeColor="text1" w:themeTint="A6"/>
          <w:kern w:val="24"/>
          <w:sz w:val="22"/>
          <w:szCs w:val="22"/>
        </w:rPr>
        <w:t>200</w:t>
      </w:r>
      <w:r w:rsidR="0021233E">
        <w:rPr>
          <w:rFonts w:ascii="Arial" w:eastAsia="SimSun" w:hAnsi="Arial" w:cs="Arial"/>
          <w:bCs/>
          <w:color w:val="595959" w:themeColor="text1" w:themeTint="A6"/>
          <w:kern w:val="24"/>
          <w:sz w:val="22"/>
          <w:szCs w:val="22"/>
        </w:rPr>
        <w:t>-</w:t>
      </w:r>
    </w:p>
    <w:p w14:paraId="68033E59" w14:textId="77777777" w:rsidR="00946060" w:rsidRDefault="003D6CCC" w:rsidP="003D5E91">
      <w:pPr>
        <w:pStyle w:val="Caption"/>
        <w:keepNext/>
        <w:spacing w:line="276" w:lineRule="auto"/>
        <w:jc w:val="both"/>
        <w:rPr>
          <w:rFonts w:ascii="Arial" w:hAnsi="Arial" w:cs="Arial"/>
          <w:bCs/>
          <w:i w:val="0"/>
          <w:color w:val="595959" w:themeColor="text1" w:themeTint="A6"/>
          <w:sz w:val="22"/>
          <w:szCs w:val="22"/>
          <w:lang w:val="en-GB"/>
        </w:rPr>
      </w:pPr>
      <w:r w:rsidRPr="00BE72AA">
        <w:rPr>
          <w:rFonts w:ascii="Arial" w:hAnsi="Arial" w:cs="Arial"/>
          <w:b/>
          <w:i w:val="0"/>
          <w:color w:val="595959" w:themeColor="text1" w:themeTint="A6"/>
          <w:sz w:val="22"/>
          <w:szCs w:val="22"/>
        </w:rPr>
        <w:t>Figure 4.18</w:t>
      </w:r>
      <w:r w:rsidRPr="003D5E91">
        <w:rPr>
          <w:rFonts w:ascii="Arial" w:hAnsi="Arial" w:cs="Arial"/>
          <w:bCs/>
          <w:i w:val="0"/>
          <w:color w:val="595959" w:themeColor="text1" w:themeTint="A6"/>
          <w:sz w:val="22"/>
          <w:szCs w:val="22"/>
        </w:rPr>
        <w:t xml:space="preserve"> Immunoblotting for FN1-EDA abundance in NOF- and CAF-DM </w:t>
      </w:r>
      <w:r w:rsidRPr="003D5E91">
        <w:rPr>
          <w:rFonts w:ascii="Arial" w:hAnsi="Arial" w:cs="Arial"/>
          <w:bCs/>
          <w:i w:val="0"/>
          <w:color w:val="595959" w:themeColor="text1" w:themeTint="A6"/>
          <w:sz w:val="22"/>
          <w:szCs w:val="22"/>
          <w:lang w:val="en-GB"/>
        </w:rPr>
        <w:t xml:space="preserve">in response </w:t>
      </w:r>
    </w:p>
    <w:p w14:paraId="2ABC1525" w14:textId="4555E0B7" w:rsidR="003D6CCC" w:rsidRPr="003D5E91" w:rsidRDefault="003D6CCC" w:rsidP="003D5E91">
      <w:pPr>
        <w:pStyle w:val="Caption"/>
        <w:keepNext/>
        <w:spacing w:line="276" w:lineRule="auto"/>
        <w:jc w:val="both"/>
        <w:rPr>
          <w:rFonts w:ascii="Arial" w:hAnsi="Arial" w:cs="Arial"/>
          <w:bCs/>
          <w:i w:val="0"/>
          <w:color w:val="595959" w:themeColor="text1" w:themeTint="A6"/>
          <w:sz w:val="22"/>
          <w:szCs w:val="22"/>
        </w:rPr>
      </w:pPr>
      <w:r w:rsidRPr="003D5E91">
        <w:rPr>
          <w:rFonts w:ascii="Arial" w:hAnsi="Arial" w:cs="Arial"/>
          <w:bCs/>
          <w:i w:val="0"/>
          <w:color w:val="595959" w:themeColor="text1" w:themeTint="A6"/>
          <w:sz w:val="22"/>
          <w:szCs w:val="22"/>
          <w:lang w:val="en-GB"/>
        </w:rPr>
        <w:t>to Scriptaid and Batimastat treatment with and without TGFβ-1 stimulation</w:t>
      </w:r>
      <w:r w:rsidR="0021233E">
        <w:rPr>
          <w:rFonts w:ascii="Arial" w:hAnsi="Arial" w:cs="Arial"/>
          <w:bCs/>
          <w:i w:val="0"/>
          <w:color w:val="595959" w:themeColor="text1" w:themeTint="A6"/>
          <w:sz w:val="22"/>
          <w:szCs w:val="22"/>
          <w:lang w:val="en-GB"/>
        </w:rPr>
        <w:t>……………….-</w:t>
      </w:r>
      <w:r w:rsidR="005732C1">
        <w:rPr>
          <w:rFonts w:ascii="Arial" w:hAnsi="Arial" w:cs="Arial"/>
          <w:bCs/>
          <w:i w:val="0"/>
          <w:color w:val="595959" w:themeColor="text1" w:themeTint="A6"/>
          <w:sz w:val="22"/>
          <w:szCs w:val="22"/>
          <w:lang w:val="en-GB"/>
        </w:rPr>
        <w:t>202</w:t>
      </w:r>
      <w:r w:rsidR="0021233E">
        <w:rPr>
          <w:rFonts w:ascii="Arial" w:hAnsi="Arial" w:cs="Arial"/>
          <w:bCs/>
          <w:i w:val="0"/>
          <w:color w:val="595959" w:themeColor="text1" w:themeTint="A6"/>
          <w:sz w:val="22"/>
          <w:szCs w:val="22"/>
          <w:lang w:val="en-GB"/>
        </w:rPr>
        <w:t>-</w:t>
      </w:r>
    </w:p>
    <w:p w14:paraId="7125D7B4" w14:textId="77777777" w:rsidR="00946060" w:rsidRDefault="003D6CCC" w:rsidP="003D5E91">
      <w:pPr>
        <w:pStyle w:val="NormalWeb"/>
        <w:spacing w:after="200" w:line="276" w:lineRule="auto"/>
        <w:jc w:val="both"/>
        <w:rPr>
          <w:rFonts w:ascii="Arial" w:eastAsia="SimSun" w:hAnsi="Arial" w:cs="Arial"/>
          <w:bCs/>
          <w:color w:val="595959" w:themeColor="text1" w:themeTint="A6"/>
          <w:kern w:val="24"/>
          <w:sz w:val="22"/>
          <w:szCs w:val="22"/>
        </w:rPr>
      </w:pPr>
      <w:r w:rsidRPr="00BE72AA">
        <w:rPr>
          <w:rFonts w:ascii="Arial" w:eastAsia="SimSun" w:hAnsi="Arial" w:cs="Arial"/>
          <w:b/>
          <w:color w:val="595959" w:themeColor="text1" w:themeTint="A6"/>
          <w:kern w:val="24"/>
          <w:sz w:val="22"/>
          <w:szCs w:val="22"/>
        </w:rPr>
        <w:t>Figure 4.19</w:t>
      </w:r>
      <w:r w:rsidRPr="003D5E91">
        <w:rPr>
          <w:rFonts w:ascii="Arial" w:eastAsia="SimSun" w:hAnsi="Arial" w:cs="Arial"/>
          <w:bCs/>
          <w:color w:val="595959" w:themeColor="text1" w:themeTint="A6"/>
          <w:kern w:val="24"/>
          <w:sz w:val="22"/>
          <w:szCs w:val="22"/>
        </w:rPr>
        <w:t xml:space="preserve"> COL1A1 gene expression in NOF- and CAF-DM in response to Scriptaid </w:t>
      </w:r>
    </w:p>
    <w:p w14:paraId="0C83F892" w14:textId="699AED14" w:rsidR="003D6CCC" w:rsidRPr="003D5E91" w:rsidRDefault="003D6CCC" w:rsidP="003D5E91">
      <w:pPr>
        <w:pStyle w:val="NormalWeb"/>
        <w:spacing w:after="200" w:line="276" w:lineRule="auto"/>
        <w:jc w:val="both"/>
        <w:rPr>
          <w:rFonts w:ascii="Arial" w:eastAsia="SimSun" w:hAnsi="Arial" w:cs="Arial"/>
          <w:bCs/>
          <w:color w:val="595959" w:themeColor="text1" w:themeTint="A6"/>
          <w:kern w:val="24"/>
          <w:sz w:val="22"/>
          <w:szCs w:val="22"/>
        </w:rPr>
      </w:pPr>
      <w:r w:rsidRPr="003D5E91">
        <w:rPr>
          <w:rFonts w:ascii="Arial" w:eastAsia="SimSun" w:hAnsi="Arial" w:cs="Arial"/>
          <w:bCs/>
          <w:color w:val="595959" w:themeColor="text1" w:themeTint="A6"/>
          <w:kern w:val="24"/>
          <w:sz w:val="22"/>
          <w:szCs w:val="22"/>
        </w:rPr>
        <w:t>and Batimastat treatment with and without TGFβ-1 stimulation</w:t>
      </w:r>
      <w:r w:rsidR="0021233E">
        <w:rPr>
          <w:rFonts w:ascii="Arial" w:eastAsia="SimSun" w:hAnsi="Arial" w:cs="Arial"/>
          <w:bCs/>
          <w:color w:val="595959" w:themeColor="text1" w:themeTint="A6"/>
          <w:kern w:val="24"/>
          <w:sz w:val="22"/>
          <w:szCs w:val="22"/>
        </w:rPr>
        <w:t>……………………………..</w:t>
      </w:r>
      <w:r w:rsidR="00C926B3">
        <w:rPr>
          <w:rFonts w:ascii="Arial" w:eastAsia="SimSun" w:hAnsi="Arial" w:cs="Arial"/>
          <w:bCs/>
          <w:color w:val="595959" w:themeColor="text1" w:themeTint="A6"/>
          <w:kern w:val="24"/>
          <w:sz w:val="22"/>
          <w:szCs w:val="22"/>
        </w:rPr>
        <w:t>-20</w:t>
      </w:r>
      <w:r w:rsidR="005732C1">
        <w:rPr>
          <w:rFonts w:ascii="Arial" w:eastAsia="SimSun" w:hAnsi="Arial" w:cs="Arial"/>
          <w:bCs/>
          <w:color w:val="595959" w:themeColor="text1" w:themeTint="A6"/>
          <w:kern w:val="24"/>
          <w:sz w:val="22"/>
          <w:szCs w:val="22"/>
        </w:rPr>
        <w:t>4</w:t>
      </w:r>
      <w:r w:rsidR="00C926B3">
        <w:rPr>
          <w:rFonts w:ascii="Arial" w:eastAsia="SimSun" w:hAnsi="Arial" w:cs="Arial"/>
          <w:bCs/>
          <w:color w:val="595959" w:themeColor="text1" w:themeTint="A6"/>
          <w:kern w:val="24"/>
          <w:sz w:val="22"/>
          <w:szCs w:val="22"/>
        </w:rPr>
        <w:t>-</w:t>
      </w:r>
    </w:p>
    <w:p w14:paraId="2B7DDFD3" w14:textId="77777777" w:rsidR="00946060" w:rsidRDefault="003D6CCC" w:rsidP="003D5E91">
      <w:pPr>
        <w:pStyle w:val="Caption"/>
        <w:keepNext/>
        <w:spacing w:line="276" w:lineRule="auto"/>
        <w:jc w:val="both"/>
        <w:rPr>
          <w:rFonts w:ascii="Arial" w:hAnsi="Arial" w:cs="Arial"/>
          <w:bCs/>
          <w:i w:val="0"/>
          <w:color w:val="595959" w:themeColor="text1" w:themeTint="A6"/>
          <w:sz w:val="22"/>
          <w:szCs w:val="22"/>
          <w:lang w:val="en-GB"/>
        </w:rPr>
      </w:pPr>
      <w:r w:rsidRPr="00BE72AA">
        <w:rPr>
          <w:rFonts w:ascii="Arial" w:hAnsi="Arial" w:cs="Arial"/>
          <w:b/>
          <w:i w:val="0"/>
          <w:color w:val="595959" w:themeColor="text1" w:themeTint="A6"/>
          <w:sz w:val="22"/>
          <w:szCs w:val="22"/>
        </w:rPr>
        <w:t>Figure 4.20</w:t>
      </w:r>
      <w:r w:rsidRPr="003D5E91">
        <w:rPr>
          <w:rFonts w:ascii="Arial" w:hAnsi="Arial" w:cs="Arial"/>
          <w:bCs/>
          <w:i w:val="0"/>
          <w:color w:val="595959" w:themeColor="text1" w:themeTint="A6"/>
          <w:sz w:val="22"/>
          <w:szCs w:val="22"/>
        </w:rPr>
        <w:t xml:space="preserve"> Immunoblotting for COL1A1 abundance in NOF- and CAF-DM </w:t>
      </w:r>
      <w:r w:rsidRPr="003D5E91">
        <w:rPr>
          <w:rFonts w:ascii="Arial" w:hAnsi="Arial" w:cs="Arial"/>
          <w:bCs/>
          <w:i w:val="0"/>
          <w:color w:val="595959" w:themeColor="text1" w:themeTint="A6"/>
          <w:sz w:val="22"/>
          <w:szCs w:val="22"/>
          <w:lang w:val="en-GB"/>
        </w:rPr>
        <w:t xml:space="preserve">in response </w:t>
      </w:r>
    </w:p>
    <w:p w14:paraId="3DE3C17F" w14:textId="6E5FC586" w:rsidR="003D6CCC" w:rsidRPr="003D5E91" w:rsidRDefault="003D6CCC" w:rsidP="003D5E91">
      <w:pPr>
        <w:pStyle w:val="Caption"/>
        <w:keepNext/>
        <w:spacing w:line="276" w:lineRule="auto"/>
        <w:jc w:val="both"/>
        <w:rPr>
          <w:rFonts w:ascii="Arial" w:hAnsi="Arial" w:cs="Arial"/>
          <w:bCs/>
          <w:i w:val="0"/>
          <w:color w:val="595959" w:themeColor="text1" w:themeTint="A6"/>
          <w:sz w:val="22"/>
          <w:szCs w:val="22"/>
        </w:rPr>
      </w:pPr>
      <w:r w:rsidRPr="003D5E91">
        <w:rPr>
          <w:rFonts w:ascii="Arial" w:hAnsi="Arial" w:cs="Arial"/>
          <w:bCs/>
          <w:i w:val="0"/>
          <w:color w:val="595959" w:themeColor="text1" w:themeTint="A6"/>
          <w:sz w:val="22"/>
          <w:szCs w:val="22"/>
          <w:lang w:val="en-GB"/>
        </w:rPr>
        <w:t>to Scriptaid and Batimastat treatment with and without TGFβ-1 stimulation</w:t>
      </w:r>
      <w:r w:rsidR="00C926B3">
        <w:rPr>
          <w:rFonts w:ascii="Arial" w:hAnsi="Arial" w:cs="Arial"/>
          <w:bCs/>
          <w:i w:val="0"/>
          <w:color w:val="595959" w:themeColor="text1" w:themeTint="A6"/>
          <w:sz w:val="22"/>
          <w:szCs w:val="22"/>
          <w:lang w:val="en-GB"/>
        </w:rPr>
        <w:t>………………</w:t>
      </w:r>
      <w:r w:rsidR="00413BA5">
        <w:rPr>
          <w:rFonts w:ascii="Arial" w:hAnsi="Arial" w:cs="Arial"/>
          <w:bCs/>
          <w:i w:val="0"/>
          <w:color w:val="595959" w:themeColor="text1" w:themeTint="A6"/>
          <w:sz w:val="22"/>
          <w:szCs w:val="22"/>
          <w:lang w:val="en-GB"/>
        </w:rPr>
        <w:t>..</w:t>
      </w:r>
      <w:r w:rsidR="00C926B3">
        <w:rPr>
          <w:rFonts w:ascii="Arial" w:hAnsi="Arial" w:cs="Arial"/>
          <w:bCs/>
          <w:i w:val="0"/>
          <w:color w:val="595959" w:themeColor="text1" w:themeTint="A6"/>
          <w:sz w:val="22"/>
          <w:szCs w:val="22"/>
          <w:lang w:val="en-GB"/>
        </w:rPr>
        <w:t>-20</w:t>
      </w:r>
      <w:r w:rsidR="005732C1">
        <w:rPr>
          <w:rFonts w:ascii="Arial" w:hAnsi="Arial" w:cs="Arial"/>
          <w:bCs/>
          <w:i w:val="0"/>
          <w:color w:val="595959" w:themeColor="text1" w:themeTint="A6"/>
          <w:sz w:val="22"/>
          <w:szCs w:val="22"/>
          <w:lang w:val="en-GB"/>
        </w:rPr>
        <w:t>6</w:t>
      </w:r>
      <w:r w:rsidR="00C926B3">
        <w:rPr>
          <w:rFonts w:ascii="Arial" w:hAnsi="Arial" w:cs="Arial"/>
          <w:bCs/>
          <w:i w:val="0"/>
          <w:color w:val="595959" w:themeColor="text1" w:themeTint="A6"/>
          <w:sz w:val="22"/>
          <w:szCs w:val="22"/>
          <w:lang w:val="en-GB"/>
        </w:rPr>
        <w:t>-</w:t>
      </w:r>
      <w:r w:rsidRPr="003D5E91">
        <w:rPr>
          <w:rFonts w:ascii="Arial" w:hAnsi="Arial" w:cs="Arial"/>
          <w:bCs/>
          <w:i w:val="0"/>
          <w:color w:val="595959" w:themeColor="text1" w:themeTint="A6"/>
          <w:sz w:val="22"/>
          <w:szCs w:val="22"/>
          <w:lang w:val="en-GB"/>
        </w:rPr>
        <w:t xml:space="preserve"> </w:t>
      </w:r>
    </w:p>
    <w:p w14:paraId="7B79FE9C" w14:textId="7EF2FE9F" w:rsidR="00384956" w:rsidRPr="003D5E91" w:rsidRDefault="00384956" w:rsidP="003D5E91">
      <w:pPr>
        <w:spacing w:line="276" w:lineRule="auto"/>
        <w:jc w:val="both"/>
        <w:rPr>
          <w:rFonts w:ascii="Arial" w:hAnsi="Arial" w:cs="Arial"/>
          <w:bCs/>
          <w:i/>
          <w:color w:val="595959" w:themeColor="text1" w:themeTint="A6"/>
        </w:rPr>
      </w:pPr>
      <w:r w:rsidRPr="00BE72AA">
        <w:rPr>
          <w:rFonts w:ascii="Arial" w:hAnsi="Arial" w:cs="Arial"/>
          <w:b/>
          <w:color w:val="595959" w:themeColor="text1" w:themeTint="A6"/>
        </w:rPr>
        <w:t>Figure 5.1</w:t>
      </w:r>
      <w:r w:rsidRPr="003D5E91">
        <w:rPr>
          <w:rFonts w:ascii="Arial" w:hAnsi="Arial" w:cs="Arial"/>
          <w:bCs/>
          <w:color w:val="595959" w:themeColor="text1" w:themeTint="A6"/>
        </w:rPr>
        <w:t xml:space="preserve"> Schematic of materials and methods used in this chapter</w:t>
      </w:r>
      <w:r w:rsidR="00C926B3">
        <w:rPr>
          <w:rFonts w:ascii="Arial" w:hAnsi="Arial" w:cs="Arial"/>
          <w:bCs/>
          <w:color w:val="595959" w:themeColor="text1" w:themeTint="A6"/>
        </w:rPr>
        <w:t>……………………</w:t>
      </w:r>
      <w:r w:rsidR="00413BA5">
        <w:rPr>
          <w:rFonts w:ascii="Arial" w:hAnsi="Arial" w:cs="Arial"/>
          <w:bCs/>
          <w:color w:val="595959" w:themeColor="text1" w:themeTint="A6"/>
        </w:rPr>
        <w:t>…</w:t>
      </w:r>
      <w:r w:rsidR="00C926B3">
        <w:rPr>
          <w:rFonts w:ascii="Arial" w:hAnsi="Arial" w:cs="Arial"/>
          <w:bCs/>
          <w:color w:val="595959" w:themeColor="text1" w:themeTint="A6"/>
        </w:rPr>
        <w:t>-21</w:t>
      </w:r>
      <w:r w:rsidR="0024270B">
        <w:rPr>
          <w:rFonts w:ascii="Arial" w:hAnsi="Arial" w:cs="Arial"/>
          <w:bCs/>
          <w:color w:val="595959" w:themeColor="text1" w:themeTint="A6"/>
        </w:rPr>
        <w:t>9</w:t>
      </w:r>
      <w:r w:rsidR="00C926B3">
        <w:rPr>
          <w:rFonts w:ascii="Arial" w:hAnsi="Arial" w:cs="Arial"/>
          <w:bCs/>
          <w:color w:val="595959" w:themeColor="text1" w:themeTint="A6"/>
        </w:rPr>
        <w:t>-</w:t>
      </w:r>
    </w:p>
    <w:p w14:paraId="1229A800" w14:textId="3E64A9D5" w:rsidR="00384956" w:rsidRPr="003D5E91" w:rsidRDefault="00384956" w:rsidP="003D5E91">
      <w:pPr>
        <w:spacing w:line="276" w:lineRule="auto"/>
        <w:jc w:val="both"/>
        <w:rPr>
          <w:rFonts w:ascii="Arial" w:hAnsi="Arial" w:cs="Arial"/>
          <w:bCs/>
          <w:color w:val="595959" w:themeColor="text1" w:themeTint="A6"/>
        </w:rPr>
      </w:pPr>
      <w:r w:rsidRPr="00BE72AA">
        <w:rPr>
          <w:rFonts w:ascii="Arial" w:hAnsi="Arial" w:cs="Arial"/>
          <w:b/>
          <w:color w:val="595959" w:themeColor="text1" w:themeTint="A6"/>
        </w:rPr>
        <w:t>Figure 5.2</w:t>
      </w:r>
      <w:r w:rsidRPr="003D5E91">
        <w:rPr>
          <w:rFonts w:ascii="Arial" w:hAnsi="Arial" w:cs="Arial"/>
          <w:bCs/>
          <w:color w:val="595959" w:themeColor="text1" w:themeTint="A6"/>
        </w:rPr>
        <w:t xml:space="preserve"> Keratinocyte adhesion onto NOF- and CAF-derived matrices</w:t>
      </w:r>
      <w:r w:rsidR="00413BA5">
        <w:rPr>
          <w:rFonts w:ascii="Arial" w:hAnsi="Arial" w:cs="Arial"/>
          <w:bCs/>
          <w:color w:val="595959" w:themeColor="text1" w:themeTint="A6"/>
        </w:rPr>
        <w:t>………………….-2</w:t>
      </w:r>
      <w:r w:rsidR="0024270B">
        <w:rPr>
          <w:rFonts w:ascii="Arial" w:hAnsi="Arial" w:cs="Arial"/>
          <w:bCs/>
          <w:color w:val="595959" w:themeColor="text1" w:themeTint="A6"/>
        </w:rPr>
        <w:t>21</w:t>
      </w:r>
      <w:r w:rsidR="00413BA5">
        <w:rPr>
          <w:rFonts w:ascii="Arial" w:hAnsi="Arial" w:cs="Arial"/>
          <w:bCs/>
          <w:color w:val="595959" w:themeColor="text1" w:themeTint="A6"/>
        </w:rPr>
        <w:t>-</w:t>
      </w:r>
    </w:p>
    <w:p w14:paraId="07FEA8EA" w14:textId="77777777" w:rsidR="00946060" w:rsidRDefault="00384956" w:rsidP="003D5E91">
      <w:pPr>
        <w:spacing w:line="276" w:lineRule="auto"/>
        <w:jc w:val="both"/>
        <w:rPr>
          <w:rFonts w:ascii="Arial" w:eastAsia="SimSun" w:hAnsi="Arial" w:cs="Arial"/>
          <w:bCs/>
          <w:color w:val="595959" w:themeColor="text1" w:themeTint="A6"/>
          <w:kern w:val="24"/>
        </w:rPr>
      </w:pPr>
      <w:r w:rsidRPr="00BE72AA">
        <w:rPr>
          <w:rFonts w:ascii="Arial" w:eastAsia="SimSun" w:hAnsi="Arial" w:cs="Arial"/>
          <w:b/>
          <w:color w:val="595959" w:themeColor="text1" w:themeTint="A6"/>
          <w:kern w:val="24"/>
        </w:rPr>
        <w:t>Figure 5.3</w:t>
      </w:r>
      <w:r w:rsidRPr="003D5E91">
        <w:rPr>
          <w:rFonts w:ascii="Arial" w:eastAsia="SimSun" w:hAnsi="Arial" w:cs="Arial"/>
          <w:bCs/>
          <w:color w:val="595959" w:themeColor="text1" w:themeTint="A6"/>
          <w:kern w:val="24"/>
        </w:rPr>
        <w:t xml:space="preserve"> Assessment of the proliferation of H357 and FNB6 cells on NOF- and </w:t>
      </w:r>
    </w:p>
    <w:p w14:paraId="631ECF41" w14:textId="08A4D9E3" w:rsidR="00384956" w:rsidRPr="003D5E91" w:rsidRDefault="00384956" w:rsidP="003D5E91">
      <w:pPr>
        <w:spacing w:line="276" w:lineRule="auto"/>
        <w:jc w:val="both"/>
        <w:rPr>
          <w:rFonts w:ascii="Arial" w:hAnsi="Arial" w:cs="Arial"/>
          <w:bCs/>
          <w:color w:val="595959" w:themeColor="text1" w:themeTint="A6"/>
        </w:rPr>
      </w:pPr>
      <w:r w:rsidRPr="003D5E91">
        <w:rPr>
          <w:rFonts w:ascii="Arial" w:eastAsia="SimSun" w:hAnsi="Arial" w:cs="Arial"/>
          <w:bCs/>
          <w:color w:val="595959" w:themeColor="text1" w:themeTint="A6"/>
          <w:kern w:val="24"/>
        </w:rPr>
        <w:t>CAF-DM</w:t>
      </w:r>
      <w:r w:rsidR="00413BA5">
        <w:rPr>
          <w:rFonts w:ascii="Arial" w:eastAsia="SimSun" w:hAnsi="Arial" w:cs="Arial"/>
          <w:bCs/>
          <w:color w:val="595959" w:themeColor="text1" w:themeTint="A6"/>
          <w:kern w:val="24"/>
        </w:rPr>
        <w:t>…………………………………………………………………………………………</w:t>
      </w:r>
      <w:r w:rsidR="00BC75BC">
        <w:rPr>
          <w:rFonts w:ascii="Arial" w:eastAsia="SimSun" w:hAnsi="Arial" w:cs="Arial"/>
          <w:bCs/>
          <w:color w:val="595959" w:themeColor="text1" w:themeTint="A6"/>
          <w:kern w:val="24"/>
        </w:rPr>
        <w:t>..</w:t>
      </w:r>
      <w:r w:rsidR="00413BA5">
        <w:rPr>
          <w:rFonts w:ascii="Arial" w:eastAsia="SimSun" w:hAnsi="Arial" w:cs="Arial"/>
          <w:bCs/>
          <w:color w:val="595959" w:themeColor="text1" w:themeTint="A6"/>
          <w:kern w:val="24"/>
        </w:rPr>
        <w:t>-</w:t>
      </w:r>
      <w:r w:rsidR="00BC75BC">
        <w:rPr>
          <w:rFonts w:ascii="Arial" w:eastAsia="SimSun" w:hAnsi="Arial" w:cs="Arial"/>
          <w:bCs/>
          <w:color w:val="595959" w:themeColor="text1" w:themeTint="A6"/>
          <w:kern w:val="24"/>
        </w:rPr>
        <w:t>2</w:t>
      </w:r>
      <w:r w:rsidR="00825FC9">
        <w:rPr>
          <w:rFonts w:ascii="Arial" w:eastAsia="SimSun" w:hAnsi="Arial" w:cs="Arial"/>
          <w:bCs/>
          <w:color w:val="595959" w:themeColor="text1" w:themeTint="A6"/>
          <w:kern w:val="24"/>
        </w:rPr>
        <w:t>22</w:t>
      </w:r>
      <w:r w:rsidR="00BC75BC">
        <w:rPr>
          <w:rFonts w:ascii="Arial" w:eastAsia="SimSun" w:hAnsi="Arial" w:cs="Arial"/>
          <w:bCs/>
          <w:color w:val="595959" w:themeColor="text1" w:themeTint="A6"/>
          <w:kern w:val="24"/>
        </w:rPr>
        <w:t>-</w:t>
      </w:r>
    </w:p>
    <w:p w14:paraId="3001E6DA" w14:textId="3CCD1BCB" w:rsidR="00384956" w:rsidRPr="003D5E91" w:rsidRDefault="00384956" w:rsidP="003D5E91">
      <w:pPr>
        <w:spacing w:line="276" w:lineRule="auto"/>
        <w:jc w:val="both"/>
        <w:rPr>
          <w:rFonts w:ascii="Arial" w:hAnsi="Arial" w:cs="Arial"/>
          <w:bCs/>
          <w:i/>
          <w:color w:val="595959" w:themeColor="text1" w:themeTint="A6"/>
        </w:rPr>
      </w:pPr>
      <w:r w:rsidRPr="00BE72AA">
        <w:rPr>
          <w:rFonts w:ascii="Arial" w:hAnsi="Arial" w:cs="Arial"/>
          <w:b/>
          <w:color w:val="595959" w:themeColor="text1" w:themeTint="A6"/>
        </w:rPr>
        <w:t>Figure 5.4</w:t>
      </w:r>
      <w:r w:rsidRPr="003D5E91">
        <w:rPr>
          <w:rFonts w:ascii="Arial" w:hAnsi="Arial" w:cs="Arial"/>
          <w:bCs/>
          <w:color w:val="595959" w:themeColor="text1" w:themeTint="A6"/>
        </w:rPr>
        <w:t xml:space="preserve"> Rose plots of keratinocyte cell trajectories on NOF- and CAF-DM</w:t>
      </w:r>
      <w:r w:rsidR="00BC75BC">
        <w:rPr>
          <w:rFonts w:ascii="Arial" w:hAnsi="Arial" w:cs="Arial"/>
          <w:bCs/>
          <w:color w:val="595959" w:themeColor="text1" w:themeTint="A6"/>
        </w:rPr>
        <w:t>……………..-2</w:t>
      </w:r>
      <w:r w:rsidR="00825FC9">
        <w:rPr>
          <w:rFonts w:ascii="Arial" w:hAnsi="Arial" w:cs="Arial"/>
          <w:bCs/>
          <w:color w:val="595959" w:themeColor="text1" w:themeTint="A6"/>
        </w:rPr>
        <w:t>23</w:t>
      </w:r>
      <w:r w:rsidR="00BC75BC">
        <w:rPr>
          <w:rFonts w:ascii="Arial" w:hAnsi="Arial" w:cs="Arial"/>
          <w:bCs/>
          <w:color w:val="595959" w:themeColor="text1" w:themeTint="A6"/>
        </w:rPr>
        <w:t>-</w:t>
      </w:r>
    </w:p>
    <w:p w14:paraId="540204CC" w14:textId="3221720C" w:rsidR="00384956" w:rsidRPr="003D5E91" w:rsidRDefault="00384956" w:rsidP="003D5E91">
      <w:pPr>
        <w:spacing w:line="276" w:lineRule="auto"/>
        <w:jc w:val="both"/>
        <w:rPr>
          <w:rFonts w:ascii="Arial" w:hAnsi="Arial" w:cs="Arial"/>
          <w:bCs/>
          <w:i/>
          <w:color w:val="595959" w:themeColor="text1" w:themeTint="A6"/>
        </w:rPr>
      </w:pPr>
      <w:r w:rsidRPr="00BE72AA">
        <w:rPr>
          <w:rFonts w:ascii="Arial" w:hAnsi="Arial" w:cs="Arial"/>
          <w:b/>
          <w:color w:val="595959" w:themeColor="text1" w:themeTint="A6"/>
        </w:rPr>
        <w:t>Figure 5.5</w:t>
      </w:r>
      <w:r w:rsidRPr="003D5E91">
        <w:rPr>
          <w:rFonts w:ascii="Arial" w:hAnsi="Arial" w:cs="Arial"/>
          <w:bCs/>
          <w:color w:val="595959" w:themeColor="text1" w:themeTint="A6"/>
        </w:rPr>
        <w:t xml:space="preserve"> Keratinocyte cell </w:t>
      </w:r>
      <w:r w:rsidR="000645C1" w:rsidRPr="003D5E91">
        <w:rPr>
          <w:rFonts w:ascii="Arial" w:hAnsi="Arial" w:cs="Arial"/>
          <w:bCs/>
          <w:color w:val="595959" w:themeColor="text1" w:themeTint="A6"/>
        </w:rPr>
        <w:t>behaviour</w:t>
      </w:r>
      <w:r w:rsidRPr="003D5E91">
        <w:rPr>
          <w:rFonts w:ascii="Arial" w:hAnsi="Arial" w:cs="Arial"/>
          <w:bCs/>
          <w:color w:val="595959" w:themeColor="text1" w:themeTint="A6"/>
        </w:rPr>
        <w:t xml:space="preserve"> on NOF- and CAF-DM</w:t>
      </w:r>
      <w:r w:rsidR="000645C1">
        <w:rPr>
          <w:rFonts w:ascii="Arial" w:hAnsi="Arial" w:cs="Arial"/>
          <w:bCs/>
          <w:color w:val="595959" w:themeColor="text1" w:themeTint="A6"/>
        </w:rPr>
        <w:t>……………………………..-22</w:t>
      </w:r>
      <w:r w:rsidR="00825FC9">
        <w:rPr>
          <w:rFonts w:ascii="Arial" w:hAnsi="Arial" w:cs="Arial"/>
          <w:bCs/>
          <w:color w:val="595959" w:themeColor="text1" w:themeTint="A6"/>
        </w:rPr>
        <w:t>5</w:t>
      </w:r>
      <w:r w:rsidR="000645C1">
        <w:rPr>
          <w:rFonts w:ascii="Arial" w:hAnsi="Arial" w:cs="Arial"/>
          <w:bCs/>
          <w:color w:val="595959" w:themeColor="text1" w:themeTint="A6"/>
        </w:rPr>
        <w:t>-</w:t>
      </w:r>
      <w:r w:rsidRPr="003D5E91">
        <w:rPr>
          <w:rFonts w:ascii="Arial" w:hAnsi="Arial" w:cs="Arial"/>
          <w:bCs/>
          <w:color w:val="595959" w:themeColor="text1" w:themeTint="A6"/>
        </w:rPr>
        <w:t xml:space="preserve"> </w:t>
      </w:r>
    </w:p>
    <w:p w14:paraId="6C7EEA83" w14:textId="383ABD68" w:rsidR="00384956" w:rsidRPr="000645C1" w:rsidRDefault="00384956" w:rsidP="003D5E91">
      <w:pPr>
        <w:spacing w:line="276" w:lineRule="auto"/>
        <w:jc w:val="both"/>
        <w:rPr>
          <w:rFonts w:ascii="Arial" w:hAnsi="Arial" w:cs="Arial"/>
          <w:bCs/>
          <w:iCs/>
          <w:color w:val="595959" w:themeColor="text1" w:themeTint="A6"/>
        </w:rPr>
      </w:pPr>
      <w:r w:rsidRPr="00BE72AA">
        <w:rPr>
          <w:rFonts w:ascii="Arial" w:eastAsia="SimSun" w:hAnsi="Arial" w:cs="Arial"/>
          <w:b/>
          <w:color w:val="595959" w:themeColor="text1" w:themeTint="A6"/>
          <w:kern w:val="24"/>
        </w:rPr>
        <w:t>Figure 5.6</w:t>
      </w:r>
      <w:r w:rsidRPr="003D5E91">
        <w:rPr>
          <w:rFonts w:ascii="Arial" w:eastAsia="SimSun" w:hAnsi="Arial" w:cs="Arial"/>
          <w:bCs/>
          <w:color w:val="595959" w:themeColor="text1" w:themeTint="A6"/>
          <w:kern w:val="24"/>
        </w:rPr>
        <w:t xml:space="preserve"> Analysis of tissue-engineered oral mucosa model metabolism </w:t>
      </w:r>
      <w:r w:rsidRPr="003D5E91">
        <w:rPr>
          <w:rFonts w:ascii="Arial" w:eastAsia="SimSun" w:hAnsi="Arial" w:cs="Arial"/>
          <w:bCs/>
          <w:i/>
          <w:color w:val="595959" w:themeColor="text1" w:themeTint="A6"/>
          <w:kern w:val="24"/>
        </w:rPr>
        <w:t>in vitro</w:t>
      </w:r>
      <w:r w:rsidR="000645C1">
        <w:rPr>
          <w:rFonts w:ascii="Arial" w:eastAsia="SimSun" w:hAnsi="Arial" w:cs="Arial"/>
          <w:bCs/>
          <w:iCs/>
          <w:color w:val="595959" w:themeColor="text1" w:themeTint="A6"/>
          <w:kern w:val="24"/>
        </w:rPr>
        <w:t>………..-22</w:t>
      </w:r>
      <w:r w:rsidR="00825FC9">
        <w:rPr>
          <w:rFonts w:ascii="Arial" w:eastAsia="SimSun" w:hAnsi="Arial" w:cs="Arial"/>
          <w:bCs/>
          <w:iCs/>
          <w:color w:val="595959" w:themeColor="text1" w:themeTint="A6"/>
          <w:kern w:val="24"/>
        </w:rPr>
        <w:t>7</w:t>
      </w:r>
      <w:r w:rsidR="000645C1">
        <w:rPr>
          <w:rFonts w:ascii="Arial" w:eastAsia="SimSun" w:hAnsi="Arial" w:cs="Arial"/>
          <w:bCs/>
          <w:iCs/>
          <w:color w:val="595959" w:themeColor="text1" w:themeTint="A6"/>
          <w:kern w:val="24"/>
        </w:rPr>
        <w:t>-</w:t>
      </w:r>
    </w:p>
    <w:p w14:paraId="35F00838" w14:textId="77777777" w:rsidR="00E40913" w:rsidRDefault="00384956" w:rsidP="003D5E91">
      <w:pPr>
        <w:spacing w:line="276" w:lineRule="auto"/>
        <w:jc w:val="both"/>
        <w:rPr>
          <w:rFonts w:ascii="Arial" w:hAnsi="Arial" w:cs="Arial"/>
          <w:bCs/>
          <w:color w:val="595959" w:themeColor="text1" w:themeTint="A6"/>
        </w:rPr>
      </w:pPr>
      <w:r w:rsidRPr="00BE72AA">
        <w:rPr>
          <w:rFonts w:ascii="Arial" w:hAnsi="Arial" w:cs="Arial"/>
          <w:b/>
          <w:color w:val="595959" w:themeColor="text1" w:themeTint="A6"/>
        </w:rPr>
        <w:t>Figure 5.7</w:t>
      </w:r>
      <w:r w:rsidRPr="003D5E91">
        <w:rPr>
          <w:rFonts w:ascii="Arial" w:hAnsi="Arial" w:cs="Arial"/>
          <w:bCs/>
          <w:color w:val="595959" w:themeColor="text1" w:themeTint="A6"/>
        </w:rPr>
        <w:t xml:space="preserve"> Histological analysis of tissue-engineered normal oral mucosa (TENOM) </w:t>
      </w:r>
    </w:p>
    <w:p w14:paraId="5BF78CB6" w14:textId="075959F8" w:rsidR="00384956" w:rsidRPr="003D5E91" w:rsidRDefault="00384956" w:rsidP="003D5E91">
      <w:pPr>
        <w:spacing w:line="276" w:lineRule="auto"/>
        <w:jc w:val="both"/>
        <w:rPr>
          <w:rFonts w:ascii="Arial" w:hAnsi="Arial" w:cs="Arial"/>
          <w:bCs/>
          <w:i/>
          <w:color w:val="595959" w:themeColor="text1" w:themeTint="A6"/>
        </w:rPr>
      </w:pPr>
      <w:r w:rsidRPr="003D5E91">
        <w:rPr>
          <w:rFonts w:ascii="Arial" w:hAnsi="Arial" w:cs="Arial"/>
          <w:bCs/>
          <w:color w:val="595959" w:themeColor="text1" w:themeTint="A6"/>
        </w:rPr>
        <w:t>model generated using NOF-DM</w:t>
      </w:r>
      <w:r w:rsidR="00EB0305">
        <w:rPr>
          <w:rFonts w:ascii="Arial" w:hAnsi="Arial" w:cs="Arial"/>
          <w:bCs/>
          <w:color w:val="595959" w:themeColor="text1" w:themeTint="A6"/>
        </w:rPr>
        <w:t>……………………………………………………………….-22</w:t>
      </w:r>
      <w:r w:rsidR="00D72BF1">
        <w:rPr>
          <w:rFonts w:ascii="Arial" w:hAnsi="Arial" w:cs="Arial"/>
          <w:bCs/>
          <w:color w:val="595959" w:themeColor="text1" w:themeTint="A6"/>
        </w:rPr>
        <w:t>9</w:t>
      </w:r>
      <w:r w:rsidR="00EB0305">
        <w:rPr>
          <w:rFonts w:ascii="Arial" w:hAnsi="Arial" w:cs="Arial"/>
          <w:bCs/>
          <w:color w:val="595959" w:themeColor="text1" w:themeTint="A6"/>
        </w:rPr>
        <w:t>-</w:t>
      </w:r>
    </w:p>
    <w:p w14:paraId="12E5C608" w14:textId="77777777" w:rsidR="00E40913" w:rsidRDefault="00384956" w:rsidP="003D5E91">
      <w:pPr>
        <w:spacing w:line="276" w:lineRule="auto"/>
        <w:jc w:val="both"/>
        <w:rPr>
          <w:rFonts w:ascii="Arial" w:hAnsi="Arial" w:cs="Arial"/>
          <w:bCs/>
          <w:color w:val="595959" w:themeColor="text1" w:themeTint="A6"/>
        </w:rPr>
      </w:pPr>
      <w:r w:rsidRPr="001B1111">
        <w:rPr>
          <w:rFonts w:ascii="Arial" w:hAnsi="Arial" w:cs="Arial"/>
          <w:b/>
          <w:color w:val="595959" w:themeColor="text1" w:themeTint="A6"/>
        </w:rPr>
        <w:t>Figure 5.8</w:t>
      </w:r>
      <w:r w:rsidRPr="003D5E91">
        <w:rPr>
          <w:rFonts w:ascii="Arial" w:hAnsi="Arial" w:cs="Arial"/>
          <w:bCs/>
          <w:color w:val="595959" w:themeColor="text1" w:themeTint="A6"/>
        </w:rPr>
        <w:t xml:space="preserve"> Representative H&amp;E images of tissue-engineered atypical oral mucosa</w:t>
      </w:r>
    </w:p>
    <w:p w14:paraId="42DE1C53" w14:textId="3D715D94" w:rsidR="00384956" w:rsidRPr="003D5E91" w:rsidRDefault="00384956" w:rsidP="003D5E91">
      <w:pPr>
        <w:spacing w:line="276" w:lineRule="auto"/>
        <w:jc w:val="both"/>
        <w:rPr>
          <w:rFonts w:ascii="Arial" w:hAnsi="Arial" w:cs="Arial"/>
          <w:bCs/>
          <w:i/>
          <w:color w:val="595959" w:themeColor="text1" w:themeTint="A6"/>
        </w:rPr>
      </w:pPr>
      <w:r w:rsidRPr="003D5E91">
        <w:rPr>
          <w:rFonts w:ascii="Arial" w:hAnsi="Arial" w:cs="Arial"/>
          <w:bCs/>
          <w:color w:val="595959" w:themeColor="text1" w:themeTint="A6"/>
        </w:rPr>
        <w:t xml:space="preserve"> (TEAOM) model</w:t>
      </w:r>
      <w:r w:rsidR="00EB0305">
        <w:rPr>
          <w:rFonts w:ascii="Arial" w:hAnsi="Arial" w:cs="Arial"/>
          <w:bCs/>
          <w:color w:val="595959" w:themeColor="text1" w:themeTint="A6"/>
        </w:rPr>
        <w:t>…………………………………………………………………………………-2</w:t>
      </w:r>
      <w:r w:rsidR="00D72BF1">
        <w:rPr>
          <w:rFonts w:ascii="Arial" w:hAnsi="Arial" w:cs="Arial"/>
          <w:bCs/>
          <w:color w:val="595959" w:themeColor="text1" w:themeTint="A6"/>
        </w:rPr>
        <w:t>31</w:t>
      </w:r>
      <w:r w:rsidR="00EB0305">
        <w:rPr>
          <w:rFonts w:ascii="Arial" w:hAnsi="Arial" w:cs="Arial"/>
          <w:bCs/>
          <w:color w:val="595959" w:themeColor="text1" w:themeTint="A6"/>
        </w:rPr>
        <w:t>-</w:t>
      </w:r>
    </w:p>
    <w:p w14:paraId="1B493923" w14:textId="79D43A33" w:rsidR="00E40913" w:rsidRDefault="00384956" w:rsidP="003D5E91">
      <w:pPr>
        <w:spacing w:line="276" w:lineRule="auto"/>
        <w:jc w:val="both"/>
        <w:rPr>
          <w:rFonts w:ascii="Arial" w:hAnsi="Arial" w:cs="Arial"/>
          <w:bCs/>
          <w:color w:val="595959" w:themeColor="text1" w:themeTint="A6"/>
        </w:rPr>
      </w:pPr>
      <w:r w:rsidRPr="001B1111">
        <w:rPr>
          <w:rFonts w:ascii="Arial" w:hAnsi="Arial" w:cs="Arial"/>
          <w:b/>
          <w:color w:val="595959" w:themeColor="text1" w:themeTint="A6"/>
        </w:rPr>
        <w:t>Figure 5.9</w:t>
      </w:r>
      <w:r w:rsidRPr="003D5E91">
        <w:rPr>
          <w:rFonts w:ascii="Arial" w:hAnsi="Arial" w:cs="Arial"/>
          <w:bCs/>
          <w:color w:val="595959" w:themeColor="text1" w:themeTint="A6"/>
        </w:rPr>
        <w:t xml:space="preserve"> Representative H&amp;E images of tissue-engineered oral squamous cell </w:t>
      </w:r>
    </w:p>
    <w:p w14:paraId="5DF17FCE" w14:textId="1092317C" w:rsidR="00384956" w:rsidRPr="003D5E91" w:rsidRDefault="00384956" w:rsidP="003D5E91">
      <w:pPr>
        <w:spacing w:line="276" w:lineRule="auto"/>
        <w:jc w:val="both"/>
        <w:rPr>
          <w:rFonts w:ascii="Arial" w:hAnsi="Arial" w:cs="Arial"/>
          <w:bCs/>
          <w:i/>
          <w:color w:val="595959" w:themeColor="text1" w:themeTint="A6"/>
        </w:rPr>
      </w:pPr>
      <w:r w:rsidRPr="003D5E91">
        <w:rPr>
          <w:rFonts w:ascii="Arial" w:hAnsi="Arial" w:cs="Arial"/>
          <w:bCs/>
          <w:color w:val="595959" w:themeColor="text1" w:themeTint="A6"/>
        </w:rPr>
        <w:t>carcinoma mucosa model (TESCCM)</w:t>
      </w:r>
      <w:r w:rsidR="00FA60AA">
        <w:rPr>
          <w:rFonts w:ascii="Arial" w:hAnsi="Arial" w:cs="Arial"/>
          <w:bCs/>
          <w:color w:val="595959" w:themeColor="text1" w:themeTint="A6"/>
        </w:rPr>
        <w:t>………………………………………………………….-2</w:t>
      </w:r>
      <w:r w:rsidR="00842F82">
        <w:rPr>
          <w:rFonts w:ascii="Arial" w:hAnsi="Arial" w:cs="Arial"/>
          <w:bCs/>
          <w:color w:val="595959" w:themeColor="text1" w:themeTint="A6"/>
        </w:rPr>
        <w:t>33</w:t>
      </w:r>
      <w:r w:rsidR="00FA60AA">
        <w:rPr>
          <w:rFonts w:ascii="Arial" w:hAnsi="Arial" w:cs="Arial"/>
          <w:bCs/>
          <w:color w:val="595959" w:themeColor="text1" w:themeTint="A6"/>
        </w:rPr>
        <w:t>-</w:t>
      </w:r>
    </w:p>
    <w:p w14:paraId="14C0F202" w14:textId="5DCE6770" w:rsidR="00384956" w:rsidRPr="00FA60AA" w:rsidRDefault="00384956" w:rsidP="003D5E91">
      <w:pPr>
        <w:spacing w:line="276" w:lineRule="auto"/>
        <w:jc w:val="both"/>
        <w:rPr>
          <w:rFonts w:ascii="Arial" w:eastAsia="SimSun" w:hAnsi="Arial" w:cs="Arial"/>
          <w:bCs/>
          <w:iCs/>
          <w:color w:val="595959" w:themeColor="text1" w:themeTint="A6"/>
          <w:kern w:val="24"/>
        </w:rPr>
      </w:pPr>
      <w:r w:rsidRPr="001B1111">
        <w:rPr>
          <w:rFonts w:ascii="Arial" w:eastAsia="SimSun" w:hAnsi="Arial" w:cs="Arial"/>
          <w:b/>
          <w:color w:val="595959" w:themeColor="text1" w:themeTint="A6"/>
          <w:kern w:val="24"/>
        </w:rPr>
        <w:t>Figure 5.10</w:t>
      </w:r>
      <w:r w:rsidRPr="003D5E91">
        <w:rPr>
          <w:rFonts w:ascii="Arial" w:eastAsia="SimSun" w:hAnsi="Arial" w:cs="Arial"/>
          <w:bCs/>
          <w:color w:val="595959" w:themeColor="text1" w:themeTint="A6"/>
          <w:kern w:val="24"/>
        </w:rPr>
        <w:t xml:space="preserve"> Analysis of tissue-engineered oral mucosa model integrity </w:t>
      </w:r>
      <w:r w:rsidRPr="003D5E91">
        <w:rPr>
          <w:rFonts w:ascii="Arial" w:eastAsia="SimSun" w:hAnsi="Arial" w:cs="Arial"/>
          <w:bCs/>
          <w:i/>
          <w:color w:val="595959" w:themeColor="text1" w:themeTint="A6"/>
          <w:kern w:val="24"/>
        </w:rPr>
        <w:t>in vitro</w:t>
      </w:r>
      <w:r w:rsidR="00FA60AA">
        <w:rPr>
          <w:rFonts w:ascii="Arial" w:eastAsia="SimSun" w:hAnsi="Arial" w:cs="Arial"/>
          <w:bCs/>
          <w:iCs/>
          <w:color w:val="595959" w:themeColor="text1" w:themeTint="A6"/>
          <w:kern w:val="24"/>
        </w:rPr>
        <w:t>…………..-2</w:t>
      </w:r>
      <w:r w:rsidR="00842F82">
        <w:rPr>
          <w:rFonts w:ascii="Arial" w:eastAsia="SimSun" w:hAnsi="Arial" w:cs="Arial"/>
          <w:bCs/>
          <w:iCs/>
          <w:color w:val="595959" w:themeColor="text1" w:themeTint="A6"/>
          <w:kern w:val="24"/>
        </w:rPr>
        <w:t>34</w:t>
      </w:r>
      <w:r w:rsidR="00FA60AA">
        <w:rPr>
          <w:rFonts w:ascii="Arial" w:eastAsia="SimSun" w:hAnsi="Arial" w:cs="Arial"/>
          <w:bCs/>
          <w:iCs/>
          <w:color w:val="595959" w:themeColor="text1" w:themeTint="A6"/>
          <w:kern w:val="24"/>
        </w:rPr>
        <w:t>-</w:t>
      </w:r>
    </w:p>
    <w:p w14:paraId="4686A59A" w14:textId="77777777" w:rsidR="00E40913" w:rsidRDefault="00384956" w:rsidP="003D5E91">
      <w:pPr>
        <w:spacing w:line="276" w:lineRule="auto"/>
        <w:jc w:val="both"/>
        <w:rPr>
          <w:rFonts w:ascii="Arial" w:hAnsi="Arial" w:cs="Arial"/>
          <w:bCs/>
          <w:color w:val="595959" w:themeColor="text1" w:themeTint="A6"/>
        </w:rPr>
      </w:pPr>
      <w:r w:rsidRPr="001B1111">
        <w:rPr>
          <w:rFonts w:ascii="Arial" w:hAnsi="Arial" w:cs="Arial"/>
          <w:b/>
          <w:color w:val="595959" w:themeColor="text1" w:themeTint="A6"/>
        </w:rPr>
        <w:t>Figure 5.11</w:t>
      </w:r>
      <w:r w:rsidRPr="003D5E91">
        <w:rPr>
          <w:rFonts w:ascii="Arial" w:hAnsi="Arial" w:cs="Arial"/>
          <w:bCs/>
          <w:color w:val="595959" w:themeColor="text1" w:themeTint="A6"/>
        </w:rPr>
        <w:t xml:space="preserve"> Immunohistochemical analysis of E-cadherin in tissue-engineered </w:t>
      </w:r>
    </w:p>
    <w:p w14:paraId="4910E6FB" w14:textId="6ABAB392" w:rsidR="00384956" w:rsidRPr="003D5E91" w:rsidRDefault="00384956" w:rsidP="003D5E91">
      <w:pPr>
        <w:spacing w:line="276" w:lineRule="auto"/>
        <w:jc w:val="both"/>
        <w:rPr>
          <w:rFonts w:ascii="Arial" w:hAnsi="Arial" w:cs="Arial"/>
          <w:bCs/>
          <w:i/>
          <w:color w:val="595959" w:themeColor="text1" w:themeTint="A6"/>
        </w:rPr>
      </w:pPr>
      <w:r w:rsidRPr="003D5E91">
        <w:rPr>
          <w:rFonts w:ascii="Arial" w:hAnsi="Arial" w:cs="Arial"/>
          <w:bCs/>
          <w:color w:val="595959" w:themeColor="text1" w:themeTint="A6"/>
        </w:rPr>
        <w:t>oral mucosa models</w:t>
      </w:r>
      <w:r w:rsidR="00FA60AA">
        <w:rPr>
          <w:rFonts w:ascii="Arial" w:hAnsi="Arial" w:cs="Arial"/>
          <w:bCs/>
          <w:color w:val="595959" w:themeColor="text1" w:themeTint="A6"/>
        </w:rPr>
        <w:t>……………………………………………………………………………..-</w:t>
      </w:r>
      <w:r w:rsidR="00E43663">
        <w:rPr>
          <w:rFonts w:ascii="Arial" w:hAnsi="Arial" w:cs="Arial"/>
          <w:bCs/>
          <w:color w:val="595959" w:themeColor="text1" w:themeTint="A6"/>
        </w:rPr>
        <w:t>2</w:t>
      </w:r>
      <w:r w:rsidR="001564A5">
        <w:rPr>
          <w:rFonts w:ascii="Arial" w:hAnsi="Arial" w:cs="Arial"/>
          <w:bCs/>
          <w:color w:val="595959" w:themeColor="text1" w:themeTint="A6"/>
        </w:rPr>
        <w:t>36</w:t>
      </w:r>
      <w:r w:rsidR="00E43663">
        <w:rPr>
          <w:rFonts w:ascii="Arial" w:hAnsi="Arial" w:cs="Arial"/>
          <w:bCs/>
          <w:color w:val="595959" w:themeColor="text1" w:themeTint="A6"/>
        </w:rPr>
        <w:t>-</w:t>
      </w:r>
    </w:p>
    <w:p w14:paraId="2E871B59" w14:textId="77777777" w:rsidR="00E40913" w:rsidRDefault="00384956" w:rsidP="003D5E91">
      <w:pPr>
        <w:spacing w:line="276" w:lineRule="auto"/>
        <w:jc w:val="both"/>
        <w:rPr>
          <w:rFonts w:ascii="Arial" w:hAnsi="Arial" w:cs="Arial"/>
          <w:bCs/>
          <w:color w:val="595959" w:themeColor="text1" w:themeTint="A6"/>
        </w:rPr>
      </w:pPr>
      <w:r w:rsidRPr="001B1111">
        <w:rPr>
          <w:rFonts w:ascii="Arial" w:hAnsi="Arial" w:cs="Arial"/>
          <w:b/>
          <w:color w:val="595959" w:themeColor="text1" w:themeTint="A6"/>
        </w:rPr>
        <w:t>Figure 5.12</w:t>
      </w:r>
      <w:r w:rsidRPr="003D5E91">
        <w:rPr>
          <w:rFonts w:ascii="Arial" w:hAnsi="Arial" w:cs="Arial"/>
          <w:bCs/>
          <w:color w:val="595959" w:themeColor="text1" w:themeTint="A6"/>
        </w:rPr>
        <w:t xml:space="preserve"> Immunohistochemical analysis of AE1/3 in tissue-engineered oral</w:t>
      </w:r>
    </w:p>
    <w:p w14:paraId="287A0420" w14:textId="4F7E96E4" w:rsidR="00384956" w:rsidRPr="003D5E91" w:rsidRDefault="00384956" w:rsidP="003D5E91">
      <w:pPr>
        <w:spacing w:line="276" w:lineRule="auto"/>
        <w:jc w:val="both"/>
        <w:rPr>
          <w:rFonts w:ascii="Arial" w:hAnsi="Arial" w:cs="Arial"/>
          <w:bCs/>
          <w:i/>
          <w:color w:val="595959" w:themeColor="text1" w:themeTint="A6"/>
        </w:rPr>
      </w:pPr>
      <w:r w:rsidRPr="003D5E91">
        <w:rPr>
          <w:rFonts w:ascii="Arial" w:hAnsi="Arial" w:cs="Arial"/>
          <w:bCs/>
          <w:color w:val="595959" w:themeColor="text1" w:themeTint="A6"/>
        </w:rPr>
        <w:t xml:space="preserve"> mucosa models</w:t>
      </w:r>
      <w:r w:rsidR="00E43663">
        <w:rPr>
          <w:rFonts w:ascii="Arial" w:hAnsi="Arial" w:cs="Arial"/>
          <w:bCs/>
          <w:color w:val="595959" w:themeColor="text1" w:themeTint="A6"/>
        </w:rPr>
        <w:t>………………………………………………………………………………….-23</w:t>
      </w:r>
      <w:r w:rsidR="001564A5">
        <w:rPr>
          <w:rFonts w:ascii="Arial" w:hAnsi="Arial" w:cs="Arial"/>
          <w:bCs/>
          <w:color w:val="595959" w:themeColor="text1" w:themeTint="A6"/>
        </w:rPr>
        <w:t>8</w:t>
      </w:r>
      <w:r w:rsidR="00E43663">
        <w:rPr>
          <w:rFonts w:ascii="Arial" w:hAnsi="Arial" w:cs="Arial"/>
          <w:bCs/>
          <w:color w:val="595959" w:themeColor="text1" w:themeTint="A6"/>
        </w:rPr>
        <w:t>-</w:t>
      </w:r>
    </w:p>
    <w:p w14:paraId="41E5563A" w14:textId="77777777" w:rsidR="00E40913" w:rsidRDefault="00384956" w:rsidP="003D5E91">
      <w:pPr>
        <w:spacing w:line="276" w:lineRule="auto"/>
        <w:jc w:val="both"/>
        <w:rPr>
          <w:rFonts w:ascii="Arial" w:hAnsi="Arial" w:cs="Arial"/>
          <w:bCs/>
          <w:color w:val="595959" w:themeColor="text1" w:themeTint="A6"/>
        </w:rPr>
      </w:pPr>
      <w:r w:rsidRPr="001B1111">
        <w:rPr>
          <w:rFonts w:ascii="Arial" w:hAnsi="Arial" w:cs="Arial"/>
          <w:b/>
          <w:color w:val="595959" w:themeColor="text1" w:themeTint="A6"/>
        </w:rPr>
        <w:t>Figure 5.13</w:t>
      </w:r>
      <w:r w:rsidRPr="003D5E91">
        <w:rPr>
          <w:rFonts w:ascii="Arial" w:hAnsi="Arial" w:cs="Arial"/>
          <w:bCs/>
          <w:color w:val="595959" w:themeColor="text1" w:themeTint="A6"/>
        </w:rPr>
        <w:t xml:space="preserve"> Immunohistochemical analysis of cytokeratin-14 in tissue-engineered </w:t>
      </w:r>
    </w:p>
    <w:p w14:paraId="6BFD0A67" w14:textId="276941F0" w:rsidR="00384956" w:rsidRPr="003D5E91" w:rsidRDefault="00384956" w:rsidP="003D5E91">
      <w:pPr>
        <w:spacing w:line="276" w:lineRule="auto"/>
        <w:jc w:val="both"/>
        <w:rPr>
          <w:rFonts w:ascii="Arial" w:hAnsi="Arial" w:cs="Arial"/>
          <w:bCs/>
          <w:i/>
          <w:color w:val="595959" w:themeColor="text1" w:themeTint="A6"/>
        </w:rPr>
      </w:pPr>
      <w:r w:rsidRPr="003D5E91">
        <w:rPr>
          <w:rFonts w:ascii="Arial" w:hAnsi="Arial" w:cs="Arial"/>
          <w:bCs/>
          <w:color w:val="595959" w:themeColor="text1" w:themeTint="A6"/>
        </w:rPr>
        <w:lastRenderedPageBreak/>
        <w:t>oral mucosa models</w:t>
      </w:r>
      <w:r w:rsidR="00E43663">
        <w:rPr>
          <w:rFonts w:ascii="Arial" w:hAnsi="Arial" w:cs="Arial"/>
          <w:bCs/>
          <w:color w:val="595959" w:themeColor="text1" w:themeTint="A6"/>
        </w:rPr>
        <w:t>……………………………………………………………………………...-2</w:t>
      </w:r>
      <w:r w:rsidR="002540C0">
        <w:rPr>
          <w:rFonts w:ascii="Arial" w:hAnsi="Arial" w:cs="Arial"/>
          <w:bCs/>
          <w:color w:val="595959" w:themeColor="text1" w:themeTint="A6"/>
        </w:rPr>
        <w:t>40</w:t>
      </w:r>
      <w:r w:rsidR="00E43663">
        <w:rPr>
          <w:rFonts w:ascii="Arial" w:hAnsi="Arial" w:cs="Arial"/>
          <w:bCs/>
          <w:color w:val="595959" w:themeColor="text1" w:themeTint="A6"/>
        </w:rPr>
        <w:t>-</w:t>
      </w:r>
    </w:p>
    <w:p w14:paraId="41362F6A" w14:textId="77777777" w:rsidR="004A4300" w:rsidRDefault="00384956" w:rsidP="003D5E91">
      <w:pPr>
        <w:spacing w:line="276" w:lineRule="auto"/>
        <w:jc w:val="both"/>
        <w:rPr>
          <w:rFonts w:ascii="Arial" w:hAnsi="Arial" w:cs="Arial"/>
          <w:bCs/>
          <w:color w:val="595959" w:themeColor="text1" w:themeTint="A6"/>
        </w:rPr>
      </w:pPr>
      <w:r w:rsidRPr="001B1111">
        <w:rPr>
          <w:rFonts w:ascii="Arial" w:hAnsi="Arial" w:cs="Arial"/>
          <w:b/>
          <w:color w:val="595959" w:themeColor="text1" w:themeTint="A6"/>
        </w:rPr>
        <w:t>Figure 5.14</w:t>
      </w:r>
      <w:r w:rsidRPr="003D5E91">
        <w:rPr>
          <w:rFonts w:ascii="Arial" w:hAnsi="Arial" w:cs="Arial"/>
          <w:bCs/>
          <w:color w:val="595959" w:themeColor="text1" w:themeTint="A6"/>
        </w:rPr>
        <w:t xml:space="preserve"> Immunohistochemical analysis of tenascin-c in tissue-engineered oral </w:t>
      </w:r>
    </w:p>
    <w:p w14:paraId="6584F5E5" w14:textId="0FDA47D3" w:rsidR="00384956" w:rsidRPr="003D5E91" w:rsidRDefault="00384956" w:rsidP="003D5E91">
      <w:pPr>
        <w:spacing w:line="276" w:lineRule="auto"/>
        <w:jc w:val="both"/>
        <w:rPr>
          <w:rFonts w:ascii="Arial" w:hAnsi="Arial" w:cs="Arial"/>
          <w:bCs/>
          <w:i/>
          <w:color w:val="595959" w:themeColor="text1" w:themeTint="A6"/>
        </w:rPr>
      </w:pPr>
      <w:r w:rsidRPr="003D5E91">
        <w:rPr>
          <w:rFonts w:ascii="Arial" w:hAnsi="Arial" w:cs="Arial"/>
          <w:bCs/>
          <w:color w:val="595959" w:themeColor="text1" w:themeTint="A6"/>
        </w:rPr>
        <w:t>mucosa models</w:t>
      </w:r>
      <w:r w:rsidR="00A44884">
        <w:rPr>
          <w:rFonts w:ascii="Arial" w:hAnsi="Arial" w:cs="Arial"/>
          <w:bCs/>
          <w:color w:val="595959" w:themeColor="text1" w:themeTint="A6"/>
        </w:rPr>
        <w:t>…………………………………………………………………………………..-2</w:t>
      </w:r>
      <w:r w:rsidR="002540C0">
        <w:rPr>
          <w:rFonts w:ascii="Arial" w:hAnsi="Arial" w:cs="Arial"/>
          <w:bCs/>
          <w:color w:val="595959" w:themeColor="text1" w:themeTint="A6"/>
        </w:rPr>
        <w:t>42</w:t>
      </w:r>
      <w:r w:rsidR="00A44884">
        <w:rPr>
          <w:rFonts w:ascii="Arial" w:hAnsi="Arial" w:cs="Arial"/>
          <w:bCs/>
          <w:color w:val="595959" w:themeColor="text1" w:themeTint="A6"/>
        </w:rPr>
        <w:t>-</w:t>
      </w:r>
    </w:p>
    <w:p w14:paraId="7D90BC6C" w14:textId="77777777" w:rsidR="004A4300" w:rsidRDefault="00384956" w:rsidP="003D5E91">
      <w:pPr>
        <w:spacing w:line="276" w:lineRule="auto"/>
        <w:jc w:val="both"/>
        <w:rPr>
          <w:rFonts w:ascii="Arial" w:hAnsi="Arial" w:cs="Arial"/>
          <w:bCs/>
          <w:color w:val="595959" w:themeColor="text1" w:themeTint="A6"/>
        </w:rPr>
      </w:pPr>
      <w:r w:rsidRPr="001B1111">
        <w:rPr>
          <w:rFonts w:ascii="Arial" w:hAnsi="Arial" w:cs="Arial"/>
          <w:b/>
          <w:color w:val="595959" w:themeColor="text1" w:themeTint="A6"/>
        </w:rPr>
        <w:t>Figure 5.15</w:t>
      </w:r>
      <w:r w:rsidRPr="003D5E91">
        <w:rPr>
          <w:rFonts w:ascii="Arial" w:hAnsi="Arial" w:cs="Arial"/>
          <w:bCs/>
          <w:color w:val="595959" w:themeColor="text1" w:themeTint="A6"/>
        </w:rPr>
        <w:t xml:space="preserve"> Immunohistochemical analysis of vimentin in tissue-engineered oral </w:t>
      </w:r>
    </w:p>
    <w:p w14:paraId="38DA425C" w14:textId="043F780D" w:rsidR="00384956" w:rsidRPr="003D5E91" w:rsidRDefault="00384956" w:rsidP="003D5E91">
      <w:pPr>
        <w:spacing w:line="276" w:lineRule="auto"/>
        <w:jc w:val="both"/>
        <w:rPr>
          <w:rFonts w:ascii="Arial" w:hAnsi="Arial" w:cs="Arial"/>
          <w:bCs/>
          <w:i/>
          <w:color w:val="595959" w:themeColor="text1" w:themeTint="A6"/>
        </w:rPr>
      </w:pPr>
      <w:r w:rsidRPr="003D5E91">
        <w:rPr>
          <w:rFonts w:ascii="Arial" w:hAnsi="Arial" w:cs="Arial"/>
          <w:bCs/>
          <w:color w:val="595959" w:themeColor="text1" w:themeTint="A6"/>
        </w:rPr>
        <w:t>mucosa models</w:t>
      </w:r>
      <w:r w:rsidR="00A44884">
        <w:rPr>
          <w:rFonts w:ascii="Arial" w:hAnsi="Arial" w:cs="Arial"/>
          <w:bCs/>
          <w:color w:val="595959" w:themeColor="text1" w:themeTint="A6"/>
        </w:rPr>
        <w:t>…………………………………………………………………………………..-2</w:t>
      </w:r>
      <w:r w:rsidR="002540C0">
        <w:rPr>
          <w:rFonts w:ascii="Arial" w:hAnsi="Arial" w:cs="Arial"/>
          <w:bCs/>
          <w:color w:val="595959" w:themeColor="text1" w:themeTint="A6"/>
        </w:rPr>
        <w:t>44</w:t>
      </w:r>
      <w:r w:rsidR="00A44884">
        <w:rPr>
          <w:rFonts w:ascii="Arial" w:hAnsi="Arial" w:cs="Arial"/>
          <w:bCs/>
          <w:color w:val="595959" w:themeColor="text1" w:themeTint="A6"/>
        </w:rPr>
        <w:t>-</w:t>
      </w:r>
    </w:p>
    <w:p w14:paraId="001B5E43" w14:textId="77777777" w:rsidR="004A4300" w:rsidRDefault="00384956" w:rsidP="003D5E91">
      <w:pPr>
        <w:spacing w:line="276" w:lineRule="auto"/>
        <w:jc w:val="both"/>
        <w:rPr>
          <w:rFonts w:ascii="Arial" w:hAnsi="Arial" w:cs="Arial"/>
          <w:bCs/>
          <w:color w:val="595959" w:themeColor="text1" w:themeTint="A6"/>
        </w:rPr>
      </w:pPr>
      <w:r w:rsidRPr="00C6229D">
        <w:rPr>
          <w:rFonts w:ascii="Arial" w:hAnsi="Arial" w:cs="Arial"/>
          <w:b/>
          <w:color w:val="595959" w:themeColor="text1" w:themeTint="A6"/>
        </w:rPr>
        <w:t>Figure 5.16</w:t>
      </w:r>
      <w:r w:rsidRPr="003D5E91">
        <w:rPr>
          <w:rFonts w:ascii="Arial" w:hAnsi="Arial" w:cs="Arial"/>
          <w:bCs/>
          <w:color w:val="595959" w:themeColor="text1" w:themeTint="A6"/>
        </w:rPr>
        <w:t xml:space="preserve"> Immunohistochemical analysis of FN1-EDA in tissue-engineered oral </w:t>
      </w:r>
    </w:p>
    <w:p w14:paraId="28309A0A" w14:textId="549D8607" w:rsidR="00384956" w:rsidRPr="003D5E91" w:rsidRDefault="00384956" w:rsidP="003D5E91">
      <w:pPr>
        <w:spacing w:line="276" w:lineRule="auto"/>
        <w:jc w:val="both"/>
        <w:rPr>
          <w:rFonts w:ascii="Arial" w:hAnsi="Arial" w:cs="Arial"/>
          <w:bCs/>
          <w:i/>
          <w:color w:val="595959" w:themeColor="text1" w:themeTint="A6"/>
        </w:rPr>
      </w:pPr>
      <w:r w:rsidRPr="003D5E91">
        <w:rPr>
          <w:rFonts w:ascii="Arial" w:hAnsi="Arial" w:cs="Arial"/>
          <w:bCs/>
          <w:color w:val="595959" w:themeColor="text1" w:themeTint="A6"/>
        </w:rPr>
        <w:t>mucosa models</w:t>
      </w:r>
      <w:r w:rsidR="00080B5F">
        <w:rPr>
          <w:rFonts w:ascii="Arial" w:hAnsi="Arial" w:cs="Arial"/>
          <w:bCs/>
          <w:color w:val="595959" w:themeColor="text1" w:themeTint="A6"/>
        </w:rPr>
        <w:t>…………………………………………………………………………</w:t>
      </w:r>
      <w:r w:rsidR="00287F5E">
        <w:rPr>
          <w:rFonts w:ascii="Arial" w:hAnsi="Arial" w:cs="Arial"/>
          <w:bCs/>
          <w:color w:val="595959" w:themeColor="text1" w:themeTint="A6"/>
        </w:rPr>
        <w:t>……</w:t>
      </w:r>
      <w:r w:rsidR="00427AA4">
        <w:rPr>
          <w:rFonts w:ascii="Arial" w:hAnsi="Arial" w:cs="Arial"/>
          <w:bCs/>
          <w:color w:val="595959" w:themeColor="text1" w:themeTint="A6"/>
        </w:rPr>
        <w:t>.</w:t>
      </w:r>
      <w:r w:rsidR="00287F5E">
        <w:rPr>
          <w:rFonts w:ascii="Arial" w:hAnsi="Arial" w:cs="Arial"/>
          <w:bCs/>
          <w:color w:val="595959" w:themeColor="text1" w:themeTint="A6"/>
        </w:rPr>
        <w:t>….-24</w:t>
      </w:r>
      <w:r w:rsidR="002540C0">
        <w:rPr>
          <w:rFonts w:ascii="Arial" w:hAnsi="Arial" w:cs="Arial"/>
          <w:bCs/>
          <w:color w:val="595959" w:themeColor="text1" w:themeTint="A6"/>
        </w:rPr>
        <w:t>6</w:t>
      </w:r>
      <w:r w:rsidR="00287F5E">
        <w:rPr>
          <w:rFonts w:ascii="Arial" w:hAnsi="Arial" w:cs="Arial"/>
          <w:bCs/>
          <w:color w:val="595959" w:themeColor="text1" w:themeTint="A6"/>
        </w:rPr>
        <w:t>-</w:t>
      </w:r>
    </w:p>
    <w:p w14:paraId="3E683A36" w14:textId="77777777" w:rsidR="004A4300" w:rsidRDefault="00384956" w:rsidP="003D5E91">
      <w:pPr>
        <w:spacing w:line="276" w:lineRule="auto"/>
        <w:jc w:val="both"/>
        <w:rPr>
          <w:rFonts w:ascii="Arial" w:hAnsi="Arial" w:cs="Arial"/>
          <w:bCs/>
          <w:color w:val="595959" w:themeColor="text1" w:themeTint="A6"/>
        </w:rPr>
      </w:pPr>
      <w:r w:rsidRPr="00C6229D">
        <w:rPr>
          <w:rFonts w:ascii="Arial" w:hAnsi="Arial" w:cs="Arial"/>
          <w:b/>
          <w:color w:val="595959" w:themeColor="text1" w:themeTint="A6"/>
        </w:rPr>
        <w:t>Figure 5.17</w:t>
      </w:r>
      <w:r w:rsidRPr="003D5E91">
        <w:rPr>
          <w:rFonts w:ascii="Arial" w:hAnsi="Arial" w:cs="Arial"/>
          <w:bCs/>
          <w:color w:val="595959" w:themeColor="text1" w:themeTint="A6"/>
        </w:rPr>
        <w:t xml:space="preserve"> Immunohistochemical analysis of αSMA in tissue-engineered oral mucosa </w:t>
      </w:r>
    </w:p>
    <w:p w14:paraId="6B924A92" w14:textId="35C87B30" w:rsidR="00384956" w:rsidRPr="003D5E91" w:rsidRDefault="00384956" w:rsidP="003D5E91">
      <w:pPr>
        <w:spacing w:line="276" w:lineRule="auto"/>
        <w:jc w:val="both"/>
        <w:rPr>
          <w:rFonts w:ascii="Arial" w:hAnsi="Arial" w:cs="Arial"/>
          <w:bCs/>
          <w:color w:val="595959" w:themeColor="text1" w:themeTint="A6"/>
        </w:rPr>
      </w:pPr>
      <w:r w:rsidRPr="003D5E91">
        <w:rPr>
          <w:rFonts w:ascii="Arial" w:hAnsi="Arial" w:cs="Arial"/>
          <w:bCs/>
          <w:color w:val="595959" w:themeColor="text1" w:themeTint="A6"/>
        </w:rPr>
        <w:t xml:space="preserve">models </w:t>
      </w:r>
      <w:r w:rsidR="00287F5E">
        <w:rPr>
          <w:rFonts w:ascii="Arial" w:hAnsi="Arial" w:cs="Arial"/>
          <w:bCs/>
          <w:color w:val="595959" w:themeColor="text1" w:themeTint="A6"/>
        </w:rPr>
        <w:t>…………………………………………………………………………………………</w:t>
      </w:r>
      <w:r w:rsidR="00427AA4">
        <w:rPr>
          <w:rFonts w:ascii="Arial" w:hAnsi="Arial" w:cs="Arial"/>
          <w:bCs/>
          <w:color w:val="595959" w:themeColor="text1" w:themeTint="A6"/>
        </w:rPr>
        <w:t>…</w:t>
      </w:r>
      <w:r w:rsidR="00287F5E">
        <w:rPr>
          <w:rFonts w:ascii="Arial" w:hAnsi="Arial" w:cs="Arial"/>
          <w:bCs/>
          <w:color w:val="595959" w:themeColor="text1" w:themeTint="A6"/>
        </w:rPr>
        <w:t>-24</w:t>
      </w:r>
      <w:r w:rsidR="002540C0">
        <w:rPr>
          <w:rFonts w:ascii="Arial" w:hAnsi="Arial" w:cs="Arial"/>
          <w:bCs/>
          <w:color w:val="595959" w:themeColor="text1" w:themeTint="A6"/>
        </w:rPr>
        <w:t>8</w:t>
      </w:r>
      <w:r w:rsidR="00287F5E">
        <w:rPr>
          <w:rFonts w:ascii="Arial" w:hAnsi="Arial" w:cs="Arial"/>
          <w:bCs/>
          <w:color w:val="595959" w:themeColor="text1" w:themeTint="A6"/>
        </w:rPr>
        <w:t>-</w:t>
      </w:r>
    </w:p>
    <w:p w14:paraId="4663CE76" w14:textId="77777777" w:rsidR="004A4300" w:rsidRDefault="00384956" w:rsidP="003D5E91">
      <w:pPr>
        <w:spacing w:line="276" w:lineRule="auto"/>
        <w:jc w:val="both"/>
        <w:rPr>
          <w:rFonts w:ascii="Arial" w:hAnsi="Arial" w:cs="Arial"/>
          <w:bCs/>
          <w:color w:val="595959" w:themeColor="text1" w:themeTint="A6"/>
        </w:rPr>
      </w:pPr>
      <w:r w:rsidRPr="00C6229D">
        <w:rPr>
          <w:rFonts w:ascii="Arial" w:hAnsi="Arial" w:cs="Arial"/>
          <w:b/>
          <w:color w:val="595959" w:themeColor="text1" w:themeTint="A6"/>
        </w:rPr>
        <w:t>Figure 5.18</w:t>
      </w:r>
      <w:r w:rsidRPr="003D5E91">
        <w:rPr>
          <w:rFonts w:ascii="Arial" w:hAnsi="Arial" w:cs="Arial"/>
          <w:bCs/>
          <w:color w:val="595959" w:themeColor="text1" w:themeTint="A6"/>
        </w:rPr>
        <w:t xml:space="preserve"> Immunohistochemical analysis of versican in tissue-engineered oral </w:t>
      </w:r>
    </w:p>
    <w:p w14:paraId="6643B42E" w14:textId="28E38B10" w:rsidR="00384956" w:rsidRPr="003D5E91" w:rsidRDefault="00384956" w:rsidP="003D5E91">
      <w:pPr>
        <w:spacing w:line="276" w:lineRule="auto"/>
        <w:jc w:val="both"/>
        <w:rPr>
          <w:rFonts w:ascii="Arial" w:hAnsi="Arial" w:cs="Arial"/>
          <w:bCs/>
          <w:i/>
          <w:color w:val="595959" w:themeColor="text1" w:themeTint="A6"/>
        </w:rPr>
      </w:pPr>
      <w:r w:rsidRPr="003D5E91">
        <w:rPr>
          <w:rFonts w:ascii="Arial" w:hAnsi="Arial" w:cs="Arial"/>
          <w:bCs/>
          <w:color w:val="595959" w:themeColor="text1" w:themeTint="A6"/>
        </w:rPr>
        <w:t>mucosa models</w:t>
      </w:r>
      <w:r w:rsidR="00427AA4">
        <w:rPr>
          <w:rFonts w:ascii="Arial" w:hAnsi="Arial" w:cs="Arial"/>
          <w:bCs/>
          <w:color w:val="595959" w:themeColor="text1" w:themeTint="A6"/>
        </w:rPr>
        <w:t>………………………………………………………………………………….-2</w:t>
      </w:r>
      <w:r w:rsidR="00480EFF">
        <w:rPr>
          <w:rFonts w:ascii="Arial" w:hAnsi="Arial" w:cs="Arial"/>
          <w:bCs/>
          <w:color w:val="595959" w:themeColor="text1" w:themeTint="A6"/>
        </w:rPr>
        <w:t>50</w:t>
      </w:r>
      <w:r w:rsidR="00427AA4">
        <w:rPr>
          <w:rFonts w:ascii="Arial" w:hAnsi="Arial" w:cs="Arial"/>
          <w:bCs/>
          <w:color w:val="595959" w:themeColor="text1" w:themeTint="A6"/>
        </w:rPr>
        <w:t>-</w:t>
      </w:r>
    </w:p>
    <w:p w14:paraId="21584925" w14:textId="77777777" w:rsidR="004A4300" w:rsidRDefault="00384956" w:rsidP="003D5E91">
      <w:pPr>
        <w:spacing w:line="276" w:lineRule="auto"/>
        <w:jc w:val="both"/>
        <w:rPr>
          <w:rFonts w:ascii="Arial" w:hAnsi="Arial" w:cs="Arial"/>
          <w:bCs/>
          <w:color w:val="595959" w:themeColor="text1" w:themeTint="A6"/>
        </w:rPr>
      </w:pPr>
      <w:r w:rsidRPr="00C6229D">
        <w:rPr>
          <w:rFonts w:ascii="Arial" w:hAnsi="Arial" w:cs="Arial"/>
          <w:b/>
          <w:color w:val="595959" w:themeColor="text1" w:themeTint="A6"/>
        </w:rPr>
        <w:t>Figure 5.19</w:t>
      </w:r>
      <w:r w:rsidRPr="003D5E91">
        <w:rPr>
          <w:rFonts w:ascii="Arial" w:hAnsi="Arial" w:cs="Arial"/>
          <w:bCs/>
          <w:color w:val="595959" w:themeColor="text1" w:themeTint="A6"/>
        </w:rPr>
        <w:t xml:space="preserve"> Immunohistochemical analysis of COL1A1 in tissue-engineered oral </w:t>
      </w:r>
    </w:p>
    <w:p w14:paraId="4E642D57" w14:textId="013BC850" w:rsidR="00384956" w:rsidRPr="003D5E91" w:rsidRDefault="00384956" w:rsidP="003D5E91">
      <w:pPr>
        <w:spacing w:line="276" w:lineRule="auto"/>
        <w:jc w:val="both"/>
        <w:rPr>
          <w:rFonts w:ascii="Arial" w:hAnsi="Arial" w:cs="Arial"/>
          <w:bCs/>
          <w:i/>
          <w:color w:val="595959" w:themeColor="text1" w:themeTint="A6"/>
        </w:rPr>
      </w:pPr>
      <w:r w:rsidRPr="003D5E91">
        <w:rPr>
          <w:rFonts w:ascii="Arial" w:hAnsi="Arial" w:cs="Arial"/>
          <w:bCs/>
          <w:color w:val="595959" w:themeColor="text1" w:themeTint="A6"/>
        </w:rPr>
        <w:t>mucosa models</w:t>
      </w:r>
      <w:r w:rsidR="00427AA4">
        <w:rPr>
          <w:rFonts w:ascii="Arial" w:hAnsi="Arial" w:cs="Arial"/>
          <w:bCs/>
          <w:color w:val="595959" w:themeColor="text1" w:themeTint="A6"/>
        </w:rPr>
        <w:t>………………………………………………………………………………….-</w:t>
      </w:r>
      <w:r w:rsidR="00426BBC">
        <w:rPr>
          <w:rFonts w:ascii="Arial" w:hAnsi="Arial" w:cs="Arial"/>
          <w:bCs/>
          <w:color w:val="595959" w:themeColor="text1" w:themeTint="A6"/>
        </w:rPr>
        <w:t>2</w:t>
      </w:r>
      <w:r w:rsidR="00480EFF">
        <w:rPr>
          <w:rFonts w:ascii="Arial" w:hAnsi="Arial" w:cs="Arial"/>
          <w:bCs/>
          <w:color w:val="595959" w:themeColor="text1" w:themeTint="A6"/>
        </w:rPr>
        <w:t>52</w:t>
      </w:r>
      <w:r w:rsidR="00426BBC">
        <w:rPr>
          <w:rFonts w:ascii="Arial" w:hAnsi="Arial" w:cs="Arial"/>
          <w:bCs/>
          <w:color w:val="595959" w:themeColor="text1" w:themeTint="A6"/>
        </w:rPr>
        <w:t>-</w:t>
      </w:r>
    </w:p>
    <w:p w14:paraId="7D4B7139" w14:textId="77777777" w:rsidR="004A4300" w:rsidRDefault="00384956" w:rsidP="003D5E91">
      <w:pPr>
        <w:spacing w:line="276" w:lineRule="auto"/>
        <w:jc w:val="both"/>
        <w:rPr>
          <w:rFonts w:ascii="Arial" w:hAnsi="Arial" w:cs="Arial"/>
          <w:bCs/>
          <w:color w:val="595959" w:themeColor="text1" w:themeTint="A6"/>
        </w:rPr>
      </w:pPr>
      <w:r w:rsidRPr="00C6229D">
        <w:rPr>
          <w:rFonts w:ascii="Arial" w:hAnsi="Arial" w:cs="Arial"/>
          <w:b/>
          <w:color w:val="595959" w:themeColor="text1" w:themeTint="A6"/>
        </w:rPr>
        <w:t>Figure 5.20</w:t>
      </w:r>
      <w:r w:rsidRPr="003D5E91">
        <w:rPr>
          <w:rFonts w:ascii="Arial" w:hAnsi="Arial" w:cs="Arial"/>
          <w:bCs/>
          <w:color w:val="595959" w:themeColor="text1" w:themeTint="A6"/>
        </w:rPr>
        <w:t xml:space="preserve"> Immunohistochemical analysis of integrin α6β4 in tissue-engineered oral </w:t>
      </w:r>
    </w:p>
    <w:p w14:paraId="742C3A45" w14:textId="1DEC3934" w:rsidR="00384956" w:rsidRPr="003D5E91" w:rsidRDefault="004A4300" w:rsidP="003D5E91">
      <w:pPr>
        <w:spacing w:line="276" w:lineRule="auto"/>
        <w:jc w:val="both"/>
        <w:rPr>
          <w:rFonts w:ascii="Arial" w:hAnsi="Arial" w:cs="Arial"/>
          <w:bCs/>
          <w:i/>
          <w:color w:val="595959" w:themeColor="text1" w:themeTint="A6"/>
        </w:rPr>
      </w:pPr>
      <w:r>
        <w:rPr>
          <w:rFonts w:ascii="Arial" w:hAnsi="Arial" w:cs="Arial"/>
          <w:bCs/>
          <w:color w:val="595959" w:themeColor="text1" w:themeTint="A6"/>
        </w:rPr>
        <w:t>m</w:t>
      </w:r>
      <w:r w:rsidR="00384956" w:rsidRPr="003D5E91">
        <w:rPr>
          <w:rFonts w:ascii="Arial" w:hAnsi="Arial" w:cs="Arial"/>
          <w:bCs/>
          <w:color w:val="595959" w:themeColor="text1" w:themeTint="A6"/>
        </w:rPr>
        <w:t>ucosa</w:t>
      </w:r>
      <w:r>
        <w:rPr>
          <w:rFonts w:ascii="Arial" w:hAnsi="Arial" w:cs="Arial"/>
          <w:bCs/>
          <w:color w:val="595959" w:themeColor="text1" w:themeTint="A6"/>
        </w:rPr>
        <w:t xml:space="preserve"> </w:t>
      </w:r>
      <w:r w:rsidR="00384956" w:rsidRPr="003D5E91">
        <w:rPr>
          <w:rFonts w:ascii="Arial" w:hAnsi="Arial" w:cs="Arial"/>
          <w:bCs/>
          <w:color w:val="595959" w:themeColor="text1" w:themeTint="A6"/>
        </w:rPr>
        <w:t>models</w:t>
      </w:r>
      <w:r w:rsidR="00426BBC">
        <w:rPr>
          <w:rFonts w:ascii="Arial" w:hAnsi="Arial" w:cs="Arial"/>
          <w:bCs/>
          <w:color w:val="595959" w:themeColor="text1" w:themeTint="A6"/>
        </w:rPr>
        <w:t>………………………………………………………………………………….-2</w:t>
      </w:r>
      <w:r w:rsidR="00480EFF">
        <w:rPr>
          <w:rFonts w:ascii="Arial" w:hAnsi="Arial" w:cs="Arial"/>
          <w:bCs/>
          <w:color w:val="595959" w:themeColor="text1" w:themeTint="A6"/>
        </w:rPr>
        <w:t>54</w:t>
      </w:r>
      <w:r w:rsidR="00426BBC">
        <w:rPr>
          <w:rFonts w:ascii="Arial" w:hAnsi="Arial" w:cs="Arial"/>
          <w:bCs/>
          <w:color w:val="595959" w:themeColor="text1" w:themeTint="A6"/>
        </w:rPr>
        <w:t>-</w:t>
      </w:r>
    </w:p>
    <w:p w14:paraId="20EB515C" w14:textId="77777777" w:rsidR="004A4300" w:rsidRDefault="00384956" w:rsidP="003D5E91">
      <w:pPr>
        <w:spacing w:line="276" w:lineRule="auto"/>
        <w:jc w:val="both"/>
        <w:rPr>
          <w:rFonts w:ascii="Arial" w:hAnsi="Arial" w:cs="Arial"/>
          <w:bCs/>
          <w:color w:val="595959" w:themeColor="text1" w:themeTint="A6"/>
        </w:rPr>
      </w:pPr>
      <w:r w:rsidRPr="00C6229D">
        <w:rPr>
          <w:rFonts w:ascii="Arial" w:hAnsi="Arial" w:cs="Arial"/>
          <w:b/>
          <w:color w:val="595959" w:themeColor="text1" w:themeTint="A6"/>
        </w:rPr>
        <w:t>Figure 5.21</w:t>
      </w:r>
      <w:r w:rsidRPr="003D5E91">
        <w:rPr>
          <w:rFonts w:ascii="Arial" w:hAnsi="Arial" w:cs="Arial"/>
          <w:bCs/>
          <w:color w:val="595959" w:themeColor="text1" w:themeTint="A6"/>
        </w:rPr>
        <w:t xml:space="preserve"> Immunohistochemical analysis of Ki-67 in tissue-engineered oral mucosa</w:t>
      </w:r>
    </w:p>
    <w:p w14:paraId="5FC456D6" w14:textId="2793068A" w:rsidR="00384956" w:rsidRPr="003D5E91" w:rsidRDefault="00384956" w:rsidP="003D5E91">
      <w:pPr>
        <w:spacing w:line="276" w:lineRule="auto"/>
        <w:jc w:val="both"/>
        <w:rPr>
          <w:rFonts w:ascii="Arial" w:hAnsi="Arial" w:cs="Arial"/>
          <w:bCs/>
          <w:i/>
          <w:color w:val="595959" w:themeColor="text1" w:themeTint="A6"/>
        </w:rPr>
      </w:pPr>
      <w:r w:rsidRPr="003D5E91">
        <w:rPr>
          <w:rFonts w:ascii="Arial" w:hAnsi="Arial" w:cs="Arial"/>
          <w:bCs/>
          <w:color w:val="595959" w:themeColor="text1" w:themeTint="A6"/>
        </w:rPr>
        <w:t xml:space="preserve"> </w:t>
      </w:r>
      <w:r w:rsidR="00426BBC">
        <w:rPr>
          <w:rFonts w:ascii="Arial" w:hAnsi="Arial" w:cs="Arial"/>
          <w:bCs/>
          <w:color w:val="595959" w:themeColor="text1" w:themeTint="A6"/>
        </w:rPr>
        <w:t>m</w:t>
      </w:r>
      <w:r w:rsidRPr="003D5E91">
        <w:rPr>
          <w:rFonts w:ascii="Arial" w:hAnsi="Arial" w:cs="Arial"/>
          <w:bCs/>
          <w:color w:val="595959" w:themeColor="text1" w:themeTint="A6"/>
        </w:rPr>
        <w:t>odels</w:t>
      </w:r>
      <w:r w:rsidR="00426BBC">
        <w:rPr>
          <w:rFonts w:ascii="Arial" w:hAnsi="Arial" w:cs="Arial"/>
          <w:bCs/>
          <w:color w:val="595959" w:themeColor="text1" w:themeTint="A6"/>
        </w:rPr>
        <w:t>……………………………………………………………………………………………-2</w:t>
      </w:r>
      <w:r w:rsidR="00ED703B">
        <w:rPr>
          <w:rFonts w:ascii="Arial" w:hAnsi="Arial" w:cs="Arial"/>
          <w:bCs/>
          <w:color w:val="595959" w:themeColor="text1" w:themeTint="A6"/>
        </w:rPr>
        <w:t>56</w:t>
      </w:r>
      <w:r w:rsidR="00426BBC">
        <w:rPr>
          <w:rFonts w:ascii="Arial" w:hAnsi="Arial" w:cs="Arial"/>
          <w:bCs/>
          <w:color w:val="595959" w:themeColor="text1" w:themeTint="A6"/>
        </w:rPr>
        <w:t>-</w:t>
      </w:r>
    </w:p>
    <w:p w14:paraId="6638BD8B" w14:textId="77777777" w:rsidR="004A4300" w:rsidRDefault="00384956" w:rsidP="003D5E91">
      <w:pPr>
        <w:spacing w:line="276" w:lineRule="auto"/>
        <w:jc w:val="both"/>
        <w:rPr>
          <w:rFonts w:ascii="Arial" w:hAnsi="Arial" w:cs="Arial"/>
          <w:bCs/>
          <w:color w:val="595959" w:themeColor="text1" w:themeTint="A6"/>
        </w:rPr>
      </w:pPr>
      <w:r w:rsidRPr="00C6229D">
        <w:rPr>
          <w:rFonts w:ascii="Arial" w:hAnsi="Arial" w:cs="Arial"/>
          <w:b/>
          <w:color w:val="595959" w:themeColor="text1" w:themeTint="A6"/>
        </w:rPr>
        <w:t>Figure 5.22</w:t>
      </w:r>
      <w:r w:rsidRPr="003D5E91">
        <w:rPr>
          <w:rFonts w:ascii="Arial" w:hAnsi="Arial" w:cs="Arial"/>
          <w:bCs/>
          <w:color w:val="595959" w:themeColor="text1" w:themeTint="A6"/>
        </w:rPr>
        <w:t xml:space="preserve"> Immunohistochemical analysis of COLIV in tissue-engineered oral </w:t>
      </w:r>
    </w:p>
    <w:p w14:paraId="0A442DA2" w14:textId="06D513D1" w:rsidR="00384956" w:rsidRPr="003D5E91" w:rsidRDefault="00384956" w:rsidP="003D5E91">
      <w:pPr>
        <w:spacing w:line="276" w:lineRule="auto"/>
        <w:jc w:val="both"/>
        <w:rPr>
          <w:rFonts w:ascii="Arial" w:hAnsi="Arial" w:cs="Arial"/>
          <w:bCs/>
          <w:i/>
          <w:color w:val="595959" w:themeColor="text1" w:themeTint="A6"/>
        </w:rPr>
      </w:pPr>
      <w:r w:rsidRPr="003D5E91">
        <w:rPr>
          <w:rFonts w:ascii="Arial" w:hAnsi="Arial" w:cs="Arial"/>
          <w:bCs/>
          <w:color w:val="595959" w:themeColor="text1" w:themeTint="A6"/>
        </w:rPr>
        <w:t>mucosa models</w:t>
      </w:r>
      <w:r w:rsidR="00426BBC">
        <w:rPr>
          <w:rFonts w:ascii="Arial" w:hAnsi="Arial" w:cs="Arial"/>
          <w:bCs/>
          <w:color w:val="595959" w:themeColor="text1" w:themeTint="A6"/>
        </w:rPr>
        <w:t>…………………………………………………………………………………..-25</w:t>
      </w:r>
      <w:r w:rsidR="00ED703B">
        <w:rPr>
          <w:rFonts w:ascii="Arial" w:hAnsi="Arial" w:cs="Arial"/>
          <w:bCs/>
          <w:color w:val="595959" w:themeColor="text1" w:themeTint="A6"/>
        </w:rPr>
        <w:t>8</w:t>
      </w:r>
      <w:r w:rsidR="00426BBC">
        <w:rPr>
          <w:rFonts w:ascii="Arial" w:hAnsi="Arial" w:cs="Arial"/>
          <w:bCs/>
          <w:color w:val="595959" w:themeColor="text1" w:themeTint="A6"/>
        </w:rPr>
        <w:t>-</w:t>
      </w:r>
    </w:p>
    <w:p w14:paraId="749743D0" w14:textId="34339198" w:rsidR="00384956" w:rsidRPr="003D5E91" w:rsidRDefault="00384956" w:rsidP="003D5E91">
      <w:pPr>
        <w:spacing w:line="276" w:lineRule="auto"/>
        <w:jc w:val="both"/>
        <w:rPr>
          <w:rFonts w:ascii="Arial" w:eastAsia="SimSun" w:hAnsi="Arial" w:cs="Arial"/>
          <w:bCs/>
          <w:color w:val="595959" w:themeColor="text1" w:themeTint="A6"/>
          <w:kern w:val="24"/>
        </w:rPr>
      </w:pPr>
      <w:r w:rsidRPr="00C6229D">
        <w:rPr>
          <w:rFonts w:ascii="Arial" w:eastAsia="SimSun" w:hAnsi="Arial" w:cs="Arial"/>
          <w:b/>
          <w:color w:val="595959" w:themeColor="text1" w:themeTint="A6"/>
          <w:kern w:val="24"/>
        </w:rPr>
        <w:t>Figure 5.23</w:t>
      </w:r>
      <w:r w:rsidRPr="003D5E91">
        <w:rPr>
          <w:rFonts w:ascii="Arial" w:eastAsia="SimSun" w:hAnsi="Arial" w:cs="Arial"/>
          <w:bCs/>
          <w:color w:val="595959" w:themeColor="text1" w:themeTint="A6"/>
          <w:kern w:val="24"/>
        </w:rPr>
        <w:t xml:space="preserve"> MMP-2 and MMP-9 activity in tissue-engineered oral mucosa models</w:t>
      </w:r>
      <w:r w:rsidR="00840B0D">
        <w:rPr>
          <w:rFonts w:ascii="Arial" w:eastAsia="SimSun" w:hAnsi="Arial" w:cs="Arial"/>
          <w:bCs/>
          <w:color w:val="595959" w:themeColor="text1" w:themeTint="A6"/>
          <w:kern w:val="24"/>
        </w:rPr>
        <w:t>………-2</w:t>
      </w:r>
      <w:r w:rsidR="00ED703B">
        <w:rPr>
          <w:rFonts w:ascii="Arial" w:eastAsia="SimSun" w:hAnsi="Arial" w:cs="Arial"/>
          <w:bCs/>
          <w:color w:val="595959" w:themeColor="text1" w:themeTint="A6"/>
          <w:kern w:val="24"/>
        </w:rPr>
        <w:t>60</w:t>
      </w:r>
      <w:r w:rsidR="00840B0D">
        <w:rPr>
          <w:rFonts w:ascii="Arial" w:eastAsia="SimSun" w:hAnsi="Arial" w:cs="Arial"/>
          <w:bCs/>
          <w:color w:val="595959" w:themeColor="text1" w:themeTint="A6"/>
          <w:kern w:val="24"/>
        </w:rPr>
        <w:t>-</w:t>
      </w:r>
    </w:p>
    <w:p w14:paraId="6A1189F5" w14:textId="32792917" w:rsidR="00384956" w:rsidRPr="003D5E91" w:rsidRDefault="00384956" w:rsidP="003D5E91">
      <w:pPr>
        <w:spacing w:line="276" w:lineRule="auto"/>
        <w:jc w:val="both"/>
        <w:rPr>
          <w:rFonts w:ascii="Arial" w:eastAsia="SimSun" w:hAnsi="Arial" w:cs="Arial"/>
          <w:bCs/>
          <w:color w:val="595959" w:themeColor="text1" w:themeTint="A6"/>
          <w:kern w:val="24"/>
        </w:rPr>
      </w:pPr>
      <w:r w:rsidRPr="00C6229D">
        <w:rPr>
          <w:rFonts w:ascii="Arial" w:eastAsia="SimSun" w:hAnsi="Arial" w:cs="Arial"/>
          <w:b/>
          <w:color w:val="595959" w:themeColor="text1" w:themeTint="A6"/>
          <w:kern w:val="24"/>
        </w:rPr>
        <w:t>Figure 6.1</w:t>
      </w:r>
      <w:r w:rsidRPr="003D5E91">
        <w:rPr>
          <w:rFonts w:ascii="Arial" w:eastAsia="SimSun" w:hAnsi="Arial" w:cs="Arial"/>
          <w:bCs/>
          <w:color w:val="595959" w:themeColor="text1" w:themeTint="A6"/>
          <w:kern w:val="24"/>
        </w:rPr>
        <w:t xml:space="preserve"> ECM remodelling during cancer progression</w:t>
      </w:r>
      <w:r w:rsidR="00840B0D">
        <w:rPr>
          <w:rFonts w:ascii="Arial" w:eastAsia="SimSun" w:hAnsi="Arial" w:cs="Arial"/>
          <w:bCs/>
          <w:color w:val="595959" w:themeColor="text1" w:themeTint="A6"/>
          <w:kern w:val="24"/>
        </w:rPr>
        <w:t>……………………………………..-26</w:t>
      </w:r>
      <w:r w:rsidR="00912070">
        <w:rPr>
          <w:rFonts w:ascii="Arial" w:eastAsia="SimSun" w:hAnsi="Arial" w:cs="Arial"/>
          <w:bCs/>
          <w:color w:val="595959" w:themeColor="text1" w:themeTint="A6"/>
          <w:kern w:val="24"/>
        </w:rPr>
        <w:t>8</w:t>
      </w:r>
      <w:r w:rsidR="00840B0D">
        <w:rPr>
          <w:rFonts w:ascii="Arial" w:eastAsia="SimSun" w:hAnsi="Arial" w:cs="Arial"/>
          <w:bCs/>
          <w:color w:val="595959" w:themeColor="text1" w:themeTint="A6"/>
          <w:kern w:val="24"/>
        </w:rPr>
        <w:t>-</w:t>
      </w:r>
    </w:p>
    <w:p w14:paraId="3DE65E89" w14:textId="50F2B263" w:rsidR="00384956" w:rsidRPr="003D5E91" w:rsidRDefault="00384956" w:rsidP="003D5E91">
      <w:pPr>
        <w:spacing w:line="276" w:lineRule="auto"/>
        <w:jc w:val="both"/>
        <w:rPr>
          <w:rFonts w:ascii="Arial" w:eastAsia="SimSun" w:hAnsi="Arial" w:cs="Arial"/>
          <w:bCs/>
          <w:color w:val="595959" w:themeColor="text1" w:themeTint="A6"/>
          <w:kern w:val="24"/>
        </w:rPr>
      </w:pPr>
      <w:r w:rsidRPr="00C6229D">
        <w:rPr>
          <w:rFonts w:ascii="Arial" w:eastAsia="SimSun" w:hAnsi="Arial" w:cs="Arial"/>
          <w:b/>
          <w:color w:val="595959" w:themeColor="text1" w:themeTint="A6"/>
          <w:kern w:val="24"/>
        </w:rPr>
        <w:t>Figure 6.2</w:t>
      </w:r>
      <w:r w:rsidRPr="003D5E91">
        <w:rPr>
          <w:rFonts w:ascii="Arial" w:eastAsia="SimSun" w:hAnsi="Arial" w:cs="Arial"/>
          <w:bCs/>
          <w:color w:val="595959" w:themeColor="text1" w:themeTint="A6"/>
          <w:kern w:val="24"/>
        </w:rPr>
        <w:t xml:space="preserve"> Mimicking properties of tumour ECM</w:t>
      </w:r>
      <w:r w:rsidR="00840B0D">
        <w:rPr>
          <w:rFonts w:ascii="Arial" w:eastAsia="SimSun" w:hAnsi="Arial" w:cs="Arial"/>
          <w:bCs/>
          <w:color w:val="595959" w:themeColor="text1" w:themeTint="A6"/>
          <w:kern w:val="24"/>
        </w:rPr>
        <w:t>…………………………………………….</w:t>
      </w:r>
      <w:r w:rsidR="00790A5B">
        <w:rPr>
          <w:rFonts w:ascii="Arial" w:eastAsia="SimSun" w:hAnsi="Arial" w:cs="Arial"/>
          <w:bCs/>
          <w:color w:val="595959" w:themeColor="text1" w:themeTint="A6"/>
          <w:kern w:val="24"/>
        </w:rPr>
        <w:t>.-2</w:t>
      </w:r>
      <w:r w:rsidR="00912070">
        <w:rPr>
          <w:rFonts w:ascii="Arial" w:eastAsia="SimSun" w:hAnsi="Arial" w:cs="Arial"/>
          <w:bCs/>
          <w:color w:val="595959" w:themeColor="text1" w:themeTint="A6"/>
          <w:kern w:val="24"/>
        </w:rPr>
        <w:t>70</w:t>
      </w:r>
      <w:r w:rsidR="00790A5B">
        <w:rPr>
          <w:rFonts w:ascii="Arial" w:eastAsia="SimSun" w:hAnsi="Arial" w:cs="Arial"/>
          <w:bCs/>
          <w:color w:val="595959" w:themeColor="text1" w:themeTint="A6"/>
          <w:kern w:val="24"/>
        </w:rPr>
        <w:t>-</w:t>
      </w:r>
    </w:p>
    <w:p w14:paraId="49C58223" w14:textId="7B740293" w:rsidR="00384956" w:rsidRPr="003D5E91" w:rsidRDefault="00384956" w:rsidP="003D5E91">
      <w:pPr>
        <w:spacing w:line="276" w:lineRule="auto"/>
        <w:jc w:val="both"/>
        <w:rPr>
          <w:rFonts w:ascii="Arial" w:hAnsi="Arial" w:cs="Arial"/>
          <w:bCs/>
          <w:color w:val="595959" w:themeColor="text1" w:themeTint="A6"/>
        </w:rPr>
      </w:pPr>
      <w:r w:rsidRPr="00C6229D">
        <w:rPr>
          <w:rFonts w:ascii="Arial" w:eastAsia="SimSun" w:hAnsi="Arial" w:cs="Arial"/>
          <w:b/>
          <w:color w:val="595959" w:themeColor="text1" w:themeTint="A6"/>
          <w:kern w:val="24"/>
        </w:rPr>
        <w:t>Figure 7.1</w:t>
      </w:r>
      <w:r w:rsidRPr="003D5E91">
        <w:rPr>
          <w:rFonts w:ascii="Arial" w:eastAsia="SimSun" w:hAnsi="Arial" w:cs="Arial"/>
          <w:bCs/>
          <w:color w:val="595959" w:themeColor="text1" w:themeTint="A6"/>
          <w:kern w:val="24"/>
        </w:rPr>
        <w:t xml:space="preserve"> CAF contraction in TE-FDM</w:t>
      </w:r>
      <w:r w:rsidR="00790A5B">
        <w:rPr>
          <w:rFonts w:ascii="Arial" w:eastAsia="SimSun" w:hAnsi="Arial" w:cs="Arial"/>
          <w:bCs/>
          <w:color w:val="595959" w:themeColor="text1" w:themeTint="A6"/>
          <w:kern w:val="24"/>
        </w:rPr>
        <w:t>………………………………………………………..-2</w:t>
      </w:r>
      <w:r w:rsidR="00912070">
        <w:rPr>
          <w:rFonts w:ascii="Arial" w:eastAsia="SimSun" w:hAnsi="Arial" w:cs="Arial"/>
          <w:bCs/>
          <w:color w:val="595959" w:themeColor="text1" w:themeTint="A6"/>
          <w:kern w:val="24"/>
        </w:rPr>
        <w:t>81</w:t>
      </w:r>
      <w:r w:rsidR="00790A5B">
        <w:rPr>
          <w:rFonts w:ascii="Arial" w:eastAsia="SimSun" w:hAnsi="Arial" w:cs="Arial"/>
          <w:bCs/>
          <w:color w:val="595959" w:themeColor="text1" w:themeTint="A6"/>
          <w:kern w:val="24"/>
        </w:rPr>
        <w:t>-</w:t>
      </w:r>
    </w:p>
    <w:p w14:paraId="391E66C9" w14:textId="21DA3765" w:rsidR="00384956" w:rsidRPr="003D5E91" w:rsidRDefault="00384956" w:rsidP="003D5E91">
      <w:pPr>
        <w:spacing w:line="276" w:lineRule="auto"/>
        <w:jc w:val="both"/>
        <w:rPr>
          <w:rFonts w:ascii="Arial" w:eastAsia="SimSun" w:hAnsi="Arial" w:cs="Arial"/>
          <w:bCs/>
          <w:color w:val="595959" w:themeColor="text1" w:themeTint="A6"/>
          <w:kern w:val="24"/>
        </w:rPr>
      </w:pPr>
      <w:r w:rsidRPr="00C6229D">
        <w:rPr>
          <w:rFonts w:ascii="Arial" w:eastAsia="SimSun" w:hAnsi="Arial" w:cs="Arial"/>
          <w:b/>
          <w:color w:val="595959" w:themeColor="text1" w:themeTint="A6"/>
          <w:kern w:val="24"/>
        </w:rPr>
        <w:t>Figure 7.2</w:t>
      </w:r>
      <w:r w:rsidRPr="003D5E91">
        <w:rPr>
          <w:rFonts w:ascii="Arial" w:eastAsia="SimSun" w:hAnsi="Arial" w:cs="Arial"/>
          <w:bCs/>
          <w:color w:val="595959" w:themeColor="text1" w:themeTint="A6"/>
          <w:kern w:val="24"/>
        </w:rPr>
        <w:t xml:space="preserve"> Keratinocyte adhesion onto NOF- and CAF-DM</w:t>
      </w:r>
      <w:r w:rsidR="00790A5B">
        <w:rPr>
          <w:rFonts w:ascii="Arial" w:eastAsia="SimSun" w:hAnsi="Arial" w:cs="Arial"/>
          <w:bCs/>
          <w:color w:val="595959" w:themeColor="text1" w:themeTint="A6"/>
          <w:kern w:val="24"/>
        </w:rPr>
        <w:t>…………………………………-</w:t>
      </w:r>
      <w:r w:rsidR="00A24293">
        <w:rPr>
          <w:rFonts w:ascii="Arial" w:eastAsia="SimSun" w:hAnsi="Arial" w:cs="Arial"/>
          <w:bCs/>
          <w:color w:val="595959" w:themeColor="text1" w:themeTint="A6"/>
          <w:kern w:val="24"/>
        </w:rPr>
        <w:t>2</w:t>
      </w:r>
      <w:r w:rsidR="000628D7">
        <w:rPr>
          <w:rFonts w:ascii="Arial" w:eastAsia="SimSun" w:hAnsi="Arial" w:cs="Arial"/>
          <w:bCs/>
          <w:color w:val="595959" w:themeColor="text1" w:themeTint="A6"/>
          <w:kern w:val="24"/>
        </w:rPr>
        <w:t>82</w:t>
      </w:r>
      <w:r w:rsidR="00A24293">
        <w:rPr>
          <w:rFonts w:ascii="Arial" w:eastAsia="SimSun" w:hAnsi="Arial" w:cs="Arial"/>
          <w:bCs/>
          <w:color w:val="595959" w:themeColor="text1" w:themeTint="A6"/>
          <w:kern w:val="24"/>
        </w:rPr>
        <w:t>-</w:t>
      </w:r>
    </w:p>
    <w:p w14:paraId="76AD91F4" w14:textId="77777777" w:rsidR="00AD58ED" w:rsidRDefault="00384956" w:rsidP="003D5E91">
      <w:pPr>
        <w:spacing w:line="276" w:lineRule="auto"/>
        <w:jc w:val="both"/>
        <w:rPr>
          <w:rFonts w:ascii="Arial" w:eastAsia="SimSun" w:hAnsi="Arial" w:cs="Arial"/>
          <w:bCs/>
          <w:color w:val="595959" w:themeColor="text1" w:themeTint="A6"/>
          <w:kern w:val="24"/>
        </w:rPr>
      </w:pPr>
      <w:r w:rsidRPr="00C6229D">
        <w:rPr>
          <w:rFonts w:ascii="Arial" w:eastAsia="SimSun" w:hAnsi="Arial" w:cs="Arial"/>
          <w:b/>
          <w:color w:val="595959" w:themeColor="text1" w:themeTint="A6"/>
          <w:kern w:val="24"/>
        </w:rPr>
        <w:t>Figure 7.3</w:t>
      </w:r>
      <w:r w:rsidRPr="003D5E91">
        <w:rPr>
          <w:rFonts w:ascii="Arial" w:eastAsia="SimSun" w:hAnsi="Arial" w:cs="Arial"/>
          <w:bCs/>
          <w:color w:val="595959" w:themeColor="text1" w:themeTint="A6"/>
          <w:kern w:val="24"/>
        </w:rPr>
        <w:t xml:space="preserve"> Assessment of the proliferation of H357 and FNB6 cells on NOF- and </w:t>
      </w:r>
    </w:p>
    <w:p w14:paraId="5E5A0057" w14:textId="2F89ABF3" w:rsidR="00384956" w:rsidRPr="003D5E91" w:rsidRDefault="00384956" w:rsidP="003D5E91">
      <w:pPr>
        <w:spacing w:line="276" w:lineRule="auto"/>
        <w:jc w:val="both"/>
        <w:rPr>
          <w:rFonts w:ascii="Arial" w:hAnsi="Arial" w:cs="Arial"/>
          <w:bCs/>
          <w:color w:val="595959" w:themeColor="text1" w:themeTint="A6"/>
        </w:rPr>
      </w:pPr>
      <w:r w:rsidRPr="003D5E91">
        <w:rPr>
          <w:rFonts w:ascii="Arial" w:eastAsia="SimSun" w:hAnsi="Arial" w:cs="Arial"/>
          <w:bCs/>
          <w:color w:val="595959" w:themeColor="text1" w:themeTint="A6"/>
          <w:kern w:val="24"/>
        </w:rPr>
        <w:t xml:space="preserve">CAF-DM </w:t>
      </w:r>
      <w:r w:rsidR="00A24293">
        <w:rPr>
          <w:rFonts w:ascii="Arial" w:eastAsia="SimSun" w:hAnsi="Arial" w:cs="Arial"/>
          <w:bCs/>
          <w:color w:val="595959" w:themeColor="text1" w:themeTint="A6"/>
          <w:kern w:val="24"/>
        </w:rPr>
        <w:t>…………………………………………………………………………………………..-2</w:t>
      </w:r>
      <w:r w:rsidR="000628D7">
        <w:rPr>
          <w:rFonts w:ascii="Arial" w:eastAsia="SimSun" w:hAnsi="Arial" w:cs="Arial"/>
          <w:bCs/>
          <w:color w:val="595959" w:themeColor="text1" w:themeTint="A6"/>
          <w:kern w:val="24"/>
        </w:rPr>
        <w:t>83</w:t>
      </w:r>
      <w:r w:rsidR="00A24293">
        <w:rPr>
          <w:rFonts w:ascii="Arial" w:eastAsia="SimSun" w:hAnsi="Arial" w:cs="Arial"/>
          <w:bCs/>
          <w:color w:val="595959" w:themeColor="text1" w:themeTint="A6"/>
          <w:kern w:val="24"/>
        </w:rPr>
        <w:t>-</w:t>
      </w:r>
    </w:p>
    <w:p w14:paraId="58865D5A" w14:textId="77777777" w:rsidR="00AD58ED" w:rsidRDefault="00384956" w:rsidP="003D5E91">
      <w:pPr>
        <w:spacing w:line="276" w:lineRule="auto"/>
        <w:jc w:val="both"/>
        <w:rPr>
          <w:rFonts w:ascii="Arial" w:hAnsi="Arial" w:cs="Arial"/>
          <w:bCs/>
          <w:color w:val="595959" w:themeColor="text1" w:themeTint="A6"/>
        </w:rPr>
      </w:pPr>
      <w:r w:rsidRPr="00C6229D">
        <w:rPr>
          <w:rFonts w:ascii="Arial" w:hAnsi="Arial" w:cs="Arial"/>
          <w:b/>
          <w:color w:val="595959" w:themeColor="text1" w:themeTint="A6"/>
        </w:rPr>
        <w:t>Figure 7.4</w:t>
      </w:r>
      <w:r w:rsidRPr="003D5E91">
        <w:rPr>
          <w:rFonts w:ascii="Arial" w:hAnsi="Arial" w:cs="Arial"/>
          <w:bCs/>
          <w:color w:val="595959" w:themeColor="text1" w:themeTint="A6"/>
        </w:rPr>
        <w:t xml:space="preserve"> Histological analysis of tissue-engineered normal oral mucosa (TENOM) </w:t>
      </w:r>
    </w:p>
    <w:p w14:paraId="3DCBE2D8" w14:textId="568A29B6" w:rsidR="00384956" w:rsidRPr="003D5E91" w:rsidRDefault="00384956" w:rsidP="003D5E91">
      <w:pPr>
        <w:spacing w:line="276" w:lineRule="auto"/>
        <w:jc w:val="both"/>
        <w:rPr>
          <w:rFonts w:ascii="Arial" w:hAnsi="Arial" w:cs="Arial"/>
          <w:bCs/>
          <w:i/>
          <w:color w:val="595959" w:themeColor="text1" w:themeTint="A6"/>
        </w:rPr>
      </w:pPr>
      <w:r w:rsidRPr="003D5E91">
        <w:rPr>
          <w:rFonts w:ascii="Arial" w:hAnsi="Arial" w:cs="Arial"/>
          <w:bCs/>
          <w:color w:val="595959" w:themeColor="text1" w:themeTint="A6"/>
        </w:rPr>
        <w:t>model generated using NOF-DM</w:t>
      </w:r>
      <w:r w:rsidR="00D73747">
        <w:rPr>
          <w:rFonts w:ascii="Arial" w:hAnsi="Arial" w:cs="Arial"/>
          <w:bCs/>
          <w:color w:val="595959" w:themeColor="text1" w:themeTint="A6"/>
        </w:rPr>
        <w:t>……………………………………………………………….-2</w:t>
      </w:r>
      <w:r w:rsidR="000628D7">
        <w:rPr>
          <w:rFonts w:ascii="Arial" w:hAnsi="Arial" w:cs="Arial"/>
          <w:bCs/>
          <w:color w:val="595959" w:themeColor="text1" w:themeTint="A6"/>
        </w:rPr>
        <w:t>84</w:t>
      </w:r>
      <w:r w:rsidR="00D73747">
        <w:rPr>
          <w:rFonts w:ascii="Arial" w:hAnsi="Arial" w:cs="Arial"/>
          <w:bCs/>
          <w:color w:val="595959" w:themeColor="text1" w:themeTint="A6"/>
        </w:rPr>
        <w:t>-</w:t>
      </w:r>
    </w:p>
    <w:p w14:paraId="51CA5F1F" w14:textId="0496965E" w:rsidR="00384956" w:rsidRPr="003D5E91" w:rsidRDefault="00384956" w:rsidP="003D5E91">
      <w:pPr>
        <w:spacing w:line="276" w:lineRule="auto"/>
        <w:jc w:val="both"/>
        <w:rPr>
          <w:rFonts w:ascii="Arial" w:hAnsi="Arial" w:cs="Arial"/>
          <w:bCs/>
          <w:i/>
          <w:color w:val="595959" w:themeColor="text1" w:themeTint="A6"/>
        </w:rPr>
      </w:pPr>
      <w:r w:rsidRPr="00C6229D">
        <w:rPr>
          <w:rFonts w:ascii="Arial" w:hAnsi="Arial" w:cs="Arial"/>
          <w:b/>
          <w:color w:val="595959" w:themeColor="text1" w:themeTint="A6"/>
        </w:rPr>
        <w:t>Figure 7.5</w:t>
      </w:r>
      <w:r w:rsidRPr="003D5E91">
        <w:rPr>
          <w:rFonts w:ascii="Arial" w:hAnsi="Arial" w:cs="Arial"/>
          <w:bCs/>
          <w:color w:val="595959" w:themeColor="text1" w:themeTint="A6"/>
        </w:rPr>
        <w:t xml:space="preserve"> Variations in epidermal thickness in tissue-engineered oral mucosa models</w:t>
      </w:r>
      <w:r w:rsidR="00741469">
        <w:rPr>
          <w:rFonts w:ascii="Arial" w:hAnsi="Arial" w:cs="Arial"/>
          <w:bCs/>
          <w:color w:val="595959" w:themeColor="text1" w:themeTint="A6"/>
        </w:rPr>
        <w:t>…-28</w:t>
      </w:r>
      <w:r w:rsidR="001C6D8A">
        <w:rPr>
          <w:rFonts w:ascii="Arial" w:hAnsi="Arial" w:cs="Arial"/>
          <w:bCs/>
          <w:color w:val="595959" w:themeColor="text1" w:themeTint="A6"/>
        </w:rPr>
        <w:t>5</w:t>
      </w:r>
      <w:r w:rsidR="00741469">
        <w:rPr>
          <w:rFonts w:ascii="Arial" w:hAnsi="Arial" w:cs="Arial"/>
          <w:bCs/>
          <w:color w:val="595959" w:themeColor="text1" w:themeTint="A6"/>
        </w:rPr>
        <w:t>-</w:t>
      </w:r>
      <w:r w:rsidRPr="003D5E91">
        <w:rPr>
          <w:rFonts w:ascii="Arial" w:hAnsi="Arial" w:cs="Arial"/>
          <w:bCs/>
          <w:color w:val="595959" w:themeColor="text1" w:themeTint="A6"/>
        </w:rPr>
        <w:t xml:space="preserve"> </w:t>
      </w:r>
    </w:p>
    <w:p w14:paraId="31FF878B" w14:textId="77777777" w:rsidR="00AD58ED" w:rsidRDefault="00384956" w:rsidP="003D5E91">
      <w:pPr>
        <w:spacing w:line="276" w:lineRule="auto"/>
        <w:jc w:val="both"/>
        <w:rPr>
          <w:rFonts w:ascii="Arial" w:hAnsi="Arial" w:cs="Arial"/>
          <w:bCs/>
          <w:color w:val="595959" w:themeColor="text1" w:themeTint="A6"/>
        </w:rPr>
      </w:pPr>
      <w:r w:rsidRPr="00C6229D">
        <w:rPr>
          <w:rFonts w:ascii="Arial" w:hAnsi="Arial" w:cs="Arial"/>
          <w:b/>
          <w:color w:val="595959" w:themeColor="text1" w:themeTint="A6"/>
        </w:rPr>
        <w:t>Figure 7.6</w:t>
      </w:r>
      <w:r w:rsidRPr="003D5E91">
        <w:rPr>
          <w:rFonts w:ascii="Arial" w:hAnsi="Arial" w:cs="Arial"/>
          <w:bCs/>
          <w:color w:val="595959" w:themeColor="text1" w:themeTint="A6"/>
        </w:rPr>
        <w:t xml:space="preserve"> Immunohistochemical analysis of COLIV in tissue-engineered atypical oral </w:t>
      </w:r>
    </w:p>
    <w:p w14:paraId="6B73480E" w14:textId="3EA5CD42" w:rsidR="0093500D" w:rsidRPr="00AD58ED" w:rsidRDefault="00384956" w:rsidP="00AD58ED">
      <w:pPr>
        <w:spacing w:line="276" w:lineRule="auto"/>
        <w:jc w:val="both"/>
        <w:rPr>
          <w:rFonts w:ascii="Arial" w:hAnsi="Arial" w:cs="Arial"/>
          <w:bCs/>
          <w:i/>
          <w:color w:val="595959" w:themeColor="text1" w:themeTint="A6"/>
        </w:rPr>
      </w:pPr>
      <w:r w:rsidRPr="003D5E91">
        <w:rPr>
          <w:rFonts w:ascii="Arial" w:hAnsi="Arial" w:cs="Arial"/>
          <w:bCs/>
          <w:color w:val="595959" w:themeColor="text1" w:themeTint="A6"/>
        </w:rPr>
        <w:t>mucosa</w:t>
      </w:r>
      <w:r w:rsidR="003D5E91" w:rsidRPr="003D5E91">
        <w:rPr>
          <w:rFonts w:ascii="Arial" w:hAnsi="Arial" w:cs="Arial"/>
          <w:bCs/>
          <w:color w:val="595959" w:themeColor="text1" w:themeTint="A6"/>
        </w:rPr>
        <w:t xml:space="preserve"> m</w:t>
      </w:r>
      <w:r w:rsidRPr="003D5E91">
        <w:rPr>
          <w:rFonts w:ascii="Arial" w:hAnsi="Arial" w:cs="Arial"/>
          <w:bCs/>
          <w:color w:val="595959" w:themeColor="text1" w:themeTint="A6"/>
        </w:rPr>
        <w:t>odel</w:t>
      </w:r>
      <w:r w:rsidR="00741469">
        <w:rPr>
          <w:rFonts w:ascii="Arial" w:hAnsi="Arial" w:cs="Arial"/>
          <w:bCs/>
          <w:color w:val="595959" w:themeColor="text1" w:themeTint="A6"/>
        </w:rPr>
        <w:t>………………………………………………………………………………….</w:t>
      </w:r>
      <w:r w:rsidR="002942B6">
        <w:rPr>
          <w:rFonts w:ascii="Arial" w:hAnsi="Arial" w:cs="Arial"/>
          <w:bCs/>
          <w:color w:val="595959" w:themeColor="text1" w:themeTint="A6"/>
        </w:rPr>
        <w:t>-2</w:t>
      </w:r>
      <w:r w:rsidR="00536545">
        <w:rPr>
          <w:rFonts w:ascii="Arial" w:hAnsi="Arial" w:cs="Arial"/>
          <w:bCs/>
          <w:color w:val="595959" w:themeColor="text1" w:themeTint="A6"/>
        </w:rPr>
        <w:t>80</w:t>
      </w:r>
      <w:r w:rsidR="002942B6">
        <w:rPr>
          <w:rFonts w:ascii="Arial" w:hAnsi="Arial" w:cs="Arial"/>
          <w:bCs/>
          <w:color w:val="595959" w:themeColor="text1" w:themeTint="A6"/>
        </w:rPr>
        <w:t>-</w:t>
      </w:r>
    </w:p>
    <w:p w14:paraId="1BAC865C" w14:textId="0E6BAB10" w:rsidR="00091C09" w:rsidRDefault="00091C09" w:rsidP="00091C09">
      <w:pPr>
        <w:pStyle w:val="Title"/>
        <w:outlineLvl w:val="0"/>
        <w:rPr>
          <w:color w:val="4472C4" w:themeColor="accent1"/>
        </w:rPr>
      </w:pPr>
      <w:bookmarkStart w:id="7" w:name="_Toc34208235"/>
      <w:r>
        <w:rPr>
          <w:color w:val="4472C4" w:themeColor="accent1"/>
        </w:rPr>
        <w:lastRenderedPageBreak/>
        <w:t>List of tables</w:t>
      </w:r>
      <w:bookmarkEnd w:id="7"/>
    </w:p>
    <w:p w14:paraId="416EBCEC" w14:textId="77777777" w:rsidR="00E4564F" w:rsidRPr="00E4564F" w:rsidRDefault="00E4564F" w:rsidP="00E4564F"/>
    <w:p w14:paraId="50362959" w14:textId="585E2E8C" w:rsidR="00E4564F" w:rsidRPr="001B2A02" w:rsidRDefault="00E4564F" w:rsidP="00E4564F">
      <w:pPr>
        <w:spacing w:after="0" w:line="480" w:lineRule="auto"/>
        <w:jc w:val="both"/>
        <w:rPr>
          <w:rFonts w:ascii="Arial" w:hAnsi="Arial" w:cs="Arial"/>
          <w:color w:val="595959" w:themeColor="text1" w:themeTint="A6"/>
        </w:rPr>
      </w:pPr>
      <w:r w:rsidRPr="001B2A02">
        <w:rPr>
          <w:rFonts w:ascii="Arial" w:hAnsi="Arial" w:cs="Arial"/>
          <w:color w:val="595959" w:themeColor="text1" w:themeTint="A6"/>
        </w:rPr>
        <w:t>Table 1.1 Quiescent fibroblasts vs activated fibroblasts</w:t>
      </w:r>
      <w:r w:rsidR="00A0047F">
        <w:rPr>
          <w:rFonts w:ascii="Arial" w:hAnsi="Arial" w:cs="Arial"/>
          <w:color w:val="595959" w:themeColor="text1" w:themeTint="A6"/>
        </w:rPr>
        <w:t>…………………………………</w:t>
      </w:r>
      <w:r w:rsidR="00014187">
        <w:rPr>
          <w:rFonts w:ascii="Arial" w:hAnsi="Arial" w:cs="Arial"/>
          <w:color w:val="595959" w:themeColor="text1" w:themeTint="A6"/>
        </w:rPr>
        <w:t>…….-</w:t>
      </w:r>
      <w:r w:rsidR="00A0047F">
        <w:rPr>
          <w:rFonts w:ascii="Arial" w:hAnsi="Arial" w:cs="Arial"/>
          <w:color w:val="595959" w:themeColor="text1" w:themeTint="A6"/>
        </w:rPr>
        <w:t>3</w:t>
      </w:r>
      <w:r w:rsidR="00C95A23">
        <w:rPr>
          <w:rFonts w:ascii="Arial" w:hAnsi="Arial" w:cs="Arial"/>
          <w:color w:val="595959" w:themeColor="text1" w:themeTint="A6"/>
        </w:rPr>
        <w:t>4</w:t>
      </w:r>
      <w:r w:rsidR="00014187">
        <w:rPr>
          <w:rFonts w:ascii="Arial" w:hAnsi="Arial" w:cs="Arial"/>
          <w:color w:val="595959" w:themeColor="text1" w:themeTint="A6"/>
        </w:rPr>
        <w:t>-</w:t>
      </w:r>
    </w:p>
    <w:p w14:paraId="0227C5E5" w14:textId="3A9D867F" w:rsidR="00A0047F" w:rsidRPr="001B2A02" w:rsidRDefault="00E4564F" w:rsidP="00E4564F">
      <w:pPr>
        <w:spacing w:after="0" w:line="480" w:lineRule="auto"/>
        <w:jc w:val="both"/>
        <w:rPr>
          <w:rFonts w:ascii="Arial" w:hAnsi="Arial" w:cs="Arial"/>
          <w:color w:val="595959" w:themeColor="text1" w:themeTint="A6"/>
        </w:rPr>
      </w:pPr>
      <w:r w:rsidRPr="001B2A02">
        <w:rPr>
          <w:rFonts w:ascii="Arial" w:hAnsi="Arial" w:cs="Arial"/>
          <w:color w:val="595959" w:themeColor="text1" w:themeTint="A6"/>
        </w:rPr>
        <w:t xml:space="preserve">Table 1.2 Advantages and disadvantages of </w:t>
      </w:r>
      <w:r w:rsidRPr="001B2A02">
        <w:rPr>
          <w:rFonts w:ascii="Arial" w:hAnsi="Arial" w:cs="Arial"/>
          <w:i/>
          <w:iCs/>
          <w:color w:val="595959" w:themeColor="text1" w:themeTint="A6"/>
        </w:rPr>
        <w:t>in vitro</w:t>
      </w:r>
      <w:r w:rsidRPr="001B2A02">
        <w:rPr>
          <w:rFonts w:ascii="Arial" w:hAnsi="Arial" w:cs="Arial"/>
          <w:color w:val="595959" w:themeColor="text1" w:themeTint="A6"/>
        </w:rPr>
        <w:t xml:space="preserve"> techniques</w:t>
      </w:r>
      <w:r w:rsidR="00A0047F">
        <w:rPr>
          <w:rFonts w:ascii="Arial" w:hAnsi="Arial" w:cs="Arial"/>
          <w:color w:val="595959" w:themeColor="text1" w:themeTint="A6"/>
        </w:rPr>
        <w:t>………………………...</w:t>
      </w:r>
      <w:r w:rsidR="00014187">
        <w:rPr>
          <w:rFonts w:ascii="Arial" w:hAnsi="Arial" w:cs="Arial"/>
          <w:color w:val="595959" w:themeColor="text1" w:themeTint="A6"/>
        </w:rPr>
        <w:t>.......-</w:t>
      </w:r>
      <w:r w:rsidR="00A0047F">
        <w:rPr>
          <w:rFonts w:ascii="Arial" w:hAnsi="Arial" w:cs="Arial"/>
          <w:color w:val="595959" w:themeColor="text1" w:themeTint="A6"/>
        </w:rPr>
        <w:t>5</w:t>
      </w:r>
      <w:r w:rsidR="00C95A23">
        <w:rPr>
          <w:rFonts w:ascii="Arial" w:hAnsi="Arial" w:cs="Arial"/>
          <w:color w:val="595959" w:themeColor="text1" w:themeTint="A6"/>
        </w:rPr>
        <w:t>6</w:t>
      </w:r>
      <w:r w:rsidR="00014187">
        <w:rPr>
          <w:rFonts w:ascii="Arial" w:hAnsi="Arial" w:cs="Arial"/>
          <w:color w:val="595959" w:themeColor="text1" w:themeTint="A6"/>
        </w:rPr>
        <w:t>-</w:t>
      </w:r>
    </w:p>
    <w:p w14:paraId="63C17352" w14:textId="7E2ACB95" w:rsidR="00E4564F" w:rsidRPr="001B2A02" w:rsidRDefault="00E4564F" w:rsidP="00E4564F">
      <w:pPr>
        <w:spacing w:after="0" w:line="480" w:lineRule="auto"/>
        <w:jc w:val="both"/>
        <w:rPr>
          <w:rFonts w:ascii="Arial" w:hAnsi="Arial" w:cs="Arial"/>
          <w:color w:val="595959" w:themeColor="text1" w:themeTint="A6"/>
        </w:rPr>
      </w:pPr>
      <w:r w:rsidRPr="001B2A02">
        <w:rPr>
          <w:rFonts w:ascii="Arial" w:hAnsi="Arial" w:cs="Arial"/>
          <w:iCs/>
          <w:color w:val="595959" w:themeColor="text1" w:themeTint="A6"/>
          <w:lang w:val="en-US"/>
        </w:rPr>
        <w:t>Table 2.1 Preparation of oral fibroblasts growth media</w:t>
      </w:r>
      <w:r w:rsidR="00A0047F">
        <w:rPr>
          <w:rFonts w:ascii="Arial" w:hAnsi="Arial" w:cs="Arial"/>
          <w:iCs/>
          <w:color w:val="595959" w:themeColor="text1" w:themeTint="A6"/>
          <w:lang w:val="en-US"/>
        </w:rPr>
        <w:t>……………………………………</w:t>
      </w:r>
      <w:r w:rsidR="00014187">
        <w:rPr>
          <w:rFonts w:ascii="Arial" w:hAnsi="Arial" w:cs="Arial"/>
          <w:iCs/>
          <w:color w:val="595959" w:themeColor="text1" w:themeTint="A6"/>
          <w:lang w:val="en-US"/>
        </w:rPr>
        <w:t>…..-</w:t>
      </w:r>
      <w:r w:rsidR="00A0047F">
        <w:rPr>
          <w:rFonts w:ascii="Arial" w:hAnsi="Arial" w:cs="Arial"/>
          <w:iCs/>
          <w:color w:val="595959" w:themeColor="text1" w:themeTint="A6"/>
          <w:lang w:val="en-US"/>
        </w:rPr>
        <w:t>6</w:t>
      </w:r>
      <w:r w:rsidR="00C95A23">
        <w:rPr>
          <w:rFonts w:ascii="Arial" w:hAnsi="Arial" w:cs="Arial"/>
          <w:iCs/>
          <w:color w:val="595959" w:themeColor="text1" w:themeTint="A6"/>
          <w:lang w:val="en-US"/>
        </w:rPr>
        <w:t>7</w:t>
      </w:r>
      <w:r w:rsidR="00014187">
        <w:rPr>
          <w:rFonts w:ascii="Arial" w:hAnsi="Arial" w:cs="Arial"/>
          <w:iCs/>
          <w:color w:val="595959" w:themeColor="text1" w:themeTint="A6"/>
          <w:lang w:val="en-US"/>
        </w:rPr>
        <w:t>-</w:t>
      </w:r>
    </w:p>
    <w:p w14:paraId="0F71F1C0" w14:textId="14CFA06D" w:rsidR="00E4564F" w:rsidRPr="001B2A02" w:rsidRDefault="00E4564F" w:rsidP="00E4564F">
      <w:pPr>
        <w:keepNext/>
        <w:spacing w:after="0" w:line="480" w:lineRule="auto"/>
        <w:jc w:val="both"/>
        <w:rPr>
          <w:rFonts w:ascii="Arial" w:hAnsi="Arial" w:cs="Arial"/>
          <w:iCs/>
          <w:color w:val="595959" w:themeColor="text1" w:themeTint="A6"/>
          <w:lang w:val="en-US"/>
        </w:rPr>
      </w:pPr>
      <w:r w:rsidRPr="001B2A02">
        <w:rPr>
          <w:rFonts w:ascii="Arial" w:hAnsi="Arial" w:cs="Arial"/>
          <w:iCs/>
          <w:color w:val="595959" w:themeColor="text1" w:themeTint="A6"/>
          <w:lang w:val="en-US"/>
        </w:rPr>
        <w:t>Table 2.2 Preparation of fibroblast-derived matrix culture media</w:t>
      </w:r>
      <w:r w:rsidR="00B72CD3">
        <w:rPr>
          <w:rFonts w:ascii="Arial" w:hAnsi="Arial" w:cs="Arial"/>
          <w:iCs/>
          <w:color w:val="595959" w:themeColor="text1" w:themeTint="A6"/>
          <w:lang w:val="en-US"/>
        </w:rPr>
        <w:t>………………………</w:t>
      </w:r>
      <w:r w:rsidR="0017140D">
        <w:rPr>
          <w:rFonts w:ascii="Arial" w:hAnsi="Arial" w:cs="Arial"/>
          <w:iCs/>
          <w:color w:val="595959" w:themeColor="text1" w:themeTint="A6"/>
          <w:lang w:val="en-US"/>
        </w:rPr>
        <w:t>….-</w:t>
      </w:r>
      <w:r w:rsidR="00B72CD3">
        <w:rPr>
          <w:rFonts w:ascii="Arial" w:hAnsi="Arial" w:cs="Arial"/>
          <w:iCs/>
          <w:color w:val="595959" w:themeColor="text1" w:themeTint="A6"/>
          <w:lang w:val="en-US"/>
        </w:rPr>
        <w:t>6</w:t>
      </w:r>
      <w:r w:rsidR="00C95A23">
        <w:rPr>
          <w:rFonts w:ascii="Arial" w:hAnsi="Arial" w:cs="Arial"/>
          <w:iCs/>
          <w:color w:val="595959" w:themeColor="text1" w:themeTint="A6"/>
          <w:lang w:val="en-US"/>
        </w:rPr>
        <w:t>8-69</w:t>
      </w:r>
      <w:r w:rsidR="0017140D">
        <w:rPr>
          <w:rFonts w:ascii="Arial" w:hAnsi="Arial" w:cs="Arial"/>
          <w:iCs/>
          <w:color w:val="595959" w:themeColor="text1" w:themeTint="A6"/>
          <w:lang w:val="en-US"/>
        </w:rPr>
        <w:t>-</w:t>
      </w:r>
    </w:p>
    <w:p w14:paraId="215407E0" w14:textId="19289DE6" w:rsidR="00E4564F" w:rsidRPr="001B2A02" w:rsidRDefault="00E4564F" w:rsidP="00E4564F">
      <w:pPr>
        <w:spacing w:after="0" w:line="480" w:lineRule="auto"/>
        <w:jc w:val="both"/>
        <w:rPr>
          <w:rFonts w:ascii="Arial" w:hAnsi="Arial" w:cs="Arial"/>
          <w:color w:val="595959" w:themeColor="text1" w:themeTint="A6"/>
          <w:lang w:val="en-US"/>
        </w:rPr>
      </w:pPr>
      <w:r w:rsidRPr="001B2A02">
        <w:rPr>
          <w:rFonts w:ascii="Arial" w:hAnsi="Arial" w:cs="Arial"/>
          <w:color w:val="595959" w:themeColor="text1" w:themeTint="A6"/>
          <w:lang w:val="en-US"/>
        </w:rPr>
        <w:t>Table 2.3 Preparation of oral keratinocyte media (Green’s media)</w:t>
      </w:r>
      <w:r w:rsidR="00B72CD3">
        <w:rPr>
          <w:rFonts w:ascii="Arial" w:hAnsi="Arial" w:cs="Arial"/>
          <w:color w:val="595959" w:themeColor="text1" w:themeTint="A6"/>
          <w:lang w:val="en-US"/>
        </w:rPr>
        <w:t>……………………</w:t>
      </w:r>
      <w:r w:rsidR="00122993">
        <w:rPr>
          <w:rFonts w:ascii="Arial" w:hAnsi="Arial" w:cs="Arial"/>
          <w:color w:val="595959" w:themeColor="text1" w:themeTint="A6"/>
          <w:lang w:val="en-US"/>
        </w:rPr>
        <w:t>…-</w:t>
      </w:r>
      <w:r w:rsidR="00B72CD3">
        <w:rPr>
          <w:rFonts w:ascii="Arial" w:hAnsi="Arial" w:cs="Arial"/>
          <w:color w:val="595959" w:themeColor="text1" w:themeTint="A6"/>
          <w:lang w:val="en-US"/>
        </w:rPr>
        <w:t>6</w:t>
      </w:r>
      <w:r w:rsidR="00C95A23">
        <w:rPr>
          <w:rFonts w:ascii="Arial" w:hAnsi="Arial" w:cs="Arial"/>
          <w:color w:val="595959" w:themeColor="text1" w:themeTint="A6"/>
          <w:lang w:val="en-US"/>
        </w:rPr>
        <w:t>9-70</w:t>
      </w:r>
      <w:r w:rsidR="00122993">
        <w:rPr>
          <w:rFonts w:ascii="Arial" w:hAnsi="Arial" w:cs="Arial"/>
          <w:color w:val="595959" w:themeColor="text1" w:themeTint="A6"/>
          <w:lang w:val="en-US"/>
        </w:rPr>
        <w:t>-</w:t>
      </w:r>
    </w:p>
    <w:p w14:paraId="2FBEEDE6" w14:textId="00902F33" w:rsidR="00E4564F" w:rsidRPr="001B2A02" w:rsidRDefault="00E4564F" w:rsidP="00E4564F">
      <w:pPr>
        <w:spacing w:after="0" w:line="480" w:lineRule="auto"/>
        <w:jc w:val="both"/>
        <w:rPr>
          <w:rFonts w:ascii="Arial" w:hAnsi="Arial" w:cs="Arial"/>
          <w:color w:val="595959" w:themeColor="text1" w:themeTint="A6"/>
          <w:lang w:val="en-US"/>
        </w:rPr>
      </w:pPr>
      <w:r w:rsidRPr="001B2A02">
        <w:rPr>
          <w:rFonts w:ascii="Arial" w:hAnsi="Arial" w:cs="Arial"/>
          <w:color w:val="595959" w:themeColor="text1" w:themeTint="A6"/>
          <w:lang w:val="en-US"/>
        </w:rPr>
        <w:t xml:space="preserve">Table 2.4 Cell lines and primary cells cultured </w:t>
      </w:r>
      <w:r w:rsidR="00B72CD3">
        <w:rPr>
          <w:rFonts w:ascii="Arial" w:hAnsi="Arial" w:cs="Arial"/>
          <w:color w:val="595959" w:themeColor="text1" w:themeTint="A6"/>
          <w:lang w:val="en-US"/>
        </w:rPr>
        <w:t>……………………………………………</w:t>
      </w:r>
      <w:r w:rsidR="00F46AF2">
        <w:rPr>
          <w:rFonts w:ascii="Arial" w:hAnsi="Arial" w:cs="Arial"/>
          <w:color w:val="595959" w:themeColor="text1" w:themeTint="A6"/>
          <w:lang w:val="en-US"/>
        </w:rPr>
        <w:t>……-</w:t>
      </w:r>
      <w:r w:rsidR="00D7515E">
        <w:rPr>
          <w:rFonts w:ascii="Arial" w:hAnsi="Arial" w:cs="Arial"/>
          <w:color w:val="595959" w:themeColor="text1" w:themeTint="A6"/>
          <w:lang w:val="en-US"/>
        </w:rPr>
        <w:t>71</w:t>
      </w:r>
      <w:r w:rsidR="00F46AF2">
        <w:rPr>
          <w:rFonts w:ascii="Arial" w:hAnsi="Arial" w:cs="Arial"/>
          <w:color w:val="595959" w:themeColor="text1" w:themeTint="A6"/>
          <w:lang w:val="en-US"/>
        </w:rPr>
        <w:t>-</w:t>
      </w:r>
    </w:p>
    <w:p w14:paraId="4AB95C02" w14:textId="4B14F7F5" w:rsidR="00E4564F" w:rsidRPr="001B2A02" w:rsidRDefault="00E4564F" w:rsidP="00E4564F">
      <w:pPr>
        <w:autoSpaceDE w:val="0"/>
        <w:autoSpaceDN w:val="0"/>
        <w:adjustRightInd w:val="0"/>
        <w:spacing w:after="0" w:line="480" w:lineRule="auto"/>
        <w:jc w:val="both"/>
        <w:rPr>
          <w:rFonts w:ascii="Arial" w:hAnsi="Arial" w:cs="Arial"/>
          <w:color w:val="595959" w:themeColor="text1" w:themeTint="A6"/>
          <w:lang w:val="en-US"/>
        </w:rPr>
      </w:pPr>
      <w:r w:rsidRPr="001B2A02">
        <w:rPr>
          <w:rFonts w:ascii="Arial" w:hAnsi="Arial" w:cs="Arial"/>
          <w:color w:val="595959" w:themeColor="text1" w:themeTint="A6"/>
          <w:lang w:val="en-US"/>
        </w:rPr>
        <w:t>Table 2.5 Thermocycling schedule for cDNA synthesis</w:t>
      </w:r>
      <w:r w:rsidR="00FB2543">
        <w:rPr>
          <w:rFonts w:ascii="Arial" w:hAnsi="Arial" w:cs="Arial"/>
          <w:color w:val="595959" w:themeColor="text1" w:themeTint="A6"/>
          <w:lang w:val="en-US"/>
        </w:rPr>
        <w:t>…………………………………</w:t>
      </w:r>
      <w:r w:rsidR="00F46AF2">
        <w:rPr>
          <w:rFonts w:ascii="Arial" w:hAnsi="Arial" w:cs="Arial"/>
          <w:color w:val="595959" w:themeColor="text1" w:themeTint="A6"/>
          <w:lang w:val="en-US"/>
        </w:rPr>
        <w:t>……..-</w:t>
      </w:r>
      <w:r w:rsidR="00D7515E">
        <w:rPr>
          <w:rFonts w:ascii="Arial" w:hAnsi="Arial" w:cs="Arial"/>
          <w:color w:val="595959" w:themeColor="text1" w:themeTint="A6"/>
          <w:lang w:val="en-US"/>
        </w:rPr>
        <w:t>80</w:t>
      </w:r>
      <w:r w:rsidR="00F46AF2">
        <w:rPr>
          <w:rFonts w:ascii="Arial" w:hAnsi="Arial" w:cs="Arial"/>
          <w:color w:val="595959" w:themeColor="text1" w:themeTint="A6"/>
          <w:lang w:val="en-US"/>
        </w:rPr>
        <w:t>-</w:t>
      </w:r>
    </w:p>
    <w:p w14:paraId="440B8F32" w14:textId="10C3B399" w:rsidR="00E4564F" w:rsidRPr="001B2A02" w:rsidRDefault="00E4564F" w:rsidP="00E4564F">
      <w:pPr>
        <w:autoSpaceDE w:val="0"/>
        <w:autoSpaceDN w:val="0"/>
        <w:adjustRightInd w:val="0"/>
        <w:spacing w:after="0" w:line="480" w:lineRule="auto"/>
        <w:jc w:val="both"/>
        <w:rPr>
          <w:rFonts w:ascii="Arial" w:hAnsi="Arial" w:cs="Arial"/>
          <w:color w:val="595959" w:themeColor="text1" w:themeTint="A6"/>
          <w:lang w:val="en-US"/>
        </w:rPr>
      </w:pPr>
      <w:r w:rsidRPr="001B2A02">
        <w:rPr>
          <w:rFonts w:ascii="Arial" w:hAnsi="Arial" w:cs="Arial"/>
          <w:color w:val="595959" w:themeColor="text1" w:themeTint="A6"/>
          <w:lang w:val="en-US"/>
        </w:rPr>
        <w:t>Table 2.6. Thermal cycle schedule</w:t>
      </w:r>
      <w:r w:rsidR="00FB2543">
        <w:rPr>
          <w:rFonts w:ascii="Arial" w:hAnsi="Arial" w:cs="Arial"/>
          <w:color w:val="595959" w:themeColor="text1" w:themeTint="A6"/>
          <w:lang w:val="en-US"/>
        </w:rPr>
        <w:t>…………………………………………………………</w:t>
      </w:r>
      <w:r w:rsidR="009134A9">
        <w:rPr>
          <w:rFonts w:ascii="Arial" w:hAnsi="Arial" w:cs="Arial"/>
          <w:color w:val="595959" w:themeColor="text1" w:themeTint="A6"/>
          <w:lang w:val="en-US"/>
        </w:rPr>
        <w:t>…….-</w:t>
      </w:r>
      <w:r w:rsidR="00FB2543">
        <w:rPr>
          <w:rFonts w:ascii="Arial" w:hAnsi="Arial" w:cs="Arial"/>
          <w:color w:val="595959" w:themeColor="text1" w:themeTint="A6"/>
          <w:lang w:val="en-US"/>
        </w:rPr>
        <w:t>8</w:t>
      </w:r>
      <w:r w:rsidR="00D7515E">
        <w:rPr>
          <w:rFonts w:ascii="Arial" w:hAnsi="Arial" w:cs="Arial"/>
          <w:color w:val="595959" w:themeColor="text1" w:themeTint="A6"/>
          <w:lang w:val="en-US"/>
        </w:rPr>
        <w:t>2</w:t>
      </w:r>
      <w:r w:rsidR="009134A9">
        <w:rPr>
          <w:rFonts w:ascii="Arial" w:hAnsi="Arial" w:cs="Arial"/>
          <w:color w:val="595959" w:themeColor="text1" w:themeTint="A6"/>
          <w:lang w:val="en-US"/>
        </w:rPr>
        <w:t>-</w:t>
      </w:r>
    </w:p>
    <w:p w14:paraId="0A813C2C" w14:textId="735611E0" w:rsidR="00E4564F" w:rsidRPr="001B2A02" w:rsidRDefault="00E4564F" w:rsidP="00E4564F">
      <w:pPr>
        <w:autoSpaceDE w:val="0"/>
        <w:autoSpaceDN w:val="0"/>
        <w:adjustRightInd w:val="0"/>
        <w:spacing w:after="0" w:line="480" w:lineRule="auto"/>
        <w:jc w:val="both"/>
        <w:rPr>
          <w:rFonts w:ascii="Arial" w:hAnsi="Arial" w:cs="Arial"/>
          <w:color w:val="595959" w:themeColor="text1" w:themeTint="A6"/>
          <w:lang w:val="en-US"/>
        </w:rPr>
      </w:pPr>
      <w:r w:rsidRPr="001B2A02">
        <w:rPr>
          <w:rFonts w:ascii="Arial" w:hAnsi="Arial" w:cs="Arial"/>
          <w:color w:val="595959" w:themeColor="text1" w:themeTint="A6"/>
          <w:lang w:val="en-US"/>
        </w:rPr>
        <w:t>Table 2.7. Primer sequences</w:t>
      </w:r>
      <w:r w:rsidR="00FB2543">
        <w:rPr>
          <w:rFonts w:ascii="Arial" w:hAnsi="Arial" w:cs="Arial"/>
          <w:color w:val="595959" w:themeColor="text1" w:themeTint="A6"/>
          <w:lang w:val="en-US"/>
        </w:rPr>
        <w:t>………………………………………………………………</w:t>
      </w:r>
      <w:r w:rsidR="009134A9">
        <w:rPr>
          <w:rFonts w:ascii="Arial" w:hAnsi="Arial" w:cs="Arial"/>
          <w:color w:val="595959" w:themeColor="text1" w:themeTint="A6"/>
          <w:lang w:val="en-US"/>
        </w:rPr>
        <w:t>……..-</w:t>
      </w:r>
      <w:r w:rsidR="00FB2543">
        <w:rPr>
          <w:rFonts w:ascii="Arial" w:hAnsi="Arial" w:cs="Arial"/>
          <w:color w:val="595959" w:themeColor="text1" w:themeTint="A6"/>
          <w:lang w:val="en-US"/>
        </w:rPr>
        <w:t>8</w:t>
      </w:r>
      <w:r w:rsidR="00D7515E">
        <w:rPr>
          <w:rFonts w:ascii="Arial" w:hAnsi="Arial" w:cs="Arial"/>
          <w:color w:val="595959" w:themeColor="text1" w:themeTint="A6"/>
          <w:lang w:val="en-US"/>
        </w:rPr>
        <w:t>2</w:t>
      </w:r>
      <w:r w:rsidR="009134A9">
        <w:rPr>
          <w:rFonts w:ascii="Arial" w:hAnsi="Arial" w:cs="Arial"/>
          <w:color w:val="595959" w:themeColor="text1" w:themeTint="A6"/>
          <w:lang w:val="en-US"/>
        </w:rPr>
        <w:t>-</w:t>
      </w:r>
    </w:p>
    <w:p w14:paraId="1AEE10A5" w14:textId="0A28A693" w:rsidR="00E4564F" w:rsidRPr="001B2A02" w:rsidRDefault="00E4564F" w:rsidP="00E4564F">
      <w:pPr>
        <w:spacing w:after="0" w:line="480" w:lineRule="auto"/>
        <w:jc w:val="both"/>
        <w:rPr>
          <w:rFonts w:ascii="Arial" w:hAnsi="Arial" w:cs="Arial"/>
          <w:color w:val="595959" w:themeColor="text1" w:themeTint="A6"/>
          <w:lang w:val="en-US"/>
        </w:rPr>
      </w:pPr>
      <w:r w:rsidRPr="001B2A02">
        <w:rPr>
          <w:rFonts w:ascii="Arial" w:hAnsi="Arial" w:cs="Arial"/>
          <w:color w:val="595959" w:themeColor="text1" w:themeTint="A6"/>
          <w:lang w:val="en-US"/>
        </w:rPr>
        <w:t>Table 2.8 Automatic tissue processing schedule</w:t>
      </w:r>
      <w:r w:rsidR="00BD2F22">
        <w:rPr>
          <w:rFonts w:ascii="Arial" w:hAnsi="Arial" w:cs="Arial"/>
          <w:color w:val="595959" w:themeColor="text1" w:themeTint="A6"/>
          <w:lang w:val="en-US"/>
        </w:rPr>
        <w:t>…………………………………………</w:t>
      </w:r>
      <w:r w:rsidR="006A1B52">
        <w:rPr>
          <w:rFonts w:ascii="Arial" w:hAnsi="Arial" w:cs="Arial"/>
          <w:color w:val="595959" w:themeColor="text1" w:themeTint="A6"/>
          <w:lang w:val="en-US"/>
        </w:rPr>
        <w:t>…….-</w:t>
      </w:r>
      <w:r w:rsidR="00BD2F22">
        <w:rPr>
          <w:rFonts w:ascii="Arial" w:hAnsi="Arial" w:cs="Arial"/>
          <w:color w:val="595959" w:themeColor="text1" w:themeTint="A6"/>
          <w:lang w:val="en-US"/>
        </w:rPr>
        <w:t>8</w:t>
      </w:r>
      <w:r w:rsidR="008901A0">
        <w:rPr>
          <w:rFonts w:ascii="Arial" w:hAnsi="Arial" w:cs="Arial"/>
          <w:color w:val="595959" w:themeColor="text1" w:themeTint="A6"/>
          <w:lang w:val="en-US"/>
        </w:rPr>
        <w:t>3</w:t>
      </w:r>
      <w:r w:rsidR="006A1B52">
        <w:rPr>
          <w:rFonts w:ascii="Arial" w:hAnsi="Arial" w:cs="Arial"/>
          <w:color w:val="595959" w:themeColor="text1" w:themeTint="A6"/>
          <w:lang w:val="en-US"/>
        </w:rPr>
        <w:t>-</w:t>
      </w:r>
    </w:p>
    <w:p w14:paraId="3A01474F" w14:textId="7B6AB1ED" w:rsidR="00E4564F" w:rsidRDefault="00E4564F" w:rsidP="00E4564F">
      <w:pPr>
        <w:spacing w:after="0" w:line="480" w:lineRule="auto"/>
        <w:jc w:val="both"/>
        <w:rPr>
          <w:rFonts w:ascii="Arial" w:hAnsi="Arial" w:cs="Arial"/>
          <w:color w:val="595959" w:themeColor="text1" w:themeTint="A6"/>
          <w:lang w:val="en-US"/>
        </w:rPr>
      </w:pPr>
      <w:r w:rsidRPr="001B2A02">
        <w:rPr>
          <w:rFonts w:ascii="Arial" w:hAnsi="Arial" w:cs="Arial"/>
          <w:color w:val="595959" w:themeColor="text1" w:themeTint="A6"/>
          <w:lang w:val="en-US"/>
        </w:rPr>
        <w:t>Table 2.9 H&amp;E staining schedule</w:t>
      </w:r>
      <w:r w:rsidR="00BD2F22">
        <w:rPr>
          <w:rFonts w:ascii="Arial" w:hAnsi="Arial" w:cs="Arial"/>
          <w:color w:val="595959" w:themeColor="text1" w:themeTint="A6"/>
          <w:lang w:val="en-US"/>
        </w:rPr>
        <w:t>………………………………………………………</w:t>
      </w:r>
      <w:r w:rsidR="00F06B9F">
        <w:rPr>
          <w:rFonts w:ascii="Arial" w:hAnsi="Arial" w:cs="Arial"/>
          <w:color w:val="595959" w:themeColor="text1" w:themeTint="A6"/>
          <w:lang w:val="en-US"/>
        </w:rPr>
        <w:t>..</w:t>
      </w:r>
      <w:r w:rsidR="00BD2F22">
        <w:rPr>
          <w:rFonts w:ascii="Arial" w:hAnsi="Arial" w:cs="Arial"/>
          <w:color w:val="595959" w:themeColor="text1" w:themeTint="A6"/>
          <w:lang w:val="en-US"/>
        </w:rPr>
        <w:t>…</w:t>
      </w:r>
      <w:r w:rsidR="006A1B52">
        <w:rPr>
          <w:rFonts w:ascii="Arial" w:hAnsi="Arial" w:cs="Arial"/>
          <w:color w:val="595959" w:themeColor="text1" w:themeTint="A6"/>
          <w:lang w:val="en-US"/>
        </w:rPr>
        <w:t>…-</w:t>
      </w:r>
      <w:r w:rsidR="00CE26C6">
        <w:rPr>
          <w:rFonts w:ascii="Arial" w:hAnsi="Arial" w:cs="Arial"/>
          <w:color w:val="595959" w:themeColor="text1" w:themeTint="A6"/>
          <w:lang w:val="en-US"/>
        </w:rPr>
        <w:t>8</w:t>
      </w:r>
      <w:r w:rsidR="008901A0">
        <w:rPr>
          <w:rFonts w:ascii="Arial" w:hAnsi="Arial" w:cs="Arial"/>
          <w:color w:val="595959" w:themeColor="text1" w:themeTint="A6"/>
          <w:lang w:val="en-US"/>
        </w:rPr>
        <w:t>4-85</w:t>
      </w:r>
      <w:r w:rsidR="006A1B52">
        <w:rPr>
          <w:rFonts w:ascii="Arial" w:hAnsi="Arial" w:cs="Arial"/>
          <w:color w:val="595959" w:themeColor="text1" w:themeTint="A6"/>
          <w:lang w:val="en-US"/>
        </w:rPr>
        <w:t>-</w:t>
      </w:r>
    </w:p>
    <w:p w14:paraId="5E197278" w14:textId="109FA49E" w:rsidR="00E4564F" w:rsidRPr="001B2A02" w:rsidRDefault="00E4564F" w:rsidP="00E4564F">
      <w:pPr>
        <w:spacing w:after="0" w:line="480" w:lineRule="auto"/>
        <w:jc w:val="both"/>
        <w:rPr>
          <w:rFonts w:ascii="Arial" w:hAnsi="Arial" w:cs="Arial"/>
          <w:color w:val="595959" w:themeColor="text1" w:themeTint="A6"/>
          <w:lang w:val="en-US"/>
        </w:rPr>
      </w:pPr>
      <w:r w:rsidRPr="001B2A02">
        <w:rPr>
          <w:rFonts w:ascii="Arial" w:hAnsi="Arial" w:cs="Arial"/>
          <w:color w:val="595959" w:themeColor="text1" w:themeTint="A6"/>
          <w:lang w:val="en-US"/>
        </w:rPr>
        <w:t>Table 2.10 Antibodies for immunoblotting</w:t>
      </w:r>
      <w:r w:rsidR="00CE26C6">
        <w:rPr>
          <w:rFonts w:ascii="Arial" w:hAnsi="Arial" w:cs="Arial"/>
          <w:color w:val="595959" w:themeColor="text1" w:themeTint="A6"/>
          <w:lang w:val="en-US"/>
        </w:rPr>
        <w:t>………………………………………………</w:t>
      </w:r>
      <w:r w:rsidR="00F06B9F">
        <w:rPr>
          <w:rFonts w:ascii="Arial" w:hAnsi="Arial" w:cs="Arial"/>
          <w:color w:val="595959" w:themeColor="text1" w:themeTint="A6"/>
          <w:lang w:val="en-US"/>
        </w:rPr>
        <w:t>…...-</w:t>
      </w:r>
      <w:r w:rsidR="00CE26C6">
        <w:rPr>
          <w:rFonts w:ascii="Arial" w:hAnsi="Arial" w:cs="Arial"/>
          <w:color w:val="595959" w:themeColor="text1" w:themeTint="A6"/>
          <w:lang w:val="en-US"/>
        </w:rPr>
        <w:t>8</w:t>
      </w:r>
      <w:r w:rsidR="003A0C22">
        <w:rPr>
          <w:rFonts w:ascii="Arial" w:hAnsi="Arial" w:cs="Arial"/>
          <w:color w:val="595959" w:themeColor="text1" w:themeTint="A6"/>
          <w:lang w:val="en-US"/>
        </w:rPr>
        <w:t>6-87</w:t>
      </w:r>
      <w:r w:rsidR="00F06B9F">
        <w:rPr>
          <w:rFonts w:ascii="Arial" w:hAnsi="Arial" w:cs="Arial"/>
          <w:color w:val="595959" w:themeColor="text1" w:themeTint="A6"/>
          <w:lang w:val="en-US"/>
        </w:rPr>
        <w:t>-</w:t>
      </w:r>
    </w:p>
    <w:p w14:paraId="11495E75" w14:textId="33F0A505" w:rsidR="00E4564F" w:rsidRDefault="00E4564F" w:rsidP="00E4564F">
      <w:pPr>
        <w:autoSpaceDE w:val="0"/>
        <w:autoSpaceDN w:val="0"/>
        <w:adjustRightInd w:val="0"/>
        <w:spacing w:after="0" w:line="480" w:lineRule="auto"/>
        <w:jc w:val="both"/>
        <w:rPr>
          <w:rFonts w:ascii="Arial" w:hAnsi="Arial" w:cs="Arial"/>
          <w:color w:val="595959" w:themeColor="text1" w:themeTint="A6"/>
          <w:lang w:val="en-US"/>
        </w:rPr>
      </w:pPr>
      <w:r w:rsidRPr="001B2A02">
        <w:rPr>
          <w:rFonts w:ascii="Arial" w:hAnsi="Arial" w:cs="Arial"/>
          <w:color w:val="595959" w:themeColor="text1" w:themeTint="A6"/>
          <w:lang w:val="en-US"/>
        </w:rPr>
        <w:t>Table 2.11 Antibodies and antigen retrieval conditions</w:t>
      </w:r>
      <w:r w:rsidR="00E67EA7">
        <w:rPr>
          <w:rFonts w:ascii="Arial" w:hAnsi="Arial" w:cs="Arial"/>
          <w:color w:val="595959" w:themeColor="text1" w:themeTint="A6"/>
          <w:lang w:val="en-US"/>
        </w:rPr>
        <w:t>…………………………………</w:t>
      </w:r>
      <w:r w:rsidR="00F044A3">
        <w:rPr>
          <w:rFonts w:ascii="Arial" w:hAnsi="Arial" w:cs="Arial"/>
          <w:color w:val="595959" w:themeColor="text1" w:themeTint="A6"/>
          <w:lang w:val="en-US"/>
        </w:rPr>
        <w:t>…-</w:t>
      </w:r>
      <w:r w:rsidR="00831444">
        <w:rPr>
          <w:rFonts w:ascii="Arial" w:hAnsi="Arial" w:cs="Arial"/>
          <w:color w:val="595959" w:themeColor="text1" w:themeTint="A6"/>
          <w:lang w:val="en-US"/>
        </w:rPr>
        <w:t>8</w:t>
      </w:r>
      <w:r w:rsidR="003A0C22">
        <w:rPr>
          <w:rFonts w:ascii="Arial" w:hAnsi="Arial" w:cs="Arial"/>
          <w:color w:val="595959" w:themeColor="text1" w:themeTint="A6"/>
          <w:lang w:val="en-US"/>
        </w:rPr>
        <w:t>8-89</w:t>
      </w:r>
      <w:r w:rsidR="00F044A3">
        <w:rPr>
          <w:rFonts w:ascii="Arial" w:hAnsi="Arial" w:cs="Arial"/>
          <w:color w:val="595959" w:themeColor="text1" w:themeTint="A6"/>
          <w:lang w:val="en-US"/>
        </w:rPr>
        <w:t>-</w:t>
      </w:r>
    </w:p>
    <w:p w14:paraId="7D5905B0" w14:textId="0E1F366E" w:rsidR="003A0C22" w:rsidRPr="003A0C22" w:rsidRDefault="00E4564F" w:rsidP="00E4564F">
      <w:pPr>
        <w:autoSpaceDE w:val="0"/>
        <w:autoSpaceDN w:val="0"/>
        <w:adjustRightInd w:val="0"/>
        <w:spacing w:after="0" w:line="480" w:lineRule="auto"/>
        <w:jc w:val="both"/>
        <w:rPr>
          <w:rFonts w:ascii="Arial" w:hAnsi="Arial" w:cs="Arial"/>
          <w:color w:val="595959" w:themeColor="text1" w:themeTint="A6"/>
        </w:rPr>
      </w:pPr>
      <w:r w:rsidRPr="001B2A02">
        <w:rPr>
          <w:rFonts w:ascii="Arial" w:hAnsi="Arial" w:cs="Arial"/>
          <w:color w:val="595959" w:themeColor="text1" w:themeTint="A6"/>
        </w:rPr>
        <w:t>Table 2.12 A 5x non-reducing sample buffer (pH 6.8)</w:t>
      </w:r>
      <w:r w:rsidR="00831444">
        <w:rPr>
          <w:rFonts w:ascii="Arial" w:hAnsi="Arial" w:cs="Arial"/>
          <w:color w:val="595959" w:themeColor="text1" w:themeTint="A6"/>
        </w:rPr>
        <w:t>…………………………………</w:t>
      </w:r>
      <w:r w:rsidR="00F044A3">
        <w:rPr>
          <w:rFonts w:ascii="Arial" w:hAnsi="Arial" w:cs="Arial"/>
          <w:color w:val="595959" w:themeColor="text1" w:themeTint="A6"/>
        </w:rPr>
        <w:t>…</w:t>
      </w:r>
      <w:r w:rsidR="00C51D4F">
        <w:rPr>
          <w:rFonts w:ascii="Arial" w:hAnsi="Arial" w:cs="Arial"/>
          <w:color w:val="595959" w:themeColor="text1" w:themeTint="A6"/>
        </w:rPr>
        <w:t>……</w:t>
      </w:r>
      <w:r w:rsidR="00F044A3">
        <w:rPr>
          <w:rFonts w:ascii="Arial" w:hAnsi="Arial" w:cs="Arial"/>
          <w:color w:val="595959" w:themeColor="text1" w:themeTint="A6"/>
        </w:rPr>
        <w:t>-</w:t>
      </w:r>
      <w:r w:rsidR="00C51D4F">
        <w:rPr>
          <w:rFonts w:ascii="Arial" w:hAnsi="Arial" w:cs="Arial"/>
          <w:color w:val="595959" w:themeColor="text1" w:themeTint="A6"/>
        </w:rPr>
        <w:t>91</w:t>
      </w:r>
      <w:r w:rsidR="00F044A3">
        <w:rPr>
          <w:rFonts w:ascii="Arial" w:hAnsi="Arial" w:cs="Arial"/>
          <w:color w:val="595959" w:themeColor="text1" w:themeTint="A6"/>
        </w:rPr>
        <w:t>-</w:t>
      </w:r>
    </w:p>
    <w:p w14:paraId="50DC8CC3" w14:textId="43839B7E" w:rsidR="00E4564F" w:rsidRDefault="00E4564F" w:rsidP="00E4564F">
      <w:pPr>
        <w:autoSpaceDE w:val="0"/>
        <w:autoSpaceDN w:val="0"/>
        <w:adjustRightInd w:val="0"/>
        <w:spacing w:after="0" w:line="480" w:lineRule="auto"/>
        <w:jc w:val="both"/>
        <w:rPr>
          <w:rFonts w:ascii="Arial" w:hAnsi="Arial" w:cs="Arial"/>
          <w:color w:val="595959" w:themeColor="text1" w:themeTint="A6"/>
          <w:lang w:val="en-US"/>
        </w:rPr>
      </w:pPr>
      <w:r w:rsidRPr="001B2A02">
        <w:rPr>
          <w:rFonts w:ascii="Arial" w:hAnsi="Arial" w:cs="Arial"/>
          <w:color w:val="595959" w:themeColor="text1" w:themeTint="A6"/>
        </w:rPr>
        <w:t>Table 2.13 7.5% acrylamide gel reagents</w:t>
      </w:r>
      <w:r w:rsidR="00831444">
        <w:rPr>
          <w:rFonts w:ascii="Arial" w:hAnsi="Arial" w:cs="Arial"/>
          <w:color w:val="595959" w:themeColor="text1" w:themeTint="A6"/>
        </w:rPr>
        <w:t>………………………………………………</w:t>
      </w:r>
      <w:r w:rsidR="00F044A3">
        <w:rPr>
          <w:rFonts w:ascii="Arial" w:hAnsi="Arial" w:cs="Arial"/>
          <w:color w:val="595959" w:themeColor="text1" w:themeTint="A6"/>
        </w:rPr>
        <w:t>……</w:t>
      </w:r>
      <w:r w:rsidR="00DA1A83">
        <w:rPr>
          <w:rFonts w:ascii="Arial" w:hAnsi="Arial" w:cs="Arial"/>
          <w:color w:val="595959" w:themeColor="text1" w:themeTint="A6"/>
        </w:rPr>
        <w:t>….</w:t>
      </w:r>
      <w:r w:rsidR="00F044A3">
        <w:rPr>
          <w:rFonts w:ascii="Arial" w:hAnsi="Arial" w:cs="Arial"/>
          <w:color w:val="595959" w:themeColor="text1" w:themeTint="A6"/>
        </w:rPr>
        <w:t>-</w:t>
      </w:r>
      <w:r w:rsidR="00F50981">
        <w:rPr>
          <w:rFonts w:ascii="Arial" w:hAnsi="Arial" w:cs="Arial"/>
          <w:color w:val="595959" w:themeColor="text1" w:themeTint="A6"/>
        </w:rPr>
        <w:t>91</w:t>
      </w:r>
      <w:r w:rsidR="00DA1A83">
        <w:rPr>
          <w:rFonts w:ascii="Arial" w:hAnsi="Arial" w:cs="Arial"/>
          <w:color w:val="595959" w:themeColor="text1" w:themeTint="A6"/>
        </w:rPr>
        <w:t>-</w:t>
      </w:r>
    </w:p>
    <w:p w14:paraId="3810E4B7" w14:textId="2D1AC354" w:rsidR="00E4564F" w:rsidRPr="001B2A02" w:rsidRDefault="00E4564F" w:rsidP="00E4564F">
      <w:pPr>
        <w:autoSpaceDE w:val="0"/>
        <w:autoSpaceDN w:val="0"/>
        <w:adjustRightInd w:val="0"/>
        <w:spacing w:after="0" w:line="480" w:lineRule="auto"/>
        <w:jc w:val="both"/>
        <w:rPr>
          <w:rFonts w:ascii="Arial" w:hAnsi="Arial" w:cs="Arial"/>
          <w:color w:val="595959" w:themeColor="text1" w:themeTint="A6"/>
          <w:lang w:val="en-US"/>
        </w:rPr>
      </w:pPr>
      <w:r w:rsidRPr="001B2A02">
        <w:rPr>
          <w:rFonts w:ascii="Arial" w:hAnsi="Arial" w:cs="Arial"/>
          <w:color w:val="595959" w:themeColor="text1" w:themeTint="A6"/>
          <w:lang w:val="en-US"/>
        </w:rPr>
        <w:t>Table 2.14 Washing buffer (pH 7.5)</w:t>
      </w:r>
      <w:r w:rsidR="00831444">
        <w:rPr>
          <w:rFonts w:ascii="Arial" w:hAnsi="Arial" w:cs="Arial"/>
          <w:color w:val="595959" w:themeColor="text1" w:themeTint="A6"/>
          <w:lang w:val="en-US"/>
        </w:rPr>
        <w:t>………………………………………………………</w:t>
      </w:r>
      <w:r w:rsidR="00DA1A83">
        <w:rPr>
          <w:rFonts w:ascii="Arial" w:hAnsi="Arial" w:cs="Arial"/>
          <w:color w:val="595959" w:themeColor="text1" w:themeTint="A6"/>
          <w:lang w:val="en-US"/>
        </w:rPr>
        <w:t>…</w:t>
      </w:r>
      <w:r w:rsidR="00F50981">
        <w:rPr>
          <w:rFonts w:ascii="Arial" w:hAnsi="Arial" w:cs="Arial"/>
          <w:color w:val="595959" w:themeColor="text1" w:themeTint="A6"/>
          <w:lang w:val="en-US"/>
        </w:rPr>
        <w:t>…..</w:t>
      </w:r>
      <w:r w:rsidR="00DA1A83">
        <w:rPr>
          <w:rFonts w:ascii="Arial" w:hAnsi="Arial" w:cs="Arial"/>
          <w:color w:val="595959" w:themeColor="text1" w:themeTint="A6"/>
          <w:lang w:val="en-US"/>
        </w:rPr>
        <w:t>-</w:t>
      </w:r>
      <w:r w:rsidR="00F50981">
        <w:rPr>
          <w:rFonts w:ascii="Arial" w:hAnsi="Arial" w:cs="Arial"/>
          <w:color w:val="595959" w:themeColor="text1" w:themeTint="A6"/>
          <w:lang w:val="en-US"/>
        </w:rPr>
        <w:t>92-</w:t>
      </w:r>
    </w:p>
    <w:p w14:paraId="7B230C14" w14:textId="0D91C006" w:rsidR="00E4564F" w:rsidRDefault="00E4564F" w:rsidP="00E4564F">
      <w:pPr>
        <w:spacing w:after="0" w:line="480" w:lineRule="auto"/>
        <w:jc w:val="both"/>
        <w:rPr>
          <w:rFonts w:ascii="Arial" w:hAnsi="Arial" w:cs="Arial"/>
          <w:color w:val="595959" w:themeColor="text1" w:themeTint="A6"/>
        </w:rPr>
      </w:pPr>
      <w:r w:rsidRPr="001B2A02">
        <w:rPr>
          <w:rFonts w:ascii="Arial" w:hAnsi="Arial" w:cs="Arial"/>
          <w:color w:val="595959" w:themeColor="text1" w:themeTint="A6"/>
          <w:lang w:val="en-US"/>
        </w:rPr>
        <w:t>Table 2.15 Incubation buffer (pH 7.5)</w:t>
      </w:r>
      <w:r w:rsidR="00831444">
        <w:rPr>
          <w:rFonts w:ascii="Arial" w:hAnsi="Arial" w:cs="Arial"/>
          <w:color w:val="595959" w:themeColor="text1" w:themeTint="A6"/>
          <w:lang w:val="en-US"/>
        </w:rPr>
        <w:t>……………………………………………………</w:t>
      </w:r>
      <w:r w:rsidR="00DA1A83">
        <w:rPr>
          <w:rFonts w:ascii="Arial" w:hAnsi="Arial" w:cs="Arial"/>
          <w:color w:val="595959" w:themeColor="text1" w:themeTint="A6"/>
          <w:lang w:val="en-US"/>
        </w:rPr>
        <w:t>……</w:t>
      </w:r>
      <w:r w:rsidR="00DA1058">
        <w:rPr>
          <w:rFonts w:ascii="Arial" w:hAnsi="Arial" w:cs="Arial"/>
          <w:color w:val="595959" w:themeColor="text1" w:themeTint="A6"/>
          <w:lang w:val="en-US"/>
        </w:rPr>
        <w:t>…-</w:t>
      </w:r>
      <w:r w:rsidR="006404EE">
        <w:rPr>
          <w:rFonts w:ascii="Arial" w:hAnsi="Arial" w:cs="Arial"/>
          <w:color w:val="595959" w:themeColor="text1" w:themeTint="A6"/>
          <w:lang w:val="en-US"/>
        </w:rPr>
        <w:t>92</w:t>
      </w:r>
      <w:r w:rsidR="00DA1A83">
        <w:rPr>
          <w:rFonts w:ascii="Arial" w:hAnsi="Arial" w:cs="Arial"/>
          <w:color w:val="595959" w:themeColor="text1" w:themeTint="A6"/>
          <w:lang w:val="en-US"/>
        </w:rPr>
        <w:t>-</w:t>
      </w:r>
    </w:p>
    <w:p w14:paraId="0A936609" w14:textId="789175F4" w:rsidR="00E4564F" w:rsidRPr="001B2A02" w:rsidRDefault="00E4564F" w:rsidP="00E4564F">
      <w:pPr>
        <w:spacing w:after="0" w:line="480" w:lineRule="auto"/>
        <w:jc w:val="both"/>
        <w:rPr>
          <w:rFonts w:ascii="Arial" w:hAnsi="Arial" w:cs="Arial"/>
          <w:color w:val="595959" w:themeColor="text1" w:themeTint="A6"/>
        </w:rPr>
      </w:pPr>
      <w:r w:rsidRPr="001B2A02">
        <w:rPr>
          <w:rFonts w:ascii="Arial" w:hAnsi="Arial" w:cs="Arial"/>
          <w:color w:val="595959" w:themeColor="text1" w:themeTint="A6"/>
        </w:rPr>
        <w:t>Table 2.16 Coomassie staining solution</w:t>
      </w:r>
      <w:r w:rsidR="002D0166">
        <w:rPr>
          <w:rFonts w:ascii="Arial" w:hAnsi="Arial" w:cs="Arial"/>
          <w:color w:val="595959" w:themeColor="text1" w:themeTint="A6"/>
        </w:rPr>
        <w:t>…………………………………………………</w:t>
      </w:r>
      <w:r w:rsidR="00DA1058">
        <w:rPr>
          <w:rFonts w:ascii="Arial" w:hAnsi="Arial" w:cs="Arial"/>
          <w:color w:val="595959" w:themeColor="text1" w:themeTint="A6"/>
        </w:rPr>
        <w:t>………-</w:t>
      </w:r>
      <w:r w:rsidR="002D0166">
        <w:rPr>
          <w:rFonts w:ascii="Arial" w:hAnsi="Arial" w:cs="Arial"/>
          <w:color w:val="595959" w:themeColor="text1" w:themeTint="A6"/>
        </w:rPr>
        <w:t>9</w:t>
      </w:r>
      <w:r w:rsidR="006404EE">
        <w:rPr>
          <w:rFonts w:ascii="Arial" w:hAnsi="Arial" w:cs="Arial"/>
          <w:color w:val="595959" w:themeColor="text1" w:themeTint="A6"/>
        </w:rPr>
        <w:t>2</w:t>
      </w:r>
      <w:r w:rsidR="00DA1058">
        <w:rPr>
          <w:rFonts w:ascii="Arial" w:hAnsi="Arial" w:cs="Arial"/>
          <w:color w:val="595959" w:themeColor="text1" w:themeTint="A6"/>
        </w:rPr>
        <w:t>-</w:t>
      </w:r>
    </w:p>
    <w:p w14:paraId="53BE2A08" w14:textId="31C24A98" w:rsidR="00E4564F" w:rsidRDefault="00E4564F" w:rsidP="00E4564F">
      <w:pPr>
        <w:autoSpaceDE w:val="0"/>
        <w:autoSpaceDN w:val="0"/>
        <w:adjustRightInd w:val="0"/>
        <w:spacing w:after="0" w:line="480" w:lineRule="auto"/>
        <w:jc w:val="both"/>
        <w:rPr>
          <w:rFonts w:ascii="Arial" w:hAnsi="Arial" w:cs="Arial"/>
          <w:color w:val="595959" w:themeColor="text1" w:themeTint="A6"/>
          <w:lang w:val="en-US"/>
        </w:rPr>
      </w:pPr>
      <w:r w:rsidRPr="001B2A02">
        <w:rPr>
          <w:rFonts w:ascii="Arial" w:hAnsi="Arial" w:cs="Arial"/>
          <w:color w:val="595959" w:themeColor="text1" w:themeTint="A6"/>
          <w:lang w:val="en-US"/>
        </w:rPr>
        <w:t>Table 2.17 De-staining solution</w:t>
      </w:r>
      <w:r w:rsidR="002D0166">
        <w:rPr>
          <w:rFonts w:ascii="Arial" w:hAnsi="Arial" w:cs="Arial"/>
          <w:color w:val="595959" w:themeColor="text1" w:themeTint="A6"/>
          <w:lang w:val="en-US"/>
        </w:rPr>
        <w:t>……………………………………………………………</w:t>
      </w:r>
      <w:r w:rsidR="00DA1058">
        <w:rPr>
          <w:rFonts w:ascii="Arial" w:hAnsi="Arial" w:cs="Arial"/>
          <w:color w:val="595959" w:themeColor="text1" w:themeTint="A6"/>
          <w:lang w:val="en-US"/>
        </w:rPr>
        <w:t>……..-</w:t>
      </w:r>
      <w:r w:rsidR="002D0166">
        <w:rPr>
          <w:rFonts w:ascii="Arial" w:hAnsi="Arial" w:cs="Arial"/>
          <w:color w:val="595959" w:themeColor="text1" w:themeTint="A6"/>
          <w:lang w:val="en-US"/>
        </w:rPr>
        <w:t>9</w:t>
      </w:r>
      <w:r w:rsidR="006404EE">
        <w:rPr>
          <w:rFonts w:ascii="Arial" w:hAnsi="Arial" w:cs="Arial"/>
          <w:color w:val="595959" w:themeColor="text1" w:themeTint="A6"/>
          <w:lang w:val="en-US"/>
        </w:rPr>
        <w:t>2</w:t>
      </w:r>
      <w:r w:rsidR="00DA1058">
        <w:rPr>
          <w:rFonts w:ascii="Arial" w:hAnsi="Arial" w:cs="Arial"/>
          <w:color w:val="595959" w:themeColor="text1" w:themeTint="A6"/>
          <w:lang w:val="en-US"/>
        </w:rPr>
        <w:t>-</w:t>
      </w:r>
    </w:p>
    <w:p w14:paraId="0D595E08" w14:textId="73657447" w:rsidR="00C03ACF" w:rsidRPr="00661C4F" w:rsidRDefault="00C03ACF" w:rsidP="00E4564F">
      <w:pPr>
        <w:autoSpaceDE w:val="0"/>
        <w:autoSpaceDN w:val="0"/>
        <w:adjustRightInd w:val="0"/>
        <w:spacing w:after="0" w:line="480" w:lineRule="auto"/>
        <w:jc w:val="both"/>
        <w:rPr>
          <w:rFonts w:ascii="Arial" w:hAnsi="Arial" w:cs="Arial"/>
          <w:color w:val="595959" w:themeColor="text1" w:themeTint="A6"/>
          <w:lang w:val="en-US"/>
        </w:rPr>
      </w:pPr>
      <w:r w:rsidRPr="00661C4F">
        <w:rPr>
          <w:rFonts w:ascii="Arial" w:hAnsi="Arial" w:cs="Arial"/>
          <w:color w:val="595959" w:themeColor="text1" w:themeTint="A6"/>
          <w:lang w:val="en-US"/>
        </w:rPr>
        <w:t>Table 3.1 Myofibroblast marker analysis ………………………………………………………-159-</w:t>
      </w:r>
    </w:p>
    <w:p w14:paraId="69BA2F91" w14:textId="26BFD034" w:rsidR="00C03ACF" w:rsidRPr="00661C4F" w:rsidRDefault="00C03ACF" w:rsidP="00E4564F">
      <w:pPr>
        <w:autoSpaceDE w:val="0"/>
        <w:autoSpaceDN w:val="0"/>
        <w:adjustRightInd w:val="0"/>
        <w:spacing w:after="0" w:line="480" w:lineRule="auto"/>
        <w:jc w:val="both"/>
        <w:rPr>
          <w:rFonts w:ascii="Arial" w:hAnsi="Arial" w:cs="Arial"/>
          <w:color w:val="595959" w:themeColor="text1" w:themeTint="A6"/>
          <w:lang w:val="en-US"/>
        </w:rPr>
      </w:pPr>
      <w:r w:rsidRPr="00661C4F">
        <w:rPr>
          <w:rFonts w:ascii="Arial" w:hAnsi="Arial" w:cs="Arial"/>
          <w:color w:val="595959" w:themeColor="text1" w:themeTint="A6"/>
          <w:lang w:val="en-US"/>
        </w:rPr>
        <w:t>Table 3.2 NOF and CAF responses to stromal-targeting drugs …………………………….-159-</w:t>
      </w:r>
    </w:p>
    <w:p w14:paraId="209B9CEB" w14:textId="233CE5CE" w:rsidR="00091C09" w:rsidRDefault="00091C09" w:rsidP="00091C09"/>
    <w:p w14:paraId="7248CFBF" w14:textId="6E56D044" w:rsidR="00BA5EB2" w:rsidRDefault="00BA5EB2" w:rsidP="00091C09"/>
    <w:p w14:paraId="1380A08A" w14:textId="0B1D526E" w:rsidR="00BA5EB2" w:rsidRDefault="00BA5EB2" w:rsidP="00091C09"/>
    <w:p w14:paraId="778E94E9" w14:textId="77777777" w:rsidR="00365E9A" w:rsidRDefault="00365E9A" w:rsidP="009310BF">
      <w:pPr>
        <w:pStyle w:val="Title"/>
        <w:outlineLvl w:val="0"/>
        <w:rPr>
          <w:color w:val="4472C4" w:themeColor="accent1"/>
        </w:rPr>
      </w:pPr>
      <w:bookmarkStart w:id="8" w:name="_Toc34208236"/>
    </w:p>
    <w:p w14:paraId="410EBDF2" w14:textId="2AFE444A" w:rsidR="00AC3937" w:rsidRDefault="00AC3937" w:rsidP="009310BF">
      <w:pPr>
        <w:pStyle w:val="Title"/>
        <w:outlineLvl w:val="0"/>
        <w:rPr>
          <w:color w:val="4472C4" w:themeColor="accent1"/>
        </w:rPr>
      </w:pPr>
      <w:r>
        <w:rPr>
          <w:color w:val="4472C4" w:themeColor="accent1"/>
        </w:rPr>
        <w:lastRenderedPageBreak/>
        <w:t>Abbreviations</w:t>
      </w:r>
      <w:bookmarkEnd w:id="8"/>
    </w:p>
    <w:p w14:paraId="2775EBB7" w14:textId="48C5E0AF" w:rsidR="00010835" w:rsidRPr="00AC3937" w:rsidRDefault="00010835" w:rsidP="00AC3937">
      <w:pPr>
        <w:spacing w:after="200" w:line="276" w:lineRule="auto"/>
        <w:rPr>
          <w:rFonts w:ascii="Arial" w:eastAsiaTheme="minorEastAsia" w:hAnsi="Arial" w:cs="Arial"/>
          <w:color w:val="595959" w:themeColor="text1" w:themeTint="A6"/>
          <w:lang w:val="it-IT" w:eastAsia="zh-CN"/>
        </w:rPr>
      </w:pPr>
      <w:r>
        <w:rPr>
          <w:rFonts w:ascii="Arial" w:eastAsiaTheme="minorEastAsia" w:hAnsi="Arial" w:cs="Arial"/>
          <w:color w:val="595959" w:themeColor="text1" w:themeTint="A6"/>
          <w:lang w:val="it-IT" w:eastAsia="zh-CN"/>
        </w:rPr>
        <w:t>μg</w:t>
      </w:r>
      <w:r>
        <w:rPr>
          <w:rFonts w:ascii="Arial" w:eastAsiaTheme="minorEastAsia" w:hAnsi="Arial" w:cs="Arial"/>
          <w:color w:val="595959" w:themeColor="text1" w:themeTint="A6"/>
          <w:lang w:val="it-IT" w:eastAsia="zh-CN"/>
        </w:rPr>
        <w:tab/>
      </w:r>
      <w:r>
        <w:rPr>
          <w:rFonts w:ascii="Arial" w:eastAsiaTheme="minorEastAsia" w:hAnsi="Arial" w:cs="Arial"/>
          <w:color w:val="595959" w:themeColor="text1" w:themeTint="A6"/>
          <w:lang w:val="it-IT" w:eastAsia="zh-CN"/>
        </w:rPr>
        <w:tab/>
        <w:t>microgram</w:t>
      </w:r>
    </w:p>
    <w:p w14:paraId="52F0DBAB" w14:textId="77777777" w:rsidR="00AC3937" w:rsidRPr="00AC3937" w:rsidRDefault="00AC3937" w:rsidP="00AC3937">
      <w:pPr>
        <w:spacing w:after="200" w:line="276" w:lineRule="auto"/>
        <w:rPr>
          <w:rFonts w:ascii="Arial" w:eastAsiaTheme="minorEastAsia" w:hAnsi="Arial" w:cs="Arial"/>
          <w:color w:val="595959" w:themeColor="text1" w:themeTint="A6"/>
          <w:lang w:val="it-IT" w:eastAsia="zh-CN"/>
        </w:rPr>
      </w:pPr>
      <w:r w:rsidRPr="00AC3937">
        <w:rPr>
          <w:rFonts w:ascii="Arial" w:eastAsiaTheme="minorEastAsia" w:hAnsi="Arial" w:cs="Arial"/>
          <w:color w:val="595959" w:themeColor="text1" w:themeTint="A6"/>
          <w:lang w:val="it-IT" w:eastAsia="zh-CN"/>
        </w:rPr>
        <w:t>2D</w:t>
      </w:r>
      <w:r w:rsidRPr="00AC3937">
        <w:rPr>
          <w:rFonts w:ascii="Arial" w:eastAsiaTheme="minorEastAsia" w:hAnsi="Arial" w:cs="Arial"/>
          <w:color w:val="595959" w:themeColor="text1" w:themeTint="A6"/>
          <w:lang w:val="it-IT" w:eastAsia="zh-CN"/>
        </w:rPr>
        <w:tab/>
      </w:r>
      <w:r w:rsidRPr="00AC3937">
        <w:rPr>
          <w:rFonts w:ascii="Arial" w:eastAsiaTheme="minorEastAsia" w:hAnsi="Arial" w:cs="Arial"/>
          <w:color w:val="595959" w:themeColor="text1" w:themeTint="A6"/>
          <w:lang w:val="it-IT" w:eastAsia="zh-CN"/>
        </w:rPr>
        <w:tab/>
        <w:t xml:space="preserve">Two dimensional </w:t>
      </w:r>
    </w:p>
    <w:p w14:paraId="7D2818EB" w14:textId="77777777" w:rsidR="00AC3937" w:rsidRPr="00AC3937" w:rsidRDefault="00AC3937" w:rsidP="00AC3937">
      <w:pPr>
        <w:spacing w:after="200" w:line="276" w:lineRule="auto"/>
        <w:rPr>
          <w:rFonts w:ascii="Arial" w:eastAsiaTheme="minorEastAsia" w:hAnsi="Arial" w:cs="Arial"/>
          <w:color w:val="595959" w:themeColor="text1" w:themeTint="A6"/>
          <w:lang w:val="it-IT" w:eastAsia="zh-CN"/>
        </w:rPr>
      </w:pPr>
      <w:r w:rsidRPr="00AC3937">
        <w:rPr>
          <w:rFonts w:ascii="Arial" w:eastAsiaTheme="minorEastAsia" w:hAnsi="Arial" w:cs="Arial"/>
          <w:color w:val="595959" w:themeColor="text1" w:themeTint="A6"/>
          <w:lang w:val="it-IT" w:eastAsia="zh-CN"/>
        </w:rPr>
        <w:t>3D</w:t>
      </w:r>
      <w:r w:rsidRPr="00AC3937">
        <w:rPr>
          <w:rFonts w:ascii="Arial" w:eastAsiaTheme="minorEastAsia" w:hAnsi="Arial" w:cs="Arial"/>
          <w:color w:val="595959" w:themeColor="text1" w:themeTint="A6"/>
          <w:lang w:val="it-IT" w:eastAsia="zh-CN"/>
        </w:rPr>
        <w:tab/>
      </w:r>
      <w:r w:rsidRPr="00AC3937">
        <w:rPr>
          <w:rFonts w:ascii="Arial" w:eastAsiaTheme="minorEastAsia" w:hAnsi="Arial" w:cs="Arial"/>
          <w:color w:val="595959" w:themeColor="text1" w:themeTint="A6"/>
          <w:lang w:val="it-IT" w:eastAsia="zh-CN"/>
        </w:rPr>
        <w:tab/>
        <w:t xml:space="preserve">Three dimensional </w:t>
      </w:r>
    </w:p>
    <w:p w14:paraId="0650DB7F" w14:textId="77777777" w:rsidR="00AC3937" w:rsidRPr="00AC3937" w:rsidRDefault="00AC3937" w:rsidP="00AC3937">
      <w:pPr>
        <w:spacing w:after="200" w:line="276" w:lineRule="auto"/>
        <w:rPr>
          <w:rFonts w:ascii="Arial" w:eastAsiaTheme="minorEastAsia" w:hAnsi="Arial" w:cs="Arial"/>
          <w:color w:val="595959" w:themeColor="text1" w:themeTint="A6"/>
          <w:lang w:eastAsia="zh-CN"/>
        </w:rPr>
      </w:pPr>
      <w:r w:rsidRPr="00AC3937">
        <w:rPr>
          <w:rFonts w:ascii="Arial" w:eastAsiaTheme="minorEastAsia" w:hAnsi="Arial" w:cs="Arial"/>
          <w:color w:val="595959" w:themeColor="text1" w:themeTint="A6"/>
          <w:lang w:eastAsia="zh-CN"/>
        </w:rPr>
        <w:t>Ab</w:t>
      </w:r>
      <w:r w:rsidRPr="00AC3937">
        <w:rPr>
          <w:rFonts w:ascii="Arial" w:eastAsiaTheme="minorEastAsia" w:hAnsi="Arial" w:cs="Arial"/>
          <w:color w:val="595959" w:themeColor="text1" w:themeTint="A6"/>
          <w:lang w:eastAsia="zh-CN"/>
        </w:rPr>
        <w:tab/>
      </w:r>
      <w:r w:rsidRPr="00AC3937">
        <w:rPr>
          <w:rFonts w:ascii="Arial" w:eastAsiaTheme="minorEastAsia" w:hAnsi="Arial" w:cs="Arial"/>
          <w:color w:val="595959" w:themeColor="text1" w:themeTint="A6"/>
          <w:lang w:eastAsia="zh-CN"/>
        </w:rPr>
        <w:tab/>
        <w:t xml:space="preserve">Absorbance </w:t>
      </w:r>
    </w:p>
    <w:p w14:paraId="67014ECE" w14:textId="77777777" w:rsidR="00AC3937" w:rsidRPr="00AC3937" w:rsidRDefault="00AC3937" w:rsidP="00AC3937">
      <w:pPr>
        <w:spacing w:after="200" w:line="276" w:lineRule="auto"/>
        <w:rPr>
          <w:rFonts w:ascii="Arial" w:eastAsiaTheme="minorEastAsia" w:hAnsi="Arial" w:cs="Arial"/>
          <w:color w:val="595959" w:themeColor="text1" w:themeTint="A6"/>
          <w:lang w:eastAsia="zh-CN"/>
        </w:rPr>
      </w:pPr>
      <w:r w:rsidRPr="00AC3937">
        <w:rPr>
          <w:rFonts w:ascii="Arial" w:eastAsiaTheme="minorEastAsia" w:hAnsi="Arial" w:cs="Arial"/>
          <w:color w:val="595959" w:themeColor="text1" w:themeTint="A6"/>
          <w:lang w:eastAsia="zh-CN"/>
        </w:rPr>
        <w:t>AFM</w:t>
      </w:r>
      <w:r w:rsidRPr="00AC3937">
        <w:rPr>
          <w:rFonts w:ascii="Arial" w:eastAsiaTheme="minorEastAsia" w:hAnsi="Arial" w:cs="Arial"/>
          <w:color w:val="595959" w:themeColor="text1" w:themeTint="A6"/>
          <w:lang w:eastAsia="zh-CN"/>
        </w:rPr>
        <w:tab/>
      </w:r>
      <w:r w:rsidRPr="00AC3937">
        <w:rPr>
          <w:rFonts w:ascii="Arial" w:eastAsiaTheme="minorEastAsia" w:hAnsi="Arial" w:cs="Arial"/>
          <w:color w:val="595959" w:themeColor="text1" w:themeTint="A6"/>
          <w:lang w:eastAsia="zh-CN"/>
        </w:rPr>
        <w:tab/>
        <w:t>Atomic force microscopy</w:t>
      </w:r>
    </w:p>
    <w:p w14:paraId="38393377" w14:textId="77777777" w:rsidR="00AC3937" w:rsidRPr="00AC3937" w:rsidRDefault="00AC3937" w:rsidP="00AC3937">
      <w:pPr>
        <w:spacing w:after="200" w:line="276" w:lineRule="auto"/>
        <w:rPr>
          <w:rFonts w:ascii="Arial" w:eastAsiaTheme="minorEastAsia" w:hAnsi="Arial" w:cs="Arial"/>
          <w:color w:val="595959" w:themeColor="text1" w:themeTint="A6"/>
          <w:lang w:eastAsia="zh-CN"/>
        </w:rPr>
      </w:pPr>
      <w:r w:rsidRPr="00AC3937">
        <w:rPr>
          <w:rFonts w:ascii="Arial" w:eastAsiaTheme="minorEastAsia" w:hAnsi="Arial" w:cs="Arial"/>
          <w:color w:val="595959" w:themeColor="text1" w:themeTint="A6"/>
          <w:lang w:eastAsia="zh-CN"/>
        </w:rPr>
        <w:t xml:space="preserve">ANOVA </w:t>
      </w:r>
      <w:r w:rsidRPr="00AC3937">
        <w:rPr>
          <w:rFonts w:ascii="Arial" w:eastAsiaTheme="minorEastAsia" w:hAnsi="Arial" w:cs="Arial"/>
          <w:color w:val="595959" w:themeColor="text1" w:themeTint="A6"/>
          <w:lang w:eastAsia="zh-CN"/>
        </w:rPr>
        <w:tab/>
        <w:t xml:space="preserve">Analysis of variance </w:t>
      </w:r>
    </w:p>
    <w:p w14:paraId="05783506" w14:textId="77777777" w:rsidR="00AC3937" w:rsidRPr="00AC3937" w:rsidRDefault="00AC3937" w:rsidP="00AC3937">
      <w:pPr>
        <w:spacing w:after="200" w:line="276" w:lineRule="auto"/>
        <w:rPr>
          <w:rFonts w:ascii="Arial" w:eastAsiaTheme="minorEastAsia" w:hAnsi="Arial" w:cs="Arial"/>
          <w:color w:val="595959" w:themeColor="text1" w:themeTint="A6"/>
          <w:lang w:eastAsia="zh-CN"/>
        </w:rPr>
      </w:pPr>
      <w:r w:rsidRPr="00AC3937">
        <w:rPr>
          <w:rFonts w:ascii="Arial" w:eastAsiaTheme="minorEastAsia" w:hAnsi="Arial" w:cs="Arial"/>
          <w:color w:val="595959" w:themeColor="text1" w:themeTint="A6"/>
          <w:lang w:eastAsia="zh-CN"/>
        </w:rPr>
        <w:t>αSMA</w:t>
      </w:r>
      <w:r w:rsidRPr="00AC3937">
        <w:rPr>
          <w:rFonts w:ascii="Arial" w:eastAsiaTheme="minorEastAsia" w:hAnsi="Arial" w:cs="Arial"/>
          <w:color w:val="595959" w:themeColor="text1" w:themeTint="A6"/>
          <w:lang w:eastAsia="zh-CN"/>
        </w:rPr>
        <w:tab/>
      </w:r>
      <w:r w:rsidRPr="00AC3937">
        <w:rPr>
          <w:rFonts w:ascii="Arial" w:eastAsiaTheme="minorEastAsia" w:hAnsi="Arial" w:cs="Arial"/>
          <w:color w:val="595959" w:themeColor="text1" w:themeTint="A6"/>
          <w:lang w:eastAsia="zh-CN"/>
        </w:rPr>
        <w:tab/>
        <w:t>Alpha- smooth muscle actin</w:t>
      </w:r>
    </w:p>
    <w:p w14:paraId="6F96E405" w14:textId="77777777" w:rsidR="00AC3937" w:rsidRPr="00AC3937" w:rsidRDefault="00AC3937" w:rsidP="00AC3937">
      <w:pPr>
        <w:spacing w:after="200" w:line="276" w:lineRule="auto"/>
        <w:rPr>
          <w:rFonts w:ascii="Arial" w:eastAsiaTheme="minorEastAsia" w:hAnsi="Arial" w:cs="Arial"/>
          <w:color w:val="595959" w:themeColor="text1" w:themeTint="A6"/>
          <w:lang w:eastAsia="zh-CN"/>
        </w:rPr>
      </w:pPr>
      <w:r w:rsidRPr="00AC3937">
        <w:rPr>
          <w:rFonts w:ascii="Arial" w:eastAsiaTheme="minorEastAsia" w:hAnsi="Arial" w:cs="Arial"/>
          <w:i/>
          <w:color w:val="595959" w:themeColor="text1" w:themeTint="A6"/>
          <w:lang w:eastAsia="zh-CN"/>
        </w:rPr>
        <w:t>b</w:t>
      </w:r>
      <w:r w:rsidRPr="00AC3937">
        <w:rPr>
          <w:rFonts w:ascii="Arial" w:eastAsiaTheme="minorEastAsia" w:hAnsi="Arial" w:cs="Arial"/>
          <w:color w:val="595959" w:themeColor="text1" w:themeTint="A6"/>
          <w:lang w:eastAsia="zh-CN"/>
        </w:rPr>
        <w:t>FGF</w:t>
      </w:r>
      <w:r w:rsidRPr="00AC3937">
        <w:rPr>
          <w:rFonts w:ascii="Arial" w:eastAsiaTheme="minorEastAsia" w:hAnsi="Arial" w:cs="Arial"/>
          <w:color w:val="595959" w:themeColor="text1" w:themeTint="A6"/>
          <w:lang w:eastAsia="zh-CN"/>
        </w:rPr>
        <w:tab/>
      </w:r>
      <w:r w:rsidRPr="00AC3937">
        <w:rPr>
          <w:rFonts w:ascii="Arial" w:eastAsiaTheme="minorEastAsia" w:hAnsi="Arial" w:cs="Arial"/>
          <w:color w:val="595959" w:themeColor="text1" w:themeTint="A6"/>
          <w:lang w:eastAsia="zh-CN"/>
        </w:rPr>
        <w:tab/>
        <w:t>Basic fibroblast growth factor</w:t>
      </w:r>
    </w:p>
    <w:p w14:paraId="0AB6808A" w14:textId="77777777" w:rsidR="00AC3937" w:rsidRPr="00AC3937" w:rsidRDefault="00AC3937" w:rsidP="00AC3937">
      <w:pPr>
        <w:spacing w:after="200" w:line="276" w:lineRule="auto"/>
        <w:rPr>
          <w:rFonts w:ascii="Arial" w:eastAsiaTheme="minorEastAsia" w:hAnsi="Arial" w:cs="Arial"/>
          <w:color w:val="595959" w:themeColor="text1" w:themeTint="A6"/>
          <w:lang w:eastAsia="zh-CN"/>
        </w:rPr>
      </w:pPr>
      <w:r w:rsidRPr="00AC3937">
        <w:rPr>
          <w:rFonts w:ascii="Arial" w:eastAsiaTheme="minorEastAsia" w:hAnsi="Arial" w:cs="Arial"/>
          <w:color w:val="595959" w:themeColor="text1" w:themeTint="A6"/>
          <w:lang w:eastAsia="zh-CN"/>
        </w:rPr>
        <w:t xml:space="preserve">BSA </w:t>
      </w:r>
      <w:r w:rsidRPr="00AC3937">
        <w:rPr>
          <w:rFonts w:ascii="Arial" w:eastAsiaTheme="minorEastAsia" w:hAnsi="Arial" w:cs="Arial"/>
          <w:color w:val="595959" w:themeColor="text1" w:themeTint="A6"/>
          <w:lang w:eastAsia="zh-CN"/>
        </w:rPr>
        <w:tab/>
      </w:r>
      <w:r w:rsidRPr="00AC3937">
        <w:rPr>
          <w:rFonts w:ascii="Arial" w:eastAsiaTheme="minorEastAsia" w:hAnsi="Arial" w:cs="Arial"/>
          <w:color w:val="595959" w:themeColor="text1" w:themeTint="A6"/>
          <w:lang w:eastAsia="zh-CN"/>
        </w:rPr>
        <w:tab/>
        <w:t xml:space="preserve">Bovine serum albumin </w:t>
      </w:r>
    </w:p>
    <w:p w14:paraId="166DF731" w14:textId="77777777" w:rsidR="00AC3937" w:rsidRPr="00AC3937" w:rsidRDefault="00AC3937" w:rsidP="00AC3937">
      <w:pPr>
        <w:spacing w:after="200" w:line="276" w:lineRule="auto"/>
        <w:rPr>
          <w:rFonts w:ascii="Arial" w:eastAsiaTheme="minorEastAsia" w:hAnsi="Arial" w:cs="Arial"/>
          <w:color w:val="595959" w:themeColor="text1" w:themeTint="A6"/>
          <w:lang w:eastAsia="zh-CN"/>
        </w:rPr>
      </w:pPr>
      <w:r w:rsidRPr="00AC3937">
        <w:rPr>
          <w:rFonts w:ascii="Arial" w:eastAsiaTheme="minorEastAsia" w:hAnsi="Arial" w:cs="Arial"/>
          <w:color w:val="595959" w:themeColor="text1" w:themeTint="A6"/>
          <w:lang w:eastAsia="zh-CN"/>
        </w:rPr>
        <w:t>CAF</w:t>
      </w:r>
      <w:r w:rsidRPr="00AC3937">
        <w:rPr>
          <w:rFonts w:ascii="Arial" w:eastAsiaTheme="minorEastAsia" w:hAnsi="Arial" w:cs="Arial"/>
          <w:color w:val="595959" w:themeColor="text1" w:themeTint="A6"/>
          <w:lang w:eastAsia="zh-CN"/>
        </w:rPr>
        <w:tab/>
      </w:r>
      <w:r w:rsidRPr="00AC3937">
        <w:rPr>
          <w:rFonts w:ascii="Arial" w:eastAsiaTheme="minorEastAsia" w:hAnsi="Arial" w:cs="Arial"/>
          <w:color w:val="595959" w:themeColor="text1" w:themeTint="A6"/>
          <w:lang w:eastAsia="zh-CN"/>
        </w:rPr>
        <w:tab/>
        <w:t>Cancer associated fibroblast (s)</w:t>
      </w:r>
    </w:p>
    <w:p w14:paraId="13B0CA1A" w14:textId="77777777" w:rsidR="00AC3937" w:rsidRPr="00AC3937" w:rsidRDefault="00AC3937" w:rsidP="00AC3937">
      <w:pPr>
        <w:spacing w:after="200" w:line="276" w:lineRule="auto"/>
        <w:rPr>
          <w:rFonts w:ascii="Arial" w:eastAsiaTheme="minorEastAsia" w:hAnsi="Arial" w:cs="Arial"/>
          <w:color w:val="595959" w:themeColor="text1" w:themeTint="A6"/>
          <w:lang w:eastAsia="zh-CN"/>
        </w:rPr>
      </w:pPr>
      <w:r w:rsidRPr="00AC3937">
        <w:rPr>
          <w:rFonts w:ascii="Arial" w:eastAsiaTheme="minorEastAsia" w:hAnsi="Arial" w:cs="Arial"/>
          <w:color w:val="595959" w:themeColor="text1" w:themeTint="A6"/>
          <w:lang w:eastAsia="zh-CN"/>
        </w:rPr>
        <w:t>CAF-DM</w:t>
      </w:r>
      <w:r w:rsidRPr="00AC3937">
        <w:rPr>
          <w:rFonts w:ascii="Arial" w:eastAsiaTheme="minorEastAsia" w:hAnsi="Arial" w:cs="Arial"/>
          <w:color w:val="595959" w:themeColor="text1" w:themeTint="A6"/>
          <w:lang w:eastAsia="zh-CN"/>
        </w:rPr>
        <w:tab/>
        <w:t>Cancer associated fibroblast-derived matrix</w:t>
      </w:r>
    </w:p>
    <w:p w14:paraId="0045FCE0" w14:textId="77777777" w:rsidR="00AC3937" w:rsidRPr="00AC3937" w:rsidRDefault="00AC3937" w:rsidP="00AC3937">
      <w:pPr>
        <w:spacing w:after="200" w:line="276" w:lineRule="auto"/>
        <w:rPr>
          <w:rFonts w:ascii="Arial" w:eastAsiaTheme="minorEastAsia" w:hAnsi="Arial" w:cs="Arial"/>
          <w:color w:val="595959" w:themeColor="text1" w:themeTint="A6"/>
          <w:lang w:val="it-IT" w:eastAsia="zh-CN"/>
        </w:rPr>
      </w:pPr>
      <w:r w:rsidRPr="00AC3937">
        <w:rPr>
          <w:rFonts w:ascii="Arial" w:eastAsiaTheme="minorEastAsia" w:hAnsi="Arial" w:cs="Arial"/>
          <w:color w:val="595959" w:themeColor="text1" w:themeTint="A6"/>
          <w:lang w:val="it-IT" w:eastAsia="zh-CN"/>
        </w:rPr>
        <w:t>CNTRL</w:t>
      </w:r>
      <w:r w:rsidRPr="00AC3937">
        <w:rPr>
          <w:rFonts w:ascii="Arial" w:eastAsiaTheme="minorEastAsia" w:hAnsi="Arial" w:cs="Arial"/>
          <w:color w:val="595959" w:themeColor="text1" w:themeTint="A6"/>
          <w:lang w:val="it-IT" w:eastAsia="zh-CN"/>
        </w:rPr>
        <w:tab/>
        <w:t xml:space="preserve">Control </w:t>
      </w:r>
    </w:p>
    <w:p w14:paraId="1802BE0C" w14:textId="77777777" w:rsidR="00AC3937" w:rsidRPr="00AC3937" w:rsidRDefault="00AC3937" w:rsidP="00AC3937">
      <w:pPr>
        <w:spacing w:after="200" w:line="276" w:lineRule="auto"/>
        <w:rPr>
          <w:rFonts w:ascii="Arial" w:eastAsiaTheme="minorEastAsia" w:hAnsi="Arial" w:cs="Arial"/>
          <w:color w:val="595959" w:themeColor="text1" w:themeTint="A6"/>
          <w:lang w:val="it-IT" w:eastAsia="zh-CN"/>
        </w:rPr>
      </w:pPr>
      <w:r w:rsidRPr="00AC3937">
        <w:rPr>
          <w:rFonts w:ascii="Arial" w:eastAsiaTheme="minorEastAsia" w:hAnsi="Arial" w:cs="Arial"/>
          <w:color w:val="595959" w:themeColor="text1" w:themeTint="A6"/>
          <w:lang w:val="it-IT" w:eastAsia="zh-CN"/>
        </w:rPr>
        <w:t>COL1A1</w:t>
      </w:r>
      <w:r w:rsidRPr="00AC3937">
        <w:rPr>
          <w:rFonts w:ascii="Arial" w:eastAsiaTheme="minorEastAsia" w:hAnsi="Arial" w:cs="Arial"/>
          <w:color w:val="595959" w:themeColor="text1" w:themeTint="A6"/>
          <w:lang w:val="it-IT" w:eastAsia="zh-CN"/>
        </w:rPr>
        <w:tab/>
        <w:t>Collagen type 1 alpha 1</w:t>
      </w:r>
    </w:p>
    <w:p w14:paraId="3C418D54" w14:textId="77777777" w:rsidR="00AC3937" w:rsidRPr="00AC3937" w:rsidRDefault="00AC3937" w:rsidP="00AC3937">
      <w:pPr>
        <w:spacing w:after="200" w:line="276" w:lineRule="auto"/>
        <w:rPr>
          <w:rFonts w:ascii="Arial" w:eastAsiaTheme="minorEastAsia" w:hAnsi="Arial" w:cs="Arial"/>
          <w:color w:val="595959" w:themeColor="text1" w:themeTint="A6"/>
          <w:lang w:eastAsia="zh-CN"/>
        </w:rPr>
      </w:pPr>
      <w:r w:rsidRPr="00AC3937">
        <w:rPr>
          <w:rFonts w:ascii="Arial" w:eastAsiaTheme="minorEastAsia" w:hAnsi="Arial" w:cs="Arial"/>
          <w:color w:val="595959" w:themeColor="text1" w:themeTint="A6"/>
          <w:lang w:eastAsia="zh-CN"/>
        </w:rPr>
        <w:t>cT</w:t>
      </w:r>
      <w:r w:rsidRPr="00AC3937">
        <w:rPr>
          <w:rFonts w:ascii="Arial" w:eastAsiaTheme="minorEastAsia" w:hAnsi="Arial" w:cs="Arial"/>
          <w:color w:val="595959" w:themeColor="text1" w:themeTint="A6"/>
          <w:lang w:eastAsia="zh-CN"/>
        </w:rPr>
        <w:tab/>
      </w:r>
      <w:r w:rsidRPr="00AC3937">
        <w:rPr>
          <w:rFonts w:ascii="Arial" w:eastAsiaTheme="minorEastAsia" w:hAnsi="Arial" w:cs="Arial"/>
          <w:color w:val="595959" w:themeColor="text1" w:themeTint="A6"/>
          <w:lang w:eastAsia="zh-CN"/>
        </w:rPr>
        <w:tab/>
        <w:t>Cycle threshold</w:t>
      </w:r>
    </w:p>
    <w:p w14:paraId="39D7B5DA" w14:textId="77777777" w:rsidR="00AC3937" w:rsidRPr="00AC3937" w:rsidRDefault="00AC3937" w:rsidP="00AC3937">
      <w:pPr>
        <w:spacing w:after="200" w:line="276" w:lineRule="auto"/>
        <w:rPr>
          <w:rFonts w:ascii="Arial" w:eastAsiaTheme="minorEastAsia" w:hAnsi="Arial" w:cs="Arial"/>
          <w:color w:val="595959" w:themeColor="text1" w:themeTint="A6"/>
          <w:lang w:eastAsia="zh-CN"/>
        </w:rPr>
      </w:pPr>
      <w:r w:rsidRPr="00AC3937">
        <w:rPr>
          <w:rFonts w:ascii="Arial" w:eastAsiaTheme="minorEastAsia" w:hAnsi="Arial" w:cs="Arial"/>
          <w:color w:val="595959" w:themeColor="text1" w:themeTint="A6"/>
          <w:lang w:eastAsia="zh-CN"/>
        </w:rPr>
        <w:t>DAB</w:t>
      </w:r>
      <w:r w:rsidRPr="00AC3937">
        <w:rPr>
          <w:rFonts w:ascii="Arial" w:eastAsiaTheme="minorEastAsia" w:hAnsi="Arial" w:cs="Arial"/>
          <w:color w:val="595959" w:themeColor="text1" w:themeTint="A6"/>
          <w:lang w:eastAsia="zh-CN"/>
        </w:rPr>
        <w:tab/>
      </w:r>
      <w:r w:rsidRPr="00AC3937">
        <w:rPr>
          <w:rFonts w:ascii="Arial" w:eastAsiaTheme="minorEastAsia" w:hAnsi="Arial" w:cs="Arial"/>
          <w:color w:val="595959" w:themeColor="text1" w:themeTint="A6"/>
          <w:lang w:eastAsia="zh-CN"/>
        </w:rPr>
        <w:tab/>
        <w:t>3,3’-Diaminobenzidine</w:t>
      </w:r>
    </w:p>
    <w:p w14:paraId="23682C30" w14:textId="77777777" w:rsidR="00AC3937" w:rsidRPr="00AC3937" w:rsidRDefault="00AC3937" w:rsidP="00AC3937">
      <w:pPr>
        <w:spacing w:after="200" w:line="276" w:lineRule="auto"/>
        <w:rPr>
          <w:rFonts w:ascii="Arial" w:eastAsiaTheme="minorEastAsia" w:hAnsi="Arial" w:cs="Arial"/>
          <w:color w:val="595959" w:themeColor="text1" w:themeTint="A6"/>
          <w:lang w:eastAsia="zh-CN"/>
        </w:rPr>
      </w:pPr>
      <w:r w:rsidRPr="00AC3937">
        <w:rPr>
          <w:rFonts w:ascii="Arial" w:eastAsiaTheme="minorEastAsia" w:hAnsi="Arial" w:cs="Arial"/>
          <w:color w:val="595959" w:themeColor="text1" w:themeTint="A6"/>
          <w:lang w:eastAsia="zh-CN"/>
        </w:rPr>
        <w:t>DAPI</w:t>
      </w:r>
      <w:r w:rsidRPr="00AC3937">
        <w:rPr>
          <w:rFonts w:ascii="Arial" w:eastAsiaTheme="minorEastAsia" w:hAnsi="Arial" w:cs="Arial"/>
          <w:color w:val="595959" w:themeColor="text1" w:themeTint="A6"/>
          <w:lang w:eastAsia="zh-CN"/>
        </w:rPr>
        <w:tab/>
      </w:r>
      <w:r w:rsidRPr="00AC3937">
        <w:rPr>
          <w:rFonts w:ascii="Arial" w:eastAsiaTheme="minorEastAsia" w:hAnsi="Arial" w:cs="Arial"/>
          <w:color w:val="595959" w:themeColor="text1" w:themeTint="A6"/>
          <w:lang w:eastAsia="zh-CN"/>
        </w:rPr>
        <w:tab/>
      </w:r>
      <w:r w:rsidRPr="00AC3937">
        <w:rPr>
          <w:rFonts w:ascii="Arial" w:eastAsiaTheme="minorEastAsia" w:hAnsi="Arial" w:cs="Arial"/>
          <w:bCs/>
          <w:color w:val="595959" w:themeColor="text1" w:themeTint="A6"/>
          <w:lang w:eastAsia="zh-CN"/>
        </w:rPr>
        <w:t>4', 6-diamidino-2-phenylindole</w:t>
      </w:r>
    </w:p>
    <w:p w14:paraId="6E73E58E" w14:textId="77777777" w:rsidR="00AC3937" w:rsidRPr="00AC3937" w:rsidRDefault="00AC3937" w:rsidP="00AC3937">
      <w:pPr>
        <w:spacing w:after="200" w:line="276" w:lineRule="auto"/>
        <w:rPr>
          <w:rFonts w:ascii="Arial" w:eastAsiaTheme="minorEastAsia" w:hAnsi="Arial" w:cs="Arial"/>
          <w:color w:val="595959" w:themeColor="text1" w:themeTint="A6"/>
          <w:lang w:eastAsia="zh-CN"/>
        </w:rPr>
      </w:pPr>
      <w:r w:rsidRPr="00AC3937">
        <w:rPr>
          <w:rFonts w:ascii="Arial" w:eastAsiaTheme="minorEastAsia" w:hAnsi="Arial" w:cs="Arial"/>
          <w:color w:val="595959" w:themeColor="text1" w:themeTint="A6"/>
          <w:lang w:eastAsia="zh-CN"/>
        </w:rPr>
        <w:t>DMEM</w:t>
      </w:r>
      <w:r w:rsidRPr="00AC3937">
        <w:rPr>
          <w:rFonts w:ascii="Arial" w:eastAsiaTheme="minorEastAsia" w:hAnsi="Arial" w:cs="Arial"/>
          <w:color w:val="595959" w:themeColor="text1" w:themeTint="A6"/>
          <w:lang w:eastAsia="zh-CN"/>
        </w:rPr>
        <w:tab/>
      </w:r>
      <w:r w:rsidRPr="00AC3937">
        <w:rPr>
          <w:rFonts w:ascii="Arial" w:eastAsiaTheme="minorEastAsia" w:hAnsi="Arial" w:cs="Arial"/>
          <w:color w:val="595959" w:themeColor="text1" w:themeTint="A6"/>
          <w:lang w:eastAsia="zh-CN"/>
        </w:rPr>
        <w:tab/>
        <w:t>Dulbecco’s modified eagle’s medium</w:t>
      </w:r>
    </w:p>
    <w:p w14:paraId="6F3A7AA9" w14:textId="77777777" w:rsidR="00AC3937" w:rsidRPr="00AC3937" w:rsidRDefault="00AC3937" w:rsidP="00AC3937">
      <w:pPr>
        <w:spacing w:after="200" w:line="276" w:lineRule="auto"/>
        <w:rPr>
          <w:rFonts w:ascii="Arial" w:eastAsiaTheme="minorEastAsia" w:hAnsi="Arial" w:cs="Arial"/>
          <w:color w:val="595959" w:themeColor="text1" w:themeTint="A6"/>
          <w:lang w:eastAsia="zh-CN"/>
        </w:rPr>
      </w:pPr>
      <w:r w:rsidRPr="00AC3937">
        <w:rPr>
          <w:rFonts w:ascii="Arial" w:eastAsiaTheme="minorEastAsia" w:hAnsi="Arial" w:cs="Arial"/>
          <w:color w:val="595959" w:themeColor="text1" w:themeTint="A6"/>
          <w:lang w:eastAsia="zh-CN"/>
        </w:rPr>
        <w:t>DMSO</w:t>
      </w:r>
      <w:r w:rsidRPr="00AC3937">
        <w:rPr>
          <w:rFonts w:ascii="Arial" w:eastAsiaTheme="minorEastAsia" w:hAnsi="Arial" w:cs="Arial"/>
          <w:color w:val="595959" w:themeColor="text1" w:themeTint="A6"/>
          <w:lang w:eastAsia="zh-CN"/>
        </w:rPr>
        <w:tab/>
      </w:r>
      <w:r w:rsidRPr="00AC3937">
        <w:rPr>
          <w:rFonts w:ascii="Arial" w:eastAsiaTheme="minorEastAsia" w:hAnsi="Arial" w:cs="Arial"/>
          <w:color w:val="595959" w:themeColor="text1" w:themeTint="A6"/>
          <w:lang w:eastAsia="zh-CN"/>
        </w:rPr>
        <w:tab/>
        <w:t>Dimethyl sulfoxide</w:t>
      </w:r>
    </w:p>
    <w:p w14:paraId="31808BD3" w14:textId="77777777" w:rsidR="00AC3937" w:rsidRPr="00AC3937" w:rsidRDefault="00AC3937" w:rsidP="00AC3937">
      <w:pPr>
        <w:spacing w:after="200" w:line="276" w:lineRule="auto"/>
        <w:rPr>
          <w:rFonts w:ascii="Arial" w:eastAsiaTheme="minorEastAsia" w:hAnsi="Arial" w:cs="Arial"/>
          <w:color w:val="595959" w:themeColor="text1" w:themeTint="A6"/>
          <w:lang w:eastAsia="zh-CN"/>
        </w:rPr>
      </w:pPr>
      <w:r w:rsidRPr="00AC3937">
        <w:rPr>
          <w:rFonts w:ascii="Arial" w:eastAsiaTheme="minorEastAsia" w:hAnsi="Arial" w:cs="Arial"/>
          <w:color w:val="595959" w:themeColor="text1" w:themeTint="A6"/>
          <w:lang w:eastAsia="zh-CN"/>
        </w:rPr>
        <w:t>DNA</w:t>
      </w:r>
      <w:r w:rsidRPr="00AC3937">
        <w:rPr>
          <w:rFonts w:ascii="Arial" w:eastAsiaTheme="minorEastAsia" w:hAnsi="Arial" w:cs="Arial"/>
          <w:color w:val="595959" w:themeColor="text1" w:themeTint="A6"/>
          <w:lang w:eastAsia="zh-CN"/>
        </w:rPr>
        <w:tab/>
      </w:r>
      <w:r w:rsidRPr="00AC3937">
        <w:rPr>
          <w:rFonts w:ascii="Arial" w:eastAsiaTheme="minorEastAsia" w:hAnsi="Arial" w:cs="Arial"/>
          <w:color w:val="595959" w:themeColor="text1" w:themeTint="A6"/>
          <w:lang w:eastAsia="zh-CN"/>
        </w:rPr>
        <w:tab/>
        <w:t xml:space="preserve">Deoxyribonucleic acid </w:t>
      </w:r>
    </w:p>
    <w:p w14:paraId="2B80DCD2" w14:textId="77777777" w:rsidR="00AC3937" w:rsidRPr="00AC3937" w:rsidRDefault="00AC3937" w:rsidP="00AC3937">
      <w:pPr>
        <w:spacing w:after="200" w:line="276" w:lineRule="auto"/>
        <w:rPr>
          <w:rFonts w:ascii="Arial" w:eastAsiaTheme="minorEastAsia" w:hAnsi="Arial" w:cs="Arial"/>
          <w:color w:val="595959" w:themeColor="text1" w:themeTint="A6"/>
          <w:lang w:eastAsia="zh-CN"/>
        </w:rPr>
      </w:pPr>
      <w:r w:rsidRPr="00AC3937">
        <w:rPr>
          <w:rFonts w:ascii="Arial" w:eastAsiaTheme="minorEastAsia" w:hAnsi="Arial" w:cs="Arial"/>
          <w:color w:val="595959" w:themeColor="text1" w:themeTint="A6"/>
          <w:lang w:eastAsia="zh-CN"/>
        </w:rPr>
        <w:t>ECM</w:t>
      </w:r>
      <w:r w:rsidRPr="00AC3937">
        <w:rPr>
          <w:rFonts w:ascii="Arial" w:eastAsiaTheme="minorEastAsia" w:hAnsi="Arial" w:cs="Arial"/>
          <w:color w:val="595959" w:themeColor="text1" w:themeTint="A6"/>
          <w:lang w:eastAsia="zh-CN"/>
        </w:rPr>
        <w:tab/>
      </w:r>
      <w:r w:rsidRPr="00AC3937">
        <w:rPr>
          <w:rFonts w:ascii="Arial" w:eastAsiaTheme="minorEastAsia" w:hAnsi="Arial" w:cs="Arial"/>
          <w:color w:val="595959" w:themeColor="text1" w:themeTint="A6"/>
          <w:lang w:eastAsia="zh-CN"/>
        </w:rPr>
        <w:tab/>
        <w:t>Extracellular matrix</w:t>
      </w:r>
    </w:p>
    <w:p w14:paraId="09A41C7D" w14:textId="77777777" w:rsidR="00AC3937" w:rsidRPr="00AC3937" w:rsidRDefault="00AC3937" w:rsidP="00AC3937">
      <w:pPr>
        <w:spacing w:after="200" w:line="276" w:lineRule="auto"/>
        <w:rPr>
          <w:rFonts w:ascii="Arial" w:eastAsiaTheme="minorEastAsia" w:hAnsi="Arial" w:cs="Arial"/>
          <w:color w:val="595959" w:themeColor="text1" w:themeTint="A6"/>
          <w:lang w:eastAsia="zh-CN"/>
        </w:rPr>
      </w:pPr>
      <w:r w:rsidRPr="00AC3937">
        <w:rPr>
          <w:rFonts w:ascii="Arial" w:eastAsiaTheme="minorEastAsia" w:hAnsi="Arial" w:cs="Arial"/>
          <w:color w:val="595959" w:themeColor="text1" w:themeTint="A6"/>
          <w:lang w:eastAsia="zh-CN"/>
        </w:rPr>
        <w:t>EDTA</w:t>
      </w:r>
      <w:r w:rsidRPr="00AC3937">
        <w:rPr>
          <w:rFonts w:ascii="Arial" w:eastAsiaTheme="minorEastAsia" w:hAnsi="Arial" w:cs="Arial"/>
          <w:color w:val="595959" w:themeColor="text1" w:themeTint="A6"/>
          <w:lang w:eastAsia="zh-CN"/>
        </w:rPr>
        <w:tab/>
      </w:r>
      <w:r w:rsidRPr="00AC3937">
        <w:rPr>
          <w:rFonts w:ascii="Arial" w:eastAsiaTheme="minorEastAsia" w:hAnsi="Arial" w:cs="Arial"/>
          <w:color w:val="595959" w:themeColor="text1" w:themeTint="A6"/>
          <w:lang w:eastAsia="zh-CN"/>
        </w:rPr>
        <w:tab/>
        <w:t>Ethylenediaminetetraacetic acid</w:t>
      </w:r>
    </w:p>
    <w:p w14:paraId="77E5A3B9" w14:textId="77777777" w:rsidR="00AC3937" w:rsidRPr="00AC3937" w:rsidRDefault="00AC3937" w:rsidP="00AC3937">
      <w:pPr>
        <w:spacing w:after="200" w:line="276" w:lineRule="auto"/>
        <w:rPr>
          <w:rFonts w:ascii="Arial" w:eastAsiaTheme="minorEastAsia" w:hAnsi="Arial" w:cs="Arial"/>
          <w:color w:val="595959" w:themeColor="text1" w:themeTint="A6"/>
          <w:lang w:eastAsia="zh-CN"/>
        </w:rPr>
      </w:pPr>
      <w:r w:rsidRPr="00AC3937">
        <w:rPr>
          <w:rFonts w:ascii="Arial" w:eastAsiaTheme="minorEastAsia" w:hAnsi="Arial" w:cs="Arial"/>
          <w:color w:val="595959" w:themeColor="text1" w:themeTint="A6"/>
          <w:lang w:eastAsia="zh-CN"/>
        </w:rPr>
        <w:t>EGF</w:t>
      </w:r>
      <w:r w:rsidRPr="00AC3937">
        <w:rPr>
          <w:rFonts w:ascii="Arial" w:eastAsiaTheme="minorEastAsia" w:hAnsi="Arial" w:cs="Arial"/>
          <w:color w:val="595959" w:themeColor="text1" w:themeTint="A6"/>
          <w:lang w:eastAsia="zh-CN"/>
        </w:rPr>
        <w:tab/>
      </w:r>
      <w:r w:rsidRPr="00AC3937">
        <w:rPr>
          <w:rFonts w:ascii="Arial" w:eastAsiaTheme="minorEastAsia" w:hAnsi="Arial" w:cs="Arial"/>
          <w:color w:val="595959" w:themeColor="text1" w:themeTint="A6"/>
          <w:lang w:eastAsia="zh-CN"/>
        </w:rPr>
        <w:tab/>
        <w:t>Epidermal growth factor</w:t>
      </w:r>
    </w:p>
    <w:p w14:paraId="3FC6F8E0" w14:textId="77777777" w:rsidR="00AC3937" w:rsidRPr="00AC3937" w:rsidRDefault="00AC3937" w:rsidP="00AC3937">
      <w:pPr>
        <w:spacing w:after="200" w:line="276" w:lineRule="auto"/>
        <w:rPr>
          <w:rFonts w:ascii="Arial" w:eastAsiaTheme="minorEastAsia" w:hAnsi="Arial" w:cs="Arial"/>
          <w:color w:val="595959" w:themeColor="text1" w:themeTint="A6"/>
          <w:lang w:eastAsia="zh-CN"/>
        </w:rPr>
      </w:pPr>
      <w:r w:rsidRPr="00AC3937">
        <w:rPr>
          <w:rFonts w:ascii="Arial" w:eastAsiaTheme="minorEastAsia" w:hAnsi="Arial" w:cs="Arial"/>
          <w:color w:val="595959" w:themeColor="text1" w:themeTint="A6"/>
          <w:lang w:eastAsia="zh-CN"/>
        </w:rPr>
        <w:t>FAC</w:t>
      </w:r>
      <w:r w:rsidRPr="00AC3937">
        <w:rPr>
          <w:rFonts w:ascii="Arial" w:eastAsiaTheme="minorEastAsia" w:hAnsi="Arial" w:cs="Arial"/>
          <w:color w:val="595959" w:themeColor="text1" w:themeTint="A6"/>
          <w:lang w:eastAsia="zh-CN"/>
        </w:rPr>
        <w:tab/>
      </w:r>
      <w:r w:rsidRPr="00AC3937">
        <w:rPr>
          <w:rFonts w:ascii="Arial" w:eastAsiaTheme="minorEastAsia" w:hAnsi="Arial" w:cs="Arial"/>
          <w:color w:val="595959" w:themeColor="text1" w:themeTint="A6"/>
          <w:lang w:eastAsia="zh-CN"/>
        </w:rPr>
        <w:tab/>
        <w:t>Focal adhesion complex</w:t>
      </w:r>
    </w:p>
    <w:p w14:paraId="4F468F34" w14:textId="77777777" w:rsidR="00AC3937" w:rsidRPr="00AC3937" w:rsidRDefault="00AC3937" w:rsidP="00AC3937">
      <w:pPr>
        <w:spacing w:after="200" w:line="276" w:lineRule="auto"/>
        <w:rPr>
          <w:rFonts w:ascii="Arial" w:eastAsiaTheme="minorEastAsia" w:hAnsi="Arial" w:cs="Arial"/>
          <w:color w:val="595959" w:themeColor="text1" w:themeTint="A6"/>
          <w:lang w:eastAsia="zh-CN"/>
        </w:rPr>
      </w:pPr>
      <w:r w:rsidRPr="00AC3937">
        <w:rPr>
          <w:rFonts w:ascii="Arial" w:eastAsiaTheme="minorEastAsia" w:hAnsi="Arial" w:cs="Arial"/>
          <w:color w:val="595959" w:themeColor="text1" w:themeTint="A6"/>
          <w:lang w:eastAsia="zh-CN"/>
        </w:rPr>
        <w:t>FAP</w:t>
      </w:r>
      <w:r w:rsidRPr="00AC3937">
        <w:rPr>
          <w:rFonts w:ascii="Arial" w:eastAsiaTheme="minorEastAsia" w:hAnsi="Arial" w:cs="Arial"/>
          <w:color w:val="595959" w:themeColor="text1" w:themeTint="A6"/>
          <w:lang w:eastAsia="zh-CN"/>
        </w:rPr>
        <w:tab/>
      </w:r>
      <w:r w:rsidRPr="00AC3937">
        <w:rPr>
          <w:rFonts w:ascii="Arial" w:eastAsiaTheme="minorEastAsia" w:hAnsi="Arial" w:cs="Arial"/>
          <w:color w:val="595959" w:themeColor="text1" w:themeTint="A6"/>
          <w:lang w:eastAsia="zh-CN"/>
        </w:rPr>
        <w:tab/>
        <w:t>Fibroblast activating protein</w:t>
      </w:r>
    </w:p>
    <w:p w14:paraId="60F091F5" w14:textId="77777777" w:rsidR="00AC3937" w:rsidRPr="00AC3937" w:rsidRDefault="00AC3937" w:rsidP="00AC3937">
      <w:pPr>
        <w:spacing w:after="200" w:line="276" w:lineRule="auto"/>
        <w:rPr>
          <w:rFonts w:ascii="Arial" w:eastAsiaTheme="minorEastAsia" w:hAnsi="Arial" w:cs="Arial"/>
          <w:color w:val="595959" w:themeColor="text1" w:themeTint="A6"/>
          <w:lang w:eastAsia="zh-CN"/>
        </w:rPr>
      </w:pPr>
      <w:r w:rsidRPr="00AC3937">
        <w:rPr>
          <w:rFonts w:ascii="Arial" w:eastAsiaTheme="minorEastAsia" w:hAnsi="Arial" w:cs="Arial"/>
          <w:color w:val="595959" w:themeColor="text1" w:themeTint="A6"/>
          <w:lang w:eastAsia="zh-CN"/>
        </w:rPr>
        <w:t>FB</w:t>
      </w:r>
      <w:r w:rsidRPr="00AC3937">
        <w:rPr>
          <w:rFonts w:ascii="Arial" w:eastAsiaTheme="minorEastAsia" w:hAnsi="Arial" w:cs="Arial"/>
          <w:color w:val="595959" w:themeColor="text1" w:themeTint="A6"/>
          <w:lang w:eastAsia="zh-CN"/>
        </w:rPr>
        <w:tab/>
      </w:r>
      <w:r w:rsidRPr="00AC3937">
        <w:rPr>
          <w:rFonts w:ascii="Arial" w:eastAsiaTheme="minorEastAsia" w:hAnsi="Arial" w:cs="Arial"/>
          <w:color w:val="595959" w:themeColor="text1" w:themeTint="A6"/>
          <w:lang w:eastAsia="zh-CN"/>
        </w:rPr>
        <w:tab/>
        <w:t>Fibroblast (s)</w:t>
      </w:r>
    </w:p>
    <w:p w14:paraId="081C5C91" w14:textId="617158FB" w:rsidR="00AC3937" w:rsidRPr="00AC3937" w:rsidRDefault="00AC3937" w:rsidP="00AC3937">
      <w:pPr>
        <w:spacing w:after="200" w:line="276" w:lineRule="auto"/>
        <w:rPr>
          <w:rFonts w:ascii="Arial" w:eastAsiaTheme="minorEastAsia" w:hAnsi="Arial" w:cs="Arial"/>
          <w:color w:val="595959" w:themeColor="text1" w:themeTint="A6"/>
          <w:lang w:eastAsia="zh-CN"/>
        </w:rPr>
      </w:pPr>
      <w:r w:rsidRPr="00AC3937">
        <w:rPr>
          <w:rFonts w:ascii="Arial" w:eastAsiaTheme="minorEastAsia" w:hAnsi="Arial" w:cs="Arial"/>
          <w:color w:val="595959" w:themeColor="text1" w:themeTint="A6"/>
          <w:lang w:eastAsia="zh-CN"/>
        </w:rPr>
        <w:t>FDM</w:t>
      </w:r>
      <w:r w:rsidRPr="00AC3937">
        <w:rPr>
          <w:rFonts w:ascii="Arial" w:eastAsiaTheme="minorEastAsia" w:hAnsi="Arial" w:cs="Arial"/>
          <w:color w:val="595959" w:themeColor="text1" w:themeTint="A6"/>
          <w:lang w:eastAsia="zh-CN"/>
        </w:rPr>
        <w:tab/>
      </w:r>
      <w:r w:rsidRPr="00AC3937">
        <w:rPr>
          <w:rFonts w:ascii="Arial" w:eastAsiaTheme="minorEastAsia" w:hAnsi="Arial" w:cs="Arial"/>
          <w:color w:val="595959" w:themeColor="text1" w:themeTint="A6"/>
          <w:lang w:eastAsia="zh-CN"/>
        </w:rPr>
        <w:tab/>
        <w:t>Fibroblast</w:t>
      </w:r>
      <w:r w:rsidR="002D4501">
        <w:rPr>
          <w:rFonts w:ascii="Arial" w:eastAsiaTheme="minorEastAsia" w:hAnsi="Arial" w:cs="Arial"/>
          <w:color w:val="595959" w:themeColor="text1" w:themeTint="A6"/>
          <w:lang w:eastAsia="zh-CN"/>
        </w:rPr>
        <w:t>-</w:t>
      </w:r>
      <w:r w:rsidRPr="00AC3937">
        <w:rPr>
          <w:rFonts w:ascii="Arial" w:eastAsiaTheme="minorEastAsia" w:hAnsi="Arial" w:cs="Arial"/>
          <w:color w:val="595959" w:themeColor="text1" w:themeTint="A6"/>
          <w:lang w:eastAsia="zh-CN"/>
        </w:rPr>
        <w:t>derived matrix</w:t>
      </w:r>
    </w:p>
    <w:p w14:paraId="4317E41E" w14:textId="77777777" w:rsidR="00AC3937" w:rsidRPr="00AC3937" w:rsidRDefault="00AC3937" w:rsidP="00AC3937">
      <w:pPr>
        <w:spacing w:after="200" w:line="276" w:lineRule="auto"/>
        <w:rPr>
          <w:rFonts w:ascii="Arial" w:eastAsiaTheme="minorEastAsia" w:hAnsi="Arial" w:cs="Arial"/>
          <w:color w:val="595959" w:themeColor="text1" w:themeTint="A6"/>
          <w:lang w:eastAsia="zh-CN"/>
        </w:rPr>
      </w:pPr>
      <w:r w:rsidRPr="00AC3937">
        <w:rPr>
          <w:rFonts w:ascii="Arial" w:eastAsiaTheme="minorEastAsia" w:hAnsi="Arial" w:cs="Arial"/>
          <w:color w:val="595959" w:themeColor="text1" w:themeTint="A6"/>
          <w:lang w:eastAsia="zh-CN"/>
        </w:rPr>
        <w:t>FBS</w:t>
      </w:r>
      <w:r w:rsidRPr="00AC3937">
        <w:rPr>
          <w:rFonts w:ascii="Arial" w:eastAsiaTheme="minorEastAsia" w:hAnsi="Arial" w:cs="Arial"/>
          <w:color w:val="595959" w:themeColor="text1" w:themeTint="A6"/>
          <w:lang w:eastAsia="zh-CN"/>
        </w:rPr>
        <w:tab/>
      </w:r>
      <w:r w:rsidRPr="00AC3937">
        <w:rPr>
          <w:rFonts w:ascii="Arial" w:eastAsiaTheme="minorEastAsia" w:hAnsi="Arial" w:cs="Arial"/>
          <w:color w:val="595959" w:themeColor="text1" w:themeTint="A6"/>
          <w:lang w:eastAsia="zh-CN"/>
        </w:rPr>
        <w:tab/>
        <w:t>Foetal bovine serum</w:t>
      </w:r>
    </w:p>
    <w:p w14:paraId="06972AA5" w14:textId="77777777" w:rsidR="00AC3937" w:rsidRPr="00AC3937" w:rsidRDefault="00AC3937" w:rsidP="00AC3937">
      <w:pPr>
        <w:spacing w:after="200" w:line="276" w:lineRule="auto"/>
        <w:rPr>
          <w:rFonts w:ascii="Arial" w:eastAsiaTheme="minorEastAsia" w:hAnsi="Arial" w:cs="Arial"/>
          <w:color w:val="595959" w:themeColor="text1" w:themeTint="A6"/>
          <w:lang w:eastAsia="zh-CN"/>
        </w:rPr>
      </w:pPr>
      <w:r w:rsidRPr="00AC3937">
        <w:rPr>
          <w:rFonts w:ascii="Arial" w:eastAsiaTheme="minorEastAsia" w:hAnsi="Arial" w:cs="Arial"/>
          <w:color w:val="595959" w:themeColor="text1" w:themeTint="A6"/>
          <w:lang w:eastAsia="zh-CN"/>
        </w:rPr>
        <w:lastRenderedPageBreak/>
        <w:t>FN1-EDA</w:t>
      </w:r>
      <w:r w:rsidRPr="00AC3937">
        <w:rPr>
          <w:rFonts w:ascii="Arial" w:eastAsiaTheme="minorEastAsia" w:hAnsi="Arial" w:cs="Arial"/>
          <w:color w:val="595959" w:themeColor="text1" w:themeTint="A6"/>
          <w:lang w:eastAsia="zh-CN"/>
        </w:rPr>
        <w:tab/>
        <w:t>Fibronectin 1 (Splice variant)</w:t>
      </w:r>
    </w:p>
    <w:p w14:paraId="704BA3F3" w14:textId="77777777" w:rsidR="00AC3937" w:rsidRPr="00AC3937" w:rsidRDefault="00AC3937" w:rsidP="00AC3937">
      <w:pPr>
        <w:spacing w:after="200" w:line="276" w:lineRule="auto"/>
        <w:rPr>
          <w:rFonts w:ascii="Arial" w:eastAsiaTheme="minorEastAsia" w:hAnsi="Arial" w:cs="Arial"/>
          <w:color w:val="595959" w:themeColor="text1" w:themeTint="A6"/>
          <w:lang w:eastAsia="zh-CN"/>
        </w:rPr>
      </w:pPr>
      <w:r w:rsidRPr="00AC3937">
        <w:rPr>
          <w:rFonts w:ascii="Arial" w:eastAsiaTheme="minorEastAsia" w:hAnsi="Arial" w:cs="Arial"/>
          <w:color w:val="595959" w:themeColor="text1" w:themeTint="A6"/>
          <w:lang w:eastAsia="zh-CN"/>
        </w:rPr>
        <w:t>FSP-1</w:t>
      </w:r>
      <w:r w:rsidRPr="00AC3937">
        <w:rPr>
          <w:rFonts w:ascii="Arial" w:eastAsiaTheme="minorEastAsia" w:hAnsi="Arial" w:cs="Arial"/>
          <w:color w:val="595959" w:themeColor="text1" w:themeTint="A6"/>
          <w:lang w:eastAsia="zh-CN"/>
        </w:rPr>
        <w:tab/>
      </w:r>
      <w:r w:rsidRPr="00AC3937">
        <w:rPr>
          <w:rFonts w:ascii="Arial" w:eastAsiaTheme="minorEastAsia" w:hAnsi="Arial" w:cs="Arial"/>
          <w:color w:val="595959" w:themeColor="text1" w:themeTint="A6"/>
          <w:lang w:eastAsia="zh-CN"/>
        </w:rPr>
        <w:tab/>
        <w:t>Fibroblast specific protein-1</w:t>
      </w:r>
    </w:p>
    <w:p w14:paraId="20DDA155" w14:textId="77777777" w:rsidR="00AC3937" w:rsidRPr="00AC3937" w:rsidRDefault="00AC3937" w:rsidP="00AC3937">
      <w:pPr>
        <w:spacing w:after="200" w:line="276" w:lineRule="auto"/>
        <w:rPr>
          <w:rFonts w:ascii="Arial" w:eastAsiaTheme="minorEastAsia" w:hAnsi="Arial" w:cs="Arial"/>
          <w:color w:val="595959" w:themeColor="text1" w:themeTint="A6"/>
          <w:lang w:eastAsia="zh-CN"/>
        </w:rPr>
      </w:pPr>
      <w:r w:rsidRPr="00AC3937">
        <w:rPr>
          <w:rFonts w:ascii="Arial" w:eastAsiaTheme="minorEastAsia" w:hAnsi="Arial" w:cs="Arial"/>
          <w:color w:val="595959" w:themeColor="text1" w:themeTint="A6"/>
          <w:lang w:eastAsia="zh-CN"/>
        </w:rPr>
        <w:t>GAG</w:t>
      </w:r>
      <w:r w:rsidRPr="00AC3937">
        <w:rPr>
          <w:rFonts w:ascii="Arial" w:eastAsiaTheme="minorEastAsia" w:hAnsi="Arial" w:cs="Arial"/>
          <w:color w:val="595959" w:themeColor="text1" w:themeTint="A6"/>
          <w:lang w:eastAsia="zh-CN"/>
        </w:rPr>
        <w:tab/>
      </w:r>
      <w:r w:rsidRPr="00AC3937">
        <w:rPr>
          <w:rFonts w:ascii="Arial" w:eastAsiaTheme="minorEastAsia" w:hAnsi="Arial" w:cs="Arial"/>
          <w:color w:val="595959" w:themeColor="text1" w:themeTint="A6"/>
          <w:lang w:eastAsia="zh-CN"/>
        </w:rPr>
        <w:tab/>
        <w:t>Glycosaminoglycan</w:t>
      </w:r>
    </w:p>
    <w:p w14:paraId="7182FDB0" w14:textId="77777777" w:rsidR="00AC3937" w:rsidRPr="00AC3937" w:rsidRDefault="00AC3937" w:rsidP="00AC3937">
      <w:pPr>
        <w:spacing w:after="200" w:line="276" w:lineRule="auto"/>
        <w:rPr>
          <w:rFonts w:ascii="Arial" w:eastAsiaTheme="minorEastAsia" w:hAnsi="Arial" w:cs="Arial"/>
          <w:color w:val="595959" w:themeColor="text1" w:themeTint="A6"/>
          <w:lang w:eastAsia="zh-CN"/>
        </w:rPr>
      </w:pPr>
      <w:r w:rsidRPr="00AC3937">
        <w:rPr>
          <w:rFonts w:ascii="Arial" w:eastAsiaTheme="minorEastAsia" w:hAnsi="Arial" w:cs="Arial"/>
          <w:color w:val="595959" w:themeColor="text1" w:themeTint="A6"/>
          <w:lang w:eastAsia="zh-CN"/>
        </w:rPr>
        <w:t>HA</w:t>
      </w:r>
      <w:r w:rsidRPr="00AC3937">
        <w:rPr>
          <w:rFonts w:ascii="Arial" w:eastAsiaTheme="minorEastAsia" w:hAnsi="Arial" w:cs="Arial"/>
          <w:color w:val="595959" w:themeColor="text1" w:themeTint="A6"/>
          <w:lang w:eastAsia="zh-CN"/>
        </w:rPr>
        <w:tab/>
      </w:r>
      <w:r w:rsidRPr="00AC3937">
        <w:rPr>
          <w:rFonts w:ascii="Arial" w:eastAsiaTheme="minorEastAsia" w:hAnsi="Arial" w:cs="Arial"/>
          <w:color w:val="595959" w:themeColor="text1" w:themeTint="A6"/>
          <w:lang w:eastAsia="zh-CN"/>
        </w:rPr>
        <w:tab/>
        <w:t>Hyaluronic acid</w:t>
      </w:r>
    </w:p>
    <w:p w14:paraId="494B318A" w14:textId="77777777" w:rsidR="00AC3937" w:rsidRPr="00AC3937" w:rsidRDefault="00AC3937" w:rsidP="00AC3937">
      <w:pPr>
        <w:spacing w:after="200" w:line="276" w:lineRule="auto"/>
        <w:rPr>
          <w:rFonts w:ascii="Arial" w:eastAsiaTheme="minorEastAsia" w:hAnsi="Arial" w:cs="Arial"/>
          <w:color w:val="595959" w:themeColor="text1" w:themeTint="A6"/>
          <w:lang w:eastAsia="zh-CN"/>
        </w:rPr>
      </w:pPr>
      <w:r w:rsidRPr="00AC3937">
        <w:rPr>
          <w:rFonts w:ascii="Arial" w:eastAsiaTheme="minorEastAsia" w:hAnsi="Arial" w:cs="Arial"/>
          <w:color w:val="595959" w:themeColor="text1" w:themeTint="A6"/>
          <w:lang w:eastAsia="zh-CN"/>
        </w:rPr>
        <w:t xml:space="preserve">HCl </w:t>
      </w:r>
      <w:r w:rsidRPr="00AC3937">
        <w:rPr>
          <w:rFonts w:ascii="Arial" w:eastAsiaTheme="minorEastAsia" w:hAnsi="Arial" w:cs="Arial"/>
          <w:color w:val="595959" w:themeColor="text1" w:themeTint="A6"/>
          <w:lang w:eastAsia="zh-CN"/>
        </w:rPr>
        <w:tab/>
      </w:r>
      <w:r w:rsidRPr="00AC3937">
        <w:rPr>
          <w:rFonts w:ascii="Arial" w:eastAsiaTheme="minorEastAsia" w:hAnsi="Arial" w:cs="Arial"/>
          <w:color w:val="595959" w:themeColor="text1" w:themeTint="A6"/>
          <w:lang w:eastAsia="zh-CN"/>
        </w:rPr>
        <w:tab/>
        <w:t>Hydrochloric acid</w:t>
      </w:r>
    </w:p>
    <w:p w14:paraId="64B8447C" w14:textId="77777777" w:rsidR="00AC3937" w:rsidRPr="00AC3937" w:rsidRDefault="00AC3937" w:rsidP="00AC3937">
      <w:pPr>
        <w:spacing w:after="200" w:line="276" w:lineRule="auto"/>
        <w:rPr>
          <w:rFonts w:ascii="Arial" w:eastAsiaTheme="minorEastAsia" w:hAnsi="Arial" w:cs="Arial"/>
          <w:color w:val="595959" w:themeColor="text1" w:themeTint="A6"/>
          <w:lang w:eastAsia="zh-CN"/>
        </w:rPr>
      </w:pPr>
      <w:r w:rsidRPr="00AC3937">
        <w:rPr>
          <w:rFonts w:ascii="Arial" w:eastAsiaTheme="minorEastAsia" w:hAnsi="Arial" w:cs="Arial"/>
          <w:color w:val="595959" w:themeColor="text1" w:themeTint="A6"/>
          <w:lang w:eastAsia="zh-CN"/>
        </w:rPr>
        <w:t>HDAC</w:t>
      </w:r>
      <w:r w:rsidRPr="00AC3937">
        <w:rPr>
          <w:rFonts w:ascii="Arial" w:eastAsiaTheme="minorEastAsia" w:hAnsi="Arial" w:cs="Arial"/>
          <w:color w:val="595959" w:themeColor="text1" w:themeTint="A6"/>
          <w:lang w:eastAsia="zh-CN"/>
        </w:rPr>
        <w:tab/>
      </w:r>
      <w:r w:rsidRPr="00AC3937">
        <w:rPr>
          <w:rFonts w:ascii="Arial" w:eastAsiaTheme="minorEastAsia" w:hAnsi="Arial" w:cs="Arial"/>
          <w:color w:val="595959" w:themeColor="text1" w:themeTint="A6"/>
          <w:lang w:eastAsia="zh-CN"/>
        </w:rPr>
        <w:tab/>
        <w:t>Histone deacetylases</w:t>
      </w:r>
    </w:p>
    <w:p w14:paraId="0C284296" w14:textId="77777777" w:rsidR="00AC3937" w:rsidRPr="00AC3937" w:rsidRDefault="00AC3937" w:rsidP="00AC3937">
      <w:pPr>
        <w:spacing w:after="200" w:line="276" w:lineRule="auto"/>
        <w:rPr>
          <w:rFonts w:ascii="Arial" w:eastAsiaTheme="minorEastAsia" w:hAnsi="Arial" w:cs="Arial"/>
          <w:color w:val="595959" w:themeColor="text1" w:themeTint="A6"/>
          <w:lang w:eastAsia="zh-CN"/>
        </w:rPr>
      </w:pPr>
      <w:r w:rsidRPr="00AC3937">
        <w:rPr>
          <w:rFonts w:ascii="Arial" w:eastAsiaTheme="minorEastAsia" w:hAnsi="Arial" w:cs="Arial"/>
          <w:color w:val="595959" w:themeColor="text1" w:themeTint="A6"/>
          <w:lang w:eastAsia="zh-CN"/>
        </w:rPr>
        <w:t>HDACi</w:t>
      </w:r>
      <w:r w:rsidRPr="00AC3937">
        <w:rPr>
          <w:rFonts w:ascii="Arial" w:eastAsiaTheme="minorEastAsia" w:hAnsi="Arial" w:cs="Arial"/>
          <w:color w:val="595959" w:themeColor="text1" w:themeTint="A6"/>
          <w:lang w:eastAsia="zh-CN"/>
        </w:rPr>
        <w:tab/>
      </w:r>
      <w:r w:rsidRPr="00AC3937">
        <w:rPr>
          <w:rFonts w:ascii="Arial" w:eastAsiaTheme="minorEastAsia" w:hAnsi="Arial" w:cs="Arial"/>
          <w:color w:val="595959" w:themeColor="text1" w:themeTint="A6"/>
          <w:lang w:eastAsia="zh-CN"/>
        </w:rPr>
        <w:tab/>
        <w:t>Histone deacetylases inhibitors</w:t>
      </w:r>
    </w:p>
    <w:p w14:paraId="7F8F196E" w14:textId="77777777" w:rsidR="00AC3937" w:rsidRPr="00AC3937" w:rsidRDefault="00AC3937" w:rsidP="00AC3937">
      <w:pPr>
        <w:spacing w:after="200" w:line="276" w:lineRule="auto"/>
        <w:rPr>
          <w:rFonts w:ascii="Arial" w:eastAsiaTheme="minorEastAsia" w:hAnsi="Arial" w:cs="Arial"/>
          <w:color w:val="595959" w:themeColor="text1" w:themeTint="A6"/>
          <w:lang w:eastAsia="zh-CN"/>
        </w:rPr>
      </w:pPr>
      <w:r w:rsidRPr="00AC3937">
        <w:rPr>
          <w:rFonts w:ascii="Arial" w:eastAsiaTheme="minorEastAsia" w:hAnsi="Arial" w:cs="Arial"/>
          <w:color w:val="595959" w:themeColor="text1" w:themeTint="A6"/>
          <w:lang w:eastAsia="zh-CN"/>
        </w:rPr>
        <w:t>H&amp;E</w:t>
      </w:r>
      <w:r w:rsidRPr="00AC3937">
        <w:rPr>
          <w:rFonts w:ascii="Arial" w:eastAsiaTheme="minorEastAsia" w:hAnsi="Arial" w:cs="Arial"/>
          <w:color w:val="595959" w:themeColor="text1" w:themeTint="A6"/>
          <w:lang w:eastAsia="zh-CN"/>
        </w:rPr>
        <w:tab/>
      </w:r>
      <w:r w:rsidRPr="00AC3937">
        <w:rPr>
          <w:rFonts w:ascii="Arial" w:eastAsiaTheme="minorEastAsia" w:hAnsi="Arial" w:cs="Arial"/>
          <w:color w:val="595959" w:themeColor="text1" w:themeTint="A6"/>
          <w:lang w:eastAsia="zh-CN"/>
        </w:rPr>
        <w:tab/>
        <w:t xml:space="preserve">Haematoxylin and eosin </w:t>
      </w:r>
    </w:p>
    <w:p w14:paraId="2FCF7FDB" w14:textId="77777777" w:rsidR="00AC3937" w:rsidRPr="00AC3937" w:rsidRDefault="00AC3937" w:rsidP="00AC3937">
      <w:pPr>
        <w:spacing w:after="200" w:line="276" w:lineRule="auto"/>
        <w:rPr>
          <w:rFonts w:ascii="Arial" w:eastAsiaTheme="minorEastAsia" w:hAnsi="Arial" w:cs="Arial"/>
          <w:color w:val="595959" w:themeColor="text1" w:themeTint="A6"/>
          <w:lang w:eastAsia="zh-CN"/>
        </w:rPr>
      </w:pPr>
      <w:r w:rsidRPr="00AC3937">
        <w:rPr>
          <w:rFonts w:ascii="Arial" w:eastAsiaTheme="minorEastAsia" w:hAnsi="Arial" w:cs="Arial"/>
          <w:color w:val="595959" w:themeColor="text1" w:themeTint="A6"/>
          <w:lang w:eastAsia="zh-CN"/>
        </w:rPr>
        <w:t>Hhg</w:t>
      </w:r>
      <w:r w:rsidRPr="00AC3937">
        <w:rPr>
          <w:rFonts w:ascii="Arial" w:eastAsiaTheme="minorEastAsia" w:hAnsi="Arial" w:cs="Arial"/>
          <w:color w:val="595959" w:themeColor="text1" w:themeTint="A6"/>
          <w:lang w:eastAsia="zh-CN"/>
        </w:rPr>
        <w:tab/>
      </w:r>
      <w:r w:rsidRPr="00AC3937">
        <w:rPr>
          <w:rFonts w:ascii="Arial" w:eastAsiaTheme="minorEastAsia" w:hAnsi="Arial" w:cs="Arial"/>
          <w:color w:val="595959" w:themeColor="text1" w:themeTint="A6"/>
          <w:lang w:eastAsia="zh-CN"/>
        </w:rPr>
        <w:tab/>
        <w:t xml:space="preserve">Hedgehog signalling </w:t>
      </w:r>
    </w:p>
    <w:p w14:paraId="4668C7CE" w14:textId="77777777" w:rsidR="00AC3937" w:rsidRPr="00AC3937" w:rsidRDefault="00AC3937" w:rsidP="00AC3937">
      <w:pPr>
        <w:spacing w:after="200" w:line="276" w:lineRule="auto"/>
        <w:rPr>
          <w:rFonts w:ascii="Arial" w:eastAsiaTheme="minorEastAsia" w:hAnsi="Arial" w:cs="Arial"/>
          <w:color w:val="595959" w:themeColor="text1" w:themeTint="A6"/>
          <w:lang w:eastAsia="zh-CN"/>
        </w:rPr>
      </w:pPr>
      <w:r w:rsidRPr="00AC3937">
        <w:rPr>
          <w:rFonts w:ascii="Arial" w:eastAsiaTheme="minorEastAsia" w:hAnsi="Arial" w:cs="Arial"/>
          <w:color w:val="595959" w:themeColor="text1" w:themeTint="A6"/>
          <w:lang w:eastAsia="zh-CN"/>
        </w:rPr>
        <w:t>HRP</w:t>
      </w:r>
      <w:r w:rsidRPr="00AC3937">
        <w:rPr>
          <w:rFonts w:ascii="Arial" w:eastAsiaTheme="minorEastAsia" w:hAnsi="Arial" w:cs="Arial"/>
          <w:color w:val="595959" w:themeColor="text1" w:themeTint="A6"/>
          <w:lang w:eastAsia="zh-CN"/>
        </w:rPr>
        <w:tab/>
      </w:r>
      <w:r w:rsidRPr="00AC3937">
        <w:rPr>
          <w:rFonts w:ascii="Arial" w:eastAsiaTheme="minorEastAsia" w:hAnsi="Arial" w:cs="Arial"/>
          <w:color w:val="595959" w:themeColor="text1" w:themeTint="A6"/>
          <w:lang w:eastAsia="zh-CN"/>
        </w:rPr>
        <w:tab/>
        <w:t xml:space="preserve">Horseradish peroxidase </w:t>
      </w:r>
    </w:p>
    <w:p w14:paraId="3CC5FC1C" w14:textId="77777777" w:rsidR="00AC3937" w:rsidRPr="00AC3937" w:rsidRDefault="00AC3937" w:rsidP="00AC3937">
      <w:pPr>
        <w:spacing w:after="200" w:line="276" w:lineRule="auto"/>
        <w:rPr>
          <w:rFonts w:ascii="Arial" w:eastAsiaTheme="minorEastAsia" w:hAnsi="Arial" w:cs="Arial"/>
          <w:color w:val="595959" w:themeColor="text1" w:themeTint="A6"/>
          <w:lang w:eastAsia="zh-CN"/>
        </w:rPr>
      </w:pPr>
      <w:r w:rsidRPr="00AC3937">
        <w:rPr>
          <w:rFonts w:ascii="Arial" w:eastAsiaTheme="minorEastAsia" w:hAnsi="Arial" w:cs="Arial"/>
          <w:color w:val="595959" w:themeColor="text1" w:themeTint="A6"/>
          <w:lang w:eastAsia="zh-CN"/>
        </w:rPr>
        <w:t>h</w:t>
      </w:r>
      <w:r w:rsidRPr="00AC3937">
        <w:rPr>
          <w:rFonts w:ascii="Arial" w:eastAsiaTheme="minorEastAsia" w:hAnsi="Arial" w:cs="Arial"/>
          <w:color w:val="595959" w:themeColor="text1" w:themeTint="A6"/>
          <w:lang w:eastAsia="zh-CN"/>
        </w:rPr>
        <w:tab/>
      </w:r>
      <w:r w:rsidRPr="00AC3937">
        <w:rPr>
          <w:rFonts w:ascii="Arial" w:eastAsiaTheme="minorEastAsia" w:hAnsi="Arial" w:cs="Arial"/>
          <w:color w:val="595959" w:themeColor="text1" w:themeTint="A6"/>
          <w:lang w:eastAsia="zh-CN"/>
        </w:rPr>
        <w:tab/>
        <w:t>Hour (s)</w:t>
      </w:r>
    </w:p>
    <w:p w14:paraId="12658296" w14:textId="77777777" w:rsidR="00AC3937" w:rsidRPr="00AC3937" w:rsidRDefault="00AC3937" w:rsidP="00AC3937">
      <w:pPr>
        <w:spacing w:after="200" w:line="276" w:lineRule="auto"/>
        <w:rPr>
          <w:rFonts w:ascii="Arial" w:eastAsiaTheme="minorEastAsia" w:hAnsi="Arial" w:cs="Arial"/>
          <w:color w:val="595959" w:themeColor="text1" w:themeTint="A6"/>
          <w:lang w:eastAsia="zh-CN"/>
        </w:rPr>
      </w:pPr>
      <w:r w:rsidRPr="00AC3937">
        <w:rPr>
          <w:rFonts w:ascii="Arial" w:eastAsiaTheme="minorEastAsia" w:hAnsi="Arial" w:cs="Arial"/>
          <w:color w:val="595959" w:themeColor="text1" w:themeTint="A6"/>
          <w:lang w:eastAsia="zh-CN"/>
        </w:rPr>
        <w:t>hTERT</w:t>
      </w:r>
      <w:r w:rsidRPr="00AC3937">
        <w:rPr>
          <w:rFonts w:ascii="Arial" w:eastAsiaTheme="minorEastAsia" w:hAnsi="Arial" w:cs="Arial"/>
          <w:color w:val="595959" w:themeColor="text1" w:themeTint="A6"/>
          <w:lang w:eastAsia="zh-CN"/>
        </w:rPr>
        <w:tab/>
      </w:r>
      <w:r w:rsidRPr="00AC3937">
        <w:rPr>
          <w:rFonts w:ascii="Arial" w:eastAsiaTheme="minorEastAsia" w:hAnsi="Arial" w:cs="Arial"/>
          <w:color w:val="595959" w:themeColor="text1" w:themeTint="A6"/>
          <w:lang w:eastAsia="zh-CN"/>
        </w:rPr>
        <w:tab/>
        <w:t xml:space="preserve">Human telomerase </w:t>
      </w:r>
    </w:p>
    <w:p w14:paraId="5B4F61BF" w14:textId="534C961B" w:rsidR="00AC3937" w:rsidRDefault="00AC3937" w:rsidP="00AC3937">
      <w:pPr>
        <w:spacing w:after="200" w:line="276" w:lineRule="auto"/>
        <w:rPr>
          <w:rFonts w:ascii="Arial" w:hAnsi="Arial" w:cs="Arial"/>
          <w:iCs/>
          <w:color w:val="595959" w:themeColor="text1" w:themeTint="A6"/>
        </w:rPr>
      </w:pPr>
      <w:r w:rsidRPr="00AC3937">
        <w:rPr>
          <w:rFonts w:ascii="Arial" w:hAnsi="Arial" w:cs="Arial"/>
          <w:iCs/>
          <w:color w:val="595959" w:themeColor="text1" w:themeTint="A6"/>
        </w:rPr>
        <w:t>HABP</w:t>
      </w:r>
      <w:r w:rsidRPr="00AC3937">
        <w:rPr>
          <w:rFonts w:ascii="Arial" w:hAnsi="Arial" w:cs="Arial"/>
          <w:iCs/>
          <w:color w:val="595959" w:themeColor="text1" w:themeTint="A6"/>
        </w:rPr>
        <w:tab/>
      </w:r>
      <w:r w:rsidRPr="00AC3937">
        <w:rPr>
          <w:rFonts w:ascii="Arial" w:hAnsi="Arial" w:cs="Arial"/>
          <w:iCs/>
          <w:color w:val="595959" w:themeColor="text1" w:themeTint="A6"/>
        </w:rPr>
        <w:tab/>
        <w:t>Hyaluronic acid binding protein</w:t>
      </w:r>
    </w:p>
    <w:p w14:paraId="3C27728F" w14:textId="53079BCA" w:rsidR="001201D3" w:rsidRPr="00661C4F" w:rsidRDefault="001201D3" w:rsidP="00AC3937">
      <w:pPr>
        <w:spacing w:after="200" w:line="276" w:lineRule="auto"/>
        <w:rPr>
          <w:rFonts w:ascii="Arial" w:hAnsi="Arial" w:cs="Arial"/>
          <w:iCs/>
          <w:color w:val="595959" w:themeColor="text1" w:themeTint="A6"/>
        </w:rPr>
      </w:pPr>
      <w:r w:rsidRPr="00661C4F">
        <w:rPr>
          <w:rFonts w:ascii="Arial" w:hAnsi="Arial" w:cs="Arial"/>
          <w:iCs/>
          <w:color w:val="595959" w:themeColor="text1" w:themeTint="A6"/>
        </w:rPr>
        <w:t>IDA</w:t>
      </w:r>
      <w:r w:rsidRPr="00661C4F">
        <w:rPr>
          <w:rFonts w:ascii="Arial" w:hAnsi="Arial" w:cs="Arial"/>
          <w:iCs/>
          <w:color w:val="595959" w:themeColor="text1" w:themeTint="A6"/>
        </w:rPr>
        <w:tab/>
      </w:r>
      <w:r w:rsidRPr="00661C4F">
        <w:rPr>
          <w:rFonts w:ascii="Arial" w:hAnsi="Arial" w:cs="Arial"/>
          <w:iCs/>
          <w:color w:val="595959" w:themeColor="text1" w:themeTint="A6"/>
        </w:rPr>
        <w:tab/>
        <w:t xml:space="preserve">Industrial methylated spirit (denatured alcohol) 99% </w:t>
      </w:r>
    </w:p>
    <w:p w14:paraId="0F65D181" w14:textId="77777777" w:rsidR="00AC3937" w:rsidRPr="00AC3937" w:rsidRDefault="00AC3937" w:rsidP="00AC3937">
      <w:pPr>
        <w:spacing w:after="200" w:line="276" w:lineRule="auto"/>
        <w:rPr>
          <w:rFonts w:ascii="Arial" w:eastAsiaTheme="minorEastAsia" w:hAnsi="Arial" w:cs="Arial"/>
          <w:color w:val="595959" w:themeColor="text1" w:themeTint="A6"/>
          <w:lang w:eastAsia="zh-CN"/>
        </w:rPr>
      </w:pPr>
      <w:r w:rsidRPr="00AC3937">
        <w:rPr>
          <w:rFonts w:ascii="Arial" w:eastAsiaTheme="minorEastAsia" w:hAnsi="Arial" w:cs="Arial"/>
          <w:color w:val="595959" w:themeColor="text1" w:themeTint="A6"/>
          <w:lang w:eastAsia="zh-CN"/>
        </w:rPr>
        <w:t>IHC</w:t>
      </w:r>
      <w:r w:rsidRPr="00AC3937">
        <w:rPr>
          <w:rFonts w:ascii="Arial" w:eastAsiaTheme="minorEastAsia" w:hAnsi="Arial" w:cs="Arial"/>
          <w:color w:val="595959" w:themeColor="text1" w:themeTint="A6"/>
          <w:lang w:eastAsia="zh-CN"/>
        </w:rPr>
        <w:tab/>
      </w:r>
      <w:r w:rsidRPr="00AC3937">
        <w:rPr>
          <w:rFonts w:ascii="Arial" w:eastAsiaTheme="minorEastAsia" w:hAnsi="Arial" w:cs="Arial"/>
          <w:color w:val="595959" w:themeColor="text1" w:themeTint="A6"/>
          <w:lang w:eastAsia="zh-CN"/>
        </w:rPr>
        <w:tab/>
        <w:t>Immunohistochemistry</w:t>
      </w:r>
    </w:p>
    <w:p w14:paraId="5022F1AB" w14:textId="77777777" w:rsidR="00AC3937" w:rsidRPr="00AC3937" w:rsidRDefault="00AC3937" w:rsidP="00AC3937">
      <w:pPr>
        <w:spacing w:after="200" w:line="276" w:lineRule="auto"/>
        <w:rPr>
          <w:rFonts w:ascii="Arial" w:eastAsiaTheme="minorEastAsia" w:hAnsi="Arial" w:cs="Arial"/>
          <w:color w:val="595959" w:themeColor="text1" w:themeTint="A6"/>
          <w:lang w:eastAsia="zh-CN"/>
        </w:rPr>
      </w:pPr>
      <w:r w:rsidRPr="00AC3937">
        <w:rPr>
          <w:rFonts w:ascii="Arial" w:eastAsiaTheme="minorEastAsia" w:hAnsi="Arial" w:cs="Arial"/>
          <w:color w:val="595959" w:themeColor="text1" w:themeTint="A6"/>
          <w:lang w:eastAsia="zh-CN"/>
        </w:rPr>
        <w:t>L</w:t>
      </w:r>
      <w:r w:rsidRPr="00AC3937">
        <w:rPr>
          <w:rFonts w:ascii="Arial" w:eastAsiaTheme="minorEastAsia" w:hAnsi="Arial" w:cs="Arial"/>
          <w:color w:val="595959" w:themeColor="text1" w:themeTint="A6"/>
          <w:lang w:eastAsia="zh-CN"/>
        </w:rPr>
        <w:tab/>
      </w:r>
      <w:r w:rsidRPr="00AC3937">
        <w:rPr>
          <w:rFonts w:ascii="Arial" w:eastAsiaTheme="minorEastAsia" w:hAnsi="Arial" w:cs="Arial"/>
          <w:color w:val="595959" w:themeColor="text1" w:themeTint="A6"/>
          <w:lang w:eastAsia="zh-CN"/>
        </w:rPr>
        <w:tab/>
        <w:t xml:space="preserve">Litre </w:t>
      </w:r>
    </w:p>
    <w:p w14:paraId="679E029D" w14:textId="77777777" w:rsidR="00AC3937" w:rsidRPr="00AC3937" w:rsidRDefault="00AC3937" w:rsidP="00AC3937">
      <w:pPr>
        <w:spacing w:after="200" w:line="276" w:lineRule="auto"/>
        <w:rPr>
          <w:rFonts w:ascii="Arial" w:eastAsiaTheme="minorEastAsia" w:hAnsi="Arial" w:cs="Arial"/>
          <w:color w:val="595959" w:themeColor="text1" w:themeTint="A6"/>
          <w:lang w:eastAsia="zh-CN"/>
        </w:rPr>
      </w:pPr>
      <w:r w:rsidRPr="00AC3937">
        <w:rPr>
          <w:rFonts w:ascii="Arial" w:eastAsiaTheme="minorEastAsia" w:hAnsi="Arial" w:cs="Arial"/>
          <w:color w:val="595959" w:themeColor="text1" w:themeTint="A6"/>
          <w:lang w:eastAsia="zh-CN"/>
        </w:rPr>
        <w:t>LCIM</w:t>
      </w:r>
      <w:r w:rsidRPr="00AC3937">
        <w:rPr>
          <w:rFonts w:ascii="Arial" w:eastAsiaTheme="minorEastAsia" w:hAnsi="Arial" w:cs="Arial"/>
          <w:color w:val="595959" w:themeColor="text1" w:themeTint="A6"/>
          <w:lang w:eastAsia="zh-CN"/>
        </w:rPr>
        <w:tab/>
      </w:r>
      <w:r w:rsidRPr="00AC3937">
        <w:rPr>
          <w:rFonts w:ascii="Arial" w:eastAsiaTheme="minorEastAsia" w:hAnsi="Arial" w:cs="Arial"/>
          <w:color w:val="595959" w:themeColor="text1" w:themeTint="A6"/>
          <w:lang w:eastAsia="zh-CN"/>
        </w:rPr>
        <w:tab/>
        <w:t xml:space="preserve">Live-cell imaging microscopy </w:t>
      </w:r>
    </w:p>
    <w:p w14:paraId="33D7248A" w14:textId="77777777" w:rsidR="00AC3937" w:rsidRPr="00AC3937" w:rsidRDefault="00AC3937" w:rsidP="00AC3937">
      <w:pPr>
        <w:spacing w:after="200" w:line="276" w:lineRule="auto"/>
        <w:rPr>
          <w:rFonts w:ascii="Arial" w:eastAsiaTheme="minorEastAsia" w:hAnsi="Arial" w:cs="Arial"/>
          <w:color w:val="595959" w:themeColor="text1" w:themeTint="A6"/>
          <w:lang w:eastAsia="zh-CN"/>
        </w:rPr>
      </w:pPr>
      <w:r w:rsidRPr="00AC3937">
        <w:rPr>
          <w:rFonts w:ascii="Arial" w:eastAsiaTheme="minorEastAsia" w:hAnsi="Arial" w:cs="Arial"/>
          <w:color w:val="595959" w:themeColor="text1" w:themeTint="A6"/>
          <w:lang w:eastAsia="zh-CN"/>
        </w:rPr>
        <w:t>L-G</w:t>
      </w:r>
      <w:r w:rsidRPr="00AC3937">
        <w:rPr>
          <w:rFonts w:ascii="Arial" w:eastAsiaTheme="minorEastAsia" w:hAnsi="Arial" w:cs="Arial"/>
          <w:color w:val="595959" w:themeColor="text1" w:themeTint="A6"/>
          <w:lang w:eastAsia="zh-CN"/>
        </w:rPr>
        <w:tab/>
      </w:r>
      <w:r w:rsidRPr="00AC3937">
        <w:rPr>
          <w:rFonts w:ascii="Arial" w:eastAsiaTheme="minorEastAsia" w:hAnsi="Arial" w:cs="Arial"/>
          <w:color w:val="595959" w:themeColor="text1" w:themeTint="A6"/>
          <w:lang w:eastAsia="zh-CN"/>
        </w:rPr>
        <w:tab/>
        <w:t>L-Glutamine</w:t>
      </w:r>
    </w:p>
    <w:p w14:paraId="5FA1A45D" w14:textId="27544C6D" w:rsidR="00AC3937" w:rsidRDefault="00AC3937" w:rsidP="00AC3937">
      <w:pPr>
        <w:spacing w:after="200" w:line="276" w:lineRule="auto"/>
        <w:rPr>
          <w:rFonts w:ascii="Arial" w:eastAsiaTheme="minorEastAsia" w:hAnsi="Arial" w:cs="Arial"/>
          <w:color w:val="595959" w:themeColor="text1" w:themeTint="A6"/>
          <w:lang w:eastAsia="zh-CN"/>
        </w:rPr>
      </w:pPr>
      <w:r w:rsidRPr="00AC3937">
        <w:rPr>
          <w:rFonts w:ascii="Arial" w:eastAsiaTheme="minorEastAsia" w:hAnsi="Arial" w:cs="Arial"/>
          <w:color w:val="595959" w:themeColor="text1" w:themeTint="A6"/>
          <w:lang w:eastAsia="zh-CN"/>
        </w:rPr>
        <w:t>LIF</w:t>
      </w:r>
      <w:r w:rsidRPr="00AC3937">
        <w:rPr>
          <w:rFonts w:ascii="Arial" w:eastAsiaTheme="minorEastAsia" w:hAnsi="Arial" w:cs="Arial"/>
          <w:color w:val="595959" w:themeColor="text1" w:themeTint="A6"/>
          <w:lang w:eastAsia="zh-CN"/>
        </w:rPr>
        <w:tab/>
      </w:r>
      <w:r w:rsidRPr="00AC3937">
        <w:rPr>
          <w:rFonts w:ascii="Arial" w:eastAsiaTheme="minorEastAsia" w:hAnsi="Arial" w:cs="Arial"/>
          <w:color w:val="595959" w:themeColor="text1" w:themeTint="A6"/>
          <w:lang w:eastAsia="zh-CN"/>
        </w:rPr>
        <w:tab/>
        <w:t xml:space="preserve">Leukaemia inhibitory factor </w:t>
      </w:r>
    </w:p>
    <w:p w14:paraId="6804BCC0" w14:textId="75F545F2" w:rsidR="00C252E0" w:rsidRDefault="00C252E0" w:rsidP="00AC3937">
      <w:pPr>
        <w:spacing w:after="200" w:line="276" w:lineRule="auto"/>
        <w:rPr>
          <w:rFonts w:ascii="Arial" w:eastAsiaTheme="minorEastAsia" w:hAnsi="Arial" w:cs="Arial"/>
          <w:color w:val="595959" w:themeColor="text1" w:themeTint="A6"/>
          <w:lang w:eastAsia="zh-CN"/>
        </w:rPr>
      </w:pPr>
      <w:r>
        <w:rPr>
          <w:rFonts w:ascii="Arial" w:eastAsiaTheme="minorEastAsia" w:hAnsi="Arial" w:cs="Arial"/>
          <w:color w:val="595959" w:themeColor="text1" w:themeTint="A6"/>
          <w:lang w:eastAsia="zh-CN"/>
        </w:rPr>
        <w:t>LOX</w:t>
      </w:r>
      <w:r>
        <w:rPr>
          <w:rFonts w:ascii="Arial" w:eastAsiaTheme="minorEastAsia" w:hAnsi="Arial" w:cs="Arial"/>
          <w:color w:val="595959" w:themeColor="text1" w:themeTint="A6"/>
          <w:lang w:eastAsia="zh-CN"/>
        </w:rPr>
        <w:tab/>
      </w:r>
      <w:r>
        <w:rPr>
          <w:rFonts w:ascii="Arial" w:eastAsiaTheme="minorEastAsia" w:hAnsi="Arial" w:cs="Arial"/>
          <w:color w:val="595959" w:themeColor="text1" w:themeTint="A6"/>
          <w:lang w:eastAsia="zh-CN"/>
        </w:rPr>
        <w:tab/>
        <w:t>Lysyl oxidase</w:t>
      </w:r>
    </w:p>
    <w:p w14:paraId="5D89409F" w14:textId="3B21FD22" w:rsidR="00A10E36" w:rsidRPr="00AC3937" w:rsidRDefault="00A10E36" w:rsidP="00AC3937">
      <w:pPr>
        <w:spacing w:after="200" w:line="276" w:lineRule="auto"/>
        <w:rPr>
          <w:rFonts w:ascii="Arial" w:eastAsiaTheme="minorEastAsia" w:hAnsi="Arial" w:cs="Arial"/>
          <w:color w:val="595959" w:themeColor="text1" w:themeTint="A6"/>
          <w:lang w:eastAsia="zh-CN"/>
        </w:rPr>
      </w:pPr>
      <w:r>
        <w:rPr>
          <w:rFonts w:ascii="Arial" w:eastAsiaTheme="minorEastAsia" w:hAnsi="Arial" w:cs="Arial"/>
          <w:color w:val="595959" w:themeColor="text1" w:themeTint="A6"/>
          <w:lang w:eastAsia="zh-CN"/>
        </w:rPr>
        <w:t>MALDI</w:t>
      </w:r>
      <w:r>
        <w:rPr>
          <w:rFonts w:ascii="Arial" w:eastAsiaTheme="minorEastAsia" w:hAnsi="Arial" w:cs="Arial"/>
          <w:color w:val="595959" w:themeColor="text1" w:themeTint="A6"/>
          <w:lang w:eastAsia="zh-CN"/>
        </w:rPr>
        <w:tab/>
      </w:r>
      <w:r>
        <w:rPr>
          <w:rFonts w:ascii="Arial" w:eastAsiaTheme="minorEastAsia" w:hAnsi="Arial" w:cs="Arial"/>
          <w:color w:val="595959" w:themeColor="text1" w:themeTint="A6"/>
          <w:lang w:eastAsia="zh-CN"/>
        </w:rPr>
        <w:tab/>
      </w:r>
      <w:r w:rsidRPr="00A10E36">
        <w:rPr>
          <w:rFonts w:ascii="Arial" w:eastAsiaTheme="minorEastAsia" w:hAnsi="Arial" w:cs="Arial"/>
          <w:color w:val="595959" w:themeColor="text1" w:themeTint="A6"/>
          <w:lang w:eastAsia="zh-CN"/>
        </w:rPr>
        <w:t>matrix-assisted laser desorption ionization </w:t>
      </w:r>
    </w:p>
    <w:p w14:paraId="572B62A5" w14:textId="77777777" w:rsidR="00AC3937" w:rsidRPr="00AC3937" w:rsidRDefault="00AC3937" w:rsidP="00AC3937">
      <w:pPr>
        <w:spacing w:after="200" w:line="276" w:lineRule="auto"/>
        <w:rPr>
          <w:rFonts w:ascii="Arial" w:eastAsiaTheme="minorEastAsia" w:hAnsi="Arial" w:cs="Arial"/>
          <w:color w:val="595959" w:themeColor="text1" w:themeTint="A6"/>
          <w:lang w:eastAsia="zh-CN"/>
        </w:rPr>
      </w:pPr>
      <w:r w:rsidRPr="00AC3937">
        <w:rPr>
          <w:rFonts w:ascii="Arial" w:eastAsiaTheme="minorEastAsia" w:hAnsi="Arial" w:cs="Arial"/>
          <w:color w:val="595959" w:themeColor="text1" w:themeTint="A6"/>
          <w:lang w:eastAsia="zh-CN"/>
        </w:rPr>
        <w:t>mL</w:t>
      </w:r>
      <w:r w:rsidRPr="00AC3937">
        <w:rPr>
          <w:rFonts w:ascii="Arial" w:eastAsiaTheme="minorEastAsia" w:hAnsi="Arial" w:cs="Arial"/>
          <w:color w:val="595959" w:themeColor="text1" w:themeTint="A6"/>
          <w:lang w:eastAsia="zh-CN"/>
        </w:rPr>
        <w:tab/>
      </w:r>
      <w:r w:rsidRPr="00AC3937">
        <w:rPr>
          <w:rFonts w:ascii="Arial" w:eastAsiaTheme="minorEastAsia" w:hAnsi="Arial" w:cs="Arial"/>
          <w:color w:val="595959" w:themeColor="text1" w:themeTint="A6"/>
          <w:lang w:eastAsia="zh-CN"/>
        </w:rPr>
        <w:tab/>
        <w:t xml:space="preserve">millilitre </w:t>
      </w:r>
    </w:p>
    <w:p w14:paraId="36742C22" w14:textId="77777777" w:rsidR="00AC3937" w:rsidRPr="00AC3937" w:rsidRDefault="00AC3937" w:rsidP="00AC3937">
      <w:pPr>
        <w:spacing w:after="200" w:line="276" w:lineRule="auto"/>
        <w:rPr>
          <w:rFonts w:ascii="Arial" w:eastAsiaTheme="minorEastAsia" w:hAnsi="Arial" w:cs="Arial"/>
          <w:color w:val="595959" w:themeColor="text1" w:themeTint="A6"/>
          <w:lang w:eastAsia="zh-CN"/>
        </w:rPr>
      </w:pPr>
      <w:r w:rsidRPr="00AC3937">
        <w:rPr>
          <w:rFonts w:ascii="Arial" w:eastAsiaTheme="minorEastAsia" w:hAnsi="Arial" w:cs="Arial"/>
          <w:color w:val="595959" w:themeColor="text1" w:themeTint="A6"/>
          <w:lang w:eastAsia="zh-CN"/>
        </w:rPr>
        <w:t>mM</w:t>
      </w:r>
      <w:r w:rsidRPr="00AC3937">
        <w:rPr>
          <w:rFonts w:ascii="Arial" w:eastAsiaTheme="minorEastAsia" w:hAnsi="Arial" w:cs="Arial"/>
          <w:color w:val="595959" w:themeColor="text1" w:themeTint="A6"/>
          <w:lang w:eastAsia="zh-CN"/>
        </w:rPr>
        <w:tab/>
      </w:r>
      <w:r w:rsidRPr="00AC3937">
        <w:rPr>
          <w:rFonts w:ascii="Arial" w:eastAsiaTheme="minorEastAsia" w:hAnsi="Arial" w:cs="Arial"/>
          <w:color w:val="595959" w:themeColor="text1" w:themeTint="A6"/>
          <w:lang w:eastAsia="zh-CN"/>
        </w:rPr>
        <w:tab/>
        <w:t xml:space="preserve">Millimolar </w:t>
      </w:r>
    </w:p>
    <w:p w14:paraId="21CDE62D" w14:textId="77777777" w:rsidR="00AC3937" w:rsidRPr="00AC3937" w:rsidRDefault="00AC3937" w:rsidP="00AC3937">
      <w:pPr>
        <w:spacing w:after="200" w:line="276" w:lineRule="auto"/>
        <w:rPr>
          <w:rFonts w:ascii="Arial" w:eastAsiaTheme="minorEastAsia" w:hAnsi="Arial" w:cs="Arial"/>
          <w:color w:val="595959" w:themeColor="text1" w:themeTint="A6"/>
          <w:lang w:eastAsia="zh-CN"/>
        </w:rPr>
      </w:pPr>
      <w:r w:rsidRPr="00AC3937">
        <w:rPr>
          <w:rFonts w:ascii="Arial" w:eastAsiaTheme="minorEastAsia" w:hAnsi="Arial" w:cs="Arial"/>
          <w:color w:val="595959" w:themeColor="text1" w:themeTint="A6"/>
          <w:lang w:eastAsia="zh-CN"/>
        </w:rPr>
        <w:t>MMP</w:t>
      </w:r>
      <w:r w:rsidRPr="00AC3937">
        <w:rPr>
          <w:rFonts w:ascii="Arial" w:eastAsiaTheme="minorEastAsia" w:hAnsi="Arial" w:cs="Arial"/>
          <w:color w:val="595959" w:themeColor="text1" w:themeTint="A6"/>
          <w:lang w:eastAsia="zh-CN"/>
        </w:rPr>
        <w:tab/>
      </w:r>
      <w:r w:rsidRPr="00AC3937">
        <w:rPr>
          <w:rFonts w:ascii="Arial" w:eastAsiaTheme="minorEastAsia" w:hAnsi="Arial" w:cs="Arial"/>
          <w:color w:val="595959" w:themeColor="text1" w:themeTint="A6"/>
          <w:lang w:eastAsia="zh-CN"/>
        </w:rPr>
        <w:tab/>
        <w:t xml:space="preserve">Matrix meltalloproteases </w:t>
      </w:r>
    </w:p>
    <w:p w14:paraId="73040D4F" w14:textId="77777777" w:rsidR="00AC3937" w:rsidRPr="00AC3937" w:rsidRDefault="00AC3937" w:rsidP="00AC3937">
      <w:pPr>
        <w:spacing w:after="200" w:line="276" w:lineRule="auto"/>
        <w:rPr>
          <w:rFonts w:ascii="Arial" w:eastAsiaTheme="minorEastAsia" w:hAnsi="Arial" w:cs="Arial"/>
          <w:color w:val="595959" w:themeColor="text1" w:themeTint="A6"/>
          <w:lang w:eastAsia="zh-CN"/>
        </w:rPr>
      </w:pPr>
      <w:r w:rsidRPr="00AC3937">
        <w:rPr>
          <w:rFonts w:ascii="Arial" w:eastAsiaTheme="minorEastAsia" w:hAnsi="Arial" w:cs="Arial"/>
          <w:color w:val="595959" w:themeColor="text1" w:themeTint="A6"/>
          <w:lang w:eastAsia="zh-CN"/>
        </w:rPr>
        <w:t>MyoFB</w:t>
      </w:r>
      <w:r w:rsidRPr="00AC3937">
        <w:rPr>
          <w:rFonts w:ascii="Arial" w:eastAsiaTheme="minorEastAsia" w:hAnsi="Arial" w:cs="Arial"/>
          <w:color w:val="595959" w:themeColor="text1" w:themeTint="A6"/>
          <w:lang w:eastAsia="zh-CN"/>
        </w:rPr>
        <w:tab/>
      </w:r>
      <w:r w:rsidRPr="00AC3937">
        <w:rPr>
          <w:rFonts w:ascii="Arial" w:eastAsiaTheme="minorEastAsia" w:hAnsi="Arial" w:cs="Arial"/>
          <w:color w:val="595959" w:themeColor="text1" w:themeTint="A6"/>
          <w:lang w:eastAsia="zh-CN"/>
        </w:rPr>
        <w:tab/>
        <w:t>Myofibroblast</w:t>
      </w:r>
    </w:p>
    <w:p w14:paraId="7D7F7C0B" w14:textId="77777777" w:rsidR="00AC3937" w:rsidRPr="00AC3937" w:rsidRDefault="00AC3937" w:rsidP="00AC3937">
      <w:pPr>
        <w:spacing w:after="200" w:line="276" w:lineRule="auto"/>
        <w:rPr>
          <w:rFonts w:ascii="Arial" w:eastAsiaTheme="minorEastAsia" w:hAnsi="Arial" w:cs="Arial"/>
          <w:color w:val="595959" w:themeColor="text1" w:themeTint="A6"/>
          <w:lang w:val="fr-FR" w:eastAsia="zh-CN"/>
        </w:rPr>
      </w:pPr>
      <w:r w:rsidRPr="00AC3937">
        <w:rPr>
          <w:rFonts w:ascii="Arial" w:eastAsiaTheme="minorEastAsia" w:hAnsi="Arial" w:cs="Arial"/>
          <w:color w:val="595959" w:themeColor="text1" w:themeTint="A6"/>
          <w:lang w:eastAsia="zh-CN"/>
        </w:rPr>
        <w:t>ng</w:t>
      </w:r>
      <w:r w:rsidRPr="00AC3937">
        <w:rPr>
          <w:rFonts w:ascii="Arial" w:eastAsiaTheme="minorEastAsia" w:hAnsi="Arial" w:cs="Arial"/>
          <w:color w:val="595959" w:themeColor="text1" w:themeTint="A6"/>
          <w:lang w:eastAsia="zh-CN"/>
        </w:rPr>
        <w:tab/>
      </w:r>
      <w:r w:rsidRPr="00AC3937">
        <w:rPr>
          <w:rFonts w:ascii="Arial" w:eastAsiaTheme="minorEastAsia" w:hAnsi="Arial" w:cs="Arial"/>
          <w:color w:val="595959" w:themeColor="text1" w:themeTint="A6"/>
          <w:lang w:eastAsia="zh-CN"/>
        </w:rPr>
        <w:tab/>
        <w:t>Nano</w:t>
      </w:r>
      <w:r w:rsidRPr="00AC3937">
        <w:rPr>
          <w:rFonts w:ascii="Arial" w:eastAsiaTheme="minorEastAsia" w:hAnsi="Arial" w:cs="Arial"/>
          <w:color w:val="595959" w:themeColor="text1" w:themeTint="A6"/>
          <w:lang w:val="fr-FR" w:eastAsia="zh-CN"/>
        </w:rPr>
        <w:t>gram</w:t>
      </w:r>
    </w:p>
    <w:p w14:paraId="1EC6A503" w14:textId="77777777" w:rsidR="00AC3937" w:rsidRPr="00AC3937" w:rsidRDefault="00AC3937" w:rsidP="00AC3937">
      <w:pPr>
        <w:spacing w:after="200" w:line="276" w:lineRule="auto"/>
        <w:rPr>
          <w:rFonts w:ascii="Arial" w:eastAsiaTheme="minorEastAsia" w:hAnsi="Arial" w:cs="Arial"/>
          <w:color w:val="595959" w:themeColor="text1" w:themeTint="A6"/>
          <w:lang w:val="fr-FR" w:eastAsia="zh-CN"/>
        </w:rPr>
      </w:pPr>
      <w:r w:rsidRPr="00AC3937">
        <w:rPr>
          <w:rFonts w:ascii="Arial" w:eastAsiaTheme="minorEastAsia" w:hAnsi="Arial" w:cs="Arial"/>
          <w:color w:val="595959" w:themeColor="text1" w:themeTint="A6"/>
          <w:lang w:val="fr-FR" w:eastAsia="zh-CN"/>
        </w:rPr>
        <w:t>NOF</w:t>
      </w:r>
      <w:r w:rsidRPr="00AC3937">
        <w:rPr>
          <w:rFonts w:ascii="Arial" w:eastAsiaTheme="minorEastAsia" w:hAnsi="Arial" w:cs="Arial"/>
          <w:color w:val="595959" w:themeColor="text1" w:themeTint="A6"/>
          <w:lang w:val="fr-FR" w:eastAsia="zh-CN"/>
        </w:rPr>
        <w:tab/>
      </w:r>
      <w:r w:rsidRPr="00AC3937">
        <w:rPr>
          <w:rFonts w:ascii="Arial" w:eastAsiaTheme="minorEastAsia" w:hAnsi="Arial" w:cs="Arial"/>
          <w:color w:val="595959" w:themeColor="text1" w:themeTint="A6"/>
          <w:lang w:val="fr-FR" w:eastAsia="zh-CN"/>
        </w:rPr>
        <w:tab/>
        <w:t>Normal oral fibroblast (s)</w:t>
      </w:r>
    </w:p>
    <w:p w14:paraId="45B53709" w14:textId="77777777" w:rsidR="00AC3937" w:rsidRPr="00AC3937" w:rsidRDefault="00AC3937" w:rsidP="00AC3937">
      <w:pPr>
        <w:spacing w:after="200" w:line="276" w:lineRule="auto"/>
        <w:rPr>
          <w:rFonts w:ascii="Arial" w:eastAsiaTheme="minorEastAsia" w:hAnsi="Arial" w:cs="Arial"/>
          <w:color w:val="595959" w:themeColor="text1" w:themeTint="A6"/>
          <w:lang w:val="fr-FR" w:eastAsia="zh-CN"/>
        </w:rPr>
      </w:pPr>
      <w:r w:rsidRPr="00AC3937">
        <w:rPr>
          <w:rFonts w:ascii="Arial" w:eastAsiaTheme="minorEastAsia" w:hAnsi="Arial" w:cs="Arial"/>
          <w:color w:val="595959" w:themeColor="text1" w:themeTint="A6"/>
          <w:lang w:val="fr-FR" w:eastAsia="zh-CN"/>
        </w:rPr>
        <w:t>NOF-DM</w:t>
      </w:r>
      <w:r w:rsidRPr="00AC3937">
        <w:rPr>
          <w:rFonts w:ascii="Arial" w:eastAsiaTheme="minorEastAsia" w:hAnsi="Arial" w:cs="Arial"/>
          <w:color w:val="595959" w:themeColor="text1" w:themeTint="A6"/>
          <w:lang w:val="fr-FR" w:eastAsia="zh-CN"/>
        </w:rPr>
        <w:tab/>
        <w:t>Normal oral fibroblast-derived matrix</w:t>
      </w:r>
    </w:p>
    <w:p w14:paraId="540D3108" w14:textId="77777777" w:rsidR="00AC3937" w:rsidRPr="00AC3937" w:rsidRDefault="00AC3937" w:rsidP="00AC3937">
      <w:pPr>
        <w:spacing w:after="200" w:line="276" w:lineRule="auto"/>
        <w:rPr>
          <w:rFonts w:ascii="Arial" w:eastAsiaTheme="minorEastAsia" w:hAnsi="Arial" w:cs="Arial"/>
          <w:color w:val="595959" w:themeColor="text1" w:themeTint="A6"/>
          <w:lang w:val="fr-FR" w:eastAsia="zh-CN"/>
        </w:rPr>
      </w:pPr>
      <w:r w:rsidRPr="00AC3937">
        <w:rPr>
          <w:rFonts w:ascii="Arial" w:eastAsiaTheme="minorEastAsia" w:hAnsi="Arial" w:cs="Arial"/>
          <w:color w:val="595959" w:themeColor="text1" w:themeTint="A6"/>
          <w:lang w:val="fr-FR" w:eastAsia="zh-CN"/>
        </w:rPr>
        <w:lastRenderedPageBreak/>
        <w:t>NOK</w:t>
      </w:r>
      <w:r w:rsidRPr="00AC3937">
        <w:rPr>
          <w:rFonts w:ascii="Arial" w:eastAsiaTheme="minorEastAsia" w:hAnsi="Arial" w:cs="Arial"/>
          <w:color w:val="595959" w:themeColor="text1" w:themeTint="A6"/>
          <w:lang w:val="fr-FR" w:eastAsia="zh-CN"/>
        </w:rPr>
        <w:tab/>
      </w:r>
      <w:r w:rsidRPr="00AC3937">
        <w:rPr>
          <w:rFonts w:ascii="Arial" w:eastAsiaTheme="minorEastAsia" w:hAnsi="Arial" w:cs="Arial"/>
          <w:color w:val="595959" w:themeColor="text1" w:themeTint="A6"/>
          <w:lang w:val="fr-FR" w:eastAsia="zh-CN"/>
        </w:rPr>
        <w:tab/>
        <w:t xml:space="preserve">Normal oral keratinocyte (s) </w:t>
      </w:r>
    </w:p>
    <w:p w14:paraId="191ED4CD" w14:textId="77777777" w:rsidR="00AC3937" w:rsidRPr="00AC3937" w:rsidRDefault="00AC3937" w:rsidP="00AC3937">
      <w:pPr>
        <w:spacing w:after="200" w:line="276" w:lineRule="auto"/>
        <w:rPr>
          <w:rFonts w:ascii="Arial" w:eastAsiaTheme="minorEastAsia" w:hAnsi="Arial" w:cs="Arial"/>
          <w:color w:val="595959" w:themeColor="text1" w:themeTint="A6"/>
          <w:lang w:val="fr-FR" w:eastAsia="zh-CN"/>
        </w:rPr>
      </w:pPr>
      <w:r w:rsidRPr="00AC3937">
        <w:rPr>
          <w:rFonts w:ascii="Arial" w:eastAsiaTheme="minorEastAsia" w:hAnsi="Arial" w:cs="Arial"/>
          <w:color w:val="595959" w:themeColor="text1" w:themeTint="A6"/>
          <w:lang w:val="fr-FR" w:eastAsia="zh-CN"/>
        </w:rPr>
        <w:t>OSCC</w:t>
      </w:r>
      <w:r w:rsidRPr="00AC3937">
        <w:rPr>
          <w:rFonts w:ascii="Arial" w:eastAsiaTheme="minorEastAsia" w:hAnsi="Arial" w:cs="Arial"/>
          <w:color w:val="595959" w:themeColor="text1" w:themeTint="A6"/>
          <w:lang w:val="fr-FR" w:eastAsia="zh-CN"/>
        </w:rPr>
        <w:tab/>
      </w:r>
      <w:r w:rsidRPr="00AC3937">
        <w:rPr>
          <w:rFonts w:ascii="Arial" w:eastAsiaTheme="minorEastAsia" w:hAnsi="Arial" w:cs="Arial"/>
          <w:color w:val="595959" w:themeColor="text1" w:themeTint="A6"/>
          <w:lang w:val="fr-FR" w:eastAsia="zh-CN"/>
        </w:rPr>
        <w:tab/>
        <w:t>Oral squamous cell carcinoma</w:t>
      </w:r>
    </w:p>
    <w:p w14:paraId="4ED68E98" w14:textId="77777777" w:rsidR="00AC3937" w:rsidRPr="00AC3937" w:rsidRDefault="00AC3937" w:rsidP="00AC3937">
      <w:pPr>
        <w:spacing w:after="200" w:line="276" w:lineRule="auto"/>
        <w:rPr>
          <w:rFonts w:ascii="Arial" w:eastAsiaTheme="minorEastAsia" w:hAnsi="Arial" w:cs="Arial"/>
          <w:color w:val="595959" w:themeColor="text1" w:themeTint="A6"/>
          <w:lang w:val="fr-FR" w:eastAsia="zh-CN"/>
        </w:rPr>
      </w:pPr>
      <w:r w:rsidRPr="00AC3937">
        <w:rPr>
          <w:rFonts w:ascii="Arial" w:eastAsiaTheme="minorEastAsia" w:hAnsi="Arial" w:cs="Arial"/>
          <w:color w:val="595959" w:themeColor="text1" w:themeTint="A6"/>
          <w:lang w:val="fr-FR" w:eastAsia="zh-CN"/>
        </w:rPr>
        <w:t>P/S</w:t>
      </w:r>
      <w:r w:rsidRPr="00AC3937">
        <w:rPr>
          <w:rFonts w:ascii="Arial" w:eastAsiaTheme="minorEastAsia" w:hAnsi="Arial" w:cs="Arial"/>
          <w:color w:val="595959" w:themeColor="text1" w:themeTint="A6"/>
          <w:lang w:val="fr-FR" w:eastAsia="zh-CN"/>
        </w:rPr>
        <w:tab/>
      </w:r>
      <w:r w:rsidRPr="00AC3937">
        <w:rPr>
          <w:rFonts w:ascii="Arial" w:eastAsiaTheme="minorEastAsia" w:hAnsi="Arial" w:cs="Arial"/>
          <w:color w:val="595959" w:themeColor="text1" w:themeTint="A6"/>
          <w:lang w:val="fr-FR" w:eastAsia="zh-CN"/>
        </w:rPr>
        <w:tab/>
        <w:t xml:space="preserve">Penicillin/ streptomycin </w:t>
      </w:r>
    </w:p>
    <w:p w14:paraId="18293A0F" w14:textId="77777777" w:rsidR="00AC3937" w:rsidRPr="00AC3937" w:rsidRDefault="00AC3937" w:rsidP="00AC3937">
      <w:pPr>
        <w:spacing w:after="200" w:line="276" w:lineRule="auto"/>
        <w:rPr>
          <w:rFonts w:ascii="Arial" w:eastAsiaTheme="minorEastAsia" w:hAnsi="Arial" w:cs="Arial"/>
          <w:color w:val="595959" w:themeColor="text1" w:themeTint="A6"/>
          <w:lang w:eastAsia="zh-CN"/>
        </w:rPr>
      </w:pPr>
      <w:r w:rsidRPr="00AC3937">
        <w:rPr>
          <w:rFonts w:ascii="Arial" w:eastAsiaTheme="minorEastAsia" w:hAnsi="Arial" w:cs="Arial"/>
          <w:color w:val="595959" w:themeColor="text1" w:themeTint="A6"/>
          <w:lang w:eastAsia="zh-CN"/>
        </w:rPr>
        <w:t>PBS</w:t>
      </w:r>
      <w:r w:rsidRPr="00AC3937">
        <w:rPr>
          <w:rFonts w:ascii="Arial" w:eastAsiaTheme="minorEastAsia" w:hAnsi="Arial" w:cs="Arial"/>
          <w:color w:val="595959" w:themeColor="text1" w:themeTint="A6"/>
          <w:lang w:eastAsia="zh-CN"/>
        </w:rPr>
        <w:tab/>
      </w:r>
      <w:r w:rsidRPr="00AC3937">
        <w:rPr>
          <w:rFonts w:ascii="Arial" w:eastAsiaTheme="minorEastAsia" w:hAnsi="Arial" w:cs="Arial"/>
          <w:color w:val="595959" w:themeColor="text1" w:themeTint="A6"/>
          <w:lang w:eastAsia="zh-CN"/>
        </w:rPr>
        <w:tab/>
        <w:t>Phosphate buffered saline</w:t>
      </w:r>
    </w:p>
    <w:p w14:paraId="00A506F4" w14:textId="77777777" w:rsidR="00AC3937" w:rsidRPr="00AC3937" w:rsidRDefault="00AC3937" w:rsidP="00AC3937">
      <w:pPr>
        <w:spacing w:after="200" w:line="276" w:lineRule="auto"/>
        <w:rPr>
          <w:rFonts w:ascii="Arial" w:eastAsiaTheme="minorEastAsia" w:hAnsi="Arial" w:cs="Arial"/>
          <w:color w:val="595959" w:themeColor="text1" w:themeTint="A6"/>
          <w:lang w:eastAsia="zh-CN"/>
        </w:rPr>
      </w:pPr>
      <w:r w:rsidRPr="00AC3937">
        <w:rPr>
          <w:rFonts w:ascii="Arial" w:eastAsiaTheme="minorEastAsia" w:hAnsi="Arial" w:cs="Arial"/>
          <w:color w:val="595959" w:themeColor="text1" w:themeTint="A6"/>
          <w:lang w:eastAsia="zh-CN"/>
        </w:rPr>
        <w:t>PCR</w:t>
      </w:r>
      <w:r w:rsidRPr="00AC3937">
        <w:rPr>
          <w:rFonts w:ascii="Arial" w:eastAsiaTheme="minorEastAsia" w:hAnsi="Arial" w:cs="Arial"/>
          <w:color w:val="595959" w:themeColor="text1" w:themeTint="A6"/>
          <w:lang w:eastAsia="zh-CN"/>
        </w:rPr>
        <w:tab/>
      </w:r>
      <w:r w:rsidRPr="00AC3937">
        <w:rPr>
          <w:rFonts w:ascii="Arial" w:eastAsiaTheme="minorEastAsia" w:hAnsi="Arial" w:cs="Arial"/>
          <w:color w:val="595959" w:themeColor="text1" w:themeTint="A6"/>
          <w:lang w:eastAsia="zh-CN"/>
        </w:rPr>
        <w:tab/>
        <w:t>Polymerase chain reaction</w:t>
      </w:r>
    </w:p>
    <w:p w14:paraId="56086647" w14:textId="77777777" w:rsidR="00AC3937" w:rsidRPr="00AC3937" w:rsidRDefault="00AC3937" w:rsidP="00AC3937">
      <w:pPr>
        <w:spacing w:after="200" w:line="276" w:lineRule="auto"/>
        <w:rPr>
          <w:rFonts w:ascii="Arial" w:eastAsiaTheme="minorEastAsia" w:hAnsi="Arial" w:cs="Arial"/>
          <w:color w:val="595959" w:themeColor="text1" w:themeTint="A6"/>
          <w:lang w:val="fr-FR" w:eastAsia="zh-CN"/>
        </w:rPr>
      </w:pPr>
      <w:r w:rsidRPr="00AC3937">
        <w:rPr>
          <w:rFonts w:ascii="Arial" w:eastAsiaTheme="minorEastAsia" w:hAnsi="Arial" w:cs="Arial"/>
          <w:color w:val="595959" w:themeColor="text1" w:themeTint="A6"/>
          <w:lang w:val="fr-FR" w:eastAsia="zh-CN"/>
        </w:rPr>
        <w:t xml:space="preserve">pH </w:t>
      </w:r>
      <w:r w:rsidRPr="00AC3937">
        <w:rPr>
          <w:rFonts w:ascii="Arial" w:eastAsiaTheme="minorEastAsia" w:hAnsi="Arial" w:cs="Arial"/>
          <w:color w:val="595959" w:themeColor="text1" w:themeTint="A6"/>
          <w:lang w:val="fr-FR" w:eastAsia="zh-CN"/>
        </w:rPr>
        <w:tab/>
      </w:r>
      <w:r w:rsidRPr="00AC3937">
        <w:rPr>
          <w:rFonts w:ascii="Arial" w:eastAsiaTheme="minorEastAsia" w:hAnsi="Arial" w:cs="Arial"/>
          <w:color w:val="595959" w:themeColor="text1" w:themeTint="A6"/>
          <w:lang w:val="fr-FR" w:eastAsia="zh-CN"/>
        </w:rPr>
        <w:tab/>
        <w:t>Potentiometric hydrogen ion concentration</w:t>
      </w:r>
    </w:p>
    <w:p w14:paraId="1B488F02" w14:textId="77777777" w:rsidR="00AC3937" w:rsidRPr="00AC3937" w:rsidRDefault="00AC3937" w:rsidP="00AC3937">
      <w:pPr>
        <w:spacing w:after="200" w:line="276" w:lineRule="auto"/>
        <w:rPr>
          <w:rFonts w:ascii="Arial" w:eastAsiaTheme="minorEastAsia" w:hAnsi="Arial" w:cs="Arial"/>
          <w:color w:val="595959" w:themeColor="text1" w:themeTint="A6"/>
          <w:lang w:val="fr-FR" w:eastAsia="zh-CN"/>
        </w:rPr>
      </w:pPr>
      <w:r w:rsidRPr="00AC3937">
        <w:rPr>
          <w:rFonts w:ascii="Arial" w:eastAsiaTheme="minorEastAsia" w:hAnsi="Arial" w:cs="Arial"/>
          <w:color w:val="595959" w:themeColor="text1" w:themeTint="A6"/>
          <w:lang w:val="fr-FR" w:eastAsia="zh-CN"/>
        </w:rPr>
        <w:t>PET</w:t>
      </w:r>
      <w:r w:rsidRPr="00AC3937">
        <w:rPr>
          <w:rFonts w:ascii="Arial" w:eastAsiaTheme="minorEastAsia" w:hAnsi="Arial" w:cs="Arial"/>
          <w:color w:val="595959" w:themeColor="text1" w:themeTint="A6"/>
          <w:lang w:val="fr-FR" w:eastAsia="zh-CN"/>
        </w:rPr>
        <w:tab/>
      </w:r>
      <w:r w:rsidRPr="00AC3937">
        <w:rPr>
          <w:rFonts w:ascii="Arial" w:eastAsiaTheme="minorEastAsia" w:hAnsi="Arial" w:cs="Arial"/>
          <w:color w:val="595959" w:themeColor="text1" w:themeTint="A6"/>
          <w:lang w:val="fr-FR" w:eastAsia="zh-CN"/>
        </w:rPr>
        <w:tab/>
        <w:t>Positron emission tomography</w:t>
      </w:r>
    </w:p>
    <w:p w14:paraId="49A2FD2B" w14:textId="77777777" w:rsidR="00AC3937" w:rsidRPr="00AC3937" w:rsidRDefault="00AC3937" w:rsidP="00AC3937">
      <w:pPr>
        <w:spacing w:after="200" w:line="276" w:lineRule="auto"/>
        <w:rPr>
          <w:rFonts w:ascii="Arial" w:eastAsiaTheme="minorEastAsia" w:hAnsi="Arial" w:cs="Arial"/>
          <w:color w:val="595959" w:themeColor="text1" w:themeTint="A6"/>
          <w:lang w:val="fr-FR" w:eastAsia="zh-CN"/>
        </w:rPr>
      </w:pPr>
      <w:r w:rsidRPr="00AC3937">
        <w:rPr>
          <w:rFonts w:ascii="Arial" w:eastAsiaTheme="minorEastAsia" w:hAnsi="Arial" w:cs="Arial"/>
          <w:color w:val="595959" w:themeColor="text1" w:themeTint="A6"/>
          <w:lang w:val="fr-FR" w:eastAsia="zh-CN"/>
        </w:rPr>
        <w:t>qPCR</w:t>
      </w:r>
      <w:r w:rsidRPr="00AC3937">
        <w:rPr>
          <w:rFonts w:ascii="Arial" w:eastAsiaTheme="minorEastAsia" w:hAnsi="Arial" w:cs="Arial"/>
          <w:color w:val="595959" w:themeColor="text1" w:themeTint="A6"/>
          <w:lang w:val="fr-FR" w:eastAsia="zh-CN"/>
        </w:rPr>
        <w:tab/>
      </w:r>
      <w:r w:rsidRPr="00AC3937">
        <w:rPr>
          <w:rFonts w:ascii="Arial" w:eastAsiaTheme="minorEastAsia" w:hAnsi="Arial" w:cs="Arial"/>
          <w:color w:val="595959" w:themeColor="text1" w:themeTint="A6"/>
          <w:lang w:val="fr-FR" w:eastAsia="zh-CN"/>
        </w:rPr>
        <w:tab/>
        <w:t xml:space="preserve">Quantitative polymerase chain reaction </w:t>
      </w:r>
    </w:p>
    <w:p w14:paraId="0CD7325E" w14:textId="77777777" w:rsidR="00AC3937" w:rsidRPr="00AC3937" w:rsidRDefault="00AC3937" w:rsidP="00AC3937">
      <w:pPr>
        <w:spacing w:after="200" w:line="276" w:lineRule="auto"/>
        <w:rPr>
          <w:rFonts w:ascii="Arial" w:eastAsiaTheme="minorEastAsia" w:hAnsi="Arial" w:cs="Arial"/>
          <w:color w:val="595959" w:themeColor="text1" w:themeTint="A6"/>
          <w:lang w:val="fr-FR" w:eastAsia="zh-CN"/>
        </w:rPr>
      </w:pPr>
      <w:r w:rsidRPr="00AC3937">
        <w:rPr>
          <w:rFonts w:ascii="Arial" w:eastAsiaTheme="minorEastAsia" w:hAnsi="Arial" w:cs="Arial"/>
          <w:color w:val="595959" w:themeColor="text1" w:themeTint="A6"/>
          <w:lang w:val="fr-FR" w:eastAsia="zh-CN"/>
        </w:rPr>
        <w:t>RNA</w:t>
      </w:r>
      <w:r w:rsidRPr="00AC3937">
        <w:rPr>
          <w:rFonts w:ascii="Arial" w:eastAsiaTheme="minorEastAsia" w:hAnsi="Arial" w:cs="Arial"/>
          <w:color w:val="595959" w:themeColor="text1" w:themeTint="A6"/>
          <w:lang w:val="fr-FR" w:eastAsia="zh-CN"/>
        </w:rPr>
        <w:tab/>
      </w:r>
      <w:r w:rsidRPr="00AC3937">
        <w:rPr>
          <w:rFonts w:ascii="Arial" w:eastAsiaTheme="minorEastAsia" w:hAnsi="Arial" w:cs="Arial"/>
          <w:color w:val="595959" w:themeColor="text1" w:themeTint="A6"/>
          <w:lang w:val="fr-FR" w:eastAsia="zh-CN"/>
        </w:rPr>
        <w:tab/>
        <w:t xml:space="preserve">Ribonucleic Acid </w:t>
      </w:r>
    </w:p>
    <w:p w14:paraId="36B3E829" w14:textId="77777777" w:rsidR="00AC3937" w:rsidRPr="00AC3937" w:rsidRDefault="00AC3937" w:rsidP="00AC3937">
      <w:pPr>
        <w:spacing w:after="200" w:line="276" w:lineRule="auto"/>
        <w:rPr>
          <w:rFonts w:ascii="Arial" w:eastAsiaTheme="minorEastAsia" w:hAnsi="Arial" w:cs="Arial"/>
          <w:color w:val="595959" w:themeColor="text1" w:themeTint="A6"/>
          <w:lang w:val="fr-FR" w:eastAsia="zh-CN"/>
        </w:rPr>
      </w:pPr>
      <w:r w:rsidRPr="00AC3937">
        <w:rPr>
          <w:rFonts w:ascii="Arial" w:eastAsiaTheme="minorEastAsia" w:hAnsi="Arial" w:cs="Arial"/>
          <w:color w:val="595959" w:themeColor="text1" w:themeTint="A6"/>
          <w:lang w:val="fr-FR" w:eastAsia="zh-CN"/>
        </w:rPr>
        <w:t>RS</w:t>
      </w:r>
      <w:r w:rsidRPr="00AC3937">
        <w:rPr>
          <w:rFonts w:ascii="Arial" w:eastAsiaTheme="minorEastAsia" w:hAnsi="Arial" w:cs="Arial"/>
          <w:color w:val="595959" w:themeColor="text1" w:themeTint="A6"/>
          <w:lang w:val="fr-FR" w:eastAsia="zh-CN"/>
        </w:rPr>
        <w:tab/>
      </w:r>
      <w:r w:rsidRPr="00AC3937">
        <w:rPr>
          <w:rFonts w:ascii="Arial" w:eastAsiaTheme="minorEastAsia" w:hAnsi="Arial" w:cs="Arial"/>
          <w:color w:val="595959" w:themeColor="text1" w:themeTint="A6"/>
          <w:lang w:val="fr-FR" w:eastAsia="zh-CN"/>
        </w:rPr>
        <w:tab/>
        <w:t>Raman spectroscopy</w:t>
      </w:r>
    </w:p>
    <w:p w14:paraId="2EDE4696" w14:textId="77777777" w:rsidR="00AC3937" w:rsidRPr="00AC3937" w:rsidRDefault="00AC3937" w:rsidP="00AC3937">
      <w:pPr>
        <w:spacing w:after="200" w:line="276" w:lineRule="auto"/>
        <w:rPr>
          <w:rFonts w:ascii="Arial" w:eastAsiaTheme="minorEastAsia" w:hAnsi="Arial" w:cs="Arial"/>
          <w:color w:val="595959" w:themeColor="text1" w:themeTint="A6"/>
          <w:lang w:val="fr-FR" w:eastAsia="zh-CN"/>
        </w:rPr>
      </w:pPr>
      <w:r w:rsidRPr="00AC3937">
        <w:rPr>
          <w:rFonts w:ascii="Arial" w:eastAsiaTheme="minorEastAsia" w:hAnsi="Arial" w:cs="Arial"/>
          <w:color w:val="595959" w:themeColor="text1" w:themeTint="A6"/>
          <w:lang w:val="fr-FR" w:eastAsia="zh-CN"/>
        </w:rPr>
        <w:t>RTP</w:t>
      </w:r>
      <w:r w:rsidRPr="00AC3937">
        <w:rPr>
          <w:rFonts w:ascii="Arial" w:eastAsiaTheme="minorEastAsia" w:hAnsi="Arial" w:cs="Arial"/>
          <w:color w:val="595959" w:themeColor="text1" w:themeTint="A6"/>
          <w:lang w:val="fr-FR" w:eastAsia="zh-CN"/>
        </w:rPr>
        <w:tab/>
      </w:r>
      <w:r w:rsidRPr="00AC3937">
        <w:rPr>
          <w:rFonts w:ascii="Arial" w:eastAsiaTheme="minorEastAsia" w:hAnsi="Arial" w:cs="Arial"/>
          <w:color w:val="595959" w:themeColor="text1" w:themeTint="A6"/>
          <w:lang w:val="fr-FR" w:eastAsia="zh-CN"/>
        </w:rPr>
        <w:tab/>
        <w:t>Room temperature and pressure</w:t>
      </w:r>
    </w:p>
    <w:p w14:paraId="2046AC3B" w14:textId="77777777" w:rsidR="00AC3937" w:rsidRPr="00AC3937" w:rsidRDefault="00AC3937" w:rsidP="00AC3937">
      <w:pPr>
        <w:spacing w:after="200" w:line="276" w:lineRule="auto"/>
        <w:rPr>
          <w:rFonts w:ascii="Arial" w:eastAsiaTheme="minorEastAsia" w:hAnsi="Arial" w:cs="Arial"/>
          <w:color w:val="595959" w:themeColor="text1" w:themeTint="A6"/>
          <w:lang w:val="fr-FR" w:eastAsia="zh-CN"/>
        </w:rPr>
      </w:pPr>
      <w:r w:rsidRPr="00AC3937">
        <w:rPr>
          <w:rFonts w:ascii="Arial" w:eastAsiaTheme="minorEastAsia" w:hAnsi="Arial" w:cs="Arial"/>
          <w:color w:val="595959" w:themeColor="text1" w:themeTint="A6"/>
          <w:lang w:val="fr-FR" w:eastAsia="zh-CN"/>
        </w:rPr>
        <w:t>RT-qPCR</w:t>
      </w:r>
      <w:r w:rsidRPr="00AC3937">
        <w:rPr>
          <w:rFonts w:ascii="Arial" w:eastAsiaTheme="minorEastAsia" w:hAnsi="Arial" w:cs="Arial"/>
          <w:color w:val="595959" w:themeColor="text1" w:themeTint="A6"/>
          <w:lang w:val="fr-FR" w:eastAsia="zh-CN"/>
        </w:rPr>
        <w:tab/>
        <w:t xml:space="preserve">Real time- quantitative polymerase chain </w:t>
      </w:r>
      <w:r w:rsidRPr="00AC3937">
        <w:rPr>
          <w:rFonts w:ascii="Arial" w:eastAsiaTheme="minorEastAsia" w:hAnsi="Arial" w:cs="Arial"/>
          <w:color w:val="595959" w:themeColor="text1" w:themeTint="A6"/>
          <w:lang w:eastAsia="zh-CN"/>
        </w:rPr>
        <w:t>reaction</w:t>
      </w:r>
      <w:r w:rsidRPr="00AC3937">
        <w:rPr>
          <w:rFonts w:ascii="Arial" w:eastAsiaTheme="minorEastAsia" w:hAnsi="Arial" w:cs="Arial"/>
          <w:color w:val="595959" w:themeColor="text1" w:themeTint="A6"/>
          <w:lang w:val="fr-FR" w:eastAsia="zh-CN"/>
        </w:rPr>
        <w:t xml:space="preserve"> </w:t>
      </w:r>
    </w:p>
    <w:p w14:paraId="524A0EB3" w14:textId="77777777" w:rsidR="00AC3937" w:rsidRPr="00AC3937" w:rsidRDefault="00AC3937" w:rsidP="00AC3937">
      <w:pPr>
        <w:spacing w:after="200" w:line="276" w:lineRule="auto"/>
        <w:rPr>
          <w:rFonts w:ascii="Arial" w:eastAsiaTheme="minorEastAsia" w:hAnsi="Arial" w:cs="Arial"/>
          <w:color w:val="595959" w:themeColor="text1" w:themeTint="A6"/>
          <w:lang w:eastAsia="zh-CN"/>
        </w:rPr>
      </w:pPr>
      <w:r w:rsidRPr="00AC3937">
        <w:rPr>
          <w:rFonts w:ascii="Arial" w:eastAsiaTheme="minorEastAsia" w:hAnsi="Arial" w:cs="Arial"/>
          <w:color w:val="595959" w:themeColor="text1" w:themeTint="A6"/>
          <w:lang w:eastAsia="zh-CN"/>
        </w:rPr>
        <w:t>SD</w:t>
      </w:r>
      <w:r w:rsidRPr="00AC3937">
        <w:rPr>
          <w:rFonts w:ascii="Arial" w:eastAsiaTheme="minorEastAsia" w:hAnsi="Arial" w:cs="Arial"/>
          <w:color w:val="595959" w:themeColor="text1" w:themeTint="A6"/>
          <w:lang w:eastAsia="zh-CN"/>
        </w:rPr>
        <w:tab/>
      </w:r>
      <w:r w:rsidRPr="00AC3937">
        <w:rPr>
          <w:rFonts w:ascii="Arial" w:eastAsiaTheme="minorEastAsia" w:hAnsi="Arial" w:cs="Arial"/>
          <w:color w:val="595959" w:themeColor="text1" w:themeTint="A6"/>
          <w:lang w:eastAsia="zh-CN"/>
        </w:rPr>
        <w:tab/>
        <w:t xml:space="preserve">Standard deviation </w:t>
      </w:r>
    </w:p>
    <w:p w14:paraId="7E22DCDD" w14:textId="77777777" w:rsidR="00AC3937" w:rsidRPr="00AC3937" w:rsidRDefault="00AC3937" w:rsidP="00AC3937">
      <w:pPr>
        <w:spacing w:after="200" w:line="276" w:lineRule="auto"/>
        <w:rPr>
          <w:rFonts w:ascii="Arial" w:eastAsiaTheme="minorEastAsia" w:hAnsi="Arial" w:cs="Arial"/>
          <w:color w:val="595959" w:themeColor="text1" w:themeTint="A6"/>
          <w:lang w:eastAsia="zh-CN"/>
        </w:rPr>
      </w:pPr>
      <w:r w:rsidRPr="00AC3937">
        <w:rPr>
          <w:rFonts w:ascii="Arial" w:eastAsiaTheme="minorEastAsia" w:hAnsi="Arial" w:cs="Arial"/>
          <w:color w:val="595959" w:themeColor="text1" w:themeTint="A6"/>
          <w:lang w:eastAsia="zh-CN"/>
        </w:rPr>
        <w:t>SEM</w:t>
      </w:r>
      <w:r w:rsidRPr="00AC3937">
        <w:rPr>
          <w:rFonts w:ascii="Arial" w:eastAsiaTheme="minorEastAsia" w:hAnsi="Arial" w:cs="Arial"/>
          <w:color w:val="595959" w:themeColor="text1" w:themeTint="A6"/>
          <w:lang w:eastAsia="zh-CN"/>
        </w:rPr>
        <w:tab/>
      </w:r>
      <w:r w:rsidRPr="00AC3937">
        <w:rPr>
          <w:rFonts w:ascii="Arial" w:eastAsiaTheme="minorEastAsia" w:hAnsi="Arial" w:cs="Arial"/>
          <w:color w:val="595959" w:themeColor="text1" w:themeTint="A6"/>
          <w:lang w:eastAsia="zh-CN"/>
        </w:rPr>
        <w:tab/>
        <w:t>Scanning electron microscopy</w:t>
      </w:r>
    </w:p>
    <w:p w14:paraId="1A800372" w14:textId="77777777" w:rsidR="00AC3937" w:rsidRPr="00AC3937" w:rsidRDefault="00AC3937" w:rsidP="00AC3937">
      <w:pPr>
        <w:spacing w:after="200" w:line="276" w:lineRule="auto"/>
        <w:rPr>
          <w:rFonts w:ascii="Arial" w:eastAsiaTheme="minorEastAsia" w:hAnsi="Arial" w:cs="Arial"/>
          <w:color w:val="595959" w:themeColor="text1" w:themeTint="A6"/>
          <w:lang w:eastAsia="zh-CN"/>
        </w:rPr>
      </w:pPr>
      <w:r w:rsidRPr="00AC3937">
        <w:rPr>
          <w:rFonts w:ascii="Arial" w:eastAsiaTheme="minorEastAsia" w:hAnsi="Arial" w:cs="Arial"/>
          <w:color w:val="595959" w:themeColor="text1" w:themeTint="A6"/>
          <w:lang w:eastAsia="zh-CN"/>
        </w:rPr>
        <w:t>SHGM</w:t>
      </w:r>
      <w:r w:rsidRPr="00AC3937">
        <w:rPr>
          <w:rFonts w:ascii="Arial" w:eastAsiaTheme="minorEastAsia" w:hAnsi="Arial" w:cs="Arial"/>
          <w:color w:val="595959" w:themeColor="text1" w:themeTint="A6"/>
          <w:lang w:eastAsia="zh-CN"/>
        </w:rPr>
        <w:tab/>
      </w:r>
      <w:r w:rsidRPr="00AC3937">
        <w:rPr>
          <w:rFonts w:ascii="Arial" w:eastAsiaTheme="minorEastAsia" w:hAnsi="Arial" w:cs="Arial"/>
          <w:color w:val="595959" w:themeColor="text1" w:themeTint="A6"/>
          <w:lang w:eastAsia="zh-CN"/>
        </w:rPr>
        <w:tab/>
        <w:t xml:space="preserve">Second harmonic generation microscopy </w:t>
      </w:r>
    </w:p>
    <w:p w14:paraId="3C10FB50" w14:textId="77777777" w:rsidR="00AC3937" w:rsidRPr="00AC3937" w:rsidRDefault="00AC3937" w:rsidP="00AC3937">
      <w:pPr>
        <w:spacing w:after="200" w:line="276" w:lineRule="auto"/>
        <w:rPr>
          <w:rFonts w:ascii="Arial" w:eastAsiaTheme="minorEastAsia" w:hAnsi="Arial" w:cs="Arial"/>
          <w:color w:val="595959" w:themeColor="text1" w:themeTint="A6"/>
          <w:lang w:eastAsia="zh-CN"/>
        </w:rPr>
      </w:pPr>
      <w:r w:rsidRPr="00AC3937">
        <w:rPr>
          <w:rFonts w:ascii="Arial" w:eastAsiaTheme="minorEastAsia" w:hAnsi="Arial" w:cs="Arial"/>
          <w:color w:val="595959" w:themeColor="text1" w:themeTint="A6"/>
          <w:lang w:eastAsia="zh-CN"/>
        </w:rPr>
        <w:t>SDF-1</w:t>
      </w:r>
      <w:r w:rsidRPr="00AC3937">
        <w:rPr>
          <w:rFonts w:ascii="Arial" w:eastAsiaTheme="minorEastAsia" w:hAnsi="Arial" w:cs="Arial"/>
          <w:color w:val="595959" w:themeColor="text1" w:themeTint="A6"/>
          <w:lang w:eastAsia="zh-CN"/>
        </w:rPr>
        <w:tab/>
      </w:r>
      <w:r w:rsidRPr="00AC3937">
        <w:rPr>
          <w:rFonts w:ascii="Arial" w:eastAsiaTheme="minorEastAsia" w:hAnsi="Arial" w:cs="Arial"/>
          <w:color w:val="595959" w:themeColor="text1" w:themeTint="A6"/>
          <w:lang w:eastAsia="zh-CN"/>
        </w:rPr>
        <w:tab/>
        <w:t>Stromal cell-derived factor 1</w:t>
      </w:r>
    </w:p>
    <w:p w14:paraId="7286102A" w14:textId="77777777" w:rsidR="00AC3937" w:rsidRPr="00AC3937" w:rsidRDefault="00AC3937" w:rsidP="00AC3937">
      <w:pPr>
        <w:spacing w:after="200" w:line="276" w:lineRule="auto"/>
        <w:rPr>
          <w:rFonts w:ascii="Arial" w:eastAsiaTheme="minorEastAsia" w:hAnsi="Arial" w:cs="Arial"/>
          <w:color w:val="595959" w:themeColor="text1" w:themeTint="A6"/>
          <w:lang w:eastAsia="zh-CN"/>
        </w:rPr>
      </w:pPr>
      <w:r w:rsidRPr="00AC3937">
        <w:rPr>
          <w:rFonts w:ascii="Arial" w:eastAsiaTheme="minorEastAsia" w:hAnsi="Arial" w:cs="Arial"/>
          <w:color w:val="595959" w:themeColor="text1" w:themeTint="A6"/>
          <w:lang w:eastAsia="zh-CN"/>
        </w:rPr>
        <w:t>TBS-T</w:t>
      </w:r>
      <w:r w:rsidRPr="00AC3937">
        <w:rPr>
          <w:rFonts w:ascii="Arial" w:eastAsiaTheme="minorEastAsia" w:hAnsi="Arial" w:cs="Arial"/>
          <w:color w:val="595959" w:themeColor="text1" w:themeTint="A6"/>
          <w:lang w:eastAsia="zh-CN"/>
        </w:rPr>
        <w:tab/>
      </w:r>
      <w:r w:rsidRPr="00AC3937">
        <w:rPr>
          <w:rFonts w:ascii="Arial" w:eastAsiaTheme="minorEastAsia" w:hAnsi="Arial" w:cs="Arial"/>
          <w:color w:val="595959" w:themeColor="text1" w:themeTint="A6"/>
          <w:lang w:eastAsia="zh-CN"/>
        </w:rPr>
        <w:tab/>
        <w:t xml:space="preserve">Tris-buffered saline-tween </w:t>
      </w:r>
    </w:p>
    <w:p w14:paraId="1C270EE0" w14:textId="77777777" w:rsidR="00AC3937" w:rsidRPr="00AC3937" w:rsidRDefault="00AC3937" w:rsidP="00AC3937">
      <w:pPr>
        <w:spacing w:after="200" w:line="276" w:lineRule="auto"/>
        <w:rPr>
          <w:rFonts w:ascii="Arial" w:eastAsiaTheme="minorEastAsia" w:hAnsi="Arial" w:cs="Arial"/>
          <w:color w:val="595959" w:themeColor="text1" w:themeTint="A6"/>
          <w:lang w:eastAsia="zh-CN"/>
        </w:rPr>
      </w:pPr>
      <w:r w:rsidRPr="00AC3937">
        <w:rPr>
          <w:rFonts w:ascii="Arial" w:eastAsiaTheme="minorEastAsia" w:hAnsi="Arial" w:cs="Arial"/>
          <w:color w:val="595959" w:themeColor="text1" w:themeTint="A6"/>
          <w:lang w:eastAsia="zh-CN"/>
        </w:rPr>
        <w:t>TCP</w:t>
      </w:r>
      <w:r w:rsidRPr="00AC3937">
        <w:rPr>
          <w:rFonts w:ascii="Arial" w:eastAsiaTheme="minorEastAsia" w:hAnsi="Arial" w:cs="Arial"/>
          <w:color w:val="595959" w:themeColor="text1" w:themeTint="A6"/>
          <w:lang w:eastAsia="zh-CN"/>
        </w:rPr>
        <w:tab/>
      </w:r>
      <w:r w:rsidRPr="00AC3937">
        <w:rPr>
          <w:rFonts w:ascii="Arial" w:eastAsiaTheme="minorEastAsia" w:hAnsi="Arial" w:cs="Arial"/>
          <w:color w:val="595959" w:themeColor="text1" w:themeTint="A6"/>
          <w:lang w:eastAsia="zh-CN"/>
        </w:rPr>
        <w:tab/>
        <w:t>Tissue culture plastic</w:t>
      </w:r>
    </w:p>
    <w:p w14:paraId="21726558" w14:textId="77777777" w:rsidR="00AC3937" w:rsidRPr="00AC3937" w:rsidRDefault="00AC3937" w:rsidP="00AC3937">
      <w:pPr>
        <w:spacing w:after="200" w:line="276" w:lineRule="auto"/>
        <w:rPr>
          <w:rFonts w:ascii="Arial" w:eastAsiaTheme="minorEastAsia" w:hAnsi="Arial" w:cs="Arial"/>
          <w:color w:val="595959" w:themeColor="text1" w:themeTint="A6"/>
          <w:lang w:eastAsia="zh-CN"/>
        </w:rPr>
      </w:pPr>
      <w:r w:rsidRPr="00AC3937">
        <w:rPr>
          <w:rFonts w:ascii="Arial" w:eastAsiaTheme="minorEastAsia" w:hAnsi="Arial" w:cs="Arial"/>
          <w:color w:val="595959" w:themeColor="text1" w:themeTint="A6"/>
          <w:lang w:eastAsia="zh-CN"/>
        </w:rPr>
        <w:t>TE</w:t>
      </w:r>
      <w:r w:rsidRPr="00AC3937">
        <w:rPr>
          <w:rFonts w:ascii="Arial" w:eastAsiaTheme="minorEastAsia" w:hAnsi="Arial" w:cs="Arial"/>
          <w:color w:val="595959" w:themeColor="text1" w:themeTint="A6"/>
          <w:lang w:eastAsia="zh-CN"/>
        </w:rPr>
        <w:tab/>
      </w:r>
      <w:r w:rsidRPr="00AC3937">
        <w:rPr>
          <w:rFonts w:ascii="Arial" w:eastAsiaTheme="minorEastAsia" w:hAnsi="Arial" w:cs="Arial"/>
          <w:color w:val="595959" w:themeColor="text1" w:themeTint="A6"/>
          <w:lang w:eastAsia="zh-CN"/>
        </w:rPr>
        <w:tab/>
        <w:t>Tissue-engineering</w:t>
      </w:r>
    </w:p>
    <w:p w14:paraId="3CA69CC3" w14:textId="77777777" w:rsidR="00AC3937" w:rsidRPr="00AC3937" w:rsidRDefault="00AC3937" w:rsidP="00AC3937">
      <w:pPr>
        <w:spacing w:after="200" w:line="276" w:lineRule="auto"/>
        <w:rPr>
          <w:rFonts w:ascii="Arial" w:eastAsiaTheme="minorEastAsia" w:hAnsi="Arial" w:cs="Arial"/>
          <w:color w:val="595959" w:themeColor="text1" w:themeTint="A6"/>
          <w:lang w:eastAsia="zh-CN"/>
        </w:rPr>
      </w:pPr>
      <w:r w:rsidRPr="00AC3937">
        <w:rPr>
          <w:rFonts w:ascii="Arial" w:eastAsiaTheme="minorEastAsia" w:hAnsi="Arial" w:cs="Arial"/>
          <w:color w:val="595959" w:themeColor="text1" w:themeTint="A6"/>
          <w:lang w:eastAsia="zh-CN"/>
        </w:rPr>
        <w:t>TEAOM</w:t>
      </w:r>
      <w:r w:rsidRPr="00AC3937">
        <w:rPr>
          <w:rFonts w:ascii="Arial" w:eastAsiaTheme="minorEastAsia" w:hAnsi="Arial" w:cs="Arial"/>
          <w:color w:val="595959" w:themeColor="text1" w:themeTint="A6"/>
          <w:lang w:eastAsia="zh-CN"/>
        </w:rPr>
        <w:tab/>
        <w:t xml:space="preserve">Tissue-engineered atypical oral mucosa </w:t>
      </w:r>
    </w:p>
    <w:p w14:paraId="5ED8BCBB" w14:textId="77777777" w:rsidR="00AC3937" w:rsidRPr="00AC3937" w:rsidRDefault="00AC3937" w:rsidP="00AC3937">
      <w:pPr>
        <w:spacing w:after="200" w:line="276" w:lineRule="auto"/>
        <w:rPr>
          <w:rFonts w:ascii="Arial" w:eastAsiaTheme="minorEastAsia" w:hAnsi="Arial" w:cs="Arial"/>
          <w:color w:val="595959" w:themeColor="text1" w:themeTint="A6"/>
          <w:lang w:eastAsia="zh-CN"/>
        </w:rPr>
      </w:pPr>
      <w:r w:rsidRPr="00AC3937">
        <w:rPr>
          <w:rFonts w:ascii="Arial" w:eastAsiaTheme="minorEastAsia" w:hAnsi="Arial" w:cs="Arial"/>
          <w:color w:val="595959" w:themeColor="text1" w:themeTint="A6"/>
          <w:lang w:eastAsia="zh-CN"/>
        </w:rPr>
        <w:t>TEER</w:t>
      </w:r>
      <w:r w:rsidRPr="00AC3937">
        <w:rPr>
          <w:rFonts w:ascii="Arial" w:eastAsiaTheme="minorEastAsia" w:hAnsi="Arial" w:cs="Arial"/>
          <w:color w:val="595959" w:themeColor="text1" w:themeTint="A6"/>
          <w:lang w:eastAsia="zh-CN"/>
        </w:rPr>
        <w:tab/>
      </w:r>
      <w:r w:rsidRPr="00AC3937">
        <w:rPr>
          <w:rFonts w:ascii="Arial" w:eastAsiaTheme="minorEastAsia" w:hAnsi="Arial" w:cs="Arial"/>
          <w:color w:val="595959" w:themeColor="text1" w:themeTint="A6"/>
          <w:lang w:eastAsia="zh-CN"/>
        </w:rPr>
        <w:tab/>
        <w:t>Transepithelial electrical resistance</w:t>
      </w:r>
    </w:p>
    <w:p w14:paraId="3BCD2E3F" w14:textId="77777777" w:rsidR="00AC3937" w:rsidRPr="00AC3937" w:rsidRDefault="00AC3937" w:rsidP="00AC3937">
      <w:pPr>
        <w:spacing w:after="200" w:line="276" w:lineRule="auto"/>
        <w:rPr>
          <w:rFonts w:ascii="Arial" w:eastAsiaTheme="minorEastAsia" w:hAnsi="Arial" w:cs="Arial"/>
          <w:color w:val="595959" w:themeColor="text1" w:themeTint="A6"/>
          <w:lang w:eastAsia="zh-CN"/>
        </w:rPr>
      </w:pPr>
      <w:r w:rsidRPr="00AC3937">
        <w:rPr>
          <w:rFonts w:ascii="Arial" w:eastAsiaTheme="minorEastAsia" w:hAnsi="Arial" w:cs="Arial"/>
          <w:color w:val="595959" w:themeColor="text1" w:themeTint="A6"/>
          <w:lang w:eastAsia="zh-CN"/>
        </w:rPr>
        <w:t>TE-FDM</w:t>
      </w:r>
      <w:r w:rsidRPr="00AC3937">
        <w:rPr>
          <w:rFonts w:ascii="Arial" w:eastAsiaTheme="minorEastAsia" w:hAnsi="Arial" w:cs="Arial"/>
          <w:color w:val="595959" w:themeColor="text1" w:themeTint="A6"/>
          <w:lang w:eastAsia="zh-CN"/>
        </w:rPr>
        <w:tab/>
        <w:t>Tissue-engineered fibroblast-derived matrix</w:t>
      </w:r>
    </w:p>
    <w:p w14:paraId="4973F855" w14:textId="77777777" w:rsidR="00AC3937" w:rsidRPr="00AC3937" w:rsidRDefault="00AC3937" w:rsidP="00AC3937">
      <w:pPr>
        <w:spacing w:after="200" w:line="276" w:lineRule="auto"/>
        <w:rPr>
          <w:rFonts w:ascii="Arial" w:eastAsiaTheme="minorEastAsia" w:hAnsi="Arial" w:cs="Arial"/>
          <w:color w:val="595959" w:themeColor="text1" w:themeTint="A6"/>
          <w:lang w:eastAsia="zh-CN"/>
        </w:rPr>
      </w:pPr>
      <w:r w:rsidRPr="00AC3937">
        <w:rPr>
          <w:rFonts w:ascii="Arial" w:eastAsiaTheme="minorEastAsia" w:hAnsi="Arial" w:cs="Arial"/>
          <w:color w:val="595959" w:themeColor="text1" w:themeTint="A6"/>
          <w:lang w:eastAsia="zh-CN"/>
        </w:rPr>
        <w:t>TENOM</w:t>
      </w:r>
      <w:r w:rsidRPr="00AC3937">
        <w:rPr>
          <w:rFonts w:ascii="Arial" w:eastAsiaTheme="minorEastAsia" w:hAnsi="Arial" w:cs="Arial"/>
          <w:color w:val="595959" w:themeColor="text1" w:themeTint="A6"/>
          <w:lang w:eastAsia="zh-CN"/>
        </w:rPr>
        <w:tab/>
        <w:t>Tissue-engineered normal oral mucosa</w:t>
      </w:r>
    </w:p>
    <w:p w14:paraId="010ABFBB" w14:textId="77777777" w:rsidR="00AC3937" w:rsidRPr="00AC3937" w:rsidRDefault="00AC3937" w:rsidP="00AC3937">
      <w:pPr>
        <w:spacing w:after="200" w:line="276" w:lineRule="auto"/>
        <w:rPr>
          <w:rFonts w:ascii="Arial" w:eastAsiaTheme="minorEastAsia" w:hAnsi="Arial" w:cs="Arial"/>
          <w:color w:val="595959" w:themeColor="text1" w:themeTint="A6"/>
          <w:lang w:eastAsia="zh-CN"/>
        </w:rPr>
      </w:pPr>
      <w:r w:rsidRPr="00AC3937">
        <w:rPr>
          <w:rFonts w:ascii="Arial" w:eastAsiaTheme="minorEastAsia" w:hAnsi="Arial" w:cs="Arial"/>
          <w:color w:val="595959" w:themeColor="text1" w:themeTint="A6"/>
          <w:lang w:eastAsia="zh-CN"/>
        </w:rPr>
        <w:t>TEOM</w:t>
      </w:r>
      <w:r w:rsidRPr="00AC3937">
        <w:rPr>
          <w:rFonts w:ascii="Arial" w:eastAsiaTheme="minorEastAsia" w:hAnsi="Arial" w:cs="Arial"/>
          <w:color w:val="595959" w:themeColor="text1" w:themeTint="A6"/>
          <w:lang w:eastAsia="zh-CN"/>
        </w:rPr>
        <w:tab/>
      </w:r>
      <w:r w:rsidRPr="00AC3937">
        <w:rPr>
          <w:rFonts w:ascii="Arial" w:eastAsiaTheme="minorEastAsia" w:hAnsi="Arial" w:cs="Arial"/>
          <w:color w:val="595959" w:themeColor="text1" w:themeTint="A6"/>
          <w:lang w:eastAsia="zh-CN"/>
        </w:rPr>
        <w:tab/>
        <w:t>Tissue-engineered oral mucosa</w:t>
      </w:r>
    </w:p>
    <w:p w14:paraId="146A1D29" w14:textId="77777777" w:rsidR="00AC3937" w:rsidRPr="00AC3937" w:rsidRDefault="00AC3937" w:rsidP="00AC3937">
      <w:pPr>
        <w:spacing w:after="200" w:line="276" w:lineRule="auto"/>
        <w:rPr>
          <w:rFonts w:ascii="Arial" w:eastAsiaTheme="minorEastAsia" w:hAnsi="Arial" w:cs="Arial"/>
          <w:color w:val="595959" w:themeColor="text1" w:themeTint="A6"/>
          <w:lang w:eastAsia="zh-CN"/>
        </w:rPr>
      </w:pPr>
      <w:r w:rsidRPr="00AC3937">
        <w:rPr>
          <w:rFonts w:ascii="Arial" w:eastAsiaTheme="minorEastAsia" w:hAnsi="Arial" w:cs="Arial"/>
          <w:color w:val="595959" w:themeColor="text1" w:themeTint="A6"/>
          <w:lang w:eastAsia="zh-CN"/>
        </w:rPr>
        <w:t>TESCCM</w:t>
      </w:r>
      <w:r w:rsidRPr="00AC3937">
        <w:rPr>
          <w:rFonts w:ascii="Arial" w:eastAsiaTheme="minorEastAsia" w:hAnsi="Arial" w:cs="Arial"/>
          <w:color w:val="595959" w:themeColor="text1" w:themeTint="A6"/>
          <w:lang w:eastAsia="zh-CN"/>
        </w:rPr>
        <w:tab/>
        <w:t>Tissue-engineered oral squamous cell carcinoma model</w:t>
      </w:r>
    </w:p>
    <w:p w14:paraId="45ED7886" w14:textId="77777777" w:rsidR="00AC3937" w:rsidRPr="00AC3937" w:rsidRDefault="00AC3937" w:rsidP="00AC3937">
      <w:pPr>
        <w:spacing w:after="200" w:line="276" w:lineRule="auto"/>
        <w:rPr>
          <w:rFonts w:ascii="Arial" w:eastAsiaTheme="minorEastAsia" w:hAnsi="Arial" w:cs="Arial"/>
          <w:color w:val="595959" w:themeColor="text1" w:themeTint="A6"/>
          <w:lang w:eastAsia="zh-CN"/>
        </w:rPr>
      </w:pPr>
      <w:r w:rsidRPr="00AC3937">
        <w:rPr>
          <w:rFonts w:ascii="Arial" w:eastAsiaTheme="minorEastAsia" w:hAnsi="Arial" w:cs="Arial"/>
          <w:color w:val="595959" w:themeColor="text1" w:themeTint="A6"/>
          <w:lang w:eastAsia="zh-CN"/>
        </w:rPr>
        <w:t>TGFβ-1</w:t>
      </w:r>
      <w:r w:rsidRPr="00AC3937">
        <w:rPr>
          <w:rFonts w:ascii="Arial" w:eastAsiaTheme="minorEastAsia" w:hAnsi="Arial" w:cs="Arial"/>
          <w:color w:val="595959" w:themeColor="text1" w:themeTint="A6"/>
          <w:lang w:eastAsia="zh-CN"/>
        </w:rPr>
        <w:tab/>
        <w:t>Transforming growth factor beta-1</w:t>
      </w:r>
    </w:p>
    <w:p w14:paraId="42358EB9" w14:textId="77777777" w:rsidR="00AC3937" w:rsidRPr="00AC3937" w:rsidRDefault="00AC3937" w:rsidP="00AC3937">
      <w:pPr>
        <w:spacing w:after="200" w:line="276" w:lineRule="auto"/>
        <w:rPr>
          <w:rFonts w:ascii="Arial" w:eastAsiaTheme="minorEastAsia" w:hAnsi="Arial" w:cs="Arial"/>
          <w:color w:val="595959" w:themeColor="text1" w:themeTint="A6"/>
          <w:lang w:eastAsia="zh-CN"/>
        </w:rPr>
      </w:pPr>
      <w:r w:rsidRPr="00AC3937">
        <w:rPr>
          <w:rFonts w:ascii="Arial" w:eastAsiaTheme="minorEastAsia" w:hAnsi="Arial" w:cs="Arial"/>
          <w:color w:val="595959" w:themeColor="text1" w:themeTint="A6"/>
          <w:lang w:eastAsia="zh-CN"/>
        </w:rPr>
        <w:t>TP53</w:t>
      </w:r>
      <w:r w:rsidRPr="00AC3937">
        <w:rPr>
          <w:rFonts w:ascii="Arial" w:eastAsiaTheme="minorEastAsia" w:hAnsi="Arial" w:cs="Arial"/>
          <w:color w:val="595959" w:themeColor="text1" w:themeTint="A6"/>
          <w:lang w:eastAsia="zh-CN"/>
        </w:rPr>
        <w:tab/>
      </w:r>
      <w:r w:rsidRPr="00AC3937">
        <w:rPr>
          <w:rFonts w:ascii="Arial" w:eastAsiaTheme="minorEastAsia" w:hAnsi="Arial" w:cs="Arial"/>
          <w:color w:val="595959" w:themeColor="text1" w:themeTint="A6"/>
          <w:lang w:eastAsia="zh-CN"/>
        </w:rPr>
        <w:tab/>
        <w:t xml:space="preserve">Tumour protein 53 </w:t>
      </w:r>
    </w:p>
    <w:p w14:paraId="65B213E7" w14:textId="6C10E15E" w:rsidR="00D66E0D" w:rsidRDefault="00AC3937" w:rsidP="006771AF">
      <w:pPr>
        <w:spacing w:after="200" w:line="276" w:lineRule="auto"/>
        <w:rPr>
          <w:rFonts w:ascii="Arial" w:eastAsiaTheme="minorEastAsia" w:hAnsi="Arial" w:cs="Arial"/>
          <w:color w:val="595959" w:themeColor="text1" w:themeTint="A6"/>
          <w:lang w:eastAsia="zh-CN"/>
        </w:rPr>
      </w:pPr>
      <w:r w:rsidRPr="00AC3937">
        <w:rPr>
          <w:rFonts w:ascii="Arial" w:eastAsiaTheme="minorEastAsia" w:hAnsi="Arial" w:cs="Arial"/>
          <w:color w:val="595959" w:themeColor="text1" w:themeTint="A6"/>
          <w:lang w:eastAsia="zh-CN"/>
        </w:rPr>
        <w:t>VCAN</w:t>
      </w:r>
      <w:r w:rsidRPr="00AC3937">
        <w:rPr>
          <w:rFonts w:ascii="Arial" w:eastAsiaTheme="minorEastAsia" w:hAnsi="Arial" w:cs="Arial"/>
          <w:color w:val="595959" w:themeColor="text1" w:themeTint="A6"/>
          <w:lang w:eastAsia="zh-CN"/>
        </w:rPr>
        <w:tab/>
      </w:r>
      <w:r w:rsidRPr="00AC3937">
        <w:rPr>
          <w:rFonts w:ascii="Arial" w:eastAsiaTheme="minorEastAsia" w:hAnsi="Arial" w:cs="Arial"/>
          <w:color w:val="595959" w:themeColor="text1" w:themeTint="A6"/>
          <w:lang w:eastAsia="zh-CN"/>
        </w:rPr>
        <w:tab/>
        <w:t>Versica</w:t>
      </w:r>
      <w:r w:rsidR="00FD146C">
        <w:rPr>
          <w:rFonts w:ascii="Arial" w:eastAsiaTheme="minorEastAsia" w:hAnsi="Arial" w:cs="Arial"/>
          <w:color w:val="595959" w:themeColor="text1" w:themeTint="A6"/>
          <w:lang w:eastAsia="zh-CN"/>
        </w:rPr>
        <w:t>n</w:t>
      </w:r>
    </w:p>
    <w:p w14:paraId="384A5CF3" w14:textId="484E7654" w:rsidR="009310BF" w:rsidRPr="0028535A" w:rsidRDefault="009310BF" w:rsidP="009310BF">
      <w:pPr>
        <w:pStyle w:val="Title"/>
        <w:outlineLvl w:val="0"/>
        <w:rPr>
          <w:color w:val="4472C4" w:themeColor="accent1"/>
          <w:sz w:val="44"/>
          <w:szCs w:val="44"/>
        </w:rPr>
      </w:pPr>
      <w:bookmarkStart w:id="9" w:name="_Toc34208237"/>
      <w:r w:rsidRPr="0028535A">
        <w:rPr>
          <w:color w:val="4472C4" w:themeColor="accent1"/>
          <w:sz w:val="44"/>
          <w:szCs w:val="44"/>
        </w:rPr>
        <w:lastRenderedPageBreak/>
        <w:t>Abstract</w:t>
      </w:r>
      <w:bookmarkEnd w:id="9"/>
    </w:p>
    <w:p w14:paraId="242CCEA1" w14:textId="77777777" w:rsidR="009310BF" w:rsidRPr="009310BF" w:rsidRDefault="009310BF" w:rsidP="009310BF"/>
    <w:bookmarkEnd w:id="6"/>
    <w:p w14:paraId="6E2CFBCC" w14:textId="7F3ACB94" w:rsidR="003703D7" w:rsidRPr="00EB55F5" w:rsidRDefault="003703D7" w:rsidP="003177BC">
      <w:pPr>
        <w:widowControl w:val="0"/>
        <w:autoSpaceDE w:val="0"/>
        <w:autoSpaceDN w:val="0"/>
        <w:adjustRightInd w:val="0"/>
        <w:spacing w:after="0" w:line="360" w:lineRule="auto"/>
        <w:ind w:right="-386"/>
        <w:jc w:val="both"/>
        <w:rPr>
          <w:rFonts w:ascii="Arial" w:eastAsiaTheme="minorEastAsia" w:hAnsi="Arial" w:cs="Arial"/>
          <w:color w:val="404040"/>
          <w:u w:color="404040"/>
        </w:rPr>
      </w:pPr>
      <w:r w:rsidRPr="00EB55F5">
        <w:rPr>
          <w:rFonts w:ascii="Arial" w:eastAsiaTheme="minorEastAsia" w:hAnsi="Arial" w:cs="Arial"/>
          <w:b/>
          <w:bCs/>
          <w:color w:val="404040"/>
          <w:u w:color="404040"/>
          <w:lang w:val="en-US"/>
        </w:rPr>
        <w:t>Introduction:</w:t>
      </w:r>
      <w:r w:rsidRPr="00EB55F5">
        <w:rPr>
          <w:rFonts w:ascii="Times New Roman" w:eastAsia="Times New Roman" w:hAnsi="Times New Roman" w:cs="Times New Roman"/>
        </w:rPr>
        <w:t xml:space="preserve"> </w:t>
      </w:r>
      <w:r w:rsidR="00D83E48">
        <w:rPr>
          <w:rFonts w:ascii="Arial" w:eastAsiaTheme="minorEastAsia" w:hAnsi="Arial" w:cs="Arial"/>
          <w:color w:val="404040"/>
          <w:u w:color="404040"/>
        </w:rPr>
        <w:t>Communication</w:t>
      </w:r>
      <w:r w:rsidRPr="00EB55F5">
        <w:rPr>
          <w:rFonts w:ascii="Arial" w:eastAsiaTheme="minorEastAsia" w:hAnsi="Arial" w:cs="Arial"/>
          <w:color w:val="404040"/>
          <w:u w:color="404040"/>
        </w:rPr>
        <w:t xml:space="preserve"> of cells with the surrounding extracellular matrix (ECM) is the foundation that regulates tissue homeostasis (Walker </w:t>
      </w:r>
      <w:r w:rsidRPr="00EB55F5">
        <w:rPr>
          <w:rFonts w:ascii="Arial" w:eastAsiaTheme="minorEastAsia" w:hAnsi="Arial" w:cs="Arial"/>
          <w:i/>
          <w:iCs/>
          <w:color w:val="404040"/>
          <w:u w:color="404040"/>
        </w:rPr>
        <w:t>et al.,</w:t>
      </w:r>
      <w:r w:rsidRPr="00EB55F5">
        <w:rPr>
          <w:rFonts w:ascii="Arial" w:eastAsiaTheme="minorEastAsia" w:hAnsi="Arial" w:cs="Arial"/>
          <w:color w:val="404040"/>
          <w:u w:color="404040"/>
        </w:rPr>
        <w:t xml:space="preserve"> 2018). During cancer progression this regulation is determined by interactions between tumour cells, stromal cells (</w:t>
      </w:r>
      <w:r w:rsidR="00CA0C14">
        <w:rPr>
          <w:rFonts w:ascii="Arial" w:eastAsiaTheme="minorEastAsia" w:hAnsi="Arial" w:cs="Arial"/>
          <w:color w:val="404040"/>
          <w:u w:color="404040"/>
        </w:rPr>
        <w:t xml:space="preserve">such as </w:t>
      </w:r>
      <w:r w:rsidRPr="00EB55F5">
        <w:rPr>
          <w:rFonts w:ascii="Arial" w:eastAsiaTheme="minorEastAsia" w:hAnsi="Arial" w:cs="Arial"/>
          <w:color w:val="404040"/>
          <w:u w:color="404040"/>
        </w:rPr>
        <w:t xml:space="preserve">fibroblasts and leukocytes) and other components of the microenvironment </w:t>
      </w:r>
      <w:r w:rsidR="003B492C">
        <w:rPr>
          <w:rFonts w:ascii="Arial" w:eastAsiaTheme="minorEastAsia" w:hAnsi="Arial" w:cs="Arial"/>
          <w:color w:val="404040"/>
          <w:u w:color="404040"/>
        </w:rPr>
        <w:t xml:space="preserve">including </w:t>
      </w:r>
      <w:r w:rsidRPr="00EB55F5">
        <w:rPr>
          <w:rFonts w:ascii="Arial" w:eastAsiaTheme="minorEastAsia" w:hAnsi="Arial" w:cs="Arial"/>
          <w:color w:val="404040"/>
          <w:u w:color="404040"/>
        </w:rPr>
        <w:t xml:space="preserve">the ECM (Weaver and Gilbert, 2017). The ECM in </w:t>
      </w:r>
      <w:r w:rsidR="0024718F" w:rsidRPr="00EB55F5">
        <w:rPr>
          <w:rFonts w:ascii="Arial" w:eastAsiaTheme="minorEastAsia" w:hAnsi="Arial" w:cs="Arial"/>
          <w:color w:val="404040"/>
          <w:u w:color="404040"/>
        </w:rPr>
        <w:t xml:space="preserve">oral squamous cell carcinoma </w:t>
      </w:r>
      <w:r w:rsidR="0024718F">
        <w:rPr>
          <w:rFonts w:ascii="Arial" w:eastAsiaTheme="minorEastAsia" w:hAnsi="Arial" w:cs="Arial"/>
          <w:color w:val="404040"/>
          <w:u w:color="404040"/>
        </w:rPr>
        <w:t>(</w:t>
      </w:r>
      <w:r w:rsidRPr="00EB55F5">
        <w:rPr>
          <w:rFonts w:ascii="Arial" w:eastAsiaTheme="minorEastAsia" w:hAnsi="Arial" w:cs="Arial"/>
          <w:color w:val="404040"/>
          <w:u w:color="404040"/>
        </w:rPr>
        <w:t>OSCC</w:t>
      </w:r>
      <w:r w:rsidR="0024718F">
        <w:rPr>
          <w:rFonts w:ascii="Arial" w:eastAsiaTheme="minorEastAsia" w:hAnsi="Arial" w:cs="Arial"/>
          <w:color w:val="404040"/>
          <w:u w:color="404040"/>
        </w:rPr>
        <w:t>)</w:t>
      </w:r>
      <w:r w:rsidRPr="00EB55F5">
        <w:rPr>
          <w:rFonts w:ascii="Arial" w:eastAsiaTheme="minorEastAsia" w:hAnsi="Arial" w:cs="Arial"/>
          <w:color w:val="404040"/>
          <w:u w:color="404040"/>
        </w:rPr>
        <w:t xml:space="preserve"> forms its own tissue-specific microenvironment capable of eliciting biochemical and biophysiological cues</w:t>
      </w:r>
      <w:r w:rsidR="00D44FD2">
        <w:rPr>
          <w:rFonts w:ascii="Arial" w:eastAsiaTheme="minorEastAsia" w:hAnsi="Arial" w:cs="Arial"/>
          <w:color w:val="404040"/>
          <w:u w:color="404040"/>
        </w:rPr>
        <w:t>,</w:t>
      </w:r>
      <w:r w:rsidRPr="00EB55F5">
        <w:rPr>
          <w:rFonts w:ascii="Arial" w:eastAsiaTheme="minorEastAsia" w:hAnsi="Arial" w:cs="Arial"/>
          <w:color w:val="404040"/>
          <w:u w:color="404040"/>
        </w:rPr>
        <w:t xml:space="preserve"> play</w:t>
      </w:r>
      <w:r w:rsidR="00D44FD2">
        <w:rPr>
          <w:rFonts w:ascii="Arial" w:eastAsiaTheme="minorEastAsia" w:hAnsi="Arial" w:cs="Arial"/>
          <w:color w:val="404040"/>
          <w:u w:color="404040"/>
        </w:rPr>
        <w:t>ing</w:t>
      </w:r>
      <w:r w:rsidRPr="00EB55F5">
        <w:rPr>
          <w:rFonts w:ascii="Arial" w:eastAsiaTheme="minorEastAsia" w:hAnsi="Arial" w:cs="Arial"/>
          <w:color w:val="404040"/>
          <w:u w:color="404040"/>
        </w:rPr>
        <w:t xml:space="preserve"> key roles in cancer progression (Pantanker </w:t>
      </w:r>
      <w:r w:rsidRPr="00EB55F5">
        <w:rPr>
          <w:rFonts w:ascii="Arial" w:eastAsiaTheme="minorEastAsia" w:hAnsi="Arial" w:cs="Arial"/>
          <w:i/>
          <w:iCs/>
          <w:color w:val="404040"/>
          <w:u w:color="404040"/>
        </w:rPr>
        <w:t>et al.,</w:t>
      </w:r>
      <w:r w:rsidRPr="00EB55F5">
        <w:rPr>
          <w:rFonts w:ascii="Arial" w:eastAsiaTheme="minorEastAsia" w:hAnsi="Arial" w:cs="Arial"/>
          <w:color w:val="404040"/>
          <w:u w:color="404040"/>
        </w:rPr>
        <w:t xml:space="preserve"> 2016, Kumar and Hema, 2019). This architectural change is associated with increased ECM deposition,</w:t>
      </w:r>
      <w:r w:rsidR="0046510A">
        <w:rPr>
          <w:rFonts w:ascii="Arial" w:eastAsiaTheme="minorEastAsia" w:hAnsi="Arial" w:cs="Arial"/>
          <w:color w:val="404040"/>
          <w:u w:color="404040"/>
        </w:rPr>
        <w:t xml:space="preserve"> known as desmoplasia,</w:t>
      </w:r>
      <w:r w:rsidR="003D5F4F">
        <w:rPr>
          <w:rFonts w:ascii="Arial" w:eastAsiaTheme="minorEastAsia" w:hAnsi="Arial" w:cs="Arial"/>
          <w:color w:val="404040"/>
          <w:u w:color="404040"/>
        </w:rPr>
        <w:t xml:space="preserve"> </w:t>
      </w:r>
      <w:r w:rsidRPr="00EB55F5">
        <w:rPr>
          <w:rFonts w:ascii="Arial" w:eastAsiaTheme="minorEastAsia" w:hAnsi="Arial" w:cs="Arial"/>
          <w:color w:val="404040"/>
          <w:u w:color="404040"/>
        </w:rPr>
        <w:t xml:space="preserve">predominantly </w:t>
      </w:r>
      <w:r w:rsidR="00BE081B">
        <w:rPr>
          <w:rFonts w:ascii="Arial" w:eastAsiaTheme="minorEastAsia" w:hAnsi="Arial" w:cs="Arial"/>
          <w:color w:val="404040"/>
          <w:u w:color="404040"/>
        </w:rPr>
        <w:t xml:space="preserve">generated </w:t>
      </w:r>
      <w:r w:rsidRPr="00EB55F5">
        <w:rPr>
          <w:rFonts w:ascii="Arial" w:eastAsiaTheme="minorEastAsia" w:hAnsi="Arial" w:cs="Arial"/>
          <w:color w:val="404040"/>
          <w:u w:color="404040"/>
        </w:rPr>
        <w:t xml:space="preserve">by cancer associated fibroblasts (CAF) </w:t>
      </w:r>
      <w:r w:rsidR="006302F3">
        <w:rPr>
          <w:rFonts w:ascii="Arial" w:eastAsiaTheme="minorEastAsia" w:hAnsi="Arial" w:cs="Arial"/>
          <w:color w:val="404040"/>
          <w:u w:color="404040"/>
        </w:rPr>
        <w:t xml:space="preserve">activated from resident fibroblasts </w:t>
      </w:r>
      <w:r w:rsidR="00B16482">
        <w:rPr>
          <w:rFonts w:ascii="Arial" w:eastAsiaTheme="minorEastAsia" w:hAnsi="Arial" w:cs="Arial"/>
          <w:color w:val="404040"/>
          <w:u w:color="404040"/>
        </w:rPr>
        <w:t xml:space="preserve">by signals </w:t>
      </w:r>
      <w:r w:rsidR="00D20211">
        <w:rPr>
          <w:rFonts w:ascii="Arial" w:eastAsiaTheme="minorEastAsia" w:hAnsi="Arial" w:cs="Arial"/>
          <w:color w:val="404040"/>
          <w:u w:color="404040"/>
        </w:rPr>
        <w:t xml:space="preserve">such as </w:t>
      </w:r>
      <w:r w:rsidRPr="00EB55F5">
        <w:rPr>
          <w:rFonts w:ascii="Arial" w:eastAsiaTheme="minorEastAsia" w:hAnsi="Arial" w:cs="Arial"/>
          <w:color w:val="404040"/>
          <w:u w:color="404040"/>
        </w:rPr>
        <w:t xml:space="preserve">TGFβ-1 and SDF-1 </w:t>
      </w:r>
      <w:r w:rsidR="00D20211">
        <w:rPr>
          <w:rFonts w:ascii="Arial" w:eastAsiaTheme="minorEastAsia" w:hAnsi="Arial" w:cs="Arial"/>
          <w:color w:val="404040"/>
          <w:u w:color="404040"/>
        </w:rPr>
        <w:t xml:space="preserve">secreted </w:t>
      </w:r>
      <w:r w:rsidRPr="00EB55F5">
        <w:rPr>
          <w:rFonts w:ascii="Arial" w:eastAsiaTheme="minorEastAsia" w:hAnsi="Arial" w:cs="Arial"/>
          <w:color w:val="404040"/>
          <w:u w:color="404040"/>
        </w:rPr>
        <w:t>by OSCC cells</w:t>
      </w:r>
      <w:r w:rsidR="00B43D11">
        <w:rPr>
          <w:rFonts w:ascii="Arial" w:eastAsiaTheme="minorEastAsia" w:hAnsi="Arial" w:cs="Arial"/>
          <w:color w:val="404040"/>
          <w:u w:color="404040"/>
        </w:rPr>
        <w:t xml:space="preserve"> </w:t>
      </w:r>
      <w:r w:rsidRPr="00EB55F5">
        <w:rPr>
          <w:rFonts w:ascii="Arial" w:eastAsiaTheme="minorEastAsia" w:hAnsi="Arial" w:cs="Arial"/>
          <w:color w:val="404040"/>
          <w:u w:color="404040"/>
        </w:rPr>
        <w:t xml:space="preserve">(LeBleu and Kalluri, 2018, Calon </w:t>
      </w:r>
      <w:r w:rsidRPr="00EB55F5">
        <w:rPr>
          <w:rFonts w:ascii="Arial" w:eastAsiaTheme="minorEastAsia" w:hAnsi="Arial" w:cs="Arial"/>
          <w:i/>
          <w:iCs/>
          <w:color w:val="404040"/>
          <w:u w:color="404040"/>
        </w:rPr>
        <w:t>et al.,</w:t>
      </w:r>
      <w:r w:rsidRPr="00EB55F5">
        <w:rPr>
          <w:rFonts w:ascii="Arial" w:eastAsiaTheme="minorEastAsia" w:hAnsi="Arial" w:cs="Arial"/>
          <w:color w:val="404040"/>
          <w:u w:color="404040"/>
        </w:rPr>
        <w:t xml:space="preserve"> 2014). Although considerable evidence exists demonstrating a role for CAF in OSCC, little is known about their influence tumou</w:t>
      </w:r>
      <w:r w:rsidR="00BA76DC">
        <w:rPr>
          <w:rFonts w:ascii="Arial" w:eastAsiaTheme="minorEastAsia" w:hAnsi="Arial" w:cs="Arial"/>
          <w:color w:val="404040"/>
          <w:u w:color="404040"/>
        </w:rPr>
        <w:t>r: ECM</w:t>
      </w:r>
      <w:r w:rsidRPr="00EB55F5">
        <w:rPr>
          <w:rFonts w:ascii="Arial" w:eastAsiaTheme="minorEastAsia" w:hAnsi="Arial" w:cs="Arial"/>
          <w:color w:val="404040"/>
          <w:u w:color="404040"/>
        </w:rPr>
        <w:t xml:space="preserve"> interactions. These complex interactions are not recapitulated in 2D culture and therefore effort is required to tissue-engineer more complex models of the oral mucosa to study the behaviour of oral cancer cells in response to the CAF desmoplasia observed in OSCC progression. </w:t>
      </w:r>
    </w:p>
    <w:p w14:paraId="4EC4A0A4" w14:textId="77777777" w:rsidR="003703D7" w:rsidRPr="00EB55F5" w:rsidRDefault="003703D7" w:rsidP="003177BC">
      <w:pPr>
        <w:widowControl w:val="0"/>
        <w:autoSpaceDE w:val="0"/>
        <w:autoSpaceDN w:val="0"/>
        <w:adjustRightInd w:val="0"/>
        <w:spacing w:after="0" w:line="360" w:lineRule="auto"/>
        <w:ind w:right="-386"/>
        <w:jc w:val="both"/>
        <w:rPr>
          <w:rFonts w:ascii="Arial" w:eastAsiaTheme="minorEastAsia" w:hAnsi="Arial" w:cs="Arial"/>
          <w:b/>
          <w:bCs/>
          <w:color w:val="404040"/>
          <w:u w:color="404040"/>
          <w:lang w:val="en-US"/>
        </w:rPr>
      </w:pPr>
    </w:p>
    <w:p w14:paraId="6853A431" w14:textId="303987B0" w:rsidR="003703D7" w:rsidRPr="00EB55F5" w:rsidRDefault="003703D7" w:rsidP="003177BC">
      <w:pPr>
        <w:widowControl w:val="0"/>
        <w:autoSpaceDE w:val="0"/>
        <w:autoSpaceDN w:val="0"/>
        <w:adjustRightInd w:val="0"/>
        <w:spacing w:after="0" w:line="360" w:lineRule="auto"/>
        <w:ind w:right="-386"/>
        <w:jc w:val="both"/>
        <w:rPr>
          <w:rFonts w:ascii="Arial" w:eastAsiaTheme="minorEastAsia" w:hAnsi="Arial" w:cs="Arial"/>
          <w:color w:val="404040"/>
          <w:u w:color="404040"/>
        </w:rPr>
      </w:pPr>
      <w:r w:rsidRPr="00EB55F5">
        <w:rPr>
          <w:rFonts w:ascii="Arial" w:eastAsiaTheme="minorEastAsia" w:hAnsi="Arial" w:cs="Arial"/>
          <w:b/>
          <w:bCs/>
          <w:color w:val="404040"/>
          <w:u w:color="404040"/>
          <w:lang w:val="en-US"/>
        </w:rPr>
        <w:t xml:space="preserve">Objective: </w:t>
      </w:r>
      <w:r w:rsidRPr="00EB55F5">
        <w:rPr>
          <w:rFonts w:ascii="Arial" w:eastAsiaTheme="minorEastAsia" w:hAnsi="Arial" w:cs="Arial"/>
          <w:color w:val="404040"/>
          <w:u w:color="404040"/>
        </w:rPr>
        <w:t xml:space="preserve">The aim of this research was to generate novel tissue-engineered 3D constructs using normal oral fibroblast (NOF) and CAF derived ECM, as native scaffolds and utilise these to develop full-thickness oral mucosa models that accurately model tumour: ECM interactions in </w:t>
      </w:r>
      <w:r w:rsidR="00B85763">
        <w:rPr>
          <w:rFonts w:ascii="Arial" w:eastAsiaTheme="minorEastAsia" w:hAnsi="Arial" w:cs="Arial"/>
          <w:color w:val="404040"/>
          <w:u w:color="404040"/>
        </w:rPr>
        <w:t xml:space="preserve">models of </w:t>
      </w:r>
      <w:r w:rsidRPr="00EB55F5">
        <w:rPr>
          <w:rFonts w:ascii="Arial" w:eastAsiaTheme="minorEastAsia" w:hAnsi="Arial" w:cs="Arial"/>
          <w:color w:val="404040"/>
          <w:u w:color="404040"/>
        </w:rPr>
        <w:t>OSCC progression.</w:t>
      </w:r>
    </w:p>
    <w:p w14:paraId="6BCEEC3A" w14:textId="77777777" w:rsidR="003703D7" w:rsidRPr="00EB55F5" w:rsidRDefault="003703D7" w:rsidP="003177BC">
      <w:pPr>
        <w:widowControl w:val="0"/>
        <w:autoSpaceDE w:val="0"/>
        <w:autoSpaceDN w:val="0"/>
        <w:adjustRightInd w:val="0"/>
        <w:spacing w:after="0" w:line="360" w:lineRule="auto"/>
        <w:ind w:right="-386"/>
        <w:jc w:val="both"/>
        <w:rPr>
          <w:rFonts w:ascii="Arial" w:eastAsiaTheme="minorEastAsia" w:hAnsi="Arial" w:cs="Arial"/>
          <w:b/>
          <w:bCs/>
          <w:color w:val="404040"/>
          <w:u w:color="404040"/>
        </w:rPr>
      </w:pPr>
    </w:p>
    <w:p w14:paraId="7C4953A5" w14:textId="3FE67BF6" w:rsidR="003703D7" w:rsidRPr="00EB55F5" w:rsidRDefault="003703D7" w:rsidP="003177BC">
      <w:pPr>
        <w:widowControl w:val="0"/>
        <w:autoSpaceDE w:val="0"/>
        <w:autoSpaceDN w:val="0"/>
        <w:adjustRightInd w:val="0"/>
        <w:spacing w:after="0" w:line="360" w:lineRule="auto"/>
        <w:ind w:right="-386"/>
        <w:jc w:val="both"/>
        <w:rPr>
          <w:rFonts w:ascii="Arial" w:eastAsiaTheme="minorEastAsia" w:hAnsi="Arial" w:cs="Arial"/>
          <w:color w:val="404040"/>
          <w:u w:color="404040"/>
          <w:lang w:val="en-US"/>
        </w:rPr>
      </w:pPr>
      <w:r w:rsidRPr="00EB55F5">
        <w:rPr>
          <w:rFonts w:ascii="Arial" w:eastAsiaTheme="minorEastAsia" w:hAnsi="Arial" w:cs="Arial"/>
          <w:b/>
          <w:bCs/>
          <w:color w:val="404040"/>
          <w:u w:color="404040"/>
          <w:lang w:val="en-US"/>
        </w:rPr>
        <w:t>Methods:</w:t>
      </w:r>
      <w:r w:rsidRPr="00EB55F5">
        <w:rPr>
          <w:rFonts w:ascii="Arial" w:eastAsiaTheme="minorEastAsia" w:hAnsi="Arial" w:cs="Arial"/>
          <w:color w:val="404040"/>
          <w:u w:color="404040"/>
          <w:lang w:val="en-US"/>
        </w:rPr>
        <w:t xml:space="preserve"> </w:t>
      </w:r>
      <w:bookmarkStart w:id="10" w:name="_Hlk496877350"/>
      <w:r w:rsidR="009C48AD">
        <w:rPr>
          <w:rFonts w:ascii="Arial" w:eastAsiaTheme="minorEastAsia" w:hAnsi="Arial" w:cs="Arial"/>
          <w:color w:val="404040"/>
          <w:u w:color="404040"/>
          <w:lang w:val="en-US"/>
        </w:rPr>
        <w:t xml:space="preserve">Responses of </w:t>
      </w:r>
      <w:r w:rsidRPr="00EB55F5">
        <w:rPr>
          <w:rFonts w:ascii="Arial" w:eastAsiaTheme="minorEastAsia" w:hAnsi="Arial" w:cs="Arial"/>
          <w:color w:val="404040"/>
          <w:u w:color="404040"/>
          <w:lang w:val="en-US"/>
        </w:rPr>
        <w:t xml:space="preserve">NOF and CAF </w:t>
      </w:r>
      <w:r w:rsidR="009C48AD">
        <w:rPr>
          <w:rFonts w:ascii="Arial" w:eastAsiaTheme="minorEastAsia" w:hAnsi="Arial" w:cs="Arial"/>
          <w:color w:val="404040"/>
          <w:u w:color="404040"/>
          <w:lang w:val="en-US"/>
        </w:rPr>
        <w:t xml:space="preserve">to </w:t>
      </w:r>
      <w:r w:rsidRPr="00EB55F5">
        <w:rPr>
          <w:rFonts w:ascii="Arial" w:eastAsiaTheme="minorEastAsia" w:hAnsi="Arial" w:cs="Arial"/>
          <w:color w:val="404040"/>
          <w:u w:color="404040"/>
          <w:lang w:val="en-US"/>
        </w:rPr>
        <w:t>TGFβ-1</w:t>
      </w:r>
      <w:r w:rsidR="009639AF">
        <w:rPr>
          <w:rFonts w:ascii="Arial" w:eastAsiaTheme="minorEastAsia" w:hAnsi="Arial" w:cs="Arial"/>
          <w:color w:val="404040"/>
          <w:u w:color="404040"/>
          <w:lang w:val="en-US"/>
        </w:rPr>
        <w:t xml:space="preserve"> were assesse</w:t>
      </w:r>
      <w:r w:rsidR="007B64B9">
        <w:rPr>
          <w:rFonts w:ascii="Arial" w:eastAsiaTheme="minorEastAsia" w:hAnsi="Arial" w:cs="Arial"/>
          <w:color w:val="404040"/>
          <w:u w:color="404040"/>
          <w:lang w:val="en-US"/>
        </w:rPr>
        <w:t>d</w:t>
      </w:r>
      <w:r w:rsidR="009639AF">
        <w:rPr>
          <w:rFonts w:ascii="Arial" w:eastAsiaTheme="minorEastAsia" w:hAnsi="Arial" w:cs="Arial"/>
          <w:color w:val="404040"/>
          <w:u w:color="404040"/>
          <w:lang w:val="en-US"/>
        </w:rPr>
        <w:t xml:space="preserve"> in short</w:t>
      </w:r>
      <w:r w:rsidR="008B288F">
        <w:rPr>
          <w:rFonts w:ascii="Arial" w:eastAsiaTheme="minorEastAsia" w:hAnsi="Arial" w:cs="Arial"/>
          <w:color w:val="404040"/>
          <w:u w:color="404040"/>
          <w:lang w:val="en-US"/>
        </w:rPr>
        <w:t>-</w:t>
      </w:r>
      <w:r w:rsidR="009639AF">
        <w:rPr>
          <w:rFonts w:ascii="Arial" w:eastAsiaTheme="minorEastAsia" w:hAnsi="Arial" w:cs="Arial"/>
          <w:color w:val="404040"/>
          <w:u w:color="404040"/>
          <w:lang w:val="en-US"/>
        </w:rPr>
        <w:t xml:space="preserve"> and long-term cultures using </w:t>
      </w:r>
      <w:r w:rsidRPr="00EB55F5">
        <w:rPr>
          <w:rFonts w:ascii="Arial" w:eastAsiaTheme="minorEastAsia" w:hAnsi="Arial" w:cs="Arial"/>
          <w:color w:val="404040"/>
          <w:u w:color="404040"/>
          <w:lang w:val="en-US"/>
        </w:rPr>
        <w:t>qPCR</w:t>
      </w:r>
      <w:r w:rsidR="009639AF">
        <w:rPr>
          <w:rFonts w:ascii="Arial" w:eastAsiaTheme="minorEastAsia" w:hAnsi="Arial" w:cs="Arial"/>
          <w:color w:val="404040"/>
          <w:u w:color="404040"/>
          <w:lang w:val="en-US"/>
        </w:rPr>
        <w:t>, immunofluorescence</w:t>
      </w:r>
      <w:r w:rsidRPr="00EB55F5">
        <w:rPr>
          <w:rFonts w:ascii="Arial" w:eastAsiaTheme="minorEastAsia" w:hAnsi="Arial" w:cs="Arial"/>
          <w:color w:val="404040"/>
          <w:u w:color="404040"/>
          <w:lang w:val="en-US"/>
        </w:rPr>
        <w:t xml:space="preserve"> and </w:t>
      </w:r>
      <w:r w:rsidR="00B86980">
        <w:rPr>
          <w:rFonts w:ascii="Arial" w:eastAsiaTheme="minorEastAsia" w:hAnsi="Arial" w:cs="Arial"/>
          <w:color w:val="404040"/>
          <w:u w:color="404040"/>
          <w:lang w:val="en-US"/>
        </w:rPr>
        <w:t xml:space="preserve">Western blotting. </w:t>
      </w:r>
      <w:r w:rsidRPr="00EB55F5">
        <w:rPr>
          <w:rFonts w:ascii="Arial" w:eastAsiaTheme="minorEastAsia" w:hAnsi="Arial" w:cs="Arial"/>
          <w:color w:val="404040"/>
          <w:u w:color="404040"/>
          <w:lang w:val="en-US"/>
        </w:rPr>
        <w:t xml:space="preserve">Culture conditions were optimised within a transwell </w:t>
      </w:r>
      <w:r w:rsidR="00BA76DC">
        <w:rPr>
          <w:rFonts w:ascii="Arial" w:eastAsiaTheme="minorEastAsia" w:hAnsi="Arial" w:cs="Arial"/>
          <w:color w:val="404040"/>
          <w:u w:color="404040"/>
          <w:lang w:val="en-US"/>
        </w:rPr>
        <w:t xml:space="preserve">culture </w:t>
      </w:r>
      <w:r w:rsidRPr="00EB55F5">
        <w:rPr>
          <w:rFonts w:ascii="Arial" w:eastAsiaTheme="minorEastAsia" w:hAnsi="Arial" w:cs="Arial"/>
          <w:color w:val="404040"/>
          <w:u w:color="404040"/>
          <w:lang w:val="en-US"/>
        </w:rPr>
        <w:t xml:space="preserve">system to stimulate </w:t>
      </w:r>
      <w:r w:rsidR="00632130">
        <w:rPr>
          <w:rFonts w:ascii="Arial" w:eastAsiaTheme="minorEastAsia" w:hAnsi="Arial" w:cs="Arial"/>
          <w:color w:val="404040"/>
          <w:u w:color="404040"/>
          <w:lang w:val="en-US"/>
        </w:rPr>
        <w:t xml:space="preserve">production of </w:t>
      </w:r>
      <w:r w:rsidRPr="00EB55F5">
        <w:rPr>
          <w:rFonts w:ascii="Arial" w:eastAsiaTheme="minorEastAsia" w:hAnsi="Arial" w:cs="Arial"/>
          <w:color w:val="404040"/>
          <w:u w:color="404040"/>
          <w:lang w:val="en-US"/>
        </w:rPr>
        <w:t xml:space="preserve">native NOF- and CAF-derived ECM deposition. The </w:t>
      </w:r>
      <w:r w:rsidR="00635C6C">
        <w:rPr>
          <w:rFonts w:ascii="Arial" w:eastAsiaTheme="minorEastAsia" w:hAnsi="Arial" w:cs="Arial"/>
          <w:color w:val="404040"/>
          <w:u w:color="404040"/>
          <w:lang w:val="en-US"/>
        </w:rPr>
        <w:t xml:space="preserve">composition and physical properties of the ECM was assessed by histology, Western blotting, </w:t>
      </w:r>
      <w:r w:rsidR="00254BCE" w:rsidRPr="00EB55F5">
        <w:rPr>
          <w:rFonts w:ascii="Arial" w:eastAsiaTheme="minorEastAsia" w:hAnsi="Arial" w:cs="Arial"/>
          <w:color w:val="404040"/>
          <w:u w:color="404040"/>
          <w:lang w:val="en-US"/>
        </w:rPr>
        <w:t>transepithelial electrical resistance (TEER)</w:t>
      </w:r>
      <w:r w:rsidR="00654277">
        <w:rPr>
          <w:rFonts w:ascii="Arial" w:eastAsiaTheme="minorEastAsia" w:hAnsi="Arial" w:cs="Arial"/>
          <w:color w:val="404040"/>
          <w:u w:color="404040"/>
          <w:lang w:val="en-US"/>
        </w:rPr>
        <w:t xml:space="preserve">, </w:t>
      </w:r>
      <w:r w:rsidRPr="00EB55F5">
        <w:rPr>
          <w:rFonts w:ascii="Arial" w:eastAsiaTheme="minorEastAsia" w:hAnsi="Arial" w:cs="Arial"/>
          <w:color w:val="404040"/>
          <w:u w:color="404040"/>
          <w:lang w:val="en-US"/>
        </w:rPr>
        <w:t>scanning electron microscopy</w:t>
      </w:r>
      <w:r w:rsidR="00DE1B4E">
        <w:rPr>
          <w:rFonts w:ascii="Arial" w:eastAsiaTheme="minorEastAsia" w:hAnsi="Arial" w:cs="Arial"/>
          <w:color w:val="404040"/>
          <w:u w:color="404040"/>
          <w:lang w:val="en-US"/>
        </w:rPr>
        <w:t xml:space="preserve"> (SEM)</w:t>
      </w:r>
      <w:r w:rsidRPr="00EB55F5">
        <w:rPr>
          <w:rFonts w:ascii="Arial" w:eastAsiaTheme="minorEastAsia" w:hAnsi="Arial" w:cs="Arial"/>
          <w:color w:val="404040"/>
          <w:u w:color="404040"/>
          <w:lang w:val="en-US"/>
        </w:rPr>
        <w:t xml:space="preserve">, </w:t>
      </w:r>
      <w:r w:rsidR="009712A2">
        <w:rPr>
          <w:rFonts w:ascii="Arial" w:eastAsiaTheme="minorEastAsia" w:hAnsi="Arial" w:cs="Arial"/>
          <w:color w:val="404040"/>
          <w:u w:color="404040"/>
          <w:lang w:val="en-US"/>
        </w:rPr>
        <w:t xml:space="preserve">and </w:t>
      </w:r>
      <w:r w:rsidRPr="00EB55F5">
        <w:rPr>
          <w:rFonts w:ascii="Arial" w:eastAsiaTheme="minorEastAsia" w:hAnsi="Arial" w:cs="Arial"/>
          <w:color w:val="404040"/>
          <w:u w:color="404040"/>
          <w:lang w:val="en-US"/>
        </w:rPr>
        <w:t>metabolism assays</w:t>
      </w:r>
      <w:r w:rsidR="009712A2">
        <w:rPr>
          <w:rFonts w:ascii="Arial" w:eastAsiaTheme="minorEastAsia" w:hAnsi="Arial" w:cs="Arial"/>
          <w:color w:val="404040"/>
          <w:u w:color="404040"/>
          <w:lang w:val="en-US"/>
        </w:rPr>
        <w:t>.</w:t>
      </w:r>
      <w:r w:rsidR="00254BCE">
        <w:rPr>
          <w:rFonts w:ascii="Arial" w:eastAsiaTheme="minorEastAsia" w:hAnsi="Arial" w:cs="Arial"/>
          <w:color w:val="404040"/>
          <w:u w:color="404040"/>
          <w:lang w:val="en-US"/>
        </w:rPr>
        <w:t xml:space="preserve"> </w:t>
      </w:r>
      <w:r w:rsidRPr="00EB55F5">
        <w:rPr>
          <w:rFonts w:ascii="Arial" w:eastAsiaTheme="minorEastAsia" w:hAnsi="Arial" w:cs="Arial"/>
          <w:color w:val="404040"/>
          <w:u w:color="404040"/>
          <w:lang w:val="en-US"/>
        </w:rPr>
        <w:t xml:space="preserve">Collagen width, linearisation and elongation in NOF- and CAF-derived matrices </w:t>
      </w:r>
      <w:r w:rsidR="00DE1B4E">
        <w:rPr>
          <w:rFonts w:ascii="Arial" w:eastAsiaTheme="minorEastAsia" w:hAnsi="Arial" w:cs="Arial"/>
          <w:color w:val="404040"/>
          <w:u w:color="404040"/>
          <w:lang w:val="en-US"/>
        </w:rPr>
        <w:t xml:space="preserve">(DM) </w:t>
      </w:r>
      <w:r w:rsidRPr="00EB55F5">
        <w:rPr>
          <w:rFonts w:ascii="Arial" w:eastAsiaTheme="minorEastAsia" w:hAnsi="Arial" w:cs="Arial"/>
          <w:color w:val="404040"/>
          <w:u w:color="404040"/>
          <w:lang w:val="en-US"/>
        </w:rPr>
        <w:t xml:space="preserve">were also analysed using second harmonic generation microscopy (SHGM).  Mechanical alterations were assessed using </w:t>
      </w:r>
      <w:r w:rsidRPr="00EB55F5">
        <w:rPr>
          <w:rFonts w:ascii="Arial" w:eastAsiaTheme="minorEastAsia" w:hAnsi="Arial" w:cs="Arial"/>
          <w:color w:val="404040"/>
          <w:lang w:val="en-US"/>
        </w:rPr>
        <w:t>atomic force microscopy (AFM).</w:t>
      </w:r>
      <w:r w:rsidRPr="00EB55F5">
        <w:rPr>
          <w:rFonts w:ascii="Arial" w:eastAsiaTheme="minorEastAsia" w:hAnsi="Arial" w:cs="Arial"/>
          <w:color w:val="404040"/>
          <w:u w:color="404040"/>
          <w:lang w:val="en-US"/>
        </w:rPr>
        <w:t xml:space="preserve"> </w:t>
      </w:r>
      <w:r w:rsidR="0044442D">
        <w:rPr>
          <w:rFonts w:ascii="Arial" w:eastAsiaTheme="minorEastAsia" w:hAnsi="Arial" w:cs="Arial"/>
          <w:color w:val="404040"/>
          <w:u w:color="404040"/>
        </w:rPr>
        <w:t xml:space="preserve">The </w:t>
      </w:r>
      <w:r w:rsidR="000766E0">
        <w:rPr>
          <w:rFonts w:ascii="Arial" w:eastAsiaTheme="minorEastAsia" w:hAnsi="Arial" w:cs="Arial"/>
          <w:color w:val="404040"/>
          <w:u w:color="404040"/>
        </w:rPr>
        <w:t xml:space="preserve">adhesion, </w:t>
      </w:r>
      <w:r w:rsidR="0044442D">
        <w:rPr>
          <w:rFonts w:ascii="Arial" w:eastAsiaTheme="minorEastAsia" w:hAnsi="Arial" w:cs="Arial"/>
          <w:color w:val="404040"/>
          <w:u w:color="404040"/>
        </w:rPr>
        <w:t>m</w:t>
      </w:r>
      <w:r w:rsidRPr="00EB55F5">
        <w:rPr>
          <w:rFonts w:ascii="Arial" w:eastAsiaTheme="minorEastAsia" w:hAnsi="Arial" w:cs="Arial"/>
          <w:color w:val="404040"/>
          <w:u w:color="404040"/>
        </w:rPr>
        <w:t>igration and proliferation of cancer cells</w:t>
      </w:r>
      <w:r w:rsidR="0044442D">
        <w:rPr>
          <w:rFonts w:ascii="Arial" w:eastAsiaTheme="minorEastAsia" w:hAnsi="Arial" w:cs="Arial"/>
          <w:color w:val="404040"/>
          <w:u w:color="404040"/>
        </w:rPr>
        <w:t xml:space="preserve"> (H357) were assessed</w:t>
      </w:r>
      <w:r w:rsidR="005328CC">
        <w:rPr>
          <w:rFonts w:ascii="Arial" w:eastAsiaTheme="minorEastAsia" w:hAnsi="Arial" w:cs="Arial"/>
          <w:color w:val="404040"/>
          <w:u w:color="404040"/>
        </w:rPr>
        <w:t xml:space="preserve"> by live-cell imaging microscopy</w:t>
      </w:r>
      <w:r w:rsidR="000766E0">
        <w:rPr>
          <w:rFonts w:ascii="Arial" w:eastAsiaTheme="minorEastAsia" w:hAnsi="Arial" w:cs="Arial"/>
          <w:color w:val="404040"/>
          <w:u w:color="404040"/>
        </w:rPr>
        <w:t>.</w:t>
      </w:r>
      <w:r w:rsidRPr="00EB55F5">
        <w:rPr>
          <w:rFonts w:ascii="Arial" w:eastAsiaTheme="minorEastAsia" w:hAnsi="Arial" w:cs="Arial"/>
          <w:color w:val="404040"/>
          <w:u w:color="404040"/>
        </w:rPr>
        <w:t xml:space="preserve"> </w:t>
      </w:r>
      <w:r w:rsidR="005328CC">
        <w:rPr>
          <w:rFonts w:ascii="Arial" w:eastAsiaTheme="minorEastAsia" w:hAnsi="Arial" w:cs="Arial"/>
          <w:color w:val="404040"/>
          <w:u w:color="404040"/>
        </w:rPr>
        <w:t xml:space="preserve">Stromal-targeting drugs; </w:t>
      </w:r>
      <w:r w:rsidRPr="00EB55F5">
        <w:rPr>
          <w:rFonts w:ascii="Arial" w:eastAsiaTheme="minorEastAsia" w:hAnsi="Arial" w:cs="Arial"/>
          <w:color w:val="404040"/>
          <w:u w:color="404040"/>
        </w:rPr>
        <w:t xml:space="preserve">Scriptaid </w:t>
      </w:r>
      <w:r w:rsidR="00573EE3">
        <w:rPr>
          <w:rFonts w:ascii="Arial" w:eastAsiaTheme="minorEastAsia" w:hAnsi="Arial" w:cs="Arial"/>
          <w:color w:val="404040"/>
          <w:u w:color="404040"/>
        </w:rPr>
        <w:t xml:space="preserve">(HDAC inhibitor) </w:t>
      </w:r>
      <w:r w:rsidRPr="00EB55F5">
        <w:rPr>
          <w:rFonts w:ascii="Arial" w:eastAsiaTheme="minorEastAsia" w:hAnsi="Arial" w:cs="Arial"/>
          <w:color w:val="404040"/>
          <w:u w:color="404040"/>
        </w:rPr>
        <w:t>and Batimastat</w:t>
      </w:r>
      <w:r w:rsidR="00573EE3">
        <w:rPr>
          <w:rFonts w:ascii="Arial" w:eastAsiaTheme="minorEastAsia" w:hAnsi="Arial" w:cs="Arial"/>
          <w:color w:val="404040"/>
          <w:u w:color="404040"/>
        </w:rPr>
        <w:t xml:space="preserve"> (MMP inhibitor) were used to investigate NOF and CAF</w:t>
      </w:r>
      <w:r w:rsidR="001F35C3">
        <w:rPr>
          <w:rFonts w:ascii="Arial" w:eastAsiaTheme="minorEastAsia" w:hAnsi="Arial" w:cs="Arial"/>
          <w:color w:val="404040"/>
          <w:u w:color="404040"/>
        </w:rPr>
        <w:t xml:space="preserve"> responses in 2D and as NOF- and CAF-DM.</w:t>
      </w:r>
      <w:r w:rsidRPr="00EB55F5">
        <w:rPr>
          <w:rFonts w:ascii="Arial" w:eastAsiaTheme="minorEastAsia" w:hAnsi="Arial" w:cs="Arial"/>
          <w:color w:val="404040"/>
          <w:u w:color="404040"/>
        </w:rPr>
        <w:t xml:space="preserve"> </w:t>
      </w:r>
      <w:r w:rsidRPr="00EB55F5">
        <w:rPr>
          <w:rFonts w:ascii="Arial" w:eastAsiaTheme="minorEastAsia" w:hAnsi="Arial" w:cs="Arial"/>
          <w:color w:val="404040"/>
          <w:u w:color="404040"/>
          <w:lang w:val="en-US"/>
        </w:rPr>
        <w:t xml:space="preserve">Full-thickness oral mucosa models were produced by culturing normal (FNB6) or OSCC (H357) cell lines </w:t>
      </w:r>
      <w:bookmarkStart w:id="11" w:name="_Hlk504122011"/>
      <w:r w:rsidRPr="00EB55F5">
        <w:rPr>
          <w:rFonts w:ascii="Arial" w:eastAsiaTheme="minorEastAsia" w:hAnsi="Arial" w:cs="Arial"/>
          <w:color w:val="404040"/>
          <w:u w:color="404040"/>
          <w:lang w:val="en-US"/>
        </w:rPr>
        <w:t>seeded onto 28-day developed fibroblast-derived matrices (FDM</w:t>
      </w:r>
      <w:bookmarkEnd w:id="11"/>
      <w:r w:rsidRPr="00EB55F5">
        <w:rPr>
          <w:rFonts w:ascii="Arial" w:eastAsiaTheme="minorEastAsia" w:hAnsi="Arial" w:cs="Arial"/>
          <w:color w:val="404040"/>
          <w:u w:color="404040"/>
          <w:lang w:val="en-US"/>
        </w:rPr>
        <w:t>).</w:t>
      </w:r>
      <w:bookmarkEnd w:id="10"/>
    </w:p>
    <w:p w14:paraId="241AD468" w14:textId="77777777" w:rsidR="003703D7" w:rsidRPr="00EB55F5" w:rsidRDefault="003703D7" w:rsidP="003177BC">
      <w:pPr>
        <w:widowControl w:val="0"/>
        <w:autoSpaceDE w:val="0"/>
        <w:autoSpaceDN w:val="0"/>
        <w:adjustRightInd w:val="0"/>
        <w:spacing w:after="0" w:line="360" w:lineRule="auto"/>
        <w:ind w:right="-386"/>
        <w:jc w:val="both"/>
        <w:rPr>
          <w:rFonts w:ascii="Arial" w:eastAsiaTheme="minorEastAsia" w:hAnsi="Arial" w:cs="Arial"/>
          <w:color w:val="404040"/>
          <w:u w:color="404040"/>
          <w:lang w:val="en-US"/>
        </w:rPr>
      </w:pPr>
    </w:p>
    <w:p w14:paraId="3453702D" w14:textId="6F0A3B17" w:rsidR="003703D7" w:rsidRPr="0054630B" w:rsidRDefault="003703D7" w:rsidP="003177BC">
      <w:pPr>
        <w:widowControl w:val="0"/>
        <w:autoSpaceDE w:val="0"/>
        <w:autoSpaceDN w:val="0"/>
        <w:adjustRightInd w:val="0"/>
        <w:spacing w:after="0" w:line="360" w:lineRule="auto"/>
        <w:ind w:right="-386"/>
        <w:jc w:val="both"/>
        <w:rPr>
          <w:rFonts w:ascii="Arial" w:hAnsi="Arial" w:cs="Arial"/>
          <w:color w:val="595959" w:themeColor="text1" w:themeTint="A6"/>
        </w:rPr>
      </w:pPr>
      <w:r w:rsidRPr="00A23F81">
        <w:rPr>
          <w:rFonts w:ascii="Arial" w:eastAsiaTheme="minorEastAsia" w:hAnsi="Arial" w:cs="Arial"/>
          <w:b/>
          <w:bCs/>
          <w:color w:val="595959" w:themeColor="text1" w:themeTint="A6"/>
          <w:u w:color="404040"/>
          <w:lang w:val="en-US"/>
        </w:rPr>
        <w:t>Results:</w:t>
      </w:r>
      <w:r w:rsidRPr="00A23F81">
        <w:rPr>
          <w:rFonts w:ascii="Arial" w:eastAsiaTheme="minorEastAsia" w:hAnsi="Arial" w:cs="Arial"/>
          <w:color w:val="595959" w:themeColor="text1" w:themeTint="A6"/>
          <w:u w:color="404040"/>
          <w:lang w:val="en-US"/>
        </w:rPr>
        <w:t xml:space="preserve"> </w:t>
      </w:r>
      <w:r w:rsidR="008D2E69" w:rsidRPr="00A23F81">
        <w:rPr>
          <w:rFonts w:ascii="Arial" w:eastAsiaTheme="minorEastAsia" w:hAnsi="Arial" w:cs="Arial"/>
          <w:color w:val="595959" w:themeColor="text1" w:themeTint="A6"/>
          <w:u w:color="404040"/>
          <w:lang w:val="en-US"/>
        </w:rPr>
        <w:t xml:space="preserve">TGFβ-1 stimulation of </w:t>
      </w:r>
      <w:r w:rsidRPr="00A23F81">
        <w:rPr>
          <w:rFonts w:ascii="Arial" w:eastAsiaTheme="minorEastAsia" w:hAnsi="Arial" w:cs="Arial"/>
          <w:color w:val="595959" w:themeColor="text1" w:themeTint="A6"/>
          <w:u w:color="404040"/>
          <w:lang w:val="en-US"/>
        </w:rPr>
        <w:t xml:space="preserve">NOF and CAF elicited elevated αSMA, FN1-EDA, COL1A1, and VCAN abundance up to 14 days </w:t>
      </w:r>
      <w:r w:rsidRPr="00A23F81">
        <w:rPr>
          <w:rFonts w:ascii="Arial" w:eastAsiaTheme="minorEastAsia" w:hAnsi="Arial" w:cs="Arial"/>
          <w:i/>
          <w:iCs/>
          <w:color w:val="595959" w:themeColor="text1" w:themeTint="A6"/>
          <w:u w:color="404040"/>
          <w:lang w:val="en-US"/>
        </w:rPr>
        <w:t xml:space="preserve">in vitro, </w:t>
      </w:r>
      <w:r w:rsidRPr="00A23F81">
        <w:rPr>
          <w:rFonts w:ascii="Arial" w:eastAsiaTheme="minorEastAsia" w:hAnsi="Arial" w:cs="Arial"/>
          <w:color w:val="595959" w:themeColor="text1" w:themeTint="A6"/>
          <w:u w:color="404040"/>
          <w:lang w:val="en-US"/>
        </w:rPr>
        <w:t>with CAF expression showing superior amplification</w:t>
      </w:r>
      <w:r w:rsidR="008A1C6E" w:rsidRPr="00A23F81">
        <w:rPr>
          <w:rFonts w:ascii="Arial" w:eastAsiaTheme="minorEastAsia" w:hAnsi="Arial" w:cs="Arial"/>
          <w:color w:val="595959" w:themeColor="text1" w:themeTint="A6"/>
          <w:u w:color="404040"/>
          <w:lang w:val="en-US"/>
        </w:rPr>
        <w:t xml:space="preserve"> of transcripts</w:t>
      </w:r>
      <w:r w:rsidRPr="00A23F81">
        <w:rPr>
          <w:rFonts w:ascii="Arial" w:eastAsiaTheme="minorEastAsia" w:hAnsi="Arial" w:cs="Arial"/>
          <w:color w:val="595959" w:themeColor="text1" w:themeTint="A6"/>
          <w:u w:color="404040"/>
          <w:lang w:val="en-US"/>
        </w:rPr>
        <w:t xml:space="preserve"> and </w:t>
      </w:r>
      <w:r w:rsidR="008A1C6E" w:rsidRPr="00A23F81">
        <w:rPr>
          <w:rFonts w:ascii="Arial" w:eastAsiaTheme="minorEastAsia" w:hAnsi="Arial" w:cs="Arial"/>
          <w:color w:val="595959" w:themeColor="text1" w:themeTint="A6"/>
          <w:u w:color="404040"/>
          <w:lang w:val="en-US"/>
        </w:rPr>
        <w:t xml:space="preserve">protein </w:t>
      </w:r>
      <w:r w:rsidRPr="00A23F81">
        <w:rPr>
          <w:rFonts w:ascii="Arial" w:eastAsiaTheme="minorEastAsia" w:hAnsi="Arial" w:cs="Arial"/>
          <w:color w:val="595959" w:themeColor="text1" w:themeTint="A6"/>
          <w:u w:color="404040"/>
          <w:lang w:val="en-US"/>
        </w:rPr>
        <w:t xml:space="preserve">abundance compared to NOF. </w:t>
      </w:r>
      <w:r w:rsidR="008A1C6E" w:rsidRPr="00A23F81">
        <w:rPr>
          <w:rFonts w:ascii="Arial" w:eastAsiaTheme="minorEastAsia" w:hAnsi="Arial" w:cs="Arial"/>
          <w:color w:val="595959" w:themeColor="text1" w:themeTint="A6"/>
          <w:u w:color="404040"/>
          <w:lang w:val="en-US"/>
        </w:rPr>
        <w:t xml:space="preserve">CAF </w:t>
      </w:r>
      <w:r w:rsidR="00D729C9" w:rsidRPr="00A23F81">
        <w:rPr>
          <w:rFonts w:ascii="Arial" w:eastAsiaTheme="minorEastAsia" w:hAnsi="Arial" w:cs="Arial"/>
          <w:color w:val="595959" w:themeColor="text1" w:themeTint="A6"/>
          <w:u w:color="404040"/>
          <w:lang w:val="en-US"/>
        </w:rPr>
        <w:t>constitutively</w:t>
      </w:r>
      <w:r w:rsidR="008A1C6E" w:rsidRPr="00A23F81">
        <w:rPr>
          <w:rFonts w:ascii="Arial" w:eastAsiaTheme="minorEastAsia" w:hAnsi="Arial" w:cs="Arial"/>
          <w:color w:val="595959" w:themeColor="text1" w:themeTint="A6"/>
          <w:u w:color="404040"/>
          <w:lang w:val="en-US"/>
        </w:rPr>
        <w:t xml:space="preserve"> </w:t>
      </w:r>
      <w:r w:rsidR="00D729C9" w:rsidRPr="00A23F81">
        <w:rPr>
          <w:rFonts w:ascii="Arial" w:eastAsiaTheme="minorEastAsia" w:hAnsi="Arial" w:cs="Arial"/>
          <w:color w:val="595959" w:themeColor="text1" w:themeTint="A6"/>
          <w:u w:color="404040"/>
          <w:lang w:val="en-US"/>
        </w:rPr>
        <w:t>expressed αSMA observable</w:t>
      </w:r>
      <w:r w:rsidR="00C375E4" w:rsidRPr="00A23F81">
        <w:rPr>
          <w:rFonts w:ascii="Arial" w:eastAsiaTheme="minorEastAsia" w:hAnsi="Arial" w:cs="Arial"/>
          <w:color w:val="595959" w:themeColor="text1" w:themeTint="A6"/>
          <w:u w:color="404040"/>
          <w:lang w:val="en-US"/>
        </w:rPr>
        <w:t xml:space="preserve"> for at least </w:t>
      </w:r>
      <w:r w:rsidRPr="00A23F81">
        <w:rPr>
          <w:rFonts w:ascii="Arial" w:eastAsiaTheme="minorEastAsia" w:hAnsi="Arial" w:cs="Arial"/>
          <w:color w:val="595959" w:themeColor="text1" w:themeTint="A6"/>
          <w:u w:color="404040"/>
          <w:lang w:val="en-US"/>
        </w:rPr>
        <w:t xml:space="preserve">7 days </w:t>
      </w:r>
      <w:r w:rsidRPr="00A23F81">
        <w:rPr>
          <w:rFonts w:ascii="Arial" w:eastAsiaTheme="minorEastAsia" w:hAnsi="Arial" w:cs="Arial"/>
          <w:i/>
          <w:iCs/>
          <w:color w:val="595959" w:themeColor="text1" w:themeTint="A6"/>
          <w:u w:color="404040"/>
          <w:lang w:val="en-US"/>
        </w:rPr>
        <w:t xml:space="preserve">in vitro. </w:t>
      </w:r>
      <w:r w:rsidRPr="00A23F81">
        <w:rPr>
          <w:rFonts w:ascii="Arial" w:eastAsiaTheme="minorEastAsia" w:hAnsi="Arial" w:cs="Arial"/>
          <w:color w:val="595959" w:themeColor="text1" w:themeTint="A6"/>
          <w:u w:color="404040"/>
          <w:lang w:val="en-US"/>
        </w:rPr>
        <w:t xml:space="preserve">Optimisation of conditions supported the long-term deposition of ECM by NOF and CAF over a 28-day culture period. NOF generated an organised matrix with a thickness of </w:t>
      </w:r>
      <w:r w:rsidR="0054630B" w:rsidRPr="0054630B">
        <w:rPr>
          <w:rFonts w:ascii="Arial" w:hAnsi="Arial" w:cs="Arial"/>
          <w:color w:val="595959" w:themeColor="text1" w:themeTint="A6"/>
        </w:rPr>
        <w:t>109 ± 24.08 µm</w:t>
      </w:r>
      <w:r w:rsidR="0054630B">
        <w:rPr>
          <w:rFonts w:ascii="Arial" w:hAnsi="Arial" w:cs="Arial"/>
          <w:color w:val="595959" w:themeColor="text1" w:themeTint="A6"/>
        </w:rPr>
        <w:t xml:space="preserve"> </w:t>
      </w:r>
      <w:r w:rsidRPr="00A23F81">
        <w:rPr>
          <w:rFonts w:ascii="Arial" w:eastAsiaTheme="minorEastAsia" w:hAnsi="Arial" w:cs="Arial"/>
          <w:color w:val="595959" w:themeColor="text1" w:themeTint="A6"/>
          <w:u w:color="404040"/>
          <w:lang w:val="en-US"/>
        </w:rPr>
        <w:t>compared to CAF which produced a significantly thicker (</w:t>
      </w:r>
      <w:r w:rsidR="0054630B" w:rsidRPr="0054630B">
        <w:rPr>
          <w:rFonts w:ascii="Arial" w:hAnsi="Arial" w:cs="Arial"/>
          <w:color w:val="595959" w:themeColor="text1" w:themeTint="A6"/>
        </w:rPr>
        <w:t>370 ± 13.44 µm</w:t>
      </w:r>
      <w:r w:rsidR="0054630B" w:rsidRPr="00A23F81">
        <w:rPr>
          <w:rFonts w:ascii="Arial" w:eastAsiaTheme="minorEastAsia" w:hAnsi="Arial" w:cs="Arial"/>
          <w:color w:val="595959" w:themeColor="text1" w:themeTint="A6"/>
          <w:u w:color="404040"/>
          <w:lang w:val="en-US"/>
        </w:rPr>
        <w:t xml:space="preserve"> </w:t>
      </w:r>
      <w:r w:rsidRPr="00A23F81">
        <w:rPr>
          <w:rFonts w:ascii="Arial" w:eastAsiaTheme="minorEastAsia" w:hAnsi="Arial" w:cs="Arial"/>
          <w:color w:val="595959" w:themeColor="text1" w:themeTint="A6"/>
          <w:u w:color="404040"/>
          <w:lang w:val="en-US"/>
        </w:rPr>
        <w:t xml:space="preserve">350 µm) highly irregular matrix (p &lt;0.05). Immunoblotting for αSMA, FN1-EDA, VCAN, COL1A1, </w:t>
      </w:r>
      <w:r w:rsidR="00963C6B">
        <w:rPr>
          <w:rFonts w:ascii="Arial" w:eastAsiaTheme="minorEastAsia" w:hAnsi="Arial" w:cs="Arial"/>
          <w:color w:val="595959" w:themeColor="text1" w:themeTint="A6"/>
          <w:u w:color="404040"/>
          <w:lang w:val="en-US"/>
        </w:rPr>
        <w:t xml:space="preserve">and </w:t>
      </w:r>
      <w:r w:rsidRPr="00A23F81">
        <w:rPr>
          <w:rFonts w:ascii="Arial" w:eastAsiaTheme="minorEastAsia" w:hAnsi="Arial" w:cs="Arial"/>
          <w:color w:val="595959" w:themeColor="text1" w:themeTint="A6"/>
          <w:u w:color="404040"/>
          <w:lang w:val="en-US"/>
        </w:rPr>
        <w:t>LAM</w:t>
      </w:r>
      <w:r w:rsidR="00963C6B">
        <w:rPr>
          <w:rFonts w:ascii="Arial" w:eastAsiaTheme="minorEastAsia" w:hAnsi="Arial" w:cs="Arial"/>
          <w:color w:val="595959" w:themeColor="text1" w:themeTint="A6"/>
          <w:u w:color="404040"/>
          <w:lang w:val="en-US"/>
        </w:rPr>
        <w:t>B</w:t>
      </w:r>
      <w:r w:rsidR="00032C21">
        <w:rPr>
          <w:rFonts w:ascii="Arial" w:eastAsiaTheme="minorEastAsia" w:hAnsi="Arial" w:cs="Arial"/>
          <w:color w:val="595959" w:themeColor="text1" w:themeTint="A6"/>
          <w:u w:color="404040"/>
          <w:lang w:val="en-US"/>
        </w:rPr>
        <w:t>-γ5</w:t>
      </w:r>
      <w:r w:rsidRPr="00A23F81">
        <w:rPr>
          <w:rFonts w:ascii="Arial" w:eastAsiaTheme="minorEastAsia" w:hAnsi="Arial" w:cs="Arial"/>
          <w:color w:val="595959" w:themeColor="text1" w:themeTint="A6"/>
          <w:u w:color="404040"/>
          <w:lang w:val="en-US"/>
        </w:rPr>
        <w:t xml:space="preserve"> </w:t>
      </w:r>
      <w:r w:rsidR="00F523BB">
        <w:rPr>
          <w:rFonts w:ascii="Arial" w:eastAsiaTheme="minorEastAsia" w:hAnsi="Arial" w:cs="Arial"/>
          <w:color w:val="595959" w:themeColor="text1" w:themeTint="A6"/>
          <w:u w:color="404040"/>
          <w:lang w:val="en-US"/>
        </w:rPr>
        <w:t xml:space="preserve">was </w:t>
      </w:r>
      <w:r w:rsidRPr="00A23F81">
        <w:rPr>
          <w:rFonts w:ascii="Arial" w:eastAsiaTheme="minorEastAsia" w:hAnsi="Arial" w:cs="Arial"/>
          <w:color w:val="595959" w:themeColor="text1" w:themeTint="A6"/>
          <w:u w:color="404040"/>
          <w:lang w:val="en-US"/>
        </w:rPr>
        <w:t>significant</w:t>
      </w:r>
      <w:r w:rsidR="00F523BB">
        <w:rPr>
          <w:rFonts w:ascii="Arial" w:eastAsiaTheme="minorEastAsia" w:hAnsi="Arial" w:cs="Arial"/>
          <w:color w:val="595959" w:themeColor="text1" w:themeTint="A6"/>
          <w:u w:color="404040"/>
          <w:lang w:val="en-US"/>
        </w:rPr>
        <w:t>ly</w:t>
      </w:r>
      <w:r w:rsidRPr="00A23F81">
        <w:rPr>
          <w:rFonts w:ascii="Arial" w:eastAsiaTheme="minorEastAsia" w:hAnsi="Arial" w:cs="Arial"/>
          <w:color w:val="595959" w:themeColor="text1" w:themeTint="A6"/>
          <w:u w:color="404040"/>
          <w:lang w:val="en-US"/>
        </w:rPr>
        <w:t xml:space="preserve"> increase</w:t>
      </w:r>
      <w:r w:rsidR="00290574">
        <w:rPr>
          <w:rFonts w:ascii="Arial" w:eastAsiaTheme="minorEastAsia" w:hAnsi="Arial" w:cs="Arial"/>
          <w:color w:val="595959" w:themeColor="text1" w:themeTint="A6"/>
          <w:u w:color="404040"/>
          <w:lang w:val="en-US"/>
        </w:rPr>
        <w:t>d</w:t>
      </w:r>
      <w:r w:rsidRPr="00A23F81">
        <w:rPr>
          <w:rFonts w:ascii="Arial" w:eastAsiaTheme="minorEastAsia" w:hAnsi="Arial" w:cs="Arial"/>
          <w:color w:val="595959" w:themeColor="text1" w:themeTint="A6"/>
          <w:u w:color="404040"/>
          <w:lang w:val="en-US"/>
        </w:rPr>
        <w:t xml:space="preserve"> in CAF-DM compared to NOF-DM (p &lt;0.001).  </w:t>
      </w:r>
      <w:r w:rsidR="000206CA">
        <w:rPr>
          <w:rFonts w:ascii="Arial" w:eastAsiaTheme="minorEastAsia" w:hAnsi="Arial" w:cs="Arial"/>
          <w:color w:val="595959" w:themeColor="text1" w:themeTint="A6"/>
          <w:u w:color="404040"/>
          <w:lang w:val="en-US"/>
        </w:rPr>
        <w:t>The p</w:t>
      </w:r>
      <w:r w:rsidR="00203C39">
        <w:rPr>
          <w:rFonts w:ascii="Arial" w:eastAsiaTheme="minorEastAsia" w:hAnsi="Arial" w:cs="Arial"/>
          <w:color w:val="595959" w:themeColor="text1" w:themeTint="A6"/>
          <w:u w:color="404040"/>
          <w:lang w:val="en-US"/>
        </w:rPr>
        <w:t>hysical features</w:t>
      </w:r>
      <w:r w:rsidR="000206CA">
        <w:rPr>
          <w:rFonts w:ascii="Arial" w:eastAsiaTheme="minorEastAsia" w:hAnsi="Arial" w:cs="Arial"/>
          <w:color w:val="595959" w:themeColor="text1" w:themeTint="A6"/>
          <w:u w:color="404040"/>
          <w:lang w:val="en-US"/>
        </w:rPr>
        <w:t xml:space="preserve"> of the ECM</w:t>
      </w:r>
      <w:r w:rsidR="0084313A">
        <w:rPr>
          <w:rFonts w:ascii="Arial" w:eastAsiaTheme="minorEastAsia" w:hAnsi="Arial" w:cs="Arial"/>
          <w:color w:val="595959" w:themeColor="text1" w:themeTint="A6"/>
          <w:u w:color="404040"/>
          <w:lang w:val="en-US"/>
        </w:rPr>
        <w:t xml:space="preserve">, </w:t>
      </w:r>
      <w:r w:rsidR="00DA078E">
        <w:rPr>
          <w:rFonts w:ascii="Arial" w:eastAsiaTheme="minorEastAsia" w:hAnsi="Arial" w:cs="Arial"/>
          <w:color w:val="595959" w:themeColor="text1" w:themeTint="A6"/>
          <w:u w:color="404040"/>
          <w:lang w:val="en-US"/>
        </w:rPr>
        <w:t>assessed by SHGM, show</w:t>
      </w:r>
      <w:r w:rsidR="00EB132B">
        <w:rPr>
          <w:rFonts w:ascii="Arial" w:eastAsiaTheme="minorEastAsia" w:hAnsi="Arial" w:cs="Arial"/>
          <w:color w:val="595959" w:themeColor="text1" w:themeTint="A6"/>
          <w:u w:color="404040"/>
          <w:lang w:val="en-US"/>
        </w:rPr>
        <w:t>ed</w:t>
      </w:r>
      <w:r w:rsidR="00DA078E">
        <w:rPr>
          <w:rFonts w:ascii="Arial" w:eastAsiaTheme="minorEastAsia" w:hAnsi="Arial" w:cs="Arial"/>
          <w:color w:val="595959" w:themeColor="text1" w:themeTint="A6"/>
          <w:u w:color="404040"/>
          <w:lang w:val="en-US"/>
        </w:rPr>
        <w:t xml:space="preserve"> significant increases in collagen</w:t>
      </w:r>
      <w:r w:rsidRPr="00A23F81">
        <w:rPr>
          <w:rFonts w:ascii="Arial" w:eastAsiaTheme="minorEastAsia" w:hAnsi="Arial" w:cs="Arial"/>
          <w:color w:val="595959" w:themeColor="text1" w:themeTint="A6"/>
          <w:u w:color="404040"/>
          <w:lang w:val="en-US"/>
        </w:rPr>
        <w:t xml:space="preserve"> width, length, and linearisation in CAF-DM compared to NOF-DM</w:t>
      </w:r>
      <w:r w:rsidR="00BE1D04">
        <w:rPr>
          <w:rFonts w:ascii="Arial" w:eastAsiaTheme="minorEastAsia" w:hAnsi="Arial" w:cs="Arial"/>
          <w:color w:val="595959" w:themeColor="text1" w:themeTint="A6"/>
          <w:u w:color="404040"/>
          <w:lang w:val="en-US"/>
        </w:rPr>
        <w:t xml:space="preserve"> </w:t>
      </w:r>
      <w:r w:rsidR="004C2C90">
        <w:rPr>
          <w:rFonts w:ascii="Arial" w:eastAsiaTheme="minorEastAsia" w:hAnsi="Arial" w:cs="Arial"/>
          <w:color w:val="595959" w:themeColor="text1" w:themeTint="A6"/>
          <w:u w:color="404040"/>
          <w:lang w:val="en-US"/>
        </w:rPr>
        <w:t>(</w:t>
      </w:r>
      <w:r w:rsidRPr="00A23F81">
        <w:rPr>
          <w:rFonts w:ascii="Arial" w:eastAsiaTheme="minorEastAsia" w:hAnsi="Arial" w:cs="Arial"/>
          <w:color w:val="595959" w:themeColor="text1" w:themeTint="A6"/>
          <w:u w:color="404040"/>
          <w:lang w:val="en-US"/>
        </w:rPr>
        <w:t>p &lt;0.01</w:t>
      </w:r>
      <w:r w:rsidR="004C2C90">
        <w:rPr>
          <w:rFonts w:ascii="Arial" w:eastAsiaTheme="minorEastAsia" w:hAnsi="Arial" w:cs="Arial"/>
          <w:color w:val="595959" w:themeColor="text1" w:themeTint="A6"/>
          <w:u w:color="404040"/>
          <w:lang w:val="en-US"/>
        </w:rPr>
        <w:t>)</w:t>
      </w:r>
      <w:r w:rsidRPr="00A23F81">
        <w:rPr>
          <w:rFonts w:ascii="Arial" w:eastAsiaTheme="minorEastAsia" w:hAnsi="Arial" w:cs="Arial"/>
          <w:color w:val="595959" w:themeColor="text1" w:themeTint="A6"/>
          <w:u w:color="404040"/>
          <w:lang w:val="en-US"/>
        </w:rPr>
        <w:t xml:space="preserve">. </w:t>
      </w:r>
      <w:r w:rsidR="00A5702D">
        <w:rPr>
          <w:rFonts w:ascii="Arial" w:eastAsiaTheme="minorEastAsia" w:hAnsi="Arial" w:cs="Arial"/>
          <w:color w:val="595959" w:themeColor="text1" w:themeTint="A6"/>
          <w:u w:color="404040"/>
          <w:lang w:val="en-US"/>
        </w:rPr>
        <w:t>H357 cancer cell</w:t>
      </w:r>
      <w:r w:rsidR="002023D1">
        <w:rPr>
          <w:rFonts w:ascii="Arial" w:eastAsiaTheme="minorEastAsia" w:hAnsi="Arial" w:cs="Arial"/>
          <w:color w:val="595959" w:themeColor="text1" w:themeTint="A6"/>
          <w:u w:color="404040"/>
          <w:lang w:val="en-US"/>
        </w:rPr>
        <w:t>s</w:t>
      </w:r>
      <w:r w:rsidR="00D56008">
        <w:rPr>
          <w:rFonts w:ascii="Arial" w:eastAsiaTheme="minorEastAsia" w:hAnsi="Arial" w:cs="Arial"/>
          <w:color w:val="595959" w:themeColor="text1" w:themeTint="A6"/>
          <w:u w:color="404040"/>
          <w:lang w:val="en-US"/>
        </w:rPr>
        <w:t xml:space="preserve">, </w:t>
      </w:r>
      <w:r w:rsidR="00EB132B">
        <w:rPr>
          <w:rFonts w:ascii="Arial" w:eastAsiaTheme="minorEastAsia" w:hAnsi="Arial" w:cs="Arial"/>
          <w:color w:val="595959" w:themeColor="text1" w:themeTint="A6"/>
          <w:u w:color="404040"/>
          <w:lang w:val="en-US"/>
        </w:rPr>
        <w:t>exhibited</w:t>
      </w:r>
      <w:r w:rsidR="00D56008">
        <w:rPr>
          <w:rFonts w:ascii="Arial" w:eastAsiaTheme="minorEastAsia" w:hAnsi="Arial" w:cs="Arial"/>
          <w:color w:val="595959" w:themeColor="text1" w:themeTint="A6"/>
          <w:u w:color="404040"/>
          <w:lang w:val="en-US"/>
        </w:rPr>
        <w:t xml:space="preserve"> elevated migration, proliferation and</w:t>
      </w:r>
      <w:r w:rsidR="00575A5B">
        <w:rPr>
          <w:rFonts w:ascii="Arial" w:eastAsiaTheme="minorEastAsia" w:hAnsi="Arial" w:cs="Arial"/>
          <w:color w:val="595959" w:themeColor="text1" w:themeTint="A6"/>
          <w:u w:color="404040"/>
          <w:lang w:val="en-US"/>
        </w:rPr>
        <w:t xml:space="preserve"> reduced adhesion on CAF-DM compared to NOF-DM.</w:t>
      </w:r>
      <w:r w:rsidR="00A5702D">
        <w:rPr>
          <w:rFonts w:ascii="Arial" w:eastAsiaTheme="minorEastAsia" w:hAnsi="Arial" w:cs="Arial"/>
          <w:color w:val="595959" w:themeColor="text1" w:themeTint="A6"/>
          <w:u w:color="404040"/>
          <w:lang w:val="en-US"/>
        </w:rPr>
        <w:t xml:space="preserve"> </w:t>
      </w:r>
      <w:r w:rsidR="0075148D">
        <w:rPr>
          <w:rFonts w:ascii="Arial" w:eastAsiaTheme="minorEastAsia" w:hAnsi="Arial" w:cs="Arial"/>
          <w:color w:val="595959" w:themeColor="text1" w:themeTint="A6"/>
          <w:u w:color="404040"/>
          <w:lang w:val="en-US"/>
        </w:rPr>
        <w:t>The suitability of</w:t>
      </w:r>
      <w:r w:rsidR="00031721">
        <w:rPr>
          <w:rFonts w:ascii="Arial" w:eastAsiaTheme="minorEastAsia" w:hAnsi="Arial" w:cs="Arial"/>
          <w:color w:val="595959" w:themeColor="text1" w:themeTint="A6"/>
          <w:u w:color="404040"/>
          <w:lang w:val="en-US"/>
        </w:rPr>
        <w:t xml:space="preserve"> </w:t>
      </w:r>
      <w:r w:rsidR="006A4362">
        <w:rPr>
          <w:rFonts w:ascii="Arial" w:eastAsiaTheme="minorEastAsia" w:hAnsi="Arial" w:cs="Arial"/>
          <w:color w:val="595959" w:themeColor="text1" w:themeTint="A6"/>
          <w:u w:color="404040"/>
          <w:lang w:val="en-US"/>
        </w:rPr>
        <w:t xml:space="preserve">fibroblast-derived matrices (FDM) </w:t>
      </w:r>
      <w:r w:rsidR="001C0465">
        <w:rPr>
          <w:rFonts w:ascii="Arial" w:eastAsiaTheme="minorEastAsia" w:hAnsi="Arial" w:cs="Arial"/>
          <w:color w:val="595959" w:themeColor="text1" w:themeTint="A6"/>
          <w:u w:color="404040"/>
          <w:lang w:val="en-US"/>
        </w:rPr>
        <w:t>was</w:t>
      </w:r>
      <w:r w:rsidR="006A4362">
        <w:rPr>
          <w:rFonts w:ascii="Arial" w:eastAsiaTheme="minorEastAsia" w:hAnsi="Arial" w:cs="Arial"/>
          <w:color w:val="595959" w:themeColor="text1" w:themeTint="A6"/>
          <w:u w:color="404040"/>
          <w:lang w:val="en-US"/>
        </w:rPr>
        <w:t xml:space="preserve"> assess</w:t>
      </w:r>
      <w:r w:rsidR="001C0465">
        <w:rPr>
          <w:rFonts w:ascii="Arial" w:eastAsiaTheme="minorEastAsia" w:hAnsi="Arial" w:cs="Arial"/>
          <w:color w:val="595959" w:themeColor="text1" w:themeTint="A6"/>
          <w:u w:color="404040"/>
          <w:lang w:val="en-US"/>
        </w:rPr>
        <w:t>ed</w:t>
      </w:r>
      <w:r w:rsidR="006A4362">
        <w:rPr>
          <w:rFonts w:ascii="Arial" w:eastAsiaTheme="minorEastAsia" w:hAnsi="Arial" w:cs="Arial"/>
          <w:color w:val="595959" w:themeColor="text1" w:themeTint="A6"/>
          <w:u w:color="404040"/>
          <w:lang w:val="en-US"/>
        </w:rPr>
        <w:t xml:space="preserve"> </w:t>
      </w:r>
      <w:r w:rsidR="009530A6">
        <w:rPr>
          <w:rFonts w:ascii="Arial" w:eastAsiaTheme="minorEastAsia" w:hAnsi="Arial" w:cs="Arial"/>
          <w:color w:val="595959" w:themeColor="text1" w:themeTint="A6"/>
          <w:u w:color="404040"/>
          <w:lang w:val="en-US"/>
        </w:rPr>
        <w:t xml:space="preserve">to test </w:t>
      </w:r>
      <w:r w:rsidR="001C0465">
        <w:rPr>
          <w:rFonts w:ascii="Arial" w:eastAsiaTheme="minorEastAsia" w:hAnsi="Arial" w:cs="Arial"/>
          <w:color w:val="595959" w:themeColor="text1" w:themeTint="A6"/>
          <w:u w:color="404040"/>
          <w:lang w:val="en-US"/>
        </w:rPr>
        <w:t xml:space="preserve">the </w:t>
      </w:r>
      <w:r w:rsidR="006A4362">
        <w:rPr>
          <w:rFonts w:ascii="Arial" w:eastAsiaTheme="minorEastAsia" w:hAnsi="Arial" w:cs="Arial"/>
          <w:color w:val="595959" w:themeColor="text1" w:themeTint="A6"/>
          <w:u w:color="404040"/>
          <w:lang w:val="en-US"/>
        </w:rPr>
        <w:t xml:space="preserve">effects </w:t>
      </w:r>
      <w:r w:rsidR="0075148D">
        <w:rPr>
          <w:rFonts w:ascii="Arial" w:eastAsiaTheme="minorEastAsia" w:hAnsi="Arial" w:cs="Arial"/>
          <w:color w:val="595959" w:themeColor="text1" w:themeTint="A6"/>
          <w:u w:color="404040"/>
          <w:lang w:val="en-US"/>
        </w:rPr>
        <w:t>of s</w:t>
      </w:r>
      <w:r w:rsidR="004B2130">
        <w:rPr>
          <w:rFonts w:ascii="Arial" w:eastAsiaTheme="minorEastAsia" w:hAnsi="Arial" w:cs="Arial"/>
          <w:color w:val="595959" w:themeColor="text1" w:themeTint="A6"/>
          <w:u w:color="404040"/>
          <w:lang w:val="en-US"/>
        </w:rPr>
        <w:t>tromal-</w:t>
      </w:r>
      <w:r w:rsidR="006D5EF8">
        <w:rPr>
          <w:rFonts w:ascii="Arial" w:eastAsiaTheme="minorEastAsia" w:hAnsi="Arial" w:cs="Arial"/>
          <w:color w:val="595959" w:themeColor="text1" w:themeTint="A6"/>
          <w:u w:color="404040"/>
          <w:lang w:val="en-US"/>
        </w:rPr>
        <w:t>targeting</w:t>
      </w:r>
      <w:r w:rsidR="004B2130">
        <w:rPr>
          <w:rFonts w:ascii="Arial" w:eastAsiaTheme="minorEastAsia" w:hAnsi="Arial" w:cs="Arial"/>
          <w:color w:val="595959" w:themeColor="text1" w:themeTint="A6"/>
          <w:u w:color="404040"/>
          <w:lang w:val="en-US"/>
        </w:rPr>
        <w:t xml:space="preserve"> </w:t>
      </w:r>
      <w:r w:rsidR="009530A6">
        <w:rPr>
          <w:rFonts w:ascii="Arial" w:eastAsiaTheme="minorEastAsia" w:hAnsi="Arial" w:cs="Arial"/>
          <w:color w:val="595959" w:themeColor="text1" w:themeTint="A6"/>
          <w:u w:color="404040"/>
          <w:lang w:val="en-US"/>
        </w:rPr>
        <w:t>drugs and</w:t>
      </w:r>
      <w:r w:rsidR="00792F76">
        <w:rPr>
          <w:rFonts w:ascii="Arial" w:eastAsiaTheme="minorEastAsia" w:hAnsi="Arial" w:cs="Arial"/>
          <w:color w:val="595959" w:themeColor="text1" w:themeTint="A6"/>
          <w:u w:color="404040"/>
          <w:lang w:val="en-US"/>
        </w:rPr>
        <w:t xml:space="preserve"> </w:t>
      </w:r>
      <w:r w:rsidR="004344C8">
        <w:rPr>
          <w:rFonts w:ascii="Arial" w:eastAsiaTheme="minorEastAsia" w:hAnsi="Arial" w:cs="Arial"/>
          <w:color w:val="595959" w:themeColor="text1" w:themeTint="A6"/>
          <w:u w:color="404040"/>
          <w:lang w:val="en-US"/>
        </w:rPr>
        <w:t>validated</w:t>
      </w:r>
      <w:r w:rsidR="0083779F">
        <w:rPr>
          <w:rFonts w:ascii="Arial" w:eastAsiaTheme="minorEastAsia" w:hAnsi="Arial" w:cs="Arial"/>
          <w:color w:val="595959" w:themeColor="text1" w:themeTint="A6"/>
          <w:u w:color="404040"/>
          <w:lang w:val="en-US"/>
        </w:rPr>
        <w:t xml:space="preserve"> their use as</w:t>
      </w:r>
      <w:r w:rsidR="00EB4C85">
        <w:rPr>
          <w:rFonts w:ascii="Arial" w:eastAsiaTheme="minorEastAsia" w:hAnsi="Arial" w:cs="Arial"/>
          <w:color w:val="595959" w:themeColor="text1" w:themeTint="A6"/>
          <w:u w:color="404040"/>
          <w:lang w:val="en-US"/>
        </w:rPr>
        <w:t xml:space="preserve"> </w:t>
      </w:r>
      <w:r w:rsidR="0083779F">
        <w:rPr>
          <w:rFonts w:ascii="Arial" w:eastAsiaTheme="minorEastAsia" w:hAnsi="Arial" w:cs="Arial"/>
          <w:color w:val="595959" w:themeColor="text1" w:themeTint="A6"/>
          <w:u w:color="404040"/>
          <w:lang w:val="en-US"/>
        </w:rPr>
        <w:t xml:space="preserve">model systems to </w:t>
      </w:r>
      <w:r w:rsidR="00E14744">
        <w:rPr>
          <w:rFonts w:ascii="Arial" w:eastAsiaTheme="minorEastAsia" w:hAnsi="Arial" w:cs="Arial"/>
          <w:color w:val="595959" w:themeColor="text1" w:themeTint="A6"/>
          <w:u w:color="404040"/>
          <w:lang w:val="en-US"/>
        </w:rPr>
        <w:t>further assess</w:t>
      </w:r>
      <w:r w:rsidR="0083779F">
        <w:rPr>
          <w:rFonts w:ascii="Arial" w:eastAsiaTheme="minorEastAsia" w:hAnsi="Arial" w:cs="Arial"/>
          <w:color w:val="595959" w:themeColor="text1" w:themeTint="A6"/>
          <w:u w:color="404040"/>
          <w:lang w:val="en-US"/>
        </w:rPr>
        <w:t xml:space="preserve"> </w:t>
      </w:r>
      <w:r w:rsidR="006D5EF8">
        <w:rPr>
          <w:rFonts w:ascii="Arial" w:eastAsiaTheme="minorEastAsia" w:hAnsi="Arial" w:cs="Arial"/>
          <w:color w:val="595959" w:themeColor="text1" w:themeTint="A6"/>
          <w:u w:color="404040"/>
          <w:lang w:val="en-US"/>
        </w:rPr>
        <w:t>CAF/ECM modifications</w:t>
      </w:r>
      <w:r w:rsidR="00792F76">
        <w:rPr>
          <w:rFonts w:ascii="Arial" w:eastAsiaTheme="minorEastAsia" w:hAnsi="Arial" w:cs="Arial"/>
          <w:color w:val="595959" w:themeColor="text1" w:themeTint="A6"/>
          <w:u w:color="404040"/>
          <w:lang w:val="en-US"/>
        </w:rPr>
        <w:t xml:space="preserve">. </w:t>
      </w:r>
      <w:r w:rsidRPr="00A23F81">
        <w:rPr>
          <w:rFonts w:ascii="Arial" w:eastAsiaTheme="minorEastAsia" w:hAnsi="Arial" w:cs="Arial"/>
          <w:color w:val="595959" w:themeColor="text1" w:themeTint="A6"/>
          <w:u w:color="404040"/>
          <w:lang w:val="en-US"/>
        </w:rPr>
        <w:t xml:space="preserve">Full-thickness oral mucosa equivalents were generated by culturing FNB6 and H357 cells seeded onto the 28-day developed FDM, resulting in models histologically resembling normal and cancerous tissue </w:t>
      </w:r>
      <w:r w:rsidRPr="00A23F81">
        <w:rPr>
          <w:rFonts w:ascii="Arial" w:eastAsiaTheme="minorEastAsia" w:hAnsi="Arial" w:cs="Arial"/>
          <w:i/>
          <w:color w:val="595959" w:themeColor="text1" w:themeTint="A6"/>
          <w:u w:color="404040"/>
          <w:lang w:val="en-US"/>
        </w:rPr>
        <w:t xml:space="preserve">ex vivo </w:t>
      </w:r>
      <w:r w:rsidRPr="00A23F81">
        <w:rPr>
          <w:rFonts w:ascii="Arial" w:eastAsiaTheme="minorEastAsia" w:hAnsi="Arial" w:cs="Arial"/>
          <w:iCs/>
          <w:color w:val="595959" w:themeColor="text1" w:themeTint="A6"/>
          <w:u w:color="404040"/>
          <w:lang w:val="en-US"/>
        </w:rPr>
        <w:t xml:space="preserve">and are the first of their kind all human-cell derived oral mucosa equivalent models, supported by native ECM substrates. </w:t>
      </w:r>
      <w:r w:rsidRPr="00A23F81">
        <w:rPr>
          <w:rFonts w:ascii="Arial" w:eastAsiaTheme="minorEastAsia" w:hAnsi="Arial" w:cs="Arial"/>
          <w:color w:val="595959" w:themeColor="text1" w:themeTint="A6"/>
          <w:u w:color="404040"/>
          <w:lang w:val="en-US"/>
        </w:rPr>
        <w:t>Immunohistochemical analysis</w:t>
      </w:r>
      <w:r w:rsidR="00F40FAA">
        <w:rPr>
          <w:rFonts w:ascii="Arial" w:eastAsiaTheme="minorEastAsia" w:hAnsi="Arial" w:cs="Arial"/>
          <w:color w:val="595959" w:themeColor="text1" w:themeTint="A6"/>
          <w:u w:color="404040"/>
          <w:lang w:val="en-US"/>
        </w:rPr>
        <w:t xml:space="preserve"> </w:t>
      </w:r>
      <w:r w:rsidRPr="00A23F81">
        <w:rPr>
          <w:rFonts w:ascii="Arial" w:eastAsiaTheme="minorEastAsia" w:hAnsi="Arial" w:cs="Arial"/>
          <w:color w:val="595959" w:themeColor="text1" w:themeTint="A6"/>
          <w:u w:color="404040"/>
          <w:lang w:val="en-US"/>
        </w:rPr>
        <w:t xml:space="preserve">revealed differential expression of various ECM components; evidence </w:t>
      </w:r>
      <w:r w:rsidRPr="00A23F81">
        <w:rPr>
          <w:rFonts w:ascii="Arial" w:eastAsiaTheme="minorEastAsia" w:hAnsi="Arial" w:cs="Arial"/>
          <w:color w:val="595959" w:themeColor="text1" w:themeTint="A6"/>
          <w:lang w:val="en-US"/>
        </w:rPr>
        <w:t>of altered matrix proteomics during disease progression in OSCC</w:t>
      </w:r>
      <w:r w:rsidR="0010779C">
        <w:rPr>
          <w:rFonts w:ascii="Arial" w:eastAsiaTheme="minorEastAsia" w:hAnsi="Arial" w:cs="Arial"/>
          <w:color w:val="595959" w:themeColor="text1" w:themeTint="A6"/>
          <w:lang w:val="en-US"/>
        </w:rPr>
        <w:t>.</w:t>
      </w:r>
      <w:r w:rsidR="002F7485">
        <w:rPr>
          <w:rFonts w:ascii="Arial" w:eastAsiaTheme="minorEastAsia" w:hAnsi="Arial" w:cs="Arial"/>
          <w:color w:val="595959" w:themeColor="text1" w:themeTint="A6"/>
          <w:lang w:val="en-US"/>
        </w:rPr>
        <w:t xml:space="preserve"> </w:t>
      </w:r>
    </w:p>
    <w:p w14:paraId="4A27CB23" w14:textId="77777777" w:rsidR="003177BC" w:rsidRPr="00A23F81" w:rsidRDefault="003177BC" w:rsidP="003177BC">
      <w:pPr>
        <w:widowControl w:val="0"/>
        <w:autoSpaceDE w:val="0"/>
        <w:autoSpaceDN w:val="0"/>
        <w:adjustRightInd w:val="0"/>
        <w:spacing w:after="0" w:line="360" w:lineRule="auto"/>
        <w:ind w:right="-386"/>
        <w:jc w:val="both"/>
        <w:rPr>
          <w:rFonts w:ascii="Arial" w:eastAsiaTheme="minorEastAsia" w:hAnsi="Arial" w:cs="Arial"/>
          <w:color w:val="595959" w:themeColor="text1" w:themeTint="A6"/>
          <w:u w:color="404040"/>
          <w:lang w:val="en-US"/>
        </w:rPr>
      </w:pPr>
    </w:p>
    <w:p w14:paraId="00033263" w14:textId="148457EE" w:rsidR="003703D7" w:rsidRPr="00A23F81" w:rsidRDefault="00E27746" w:rsidP="003177BC">
      <w:pPr>
        <w:widowControl w:val="0"/>
        <w:autoSpaceDE w:val="0"/>
        <w:autoSpaceDN w:val="0"/>
        <w:adjustRightInd w:val="0"/>
        <w:spacing w:after="0" w:line="360" w:lineRule="auto"/>
        <w:ind w:right="-386"/>
        <w:jc w:val="both"/>
        <w:rPr>
          <w:rFonts w:ascii="Arial" w:eastAsiaTheme="minorEastAsia" w:hAnsi="Arial" w:cs="Arial"/>
          <w:color w:val="595959" w:themeColor="text1" w:themeTint="A6"/>
          <w:u w:color="404040"/>
          <w:lang w:val="en-US"/>
        </w:rPr>
      </w:pPr>
      <w:r w:rsidRPr="003177BC">
        <w:rPr>
          <w:rFonts w:ascii="Arial" w:eastAsiaTheme="minorEastAsia" w:hAnsi="Arial" w:cs="Arial"/>
          <w:b/>
          <w:bCs/>
          <w:color w:val="595959" w:themeColor="text1" w:themeTint="A6"/>
          <w:u w:color="404040"/>
          <w:lang w:val="en-US"/>
        </w:rPr>
        <w:t>Conclusion</w:t>
      </w:r>
      <w:r>
        <w:rPr>
          <w:rFonts w:ascii="Arial" w:eastAsiaTheme="minorEastAsia" w:hAnsi="Arial" w:cs="Arial"/>
          <w:color w:val="595959" w:themeColor="text1" w:themeTint="A6"/>
          <w:u w:color="404040"/>
          <w:lang w:val="en-US"/>
        </w:rPr>
        <w:t xml:space="preserve">: Using tissue-engineering techniques it is possible to model fibroblast-mediated ECM deposition providing a novel, </w:t>
      </w:r>
      <w:r w:rsidR="008103C5">
        <w:rPr>
          <w:rFonts w:ascii="Arial" w:eastAsiaTheme="minorEastAsia" w:hAnsi="Arial" w:cs="Arial"/>
          <w:color w:val="595959" w:themeColor="text1" w:themeTint="A6"/>
          <w:u w:color="404040"/>
          <w:lang w:val="en-US"/>
        </w:rPr>
        <w:t>physiologically relevant</w:t>
      </w:r>
      <w:r>
        <w:rPr>
          <w:rFonts w:ascii="Arial" w:eastAsiaTheme="minorEastAsia" w:hAnsi="Arial" w:cs="Arial"/>
          <w:color w:val="595959" w:themeColor="text1" w:themeTint="A6"/>
          <w:u w:color="404040"/>
          <w:lang w:val="en-US"/>
        </w:rPr>
        <w:t xml:space="preserve"> </w:t>
      </w:r>
      <w:r w:rsidRPr="008103C5">
        <w:rPr>
          <w:rFonts w:ascii="Arial" w:eastAsiaTheme="minorEastAsia" w:hAnsi="Arial" w:cs="Arial"/>
          <w:i/>
          <w:iCs/>
          <w:color w:val="595959" w:themeColor="text1" w:themeTint="A6"/>
          <w:u w:color="404040"/>
          <w:lang w:val="en-US"/>
        </w:rPr>
        <w:t>in vitro</w:t>
      </w:r>
      <w:r>
        <w:rPr>
          <w:rFonts w:ascii="Arial" w:eastAsiaTheme="minorEastAsia" w:hAnsi="Arial" w:cs="Arial"/>
          <w:color w:val="595959" w:themeColor="text1" w:themeTint="A6"/>
          <w:u w:color="404040"/>
          <w:lang w:val="en-US"/>
        </w:rPr>
        <w:t xml:space="preserve"> tool to study </w:t>
      </w:r>
      <w:r w:rsidR="001760F9">
        <w:rPr>
          <w:rFonts w:ascii="Arial" w:eastAsiaTheme="minorEastAsia" w:hAnsi="Arial" w:cs="Arial"/>
          <w:color w:val="595959" w:themeColor="text1" w:themeTint="A6"/>
          <w:u w:color="404040"/>
          <w:lang w:val="en-US"/>
        </w:rPr>
        <w:t xml:space="preserve">tumour: </w:t>
      </w:r>
      <w:r w:rsidR="003177BC">
        <w:rPr>
          <w:rFonts w:ascii="Arial" w:eastAsiaTheme="minorEastAsia" w:hAnsi="Arial" w:cs="Arial"/>
          <w:color w:val="595959" w:themeColor="text1" w:themeTint="A6"/>
          <w:u w:color="404040"/>
          <w:lang w:val="en-US"/>
        </w:rPr>
        <w:t>ECM interactions in OSCC</w:t>
      </w:r>
      <w:r w:rsidR="0043158A">
        <w:rPr>
          <w:rFonts w:ascii="Arial" w:eastAsiaTheme="minorEastAsia" w:hAnsi="Arial" w:cs="Arial"/>
          <w:color w:val="595959" w:themeColor="text1" w:themeTint="A6"/>
          <w:u w:color="404040"/>
          <w:lang w:val="en-US"/>
        </w:rPr>
        <w:t xml:space="preserve">. </w:t>
      </w:r>
    </w:p>
    <w:p w14:paraId="4662CCC0" w14:textId="42FEE564" w:rsidR="009310BF" w:rsidRDefault="009310BF" w:rsidP="009310BF">
      <w:pPr>
        <w:pStyle w:val="Title"/>
        <w:outlineLvl w:val="0"/>
        <w:rPr>
          <w:color w:val="4472C4" w:themeColor="accent1"/>
          <w:lang w:val="en-US"/>
        </w:rPr>
      </w:pPr>
    </w:p>
    <w:p w14:paraId="47B30BBD" w14:textId="3AD62668" w:rsidR="00046663" w:rsidRDefault="00046663" w:rsidP="00046663">
      <w:pPr>
        <w:rPr>
          <w:lang w:val="en-US"/>
        </w:rPr>
      </w:pPr>
    </w:p>
    <w:p w14:paraId="448C27F7" w14:textId="4FE613CF" w:rsidR="00046663" w:rsidRDefault="00046663" w:rsidP="00046663">
      <w:pPr>
        <w:rPr>
          <w:lang w:val="en-US"/>
        </w:rPr>
      </w:pPr>
    </w:p>
    <w:p w14:paraId="4892C750" w14:textId="41F51D1B" w:rsidR="00046663" w:rsidRDefault="00046663" w:rsidP="00046663">
      <w:pPr>
        <w:rPr>
          <w:lang w:val="en-US"/>
        </w:rPr>
      </w:pPr>
    </w:p>
    <w:p w14:paraId="736A74DD" w14:textId="56123D3E" w:rsidR="00046663" w:rsidRDefault="00046663" w:rsidP="00046663">
      <w:pPr>
        <w:rPr>
          <w:lang w:val="en-US"/>
        </w:rPr>
      </w:pPr>
    </w:p>
    <w:p w14:paraId="14C45036" w14:textId="4A45F58B" w:rsidR="00046663" w:rsidRDefault="00046663" w:rsidP="00046663">
      <w:pPr>
        <w:rPr>
          <w:lang w:val="en-US"/>
        </w:rPr>
      </w:pPr>
    </w:p>
    <w:p w14:paraId="78E9ABBC" w14:textId="376E4E1F" w:rsidR="00046663" w:rsidRDefault="00046663" w:rsidP="00046663">
      <w:pPr>
        <w:rPr>
          <w:lang w:val="en-US"/>
        </w:rPr>
      </w:pPr>
    </w:p>
    <w:p w14:paraId="1DB7DACC" w14:textId="31518E4A" w:rsidR="00046663" w:rsidRDefault="00046663" w:rsidP="00046663">
      <w:pPr>
        <w:rPr>
          <w:lang w:val="en-US"/>
        </w:rPr>
      </w:pPr>
    </w:p>
    <w:p w14:paraId="20CC7FFB" w14:textId="60568484" w:rsidR="00046663" w:rsidRDefault="00046663" w:rsidP="00046663">
      <w:pPr>
        <w:rPr>
          <w:lang w:val="en-US"/>
        </w:rPr>
      </w:pPr>
    </w:p>
    <w:p w14:paraId="7226AEF7" w14:textId="77777777" w:rsidR="00046663" w:rsidRPr="00046663" w:rsidRDefault="00046663" w:rsidP="00046663">
      <w:pPr>
        <w:rPr>
          <w:lang w:val="en-US"/>
        </w:rPr>
      </w:pPr>
    </w:p>
    <w:p w14:paraId="11EA406C" w14:textId="77777777" w:rsidR="009310BF" w:rsidRDefault="009310BF" w:rsidP="009310BF">
      <w:pPr>
        <w:pStyle w:val="Title"/>
        <w:outlineLvl w:val="0"/>
        <w:rPr>
          <w:color w:val="4472C4" w:themeColor="accent1"/>
          <w:lang w:val="en-US"/>
        </w:rPr>
      </w:pPr>
    </w:p>
    <w:p w14:paraId="032D1176" w14:textId="77777777" w:rsidR="009310BF" w:rsidRDefault="009310BF" w:rsidP="009310BF">
      <w:pPr>
        <w:pStyle w:val="Title"/>
        <w:outlineLvl w:val="0"/>
        <w:rPr>
          <w:color w:val="4472C4" w:themeColor="accent1"/>
          <w:lang w:val="en-US"/>
        </w:rPr>
      </w:pPr>
    </w:p>
    <w:p w14:paraId="6B626BD9" w14:textId="77777777" w:rsidR="009310BF" w:rsidRDefault="009310BF" w:rsidP="009310BF">
      <w:pPr>
        <w:pStyle w:val="Title"/>
        <w:outlineLvl w:val="0"/>
        <w:rPr>
          <w:color w:val="4472C4" w:themeColor="accent1"/>
          <w:lang w:val="en-US"/>
        </w:rPr>
      </w:pPr>
    </w:p>
    <w:p w14:paraId="22F8ABBD" w14:textId="38E1261C" w:rsidR="0054039C" w:rsidRDefault="0054039C" w:rsidP="0054039C">
      <w:pPr>
        <w:rPr>
          <w:lang w:val="en-US"/>
        </w:rPr>
      </w:pPr>
    </w:p>
    <w:p w14:paraId="307FDFB5" w14:textId="34B5ECEF" w:rsidR="0054039C" w:rsidRDefault="0054039C" w:rsidP="0054039C">
      <w:pPr>
        <w:rPr>
          <w:lang w:val="en-US"/>
        </w:rPr>
      </w:pPr>
    </w:p>
    <w:p w14:paraId="424F5FEB" w14:textId="7A1FA511" w:rsidR="0054039C" w:rsidRDefault="0054039C" w:rsidP="0054039C">
      <w:pPr>
        <w:rPr>
          <w:lang w:val="en-US"/>
        </w:rPr>
      </w:pPr>
    </w:p>
    <w:p w14:paraId="2B0C7031" w14:textId="3AA67A97" w:rsidR="0054039C" w:rsidRDefault="0054039C" w:rsidP="0054039C">
      <w:pPr>
        <w:rPr>
          <w:lang w:val="en-US"/>
        </w:rPr>
      </w:pPr>
    </w:p>
    <w:p w14:paraId="1FB9CD4C" w14:textId="3605994D" w:rsidR="005678B6" w:rsidRDefault="005678B6" w:rsidP="0054039C">
      <w:pPr>
        <w:rPr>
          <w:lang w:val="en-US"/>
        </w:rPr>
      </w:pPr>
    </w:p>
    <w:p w14:paraId="0FD6FDC3" w14:textId="597D27D3" w:rsidR="005678B6" w:rsidRDefault="005678B6" w:rsidP="0054039C">
      <w:pPr>
        <w:rPr>
          <w:lang w:val="en-US"/>
        </w:rPr>
      </w:pPr>
    </w:p>
    <w:p w14:paraId="316DAB49" w14:textId="77777777" w:rsidR="00276ED9" w:rsidRDefault="00276ED9" w:rsidP="0054039C">
      <w:pPr>
        <w:rPr>
          <w:lang w:val="en-US"/>
        </w:rPr>
      </w:pPr>
    </w:p>
    <w:p w14:paraId="7CFF7FB9" w14:textId="77777777" w:rsidR="00220314" w:rsidRPr="00220314" w:rsidRDefault="009310BF" w:rsidP="000B58CD">
      <w:pPr>
        <w:pStyle w:val="Title"/>
        <w:jc w:val="center"/>
        <w:outlineLvl w:val="0"/>
        <w:rPr>
          <w:color w:val="4472C4" w:themeColor="accent1"/>
          <w:sz w:val="72"/>
          <w:szCs w:val="72"/>
        </w:rPr>
      </w:pPr>
      <w:bookmarkStart w:id="12" w:name="_Toc34208238"/>
      <w:r w:rsidRPr="00220314">
        <w:rPr>
          <w:color w:val="4472C4" w:themeColor="accent1"/>
          <w:sz w:val="72"/>
          <w:szCs w:val="72"/>
        </w:rPr>
        <w:t>Chapter 1</w:t>
      </w:r>
      <w:bookmarkEnd w:id="12"/>
    </w:p>
    <w:p w14:paraId="71F1EE39" w14:textId="12188205" w:rsidR="009310BF" w:rsidRDefault="0054039C" w:rsidP="000B58CD">
      <w:pPr>
        <w:pStyle w:val="Title"/>
        <w:jc w:val="center"/>
        <w:outlineLvl w:val="0"/>
        <w:rPr>
          <w:color w:val="4472C4" w:themeColor="accent1"/>
          <w:sz w:val="72"/>
          <w:szCs w:val="72"/>
        </w:rPr>
      </w:pPr>
      <w:bookmarkStart w:id="13" w:name="_Toc34208239"/>
      <w:r w:rsidRPr="00220314">
        <w:rPr>
          <w:color w:val="4472C4" w:themeColor="accent1"/>
          <w:sz w:val="72"/>
          <w:szCs w:val="72"/>
        </w:rPr>
        <w:t>Introduction</w:t>
      </w:r>
      <w:bookmarkEnd w:id="13"/>
    </w:p>
    <w:p w14:paraId="5140AAD2" w14:textId="38E60C30" w:rsidR="00220314" w:rsidRDefault="00220314" w:rsidP="00220314"/>
    <w:p w14:paraId="6C6E555E" w14:textId="5FCDDF5F" w:rsidR="00220314" w:rsidRDefault="00220314" w:rsidP="00220314"/>
    <w:p w14:paraId="77FF32D3" w14:textId="144DB766" w:rsidR="00220314" w:rsidRDefault="00220314" w:rsidP="00220314"/>
    <w:p w14:paraId="04818984" w14:textId="78854F09" w:rsidR="00220314" w:rsidRDefault="00220314" w:rsidP="00220314"/>
    <w:p w14:paraId="2D36146A" w14:textId="0EBA0200" w:rsidR="00220314" w:rsidRDefault="00220314" w:rsidP="00220314"/>
    <w:p w14:paraId="10EB6529" w14:textId="3194A159" w:rsidR="00220314" w:rsidRDefault="00220314" w:rsidP="00220314"/>
    <w:p w14:paraId="2DFEA9CD" w14:textId="6A4AE455" w:rsidR="00220314" w:rsidRDefault="00220314" w:rsidP="00220314"/>
    <w:p w14:paraId="56268804" w14:textId="1F3CD3F4" w:rsidR="00220314" w:rsidRDefault="00220314" w:rsidP="00220314"/>
    <w:p w14:paraId="7B9BEA97" w14:textId="2783907A" w:rsidR="00220314" w:rsidRDefault="00220314" w:rsidP="00220314"/>
    <w:p w14:paraId="7D4A6844" w14:textId="2A8EF1A4" w:rsidR="00220314" w:rsidRDefault="00220314" w:rsidP="00220314"/>
    <w:p w14:paraId="48D8DAA6" w14:textId="4248E361" w:rsidR="00220314" w:rsidRDefault="00220314" w:rsidP="00220314"/>
    <w:p w14:paraId="0147C840" w14:textId="12C46E7F" w:rsidR="00220314" w:rsidRDefault="00220314" w:rsidP="00220314"/>
    <w:p w14:paraId="14CFB3CA" w14:textId="7F3101F4" w:rsidR="00E4564F" w:rsidRDefault="00E4564F" w:rsidP="00220314"/>
    <w:p w14:paraId="1624E8FA" w14:textId="77777777" w:rsidR="00E4564F" w:rsidRDefault="00E4564F" w:rsidP="00220314"/>
    <w:p w14:paraId="64C4914F" w14:textId="77777777" w:rsidR="00CA1EE8" w:rsidRDefault="00CA1EE8" w:rsidP="00CA1EE8"/>
    <w:p w14:paraId="0C70A838" w14:textId="28BA2A1C" w:rsidR="003A4CE0" w:rsidRDefault="00246FDB" w:rsidP="005758B2">
      <w:pPr>
        <w:pStyle w:val="Heading2"/>
        <w:rPr>
          <w:rFonts w:ascii="Arial" w:hAnsi="Arial" w:cs="Arial"/>
          <w:color w:val="595959" w:themeColor="text1" w:themeTint="A6"/>
          <w:sz w:val="24"/>
          <w:szCs w:val="24"/>
        </w:rPr>
      </w:pPr>
      <w:bookmarkStart w:id="14" w:name="_Toc34208240"/>
      <w:r>
        <w:rPr>
          <w:rFonts w:ascii="Arial" w:hAnsi="Arial" w:cs="Arial"/>
          <w:color w:val="595959" w:themeColor="text1" w:themeTint="A6"/>
          <w:sz w:val="24"/>
          <w:szCs w:val="24"/>
        </w:rPr>
        <w:lastRenderedPageBreak/>
        <w:t xml:space="preserve">1.1 </w:t>
      </w:r>
      <w:r w:rsidR="007A51F3">
        <w:rPr>
          <w:rFonts w:ascii="Arial" w:hAnsi="Arial" w:cs="Arial"/>
          <w:color w:val="595959" w:themeColor="text1" w:themeTint="A6"/>
          <w:sz w:val="24"/>
          <w:szCs w:val="24"/>
        </w:rPr>
        <w:t>The c</w:t>
      </w:r>
      <w:r w:rsidR="003A4CE0" w:rsidRPr="004A3264">
        <w:rPr>
          <w:rFonts w:ascii="Arial" w:hAnsi="Arial" w:cs="Arial"/>
          <w:color w:val="595959" w:themeColor="text1" w:themeTint="A6"/>
          <w:sz w:val="24"/>
          <w:szCs w:val="24"/>
        </w:rPr>
        <w:t>linical</w:t>
      </w:r>
      <w:r w:rsidR="008841E2" w:rsidRPr="004A3264">
        <w:rPr>
          <w:rFonts w:ascii="Arial" w:hAnsi="Arial" w:cs="Arial"/>
          <w:color w:val="595959" w:themeColor="text1" w:themeTint="A6"/>
          <w:sz w:val="24"/>
          <w:szCs w:val="24"/>
        </w:rPr>
        <w:t xml:space="preserve"> challenge; </w:t>
      </w:r>
      <w:r w:rsidR="0008202A">
        <w:rPr>
          <w:rFonts w:ascii="Arial" w:hAnsi="Arial" w:cs="Arial"/>
          <w:color w:val="595959" w:themeColor="text1" w:themeTint="A6"/>
          <w:sz w:val="24"/>
          <w:szCs w:val="24"/>
        </w:rPr>
        <w:t>o</w:t>
      </w:r>
      <w:r w:rsidR="008841E2" w:rsidRPr="004A3264">
        <w:rPr>
          <w:rFonts w:ascii="Arial" w:hAnsi="Arial" w:cs="Arial"/>
          <w:color w:val="595959" w:themeColor="text1" w:themeTint="A6"/>
          <w:sz w:val="24"/>
          <w:szCs w:val="24"/>
        </w:rPr>
        <w:t xml:space="preserve">ral </w:t>
      </w:r>
      <w:r w:rsidR="0008202A">
        <w:rPr>
          <w:rFonts w:ascii="Arial" w:hAnsi="Arial" w:cs="Arial"/>
          <w:color w:val="595959" w:themeColor="text1" w:themeTint="A6"/>
          <w:sz w:val="24"/>
          <w:szCs w:val="24"/>
        </w:rPr>
        <w:t>c</w:t>
      </w:r>
      <w:r w:rsidR="008841E2" w:rsidRPr="004A3264">
        <w:rPr>
          <w:rFonts w:ascii="Arial" w:hAnsi="Arial" w:cs="Arial"/>
          <w:color w:val="595959" w:themeColor="text1" w:themeTint="A6"/>
          <w:sz w:val="24"/>
          <w:szCs w:val="24"/>
        </w:rPr>
        <w:t>ancer</w:t>
      </w:r>
      <w:bookmarkEnd w:id="14"/>
    </w:p>
    <w:p w14:paraId="77B27FF1" w14:textId="77777777" w:rsidR="00330E5F" w:rsidRDefault="00330E5F" w:rsidP="00330E5F">
      <w:pPr>
        <w:spacing w:line="480" w:lineRule="auto"/>
        <w:jc w:val="both"/>
      </w:pPr>
    </w:p>
    <w:p w14:paraId="58F21CAC" w14:textId="107806E2" w:rsidR="00CA1EE8" w:rsidRPr="007325CD" w:rsidRDefault="008841E2" w:rsidP="00581E5C">
      <w:pPr>
        <w:spacing w:line="480" w:lineRule="auto"/>
        <w:jc w:val="both"/>
        <w:rPr>
          <w:rFonts w:ascii="Arial" w:hAnsi="Arial" w:cs="Arial"/>
          <w:color w:val="595959" w:themeColor="text1" w:themeTint="A6"/>
        </w:rPr>
      </w:pPr>
      <w:r w:rsidRPr="007325CD">
        <w:rPr>
          <w:rFonts w:ascii="Arial" w:hAnsi="Arial" w:cs="Arial"/>
          <w:color w:val="595959" w:themeColor="text1" w:themeTint="A6"/>
        </w:rPr>
        <w:t xml:space="preserve">Oral cancer is an epithelial malignancy which </w:t>
      </w:r>
      <w:r w:rsidR="007A51F3">
        <w:rPr>
          <w:rFonts w:ascii="Arial" w:hAnsi="Arial" w:cs="Arial"/>
          <w:color w:val="595959" w:themeColor="text1" w:themeTint="A6"/>
        </w:rPr>
        <w:t xml:space="preserve">encompasses </w:t>
      </w:r>
      <w:r w:rsidR="00330E5F">
        <w:rPr>
          <w:rFonts w:ascii="Arial" w:hAnsi="Arial" w:cs="Arial"/>
          <w:color w:val="595959" w:themeColor="text1" w:themeTint="A6"/>
        </w:rPr>
        <w:t xml:space="preserve">cancer of </w:t>
      </w:r>
      <w:r w:rsidRPr="007325CD">
        <w:rPr>
          <w:rFonts w:ascii="Arial" w:hAnsi="Arial" w:cs="Arial"/>
          <w:color w:val="595959" w:themeColor="text1" w:themeTint="A6"/>
        </w:rPr>
        <w:t xml:space="preserve">numerous </w:t>
      </w:r>
      <w:r w:rsidR="00330E5F">
        <w:rPr>
          <w:rFonts w:ascii="Arial" w:hAnsi="Arial" w:cs="Arial"/>
          <w:color w:val="595959" w:themeColor="text1" w:themeTint="A6"/>
        </w:rPr>
        <w:t>anatomical sub-sites</w:t>
      </w:r>
      <w:r w:rsidRPr="007325CD">
        <w:rPr>
          <w:rFonts w:ascii="Arial" w:hAnsi="Arial" w:cs="Arial"/>
          <w:color w:val="595959" w:themeColor="text1" w:themeTint="A6"/>
        </w:rPr>
        <w:t xml:space="preserve"> </w:t>
      </w:r>
      <w:r w:rsidR="007A51F3">
        <w:rPr>
          <w:rFonts w:ascii="Arial" w:hAnsi="Arial" w:cs="Arial"/>
          <w:color w:val="595959" w:themeColor="text1" w:themeTint="A6"/>
        </w:rPr>
        <w:t>including</w:t>
      </w:r>
      <w:r w:rsidR="00330E5F">
        <w:rPr>
          <w:rFonts w:ascii="Arial" w:hAnsi="Arial" w:cs="Arial"/>
          <w:color w:val="595959" w:themeColor="text1" w:themeTint="A6"/>
        </w:rPr>
        <w:t xml:space="preserve"> </w:t>
      </w:r>
      <w:r w:rsidR="00330E5F" w:rsidRPr="00330E5F">
        <w:rPr>
          <w:rFonts w:ascii="Arial" w:hAnsi="Arial" w:cs="Arial"/>
          <w:color w:val="595959" w:themeColor="text1" w:themeTint="A6"/>
        </w:rPr>
        <w:t>lip, oral tongue, floor of mouth, buccal mucosa, upper and lower g</w:t>
      </w:r>
      <w:r w:rsidR="0026494E">
        <w:rPr>
          <w:rFonts w:ascii="Arial" w:hAnsi="Arial" w:cs="Arial"/>
          <w:color w:val="595959" w:themeColor="text1" w:themeTint="A6"/>
        </w:rPr>
        <w:t>ingivae</w:t>
      </w:r>
      <w:r w:rsidR="00330E5F" w:rsidRPr="00330E5F">
        <w:rPr>
          <w:rFonts w:ascii="Arial" w:hAnsi="Arial" w:cs="Arial"/>
          <w:color w:val="595959" w:themeColor="text1" w:themeTint="A6"/>
        </w:rPr>
        <w:t xml:space="preserve">, retromolar trigone and hard palate </w:t>
      </w:r>
      <w:r w:rsidR="00330E5F">
        <w:rPr>
          <w:rFonts w:ascii="Arial" w:hAnsi="Arial" w:cs="Arial"/>
          <w:color w:val="595959" w:themeColor="text1" w:themeTint="A6"/>
        </w:rPr>
        <w:t>(Montenero and Patel, 2015</w:t>
      </w:r>
      <w:r w:rsidRPr="007325CD">
        <w:rPr>
          <w:rFonts w:ascii="Arial" w:hAnsi="Arial" w:cs="Arial"/>
          <w:color w:val="595959" w:themeColor="text1" w:themeTint="A6"/>
        </w:rPr>
        <w:t xml:space="preserve">). The majority of oral cancers (over 90%) are </w:t>
      </w:r>
      <w:r w:rsidR="007A51F3">
        <w:rPr>
          <w:rFonts w:ascii="Arial" w:hAnsi="Arial" w:cs="Arial"/>
          <w:color w:val="595959" w:themeColor="text1" w:themeTint="A6"/>
        </w:rPr>
        <w:t xml:space="preserve">classified as </w:t>
      </w:r>
      <w:r w:rsidRPr="007325CD">
        <w:rPr>
          <w:rFonts w:ascii="Arial" w:hAnsi="Arial" w:cs="Arial"/>
          <w:color w:val="595959" w:themeColor="text1" w:themeTint="A6"/>
        </w:rPr>
        <w:t>oral squamous cell carcinomas (OSCC) (Cancer</w:t>
      </w:r>
      <w:r w:rsidR="000611FF" w:rsidRPr="007325CD">
        <w:rPr>
          <w:rFonts w:ascii="Arial" w:hAnsi="Arial" w:cs="Arial"/>
          <w:color w:val="595959" w:themeColor="text1" w:themeTint="A6"/>
        </w:rPr>
        <w:t xml:space="preserve"> </w:t>
      </w:r>
      <w:r w:rsidRPr="007325CD">
        <w:rPr>
          <w:rFonts w:ascii="Arial" w:hAnsi="Arial" w:cs="Arial"/>
          <w:color w:val="595959" w:themeColor="text1" w:themeTint="A6"/>
        </w:rPr>
        <w:t>Research</w:t>
      </w:r>
      <w:r w:rsidR="008D6921" w:rsidRPr="007325CD">
        <w:rPr>
          <w:rFonts w:ascii="Arial" w:hAnsi="Arial" w:cs="Arial"/>
          <w:color w:val="595959" w:themeColor="text1" w:themeTint="A6"/>
        </w:rPr>
        <w:t>, UK</w:t>
      </w:r>
      <w:r w:rsidR="0008202A">
        <w:rPr>
          <w:rFonts w:ascii="Arial" w:hAnsi="Arial" w:cs="Arial"/>
          <w:color w:val="595959" w:themeColor="text1" w:themeTint="A6"/>
        </w:rPr>
        <w:t>,</w:t>
      </w:r>
      <w:r w:rsidR="008D6921" w:rsidRPr="007325CD">
        <w:rPr>
          <w:rFonts w:ascii="Arial" w:hAnsi="Arial" w:cs="Arial"/>
          <w:color w:val="595959" w:themeColor="text1" w:themeTint="A6"/>
        </w:rPr>
        <w:t xml:space="preserve"> 2011</w:t>
      </w:r>
      <w:r w:rsidRPr="007325CD">
        <w:rPr>
          <w:rFonts w:ascii="Arial" w:hAnsi="Arial" w:cs="Arial"/>
          <w:color w:val="595959" w:themeColor="text1" w:themeTint="A6"/>
        </w:rPr>
        <w:t xml:space="preserve">), predominantly </w:t>
      </w:r>
      <w:r w:rsidR="008D6921" w:rsidRPr="007325CD">
        <w:rPr>
          <w:rFonts w:ascii="Arial" w:hAnsi="Arial" w:cs="Arial"/>
          <w:color w:val="595959" w:themeColor="text1" w:themeTint="A6"/>
        </w:rPr>
        <w:t>instigated</w:t>
      </w:r>
      <w:r w:rsidRPr="007325CD">
        <w:rPr>
          <w:rFonts w:ascii="Arial" w:hAnsi="Arial" w:cs="Arial"/>
          <w:color w:val="595959" w:themeColor="text1" w:themeTint="A6"/>
        </w:rPr>
        <w:t xml:space="preserve"> by epithelial exposure</w:t>
      </w:r>
      <w:r w:rsidR="008D6921" w:rsidRPr="007325CD">
        <w:rPr>
          <w:rFonts w:ascii="Arial" w:hAnsi="Arial" w:cs="Arial"/>
          <w:color w:val="595959" w:themeColor="text1" w:themeTint="A6"/>
        </w:rPr>
        <w:t xml:space="preserve"> to alcohol and tobacco (Zygogianni</w:t>
      </w:r>
      <w:r w:rsidRPr="007325CD">
        <w:rPr>
          <w:rFonts w:ascii="Arial" w:hAnsi="Arial" w:cs="Arial"/>
          <w:color w:val="595959" w:themeColor="text1" w:themeTint="A6"/>
        </w:rPr>
        <w:t xml:space="preserve"> </w:t>
      </w:r>
      <w:r w:rsidRPr="007325CD">
        <w:rPr>
          <w:rFonts w:ascii="Arial" w:hAnsi="Arial" w:cs="Arial"/>
          <w:i/>
          <w:color w:val="595959" w:themeColor="text1" w:themeTint="A6"/>
        </w:rPr>
        <w:t>et al</w:t>
      </w:r>
      <w:r w:rsidR="008D6921" w:rsidRPr="007325CD">
        <w:rPr>
          <w:rFonts w:ascii="Arial" w:hAnsi="Arial" w:cs="Arial"/>
          <w:color w:val="595959" w:themeColor="text1" w:themeTint="A6"/>
        </w:rPr>
        <w:t>., 2011</w:t>
      </w:r>
      <w:r w:rsidRPr="007325CD">
        <w:rPr>
          <w:rFonts w:ascii="Arial" w:hAnsi="Arial" w:cs="Arial"/>
          <w:color w:val="595959" w:themeColor="text1" w:themeTint="A6"/>
        </w:rPr>
        <w:t xml:space="preserve">). </w:t>
      </w:r>
      <w:r w:rsidR="003A4CE0" w:rsidRPr="007325CD">
        <w:rPr>
          <w:rFonts w:ascii="Arial" w:hAnsi="Arial" w:cs="Arial"/>
          <w:color w:val="595959" w:themeColor="text1" w:themeTint="A6"/>
        </w:rPr>
        <w:t>There are a reported 600, 000 new cases of OSCC reported annually and is considered the 15</w:t>
      </w:r>
      <w:r w:rsidR="003A4CE0" w:rsidRPr="007325CD">
        <w:rPr>
          <w:rFonts w:ascii="Arial" w:hAnsi="Arial" w:cs="Arial"/>
          <w:color w:val="595959" w:themeColor="text1" w:themeTint="A6"/>
          <w:vertAlign w:val="superscript"/>
        </w:rPr>
        <w:t>th</w:t>
      </w:r>
      <w:r w:rsidR="003A4CE0" w:rsidRPr="007325CD">
        <w:rPr>
          <w:rFonts w:ascii="Arial" w:hAnsi="Arial" w:cs="Arial"/>
          <w:color w:val="595959" w:themeColor="text1" w:themeTint="A6"/>
        </w:rPr>
        <w:t xml:space="preserve"> most common cancer world-wide (Bagan and Scully, 2008). </w:t>
      </w:r>
      <w:r w:rsidRPr="007325CD">
        <w:rPr>
          <w:rFonts w:ascii="Arial" w:hAnsi="Arial" w:cs="Arial"/>
          <w:color w:val="595959" w:themeColor="text1" w:themeTint="A6"/>
        </w:rPr>
        <w:t>Globally mortality rates for OSCC are correlated to the socio-economic status for that country with the higher incidences occurring in parts of the world such as India (American cancer society, 2011). Over 60% of patients diagnosed with OSCC clinically present with a late stage carcinoma; with both nodular spread and metastasis</w:t>
      </w:r>
      <w:r w:rsidR="001C3BFB">
        <w:rPr>
          <w:rFonts w:ascii="Arial" w:hAnsi="Arial" w:cs="Arial"/>
          <w:color w:val="595959" w:themeColor="text1" w:themeTint="A6"/>
        </w:rPr>
        <w:t xml:space="preserve">, leaving limited </w:t>
      </w:r>
      <w:r w:rsidRPr="007325CD">
        <w:rPr>
          <w:rFonts w:ascii="Arial" w:hAnsi="Arial" w:cs="Arial"/>
          <w:color w:val="595959" w:themeColor="text1" w:themeTint="A6"/>
        </w:rPr>
        <w:t xml:space="preserve">treatment options </w:t>
      </w:r>
      <w:r w:rsidR="001C3BFB">
        <w:rPr>
          <w:rFonts w:ascii="Arial" w:hAnsi="Arial" w:cs="Arial"/>
          <w:color w:val="595959" w:themeColor="text1" w:themeTint="A6"/>
        </w:rPr>
        <w:t xml:space="preserve">that </w:t>
      </w:r>
      <w:r w:rsidRPr="007325CD">
        <w:rPr>
          <w:rFonts w:ascii="Arial" w:hAnsi="Arial" w:cs="Arial"/>
          <w:color w:val="595959" w:themeColor="text1" w:themeTint="A6"/>
        </w:rPr>
        <w:t xml:space="preserve">may include highly disfiguring surgical resections of tumour tissue (Centelles </w:t>
      </w:r>
      <w:r w:rsidRPr="007325CD">
        <w:rPr>
          <w:rFonts w:ascii="Arial" w:hAnsi="Arial" w:cs="Arial"/>
          <w:i/>
          <w:color w:val="595959" w:themeColor="text1" w:themeTint="A6"/>
        </w:rPr>
        <w:t>et al</w:t>
      </w:r>
      <w:r w:rsidRPr="007325CD">
        <w:rPr>
          <w:rFonts w:ascii="Arial" w:hAnsi="Arial" w:cs="Arial"/>
          <w:color w:val="595959" w:themeColor="text1" w:themeTint="A6"/>
        </w:rPr>
        <w:t xml:space="preserve">., 2012). </w:t>
      </w:r>
    </w:p>
    <w:p w14:paraId="18C7EFC7" w14:textId="5B02B4D0" w:rsidR="00330E5F" w:rsidRDefault="007E4EF2" w:rsidP="0085189A">
      <w:pPr>
        <w:pStyle w:val="Heading3"/>
        <w:numPr>
          <w:ilvl w:val="2"/>
          <w:numId w:val="4"/>
        </w:numPr>
        <w:rPr>
          <w:rFonts w:ascii="Arial" w:hAnsi="Arial" w:cs="Arial"/>
          <w:i/>
          <w:color w:val="595959" w:themeColor="text1" w:themeTint="A6"/>
        </w:rPr>
      </w:pPr>
      <w:bookmarkStart w:id="15" w:name="_Toc34208241"/>
      <w:r w:rsidRPr="000C332A">
        <w:rPr>
          <w:rFonts w:ascii="Arial" w:hAnsi="Arial" w:cs="Arial"/>
          <w:i/>
          <w:color w:val="595959" w:themeColor="text1" w:themeTint="A6"/>
        </w:rPr>
        <w:t>The hallmarks of cancer</w:t>
      </w:r>
      <w:bookmarkEnd w:id="15"/>
    </w:p>
    <w:p w14:paraId="11DF88E0" w14:textId="77777777" w:rsidR="0085189A" w:rsidRPr="0085189A" w:rsidRDefault="0085189A" w:rsidP="0085189A"/>
    <w:p w14:paraId="6EFA460B" w14:textId="7CCB847D" w:rsidR="007E4EF2" w:rsidRPr="007325CD" w:rsidRDefault="007E4EF2" w:rsidP="00220314">
      <w:pPr>
        <w:spacing w:line="480" w:lineRule="auto"/>
        <w:jc w:val="both"/>
        <w:rPr>
          <w:rFonts w:ascii="Arial" w:hAnsi="Arial" w:cs="Arial"/>
          <w:color w:val="595959" w:themeColor="text1" w:themeTint="A6"/>
        </w:rPr>
      </w:pPr>
      <w:r w:rsidRPr="007325CD">
        <w:rPr>
          <w:rFonts w:ascii="Arial" w:hAnsi="Arial" w:cs="Arial"/>
          <w:color w:val="595959" w:themeColor="text1" w:themeTint="A6"/>
        </w:rPr>
        <w:t>OSCC tumourigenesis is both a complex and dynamic multi-step process that is caused by genetic aberrations</w:t>
      </w:r>
      <w:r w:rsidR="00757685">
        <w:rPr>
          <w:rFonts w:ascii="Arial" w:hAnsi="Arial" w:cs="Arial"/>
          <w:color w:val="595959" w:themeColor="text1" w:themeTint="A6"/>
        </w:rPr>
        <w:t xml:space="preserve">, </w:t>
      </w:r>
      <w:r w:rsidRPr="007325CD">
        <w:rPr>
          <w:rFonts w:ascii="Arial" w:hAnsi="Arial" w:cs="Arial"/>
          <w:color w:val="595959" w:themeColor="text1" w:themeTint="A6"/>
        </w:rPr>
        <w:t>form</w:t>
      </w:r>
      <w:r w:rsidR="00757685">
        <w:rPr>
          <w:rFonts w:ascii="Arial" w:hAnsi="Arial" w:cs="Arial"/>
          <w:color w:val="595959" w:themeColor="text1" w:themeTint="A6"/>
        </w:rPr>
        <w:t>ing</w:t>
      </w:r>
      <w:r w:rsidRPr="007325CD">
        <w:rPr>
          <w:rFonts w:ascii="Arial" w:hAnsi="Arial" w:cs="Arial"/>
          <w:color w:val="595959" w:themeColor="text1" w:themeTint="A6"/>
        </w:rPr>
        <w:t xml:space="preserve"> the underlying instability associated with</w:t>
      </w:r>
      <w:r w:rsidR="0008202A">
        <w:rPr>
          <w:rFonts w:ascii="Arial" w:hAnsi="Arial" w:cs="Arial"/>
          <w:color w:val="595959" w:themeColor="text1" w:themeTint="A6"/>
        </w:rPr>
        <w:t xml:space="preserve"> </w:t>
      </w:r>
      <w:r w:rsidRPr="007325CD">
        <w:rPr>
          <w:rFonts w:ascii="Arial" w:hAnsi="Arial" w:cs="Arial"/>
          <w:color w:val="595959" w:themeColor="text1" w:themeTint="A6"/>
        </w:rPr>
        <w:t xml:space="preserve">malignant transformation. These genotypic changes are considered the manifestations of six alterations </w:t>
      </w:r>
      <w:r w:rsidR="007A51F3">
        <w:rPr>
          <w:rFonts w:ascii="Arial" w:hAnsi="Arial" w:cs="Arial"/>
          <w:color w:val="595959" w:themeColor="text1" w:themeTint="A6"/>
        </w:rPr>
        <w:t xml:space="preserve">in cellular physiology </w:t>
      </w:r>
      <w:r w:rsidR="009F303B">
        <w:rPr>
          <w:rFonts w:ascii="Arial" w:hAnsi="Arial" w:cs="Arial"/>
          <w:color w:val="595959" w:themeColor="text1" w:themeTint="A6"/>
        </w:rPr>
        <w:t xml:space="preserve">and </w:t>
      </w:r>
      <w:r w:rsidRPr="007325CD">
        <w:rPr>
          <w:rFonts w:ascii="Arial" w:hAnsi="Arial" w:cs="Arial"/>
          <w:color w:val="595959" w:themeColor="text1" w:themeTint="A6"/>
        </w:rPr>
        <w:t xml:space="preserve">dictate the extent of malignant growth (Hanahan and Weinberg, 2000). These </w:t>
      </w:r>
      <w:r w:rsidR="0008202A">
        <w:rPr>
          <w:rFonts w:ascii="Arial" w:hAnsi="Arial" w:cs="Arial"/>
          <w:color w:val="595959" w:themeColor="text1" w:themeTint="A6"/>
        </w:rPr>
        <w:t>characteristics</w:t>
      </w:r>
      <w:r w:rsidRPr="007325CD">
        <w:rPr>
          <w:rFonts w:ascii="Arial" w:hAnsi="Arial" w:cs="Arial"/>
          <w:color w:val="595959" w:themeColor="text1" w:themeTint="A6"/>
        </w:rPr>
        <w:t xml:space="preserve"> of cancer include sustained angiogenesis, evasion of apoptosis, </w:t>
      </w:r>
      <w:r w:rsidR="006756A8" w:rsidRPr="007325CD">
        <w:rPr>
          <w:rFonts w:ascii="Arial" w:hAnsi="Arial" w:cs="Arial"/>
          <w:color w:val="595959" w:themeColor="text1" w:themeTint="A6"/>
        </w:rPr>
        <w:t>and self</w:t>
      </w:r>
      <w:r w:rsidRPr="007325CD">
        <w:rPr>
          <w:rFonts w:ascii="Arial" w:hAnsi="Arial" w:cs="Arial"/>
          <w:color w:val="595959" w:themeColor="text1" w:themeTint="A6"/>
        </w:rPr>
        <w:t>-sufficiency in growth factor signalling, ability for limitless replicative potential, evasion of ant</w:t>
      </w:r>
      <w:r w:rsidR="006756A8">
        <w:rPr>
          <w:rFonts w:ascii="Arial" w:hAnsi="Arial" w:cs="Arial"/>
          <w:color w:val="595959" w:themeColor="text1" w:themeTint="A6"/>
        </w:rPr>
        <w:t>i</w:t>
      </w:r>
      <w:r w:rsidRPr="007325CD">
        <w:rPr>
          <w:rFonts w:ascii="Arial" w:hAnsi="Arial" w:cs="Arial"/>
          <w:color w:val="595959" w:themeColor="text1" w:themeTint="A6"/>
        </w:rPr>
        <w:t>-growth signals, and</w:t>
      </w:r>
      <w:r w:rsidR="009F303B">
        <w:rPr>
          <w:rFonts w:ascii="Arial" w:hAnsi="Arial" w:cs="Arial"/>
          <w:color w:val="595959" w:themeColor="text1" w:themeTint="A6"/>
        </w:rPr>
        <w:t xml:space="preserve"> </w:t>
      </w:r>
      <w:r w:rsidRPr="007325CD">
        <w:rPr>
          <w:rFonts w:ascii="Arial" w:hAnsi="Arial" w:cs="Arial"/>
          <w:color w:val="595959" w:themeColor="text1" w:themeTint="A6"/>
        </w:rPr>
        <w:t xml:space="preserve">the proficiency to invade and metastasise. Further research </w:t>
      </w:r>
      <w:r w:rsidR="0097130E">
        <w:rPr>
          <w:rFonts w:ascii="Arial" w:hAnsi="Arial" w:cs="Arial"/>
          <w:color w:val="595959" w:themeColor="text1" w:themeTint="A6"/>
        </w:rPr>
        <w:t>into</w:t>
      </w:r>
      <w:r w:rsidRPr="007325CD">
        <w:rPr>
          <w:rFonts w:ascii="Arial" w:hAnsi="Arial" w:cs="Arial"/>
          <w:color w:val="595959" w:themeColor="text1" w:themeTint="A6"/>
        </w:rPr>
        <w:t xml:space="preserve"> theorising this dynamic process has led to the addition of two more emerging hallmarks; the reprogramming metabolic energy needs and evading immune destruction. However, </w:t>
      </w:r>
      <w:r w:rsidR="007A51F3">
        <w:rPr>
          <w:rFonts w:ascii="Arial" w:hAnsi="Arial" w:cs="Arial"/>
          <w:color w:val="595959" w:themeColor="text1" w:themeTint="A6"/>
        </w:rPr>
        <w:t xml:space="preserve">whilst </w:t>
      </w:r>
      <w:r w:rsidRPr="007325CD">
        <w:rPr>
          <w:rFonts w:ascii="Arial" w:hAnsi="Arial" w:cs="Arial"/>
          <w:color w:val="595959" w:themeColor="text1" w:themeTint="A6"/>
        </w:rPr>
        <w:t xml:space="preserve">it’s understood that tumour cells possess these qualities and are the fundamental drivers of tumourigenesis, there are also a plethora of cell types that contribute to a malignant phenotype. These </w:t>
      </w:r>
      <w:r w:rsidR="007A51F3">
        <w:rPr>
          <w:rFonts w:ascii="Arial" w:hAnsi="Arial" w:cs="Arial"/>
          <w:color w:val="595959" w:themeColor="text1" w:themeTint="A6"/>
        </w:rPr>
        <w:t xml:space="preserve">cells </w:t>
      </w:r>
      <w:r w:rsidRPr="007325CD">
        <w:rPr>
          <w:rFonts w:ascii="Arial" w:hAnsi="Arial" w:cs="Arial"/>
          <w:color w:val="595959" w:themeColor="text1" w:themeTint="A6"/>
        </w:rPr>
        <w:t>are known to interact and influence the cancer cells</w:t>
      </w:r>
      <w:r w:rsidR="007A51F3">
        <w:rPr>
          <w:rFonts w:ascii="Arial" w:hAnsi="Arial" w:cs="Arial"/>
          <w:color w:val="595959" w:themeColor="text1" w:themeTint="A6"/>
        </w:rPr>
        <w:t xml:space="preserve"> either directly or</w:t>
      </w:r>
      <w:r w:rsidRPr="007325CD">
        <w:rPr>
          <w:rFonts w:ascii="Arial" w:hAnsi="Arial" w:cs="Arial"/>
          <w:color w:val="595959" w:themeColor="text1" w:themeTint="A6"/>
        </w:rPr>
        <w:t xml:space="preserve"> </w:t>
      </w:r>
      <w:r w:rsidRPr="007325CD">
        <w:rPr>
          <w:rFonts w:ascii="Arial" w:hAnsi="Arial" w:cs="Arial"/>
          <w:color w:val="595959" w:themeColor="text1" w:themeTint="A6"/>
        </w:rPr>
        <w:lastRenderedPageBreak/>
        <w:t>in-directly causing tumour progression. These cells and cellular influences are collectively termed the tumour microenvironment</w:t>
      </w:r>
      <w:r w:rsidR="00615733">
        <w:rPr>
          <w:rFonts w:ascii="Arial" w:hAnsi="Arial" w:cs="Arial"/>
          <w:color w:val="595959" w:themeColor="text1" w:themeTint="A6"/>
        </w:rPr>
        <w:t>,</w:t>
      </w:r>
      <w:r w:rsidRPr="007325CD">
        <w:rPr>
          <w:rFonts w:ascii="Arial" w:hAnsi="Arial" w:cs="Arial"/>
          <w:color w:val="595959" w:themeColor="text1" w:themeTint="A6"/>
        </w:rPr>
        <w:t xml:space="preserve"> consist</w:t>
      </w:r>
      <w:r w:rsidR="00CC5CDF">
        <w:rPr>
          <w:rFonts w:ascii="Arial" w:hAnsi="Arial" w:cs="Arial"/>
          <w:color w:val="595959" w:themeColor="text1" w:themeTint="A6"/>
        </w:rPr>
        <w:t>ing</w:t>
      </w:r>
      <w:r w:rsidRPr="007325CD">
        <w:rPr>
          <w:rFonts w:ascii="Arial" w:hAnsi="Arial" w:cs="Arial"/>
          <w:color w:val="595959" w:themeColor="text1" w:themeTint="A6"/>
        </w:rPr>
        <w:t xml:space="preserve"> of endothelial cells, pericytes, leukocytes and the fibroblasts</w:t>
      </w:r>
      <w:r w:rsidR="00CC5CDF">
        <w:rPr>
          <w:rFonts w:ascii="Arial" w:hAnsi="Arial" w:cs="Arial"/>
          <w:color w:val="595959" w:themeColor="text1" w:themeTint="A6"/>
        </w:rPr>
        <w:t xml:space="preserve"> </w:t>
      </w:r>
      <w:r w:rsidR="00CC5CDF" w:rsidRPr="007325CD">
        <w:rPr>
          <w:rFonts w:ascii="Arial" w:hAnsi="Arial" w:cs="Arial"/>
          <w:color w:val="595959" w:themeColor="text1" w:themeTint="A6"/>
        </w:rPr>
        <w:t>(Hanahan and Weinberg, 2011)</w:t>
      </w:r>
      <w:r w:rsidRPr="007325CD">
        <w:rPr>
          <w:rFonts w:ascii="Arial" w:hAnsi="Arial" w:cs="Arial"/>
          <w:color w:val="595959" w:themeColor="text1" w:themeTint="A6"/>
        </w:rPr>
        <w:t xml:space="preserve">. A major part of this tumour niche in epithelial cancers is the associated stroma. This stroma consists of fibroblasts and the </w:t>
      </w:r>
      <w:r w:rsidR="008346CB">
        <w:rPr>
          <w:rFonts w:ascii="Arial" w:hAnsi="Arial" w:cs="Arial"/>
          <w:color w:val="595959" w:themeColor="text1" w:themeTint="A6"/>
        </w:rPr>
        <w:t>extra</w:t>
      </w:r>
      <w:r w:rsidR="005716F5">
        <w:rPr>
          <w:rFonts w:ascii="Arial" w:hAnsi="Arial" w:cs="Arial"/>
          <w:color w:val="595959" w:themeColor="text1" w:themeTint="A6"/>
        </w:rPr>
        <w:t>cellular matrix (</w:t>
      </w:r>
      <w:r w:rsidRPr="007325CD">
        <w:rPr>
          <w:rFonts w:ascii="Arial" w:hAnsi="Arial" w:cs="Arial"/>
          <w:color w:val="595959" w:themeColor="text1" w:themeTint="A6"/>
        </w:rPr>
        <w:t>ECM</w:t>
      </w:r>
      <w:r w:rsidR="005716F5">
        <w:rPr>
          <w:rFonts w:ascii="Arial" w:hAnsi="Arial" w:cs="Arial"/>
          <w:color w:val="595959" w:themeColor="text1" w:themeTint="A6"/>
        </w:rPr>
        <w:t>)</w:t>
      </w:r>
      <w:r w:rsidRPr="007325CD">
        <w:rPr>
          <w:rFonts w:ascii="Arial" w:hAnsi="Arial" w:cs="Arial"/>
          <w:color w:val="595959" w:themeColor="text1" w:themeTint="A6"/>
        </w:rPr>
        <w:t xml:space="preserve">, which provide mechanical and </w:t>
      </w:r>
      <w:r w:rsidR="00EC0450">
        <w:rPr>
          <w:rFonts w:ascii="Arial" w:hAnsi="Arial" w:cs="Arial"/>
          <w:color w:val="595959" w:themeColor="text1" w:themeTint="A6"/>
        </w:rPr>
        <w:t xml:space="preserve">biochemical </w:t>
      </w:r>
      <w:r w:rsidRPr="007325CD">
        <w:rPr>
          <w:rFonts w:ascii="Arial" w:hAnsi="Arial" w:cs="Arial"/>
          <w:color w:val="595959" w:themeColor="text1" w:themeTint="A6"/>
        </w:rPr>
        <w:t xml:space="preserve">support </w:t>
      </w:r>
      <w:r w:rsidR="00EC0450">
        <w:rPr>
          <w:rFonts w:ascii="Arial" w:hAnsi="Arial" w:cs="Arial"/>
          <w:color w:val="595959" w:themeColor="text1" w:themeTint="A6"/>
        </w:rPr>
        <w:t>for</w:t>
      </w:r>
      <w:r w:rsidRPr="007325CD">
        <w:rPr>
          <w:rFonts w:ascii="Arial" w:hAnsi="Arial" w:cs="Arial"/>
          <w:color w:val="595959" w:themeColor="text1" w:themeTint="A6"/>
        </w:rPr>
        <w:t xml:space="preserve"> tumours and contribute</w:t>
      </w:r>
      <w:r w:rsidR="0008202A">
        <w:rPr>
          <w:rFonts w:ascii="Arial" w:hAnsi="Arial" w:cs="Arial"/>
          <w:color w:val="595959" w:themeColor="text1" w:themeTint="A6"/>
        </w:rPr>
        <w:t>s</w:t>
      </w:r>
      <w:r w:rsidRPr="007325CD">
        <w:rPr>
          <w:rFonts w:ascii="Arial" w:hAnsi="Arial" w:cs="Arial"/>
          <w:color w:val="595959" w:themeColor="text1" w:themeTint="A6"/>
        </w:rPr>
        <w:t xml:space="preserve"> to the hallmarks of cancer and a tumour-permissive environm</w:t>
      </w:r>
      <w:r w:rsidR="00220314">
        <w:rPr>
          <w:rFonts w:ascii="Arial" w:hAnsi="Arial" w:cs="Arial"/>
          <w:color w:val="595959" w:themeColor="text1" w:themeTint="A6"/>
        </w:rPr>
        <w:t>ent (Pietras and Ostman, 2010</w:t>
      </w:r>
      <w:r w:rsidR="008A0161">
        <w:rPr>
          <w:rFonts w:ascii="Arial" w:hAnsi="Arial" w:cs="Arial"/>
          <w:color w:val="595959" w:themeColor="text1" w:themeTint="A6"/>
        </w:rPr>
        <w:t xml:space="preserve">, Walker </w:t>
      </w:r>
      <w:r w:rsidR="008A0161" w:rsidRPr="008A0161">
        <w:rPr>
          <w:rFonts w:ascii="Arial" w:hAnsi="Arial" w:cs="Arial"/>
          <w:i/>
          <w:iCs/>
          <w:color w:val="595959" w:themeColor="text1" w:themeTint="A6"/>
        </w:rPr>
        <w:t>et al.,</w:t>
      </w:r>
      <w:r w:rsidR="008A0161">
        <w:rPr>
          <w:rFonts w:ascii="Arial" w:hAnsi="Arial" w:cs="Arial"/>
          <w:color w:val="595959" w:themeColor="text1" w:themeTint="A6"/>
        </w:rPr>
        <w:t xml:space="preserve"> 2018</w:t>
      </w:r>
      <w:r w:rsidR="00220314">
        <w:rPr>
          <w:rFonts w:ascii="Arial" w:hAnsi="Arial" w:cs="Arial"/>
          <w:color w:val="595959" w:themeColor="text1" w:themeTint="A6"/>
        </w:rPr>
        <w:t>).</w:t>
      </w:r>
    </w:p>
    <w:p w14:paraId="2DBB767A" w14:textId="1D412837" w:rsidR="00B423C4" w:rsidRDefault="00B423C4" w:rsidP="009D02AC">
      <w:pPr>
        <w:pStyle w:val="Heading2"/>
        <w:numPr>
          <w:ilvl w:val="1"/>
          <w:numId w:val="4"/>
        </w:numPr>
        <w:rPr>
          <w:rFonts w:ascii="Arial" w:hAnsi="Arial" w:cs="Arial"/>
          <w:color w:val="595959" w:themeColor="text1" w:themeTint="A6"/>
          <w:sz w:val="24"/>
          <w:szCs w:val="24"/>
        </w:rPr>
      </w:pPr>
      <w:bookmarkStart w:id="16" w:name="_Toc34208242"/>
      <w:r w:rsidRPr="004A3264">
        <w:rPr>
          <w:rFonts w:ascii="Arial" w:hAnsi="Arial" w:cs="Arial"/>
          <w:color w:val="595959" w:themeColor="text1" w:themeTint="A6"/>
          <w:sz w:val="24"/>
          <w:szCs w:val="24"/>
        </w:rPr>
        <w:t>The extracellular matrix</w:t>
      </w:r>
      <w:bookmarkEnd w:id="16"/>
      <w:r w:rsidRPr="004A3264">
        <w:rPr>
          <w:rFonts w:ascii="Arial" w:hAnsi="Arial" w:cs="Arial"/>
          <w:color w:val="595959" w:themeColor="text1" w:themeTint="A6"/>
          <w:sz w:val="24"/>
          <w:szCs w:val="24"/>
        </w:rPr>
        <w:t xml:space="preserve"> </w:t>
      </w:r>
    </w:p>
    <w:p w14:paraId="61087A1A" w14:textId="77777777" w:rsidR="009D02AC" w:rsidRPr="009D02AC" w:rsidRDefault="009D02AC" w:rsidP="009D02AC">
      <w:pPr>
        <w:pStyle w:val="ListParagraph"/>
        <w:ind w:left="600"/>
      </w:pPr>
    </w:p>
    <w:p w14:paraId="1BEA6525" w14:textId="011626B8" w:rsidR="00B423C4" w:rsidRDefault="0085189A" w:rsidP="0085189A">
      <w:pPr>
        <w:pStyle w:val="Heading3"/>
        <w:numPr>
          <w:ilvl w:val="2"/>
          <w:numId w:val="4"/>
        </w:numPr>
        <w:rPr>
          <w:rFonts w:ascii="Arial" w:hAnsi="Arial" w:cs="Arial"/>
          <w:i/>
          <w:color w:val="595959" w:themeColor="text1" w:themeTint="A6"/>
        </w:rPr>
      </w:pPr>
      <w:bookmarkStart w:id="17" w:name="_Toc34208243"/>
      <w:r>
        <w:rPr>
          <w:rFonts w:ascii="Arial" w:hAnsi="Arial" w:cs="Arial"/>
          <w:i/>
          <w:color w:val="595959" w:themeColor="text1" w:themeTint="A6"/>
        </w:rPr>
        <w:t>Oral tissue and t</w:t>
      </w:r>
      <w:r w:rsidR="00B423C4" w:rsidRPr="000C332A">
        <w:rPr>
          <w:rFonts w:ascii="Arial" w:hAnsi="Arial" w:cs="Arial"/>
          <w:i/>
          <w:color w:val="595959" w:themeColor="text1" w:themeTint="A6"/>
        </w:rPr>
        <w:t xml:space="preserve">he </w:t>
      </w:r>
      <w:r>
        <w:rPr>
          <w:rFonts w:ascii="Arial" w:hAnsi="Arial" w:cs="Arial"/>
          <w:i/>
          <w:color w:val="595959" w:themeColor="text1" w:themeTint="A6"/>
        </w:rPr>
        <w:t xml:space="preserve">ECM </w:t>
      </w:r>
      <w:r w:rsidR="00B423C4" w:rsidRPr="000C332A">
        <w:rPr>
          <w:rFonts w:ascii="Arial" w:hAnsi="Arial" w:cs="Arial"/>
          <w:i/>
          <w:color w:val="595959" w:themeColor="text1" w:themeTint="A6"/>
        </w:rPr>
        <w:t>in homeostasis</w:t>
      </w:r>
      <w:bookmarkEnd w:id="17"/>
    </w:p>
    <w:p w14:paraId="69717244" w14:textId="77777777" w:rsidR="009D02AC" w:rsidRPr="009D02AC" w:rsidRDefault="009D02AC" w:rsidP="009D02AC">
      <w:pPr>
        <w:pStyle w:val="ListParagraph"/>
      </w:pPr>
    </w:p>
    <w:p w14:paraId="270105F3" w14:textId="34945E76" w:rsidR="00CD6995" w:rsidRDefault="0085189A" w:rsidP="0085189A">
      <w:pPr>
        <w:spacing w:line="480" w:lineRule="auto"/>
        <w:jc w:val="both"/>
        <w:rPr>
          <w:rFonts w:ascii="Arial" w:hAnsi="Arial" w:cs="Arial"/>
          <w:color w:val="595959" w:themeColor="text1" w:themeTint="A6"/>
        </w:rPr>
      </w:pPr>
      <w:r w:rsidRPr="0085189A">
        <w:rPr>
          <w:rFonts w:ascii="Arial" w:hAnsi="Arial" w:cs="Arial"/>
          <w:color w:val="595959" w:themeColor="text1" w:themeTint="A6"/>
        </w:rPr>
        <w:t>The oral mucosa is descriptive of the tissue that lines the inside of the mouth. Normal oral mucosa has the following defining features; a stratified squamous epithelium with distinctive cell layers, which directly interacts and is supported by an underlying baseme</w:t>
      </w:r>
      <w:r w:rsidR="006756A8">
        <w:rPr>
          <w:rFonts w:ascii="Arial" w:hAnsi="Arial" w:cs="Arial"/>
          <w:color w:val="595959" w:themeColor="text1" w:themeTint="A6"/>
        </w:rPr>
        <w:t>nt membrane, overlying</w:t>
      </w:r>
      <w:r w:rsidRPr="0085189A">
        <w:rPr>
          <w:rFonts w:ascii="Arial" w:hAnsi="Arial" w:cs="Arial"/>
          <w:color w:val="595959" w:themeColor="text1" w:themeTint="A6"/>
        </w:rPr>
        <w:t xml:space="preserve"> a connective tissue component</w:t>
      </w:r>
      <w:r w:rsidR="00EE45AC">
        <w:rPr>
          <w:rFonts w:ascii="Arial" w:hAnsi="Arial" w:cs="Arial"/>
          <w:color w:val="595959" w:themeColor="text1" w:themeTint="A6"/>
        </w:rPr>
        <w:t xml:space="preserve"> (Figure 1.1)</w:t>
      </w:r>
      <w:r w:rsidRPr="0085189A">
        <w:rPr>
          <w:rFonts w:ascii="Arial" w:hAnsi="Arial" w:cs="Arial"/>
          <w:color w:val="595959" w:themeColor="text1" w:themeTint="A6"/>
        </w:rPr>
        <w:t>. Cells directly adjacent to the basement membrane are termed basal keratinocytes. These have “stem cell-like” properties such as a high proliferative capacity and act to repair and replenish the cell</w:t>
      </w:r>
      <w:r>
        <w:rPr>
          <w:rFonts w:ascii="Arial" w:hAnsi="Arial" w:cs="Arial"/>
          <w:color w:val="595959" w:themeColor="text1" w:themeTint="A6"/>
        </w:rPr>
        <w:t>s within the epithelium. Supra-</w:t>
      </w:r>
      <w:r w:rsidRPr="0085189A">
        <w:rPr>
          <w:rFonts w:ascii="Arial" w:hAnsi="Arial" w:cs="Arial"/>
          <w:color w:val="595959" w:themeColor="text1" w:themeTint="A6"/>
        </w:rPr>
        <w:t>basal cells; normally found above the basal cell layer are partially differentiated keratinocytes that also have the propensity to proliferate. The next layer consists of the stratum spinosum</w:t>
      </w:r>
      <w:r w:rsidR="00B16134">
        <w:rPr>
          <w:rFonts w:ascii="Arial" w:hAnsi="Arial" w:cs="Arial"/>
          <w:color w:val="595959" w:themeColor="text1" w:themeTint="A6"/>
        </w:rPr>
        <w:t xml:space="preserve">, </w:t>
      </w:r>
      <w:r w:rsidRPr="0085189A">
        <w:rPr>
          <w:rFonts w:ascii="Arial" w:hAnsi="Arial" w:cs="Arial"/>
          <w:color w:val="595959" w:themeColor="text1" w:themeTint="A6"/>
        </w:rPr>
        <w:t xml:space="preserve">also known as </w:t>
      </w:r>
      <w:r w:rsidR="00D840B6" w:rsidRPr="00661C4F">
        <w:rPr>
          <w:rFonts w:ascii="Arial" w:hAnsi="Arial" w:cs="Arial"/>
          <w:color w:val="595959" w:themeColor="text1" w:themeTint="A6"/>
        </w:rPr>
        <w:t xml:space="preserve">the </w:t>
      </w:r>
      <w:r w:rsidRPr="00661C4F">
        <w:rPr>
          <w:rFonts w:ascii="Arial" w:hAnsi="Arial" w:cs="Arial"/>
          <w:color w:val="595959" w:themeColor="text1" w:themeTint="A6"/>
        </w:rPr>
        <w:t>prickl</w:t>
      </w:r>
      <w:r w:rsidR="006115B7" w:rsidRPr="00661C4F">
        <w:rPr>
          <w:rFonts w:ascii="Arial" w:hAnsi="Arial" w:cs="Arial"/>
          <w:color w:val="595959" w:themeColor="text1" w:themeTint="A6"/>
        </w:rPr>
        <w:t>e</w:t>
      </w:r>
      <w:r w:rsidRPr="00661C4F">
        <w:rPr>
          <w:rFonts w:ascii="Arial" w:hAnsi="Arial" w:cs="Arial"/>
          <w:color w:val="595959" w:themeColor="text1" w:themeTint="A6"/>
        </w:rPr>
        <w:t xml:space="preserve"> cell layer</w:t>
      </w:r>
      <w:r w:rsidRPr="0085189A">
        <w:rPr>
          <w:rFonts w:ascii="Arial" w:hAnsi="Arial" w:cs="Arial"/>
          <w:color w:val="595959" w:themeColor="text1" w:themeTint="A6"/>
        </w:rPr>
        <w:t xml:space="preserve">. The common feature of cells within this layer is that they are joined by desmosomes; intracellular junctions that allow strong adhesion points. The most superficial layer comprises the terminally differentiated keratinocytes. Most areas within the oral cavity have only a para-keratinised outer layer, here keratin is </w:t>
      </w:r>
      <w:r w:rsidR="00D840B6" w:rsidRPr="0085189A">
        <w:rPr>
          <w:rFonts w:ascii="Arial" w:hAnsi="Arial" w:cs="Arial"/>
          <w:color w:val="595959" w:themeColor="text1" w:themeTint="A6"/>
        </w:rPr>
        <w:t>deposited,</w:t>
      </w:r>
      <w:r w:rsidRPr="0085189A">
        <w:rPr>
          <w:rFonts w:ascii="Arial" w:hAnsi="Arial" w:cs="Arial"/>
          <w:color w:val="595959" w:themeColor="text1" w:themeTint="A6"/>
        </w:rPr>
        <w:t xml:space="preserve"> and cells appear flattened in morphology with little or no nuclei present (Squier and Kremer, 2001). </w:t>
      </w:r>
      <w:r>
        <w:rPr>
          <w:rFonts w:ascii="Arial" w:hAnsi="Arial" w:cs="Arial"/>
          <w:color w:val="595959" w:themeColor="text1" w:themeTint="A6"/>
        </w:rPr>
        <w:t xml:space="preserve">The connective tissue component of the oral mucosa is known as the </w:t>
      </w:r>
      <w:r w:rsidR="00B423C4" w:rsidRPr="007325CD">
        <w:rPr>
          <w:rFonts w:ascii="Arial" w:hAnsi="Arial" w:cs="Arial"/>
          <w:color w:val="595959" w:themeColor="text1" w:themeTint="A6"/>
        </w:rPr>
        <w:t>ECM</w:t>
      </w:r>
      <w:r w:rsidR="00910192">
        <w:rPr>
          <w:rFonts w:ascii="Arial" w:hAnsi="Arial" w:cs="Arial"/>
          <w:color w:val="595959" w:themeColor="text1" w:themeTint="A6"/>
        </w:rPr>
        <w:t xml:space="preserve">; </w:t>
      </w:r>
      <w:r w:rsidR="00B423C4" w:rsidRPr="007325CD">
        <w:rPr>
          <w:rFonts w:ascii="Arial" w:hAnsi="Arial" w:cs="Arial"/>
          <w:color w:val="595959" w:themeColor="text1" w:themeTint="A6"/>
        </w:rPr>
        <w:t xml:space="preserve">a three dimensional (3D) macromolecular meshwork composed of distinctive non-cellular networks (Cox and Erler, 2011). Initially the ECM was considered </w:t>
      </w:r>
      <w:r w:rsidR="000D5FEB" w:rsidRPr="007325CD">
        <w:rPr>
          <w:rFonts w:ascii="Arial" w:hAnsi="Arial" w:cs="Arial"/>
          <w:color w:val="595959" w:themeColor="text1" w:themeTint="A6"/>
        </w:rPr>
        <w:t xml:space="preserve">primarily </w:t>
      </w:r>
      <w:r w:rsidR="00B423C4" w:rsidRPr="007325CD">
        <w:rPr>
          <w:rFonts w:ascii="Arial" w:hAnsi="Arial" w:cs="Arial"/>
          <w:color w:val="595959" w:themeColor="text1" w:themeTint="A6"/>
        </w:rPr>
        <w:t xml:space="preserve">for its supportive properties, acting as a scaffold to aid the integrity of tissue structure (Badylak </w:t>
      </w:r>
      <w:r w:rsidR="00B423C4" w:rsidRPr="007325CD">
        <w:rPr>
          <w:rFonts w:ascii="Arial" w:hAnsi="Arial" w:cs="Arial"/>
          <w:i/>
          <w:color w:val="595959" w:themeColor="text1" w:themeTint="A6"/>
        </w:rPr>
        <w:t>et al</w:t>
      </w:r>
      <w:r w:rsidR="00B423C4" w:rsidRPr="007325CD">
        <w:rPr>
          <w:rFonts w:ascii="Arial" w:hAnsi="Arial" w:cs="Arial"/>
          <w:color w:val="595959" w:themeColor="text1" w:themeTint="A6"/>
        </w:rPr>
        <w:t xml:space="preserve">., 2009), but it is now appreciated </w:t>
      </w:r>
      <w:r w:rsidR="00B423C4" w:rsidRPr="007325CD">
        <w:rPr>
          <w:rFonts w:ascii="Arial" w:hAnsi="Arial" w:cs="Arial"/>
          <w:color w:val="595959" w:themeColor="text1" w:themeTint="A6"/>
        </w:rPr>
        <w:lastRenderedPageBreak/>
        <w:t xml:space="preserve">for its critical role in providing biochemical and biomechanical cues that are </w:t>
      </w:r>
      <w:r w:rsidR="005B6DCF">
        <w:rPr>
          <w:rFonts w:ascii="Arial" w:hAnsi="Arial" w:cs="Arial"/>
          <w:noProof/>
          <w:color w:val="595959" w:themeColor="text1" w:themeTint="A6"/>
        </w:rPr>
        <mc:AlternateContent>
          <mc:Choice Requires="wpg">
            <w:drawing>
              <wp:anchor distT="0" distB="0" distL="114300" distR="114300" simplePos="0" relativeHeight="251658473" behindDoc="0" locked="0" layoutInCell="1" allowOverlap="1" wp14:anchorId="611F82A9" wp14:editId="3F2E487B">
                <wp:simplePos x="0" y="0"/>
                <wp:positionH relativeFrom="column">
                  <wp:posOffset>-196850</wp:posOffset>
                </wp:positionH>
                <wp:positionV relativeFrom="paragraph">
                  <wp:posOffset>1009650</wp:posOffset>
                </wp:positionV>
                <wp:extent cx="5177155" cy="4189095"/>
                <wp:effectExtent l="0" t="0" r="4445" b="1905"/>
                <wp:wrapNone/>
                <wp:docPr id="2105" name="Group 2105"/>
                <wp:cNvGraphicFramePr/>
                <a:graphic xmlns:a="http://schemas.openxmlformats.org/drawingml/2006/main">
                  <a:graphicData uri="http://schemas.microsoft.com/office/word/2010/wordprocessingGroup">
                    <wpg:wgp>
                      <wpg:cNvGrpSpPr/>
                      <wpg:grpSpPr>
                        <a:xfrm>
                          <a:off x="0" y="0"/>
                          <a:ext cx="5177155" cy="4189095"/>
                          <a:chOff x="0" y="0"/>
                          <a:chExt cx="5177155" cy="4189095"/>
                        </a:xfrm>
                      </wpg:grpSpPr>
                      <pic:pic xmlns:pic="http://schemas.openxmlformats.org/drawingml/2006/picture">
                        <pic:nvPicPr>
                          <pic:cNvPr id="1" name="Picture 1"/>
                          <pic:cNvPicPr>
                            <a:picLocks noChangeAspect="1"/>
                          </pic:cNvPicPr>
                        </pic:nvPicPr>
                        <pic:blipFill>
                          <a:blip r:embed="rId14">
                            <a:extLst>
                              <a:ext uri="{28A0092B-C50C-407E-A947-70E740481C1C}">
                                <a14:useLocalDpi xmlns:a14="http://schemas.microsoft.com/office/drawing/2010/main" val="0"/>
                              </a:ext>
                            </a:extLst>
                          </a:blip>
                          <a:srcRect/>
                          <a:stretch>
                            <a:fillRect/>
                          </a:stretch>
                        </pic:blipFill>
                        <pic:spPr bwMode="auto">
                          <a:xfrm>
                            <a:off x="946150" y="0"/>
                            <a:ext cx="4231005" cy="4189095"/>
                          </a:xfrm>
                          <a:prstGeom prst="rect">
                            <a:avLst/>
                          </a:prstGeom>
                          <a:noFill/>
                        </pic:spPr>
                      </pic:pic>
                      <wps:wsp>
                        <wps:cNvPr id="2104" name="Text Box 2"/>
                        <wps:cNvSpPr txBox="1">
                          <a:spLocks noChangeArrowheads="1"/>
                        </wps:cNvSpPr>
                        <wps:spPr bwMode="auto">
                          <a:xfrm>
                            <a:off x="0" y="368300"/>
                            <a:ext cx="2292350" cy="234950"/>
                          </a:xfrm>
                          <a:prstGeom prst="rect">
                            <a:avLst/>
                          </a:prstGeom>
                          <a:solidFill>
                            <a:srgbClr val="FFFFFF"/>
                          </a:solidFill>
                          <a:ln w="9525">
                            <a:noFill/>
                            <a:miter lim="800000"/>
                            <a:headEnd/>
                            <a:tailEnd/>
                          </a:ln>
                        </wps:spPr>
                        <wps:txbx>
                          <w:txbxContent>
                            <w:p w14:paraId="1AC358E1" w14:textId="440D648B" w:rsidR="008A47AC" w:rsidRPr="005B6DCF" w:rsidRDefault="008A47AC" w:rsidP="005B6DCF">
                              <w:pPr>
                                <w:spacing w:line="480" w:lineRule="auto"/>
                                <w:jc w:val="right"/>
                                <w:rPr>
                                  <w:rFonts w:ascii="Arial" w:hAnsi="Arial" w:cs="Arial"/>
                                  <w:b/>
                                  <w:bCs/>
                                  <w:color w:val="595959" w:themeColor="text1" w:themeTint="A6"/>
                                  <w:sz w:val="18"/>
                                  <w:szCs w:val="18"/>
                                </w:rPr>
                              </w:pPr>
                              <w:r w:rsidRPr="005B6DCF">
                                <w:rPr>
                                  <w:rFonts w:ascii="Arial" w:hAnsi="Arial" w:cs="Arial"/>
                                  <w:b/>
                                  <w:bCs/>
                                  <w:color w:val="595959" w:themeColor="text1" w:themeTint="A6"/>
                                  <w:sz w:val="18"/>
                                  <w:szCs w:val="18"/>
                                </w:rPr>
                                <w:t>Para-keratinised layer</w:t>
                              </w:r>
                            </w:p>
                          </w:txbxContent>
                        </wps:txbx>
                        <wps:bodyPr rot="0" vert="horz" wrap="square" lIns="91440" tIns="45720" rIns="91440" bIns="45720" anchor="t" anchorCtr="0">
                          <a:noAutofit/>
                        </wps:bodyPr>
                      </wps:wsp>
                    </wpg:wgp>
                  </a:graphicData>
                </a:graphic>
              </wp:anchor>
            </w:drawing>
          </mc:Choice>
          <mc:Fallback>
            <w:pict>
              <v:group w14:anchorId="611F82A9" id="Group 2105" o:spid="_x0000_s1026" style="position:absolute;left:0;text-align:left;margin-left:-15.5pt;margin-top:79.5pt;width:407.65pt;height:329.85pt;z-index:251658473" coordsize="51771,418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">
                <v:shape id="Picture 1" o:spid="_x0000_s1027" type="#_x0000_t75" style="position:absolute;left:9461;width:42310;height:41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">
                  <v:imagedata r:id="rId15" o:title=""/>
                </v:shape>
                <v:shapetype id="_x0000_t202" coordsize="21600,21600" o:spt="202" path="m,l,21600r21600,l21600,xe">
                  <v:stroke joinstyle="miter"/>
                  <v:path gradientshapeok="t" o:connecttype="rect"/>
                </v:shapetype>
                <v:shape id="_x0000_s1028" type="#_x0000_t202" style="position:absolute;top:3683;width:22923;height:23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" stroked="f">
                  <v:textbox>
                    <w:txbxContent>
                      <w:p w14:paraId="1AC358E1" w14:textId="440D648B" w:rsidR="008A47AC" w:rsidRPr="005B6DCF" w:rsidRDefault="008A47AC" w:rsidP="005B6DCF">
                        <w:pPr>
                          <w:spacing w:line="480" w:lineRule="auto"/>
                          <w:jc w:val="right"/>
                          <w:rPr>
                            <w:rFonts w:ascii="Arial" w:hAnsi="Arial" w:cs="Arial"/>
                            <w:b/>
                            <w:bCs/>
                            <w:color w:val="595959" w:themeColor="text1" w:themeTint="A6"/>
                            <w:sz w:val="18"/>
                            <w:szCs w:val="18"/>
                          </w:rPr>
                        </w:pPr>
                        <w:r w:rsidRPr="005B6DCF">
                          <w:rPr>
                            <w:rFonts w:ascii="Arial" w:hAnsi="Arial" w:cs="Arial"/>
                            <w:b/>
                            <w:bCs/>
                            <w:color w:val="595959" w:themeColor="text1" w:themeTint="A6"/>
                            <w:sz w:val="18"/>
                            <w:szCs w:val="18"/>
                          </w:rPr>
                          <w:t>Para-keratinised layer</w:t>
                        </w:r>
                      </w:p>
                    </w:txbxContent>
                  </v:textbox>
                </v:shape>
              </v:group>
            </w:pict>
          </mc:Fallback>
        </mc:AlternateContent>
      </w:r>
      <w:r w:rsidR="00B423C4" w:rsidRPr="007325CD">
        <w:rPr>
          <w:rFonts w:ascii="Arial" w:hAnsi="Arial" w:cs="Arial"/>
          <w:color w:val="595959" w:themeColor="text1" w:themeTint="A6"/>
        </w:rPr>
        <w:t xml:space="preserve">required for tissue morphogenesis, differentiation and homeostasis (Lu </w:t>
      </w:r>
      <w:r w:rsidR="00B423C4" w:rsidRPr="007325CD">
        <w:rPr>
          <w:rFonts w:ascii="Arial" w:hAnsi="Arial" w:cs="Arial"/>
          <w:i/>
          <w:color w:val="595959" w:themeColor="text1" w:themeTint="A6"/>
        </w:rPr>
        <w:t>et al.,</w:t>
      </w:r>
      <w:r w:rsidR="00B423C4" w:rsidRPr="007325CD">
        <w:rPr>
          <w:rFonts w:ascii="Arial" w:hAnsi="Arial" w:cs="Arial"/>
          <w:color w:val="595959" w:themeColor="text1" w:themeTint="A6"/>
        </w:rPr>
        <w:t xml:space="preserve"> 2012</w:t>
      </w:r>
      <w:r w:rsidR="00916152">
        <w:rPr>
          <w:rFonts w:ascii="Arial" w:hAnsi="Arial" w:cs="Arial"/>
          <w:color w:val="595959" w:themeColor="text1" w:themeTint="A6"/>
        </w:rPr>
        <w:t xml:space="preserve">, Walker </w:t>
      </w:r>
      <w:r w:rsidR="00916152" w:rsidRPr="00916152">
        <w:rPr>
          <w:rFonts w:ascii="Arial" w:hAnsi="Arial" w:cs="Arial"/>
          <w:i/>
          <w:iCs/>
          <w:color w:val="595959" w:themeColor="text1" w:themeTint="A6"/>
        </w:rPr>
        <w:t xml:space="preserve">et al., </w:t>
      </w:r>
      <w:r w:rsidR="00916152">
        <w:rPr>
          <w:rFonts w:ascii="Arial" w:hAnsi="Arial" w:cs="Arial"/>
          <w:color w:val="595959" w:themeColor="text1" w:themeTint="A6"/>
        </w:rPr>
        <w:t>2018</w:t>
      </w:r>
      <w:r w:rsidR="00B423C4" w:rsidRPr="007325CD">
        <w:rPr>
          <w:rFonts w:ascii="Arial" w:hAnsi="Arial" w:cs="Arial"/>
          <w:color w:val="595959" w:themeColor="text1" w:themeTint="A6"/>
        </w:rPr>
        <w:t xml:space="preserve">). </w:t>
      </w:r>
    </w:p>
    <w:p w14:paraId="00648F24" w14:textId="1224104C" w:rsidR="0085189A" w:rsidRDefault="0085189A" w:rsidP="0008202A">
      <w:pPr>
        <w:spacing w:line="480" w:lineRule="auto"/>
        <w:jc w:val="both"/>
        <w:rPr>
          <w:rFonts w:ascii="Arial" w:hAnsi="Arial" w:cs="Arial"/>
          <w:color w:val="595959" w:themeColor="text1" w:themeTint="A6"/>
        </w:rPr>
      </w:pPr>
    </w:p>
    <w:p w14:paraId="7C8BDBE5" w14:textId="1CCDFB19" w:rsidR="0085189A" w:rsidRDefault="0085189A" w:rsidP="0008202A">
      <w:pPr>
        <w:spacing w:line="480" w:lineRule="auto"/>
        <w:jc w:val="both"/>
        <w:rPr>
          <w:rFonts w:ascii="Arial" w:hAnsi="Arial" w:cs="Arial"/>
          <w:color w:val="595959" w:themeColor="text1" w:themeTint="A6"/>
        </w:rPr>
      </w:pPr>
    </w:p>
    <w:p w14:paraId="6F97029B" w14:textId="7A88AB39" w:rsidR="0085189A" w:rsidRDefault="0085189A" w:rsidP="0008202A">
      <w:pPr>
        <w:spacing w:line="480" w:lineRule="auto"/>
        <w:jc w:val="both"/>
        <w:rPr>
          <w:rFonts w:ascii="Arial" w:hAnsi="Arial" w:cs="Arial"/>
          <w:color w:val="595959" w:themeColor="text1" w:themeTint="A6"/>
        </w:rPr>
      </w:pPr>
    </w:p>
    <w:p w14:paraId="70493366" w14:textId="64CA7C37" w:rsidR="0085189A" w:rsidRDefault="0085189A" w:rsidP="0008202A">
      <w:pPr>
        <w:spacing w:line="480" w:lineRule="auto"/>
        <w:jc w:val="both"/>
        <w:rPr>
          <w:rFonts w:ascii="Arial" w:hAnsi="Arial" w:cs="Arial"/>
          <w:color w:val="595959" w:themeColor="text1" w:themeTint="A6"/>
        </w:rPr>
      </w:pPr>
    </w:p>
    <w:p w14:paraId="6872E460" w14:textId="2EA8DA1F" w:rsidR="0085189A" w:rsidRDefault="0085189A" w:rsidP="0008202A">
      <w:pPr>
        <w:spacing w:line="480" w:lineRule="auto"/>
        <w:jc w:val="both"/>
        <w:rPr>
          <w:rFonts w:ascii="Arial" w:hAnsi="Arial" w:cs="Arial"/>
          <w:color w:val="595959" w:themeColor="text1" w:themeTint="A6"/>
        </w:rPr>
      </w:pPr>
    </w:p>
    <w:p w14:paraId="707822E6" w14:textId="52D2ED6F" w:rsidR="0085189A" w:rsidRDefault="0085189A" w:rsidP="0008202A">
      <w:pPr>
        <w:spacing w:line="480" w:lineRule="auto"/>
        <w:jc w:val="both"/>
        <w:rPr>
          <w:rFonts w:ascii="Arial" w:hAnsi="Arial" w:cs="Arial"/>
          <w:color w:val="595959" w:themeColor="text1" w:themeTint="A6"/>
        </w:rPr>
      </w:pPr>
    </w:p>
    <w:p w14:paraId="6270C8D0" w14:textId="01C0B096" w:rsidR="0085189A" w:rsidRDefault="0085189A" w:rsidP="0008202A">
      <w:pPr>
        <w:spacing w:line="480" w:lineRule="auto"/>
        <w:jc w:val="both"/>
        <w:rPr>
          <w:rFonts w:ascii="Arial" w:hAnsi="Arial" w:cs="Arial"/>
          <w:color w:val="595959" w:themeColor="text1" w:themeTint="A6"/>
        </w:rPr>
      </w:pPr>
    </w:p>
    <w:p w14:paraId="4CC48F48" w14:textId="4477E2F2" w:rsidR="0085189A" w:rsidRDefault="0085189A" w:rsidP="0008202A">
      <w:pPr>
        <w:spacing w:line="480" w:lineRule="auto"/>
        <w:jc w:val="both"/>
        <w:rPr>
          <w:rFonts w:ascii="Arial" w:hAnsi="Arial" w:cs="Arial"/>
          <w:color w:val="595959" w:themeColor="text1" w:themeTint="A6"/>
        </w:rPr>
      </w:pPr>
    </w:p>
    <w:p w14:paraId="0C5DC9BB" w14:textId="216F448F" w:rsidR="0085189A" w:rsidRDefault="0085189A" w:rsidP="0008202A">
      <w:pPr>
        <w:spacing w:line="480" w:lineRule="auto"/>
        <w:jc w:val="both"/>
        <w:rPr>
          <w:rFonts w:ascii="Arial" w:hAnsi="Arial" w:cs="Arial"/>
          <w:color w:val="595959" w:themeColor="text1" w:themeTint="A6"/>
        </w:rPr>
      </w:pPr>
    </w:p>
    <w:p w14:paraId="43FBD58B" w14:textId="68245826" w:rsidR="0096156D" w:rsidRDefault="0096156D" w:rsidP="0008202A">
      <w:pPr>
        <w:spacing w:line="480" w:lineRule="auto"/>
        <w:jc w:val="both"/>
        <w:rPr>
          <w:rFonts w:ascii="Arial" w:hAnsi="Arial" w:cs="Arial"/>
          <w:color w:val="595959" w:themeColor="text1" w:themeTint="A6"/>
        </w:rPr>
      </w:pPr>
    </w:p>
    <w:p w14:paraId="6FD2A364" w14:textId="3F265B8A" w:rsidR="0085189A" w:rsidRDefault="0085189A" w:rsidP="0008202A">
      <w:pPr>
        <w:spacing w:line="480" w:lineRule="auto"/>
        <w:jc w:val="both"/>
        <w:rPr>
          <w:rFonts w:ascii="Arial" w:hAnsi="Arial" w:cs="Arial"/>
          <w:color w:val="595959" w:themeColor="text1" w:themeTint="A6"/>
        </w:rPr>
      </w:pPr>
    </w:p>
    <w:p w14:paraId="54B4C03B" w14:textId="3D928B95" w:rsidR="0085189A" w:rsidRPr="007325CD" w:rsidRDefault="00C90FFC" w:rsidP="0008202A">
      <w:pPr>
        <w:spacing w:line="480" w:lineRule="auto"/>
        <w:jc w:val="both"/>
        <w:rPr>
          <w:rFonts w:ascii="Arial" w:hAnsi="Arial" w:cs="Arial"/>
          <w:color w:val="595959" w:themeColor="text1" w:themeTint="A6"/>
        </w:rPr>
      </w:pPr>
      <w:r>
        <w:rPr>
          <w:noProof/>
          <w:lang w:eastAsia="zh-CN"/>
        </w:rPr>
        <mc:AlternateContent>
          <mc:Choice Requires="wps">
            <w:drawing>
              <wp:anchor distT="0" distB="0" distL="114300" distR="114300" simplePos="0" relativeHeight="251658240" behindDoc="0" locked="0" layoutInCell="1" allowOverlap="1" wp14:anchorId="4064A2E2" wp14:editId="5F63C1A5">
                <wp:simplePos x="0" y="0"/>
                <wp:positionH relativeFrom="margin">
                  <wp:posOffset>241300</wp:posOffset>
                </wp:positionH>
                <wp:positionV relativeFrom="paragraph">
                  <wp:posOffset>14605</wp:posOffset>
                </wp:positionV>
                <wp:extent cx="5730949" cy="342900"/>
                <wp:effectExtent l="0" t="0" r="3175" b="0"/>
                <wp:wrapNone/>
                <wp:docPr id="20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0949" cy="342900"/>
                        </a:xfrm>
                        <a:prstGeom prst="rect">
                          <a:avLst/>
                        </a:prstGeom>
                        <a:solidFill>
                          <a:srgbClr val="FFFFFF"/>
                        </a:solidFill>
                        <a:ln w="9525">
                          <a:noFill/>
                          <a:miter lim="800000"/>
                          <a:headEnd/>
                          <a:tailEnd/>
                        </a:ln>
                      </wps:spPr>
                      <wps:txbx>
                        <w:txbxContent>
                          <w:p w14:paraId="4DEA36BC" w14:textId="326FB8AF" w:rsidR="008A47AC" w:rsidRPr="00A40497" w:rsidRDefault="008A47AC" w:rsidP="00A40497">
                            <w:pPr>
                              <w:pStyle w:val="Caption"/>
                              <w:jc w:val="both"/>
                              <w:rPr>
                                <w:rFonts w:ascii="Arial Narrow" w:hAnsi="Arial Narrow" w:cs="Arial"/>
                                <w:b/>
                                <w:bCs/>
                                <w:i w:val="0"/>
                                <w:iCs w:val="0"/>
                                <w:color w:val="595959" w:themeColor="text1" w:themeTint="A6"/>
                                <w:sz w:val="22"/>
                                <w:szCs w:val="22"/>
                              </w:rPr>
                            </w:pPr>
                            <w:bookmarkStart w:id="18" w:name="_Toc20428124"/>
                            <w:r w:rsidRPr="00A40497">
                              <w:rPr>
                                <w:rFonts w:ascii="Arial Narrow" w:hAnsi="Arial Narrow" w:cs="Arial"/>
                                <w:b/>
                                <w:bCs/>
                                <w:i w:val="0"/>
                                <w:iCs w:val="0"/>
                                <w:color w:val="595959" w:themeColor="text1" w:themeTint="A6"/>
                                <w:sz w:val="22"/>
                                <w:szCs w:val="22"/>
                              </w:rPr>
                              <w:t xml:space="preserve">Figure </w:t>
                            </w:r>
                            <w:r>
                              <w:rPr>
                                <w:rFonts w:ascii="Arial Narrow" w:hAnsi="Arial Narrow" w:cs="Arial"/>
                                <w:b/>
                                <w:bCs/>
                                <w:i w:val="0"/>
                                <w:iCs w:val="0"/>
                                <w:color w:val="595959" w:themeColor="text1" w:themeTint="A6"/>
                                <w:sz w:val="22"/>
                                <w:szCs w:val="22"/>
                              </w:rPr>
                              <w:t>1</w:t>
                            </w:r>
                            <w:r w:rsidRPr="00A40497">
                              <w:rPr>
                                <w:rFonts w:ascii="Arial Narrow" w:hAnsi="Arial Narrow" w:cs="Arial"/>
                                <w:b/>
                                <w:bCs/>
                                <w:i w:val="0"/>
                                <w:iCs w:val="0"/>
                                <w:color w:val="595959" w:themeColor="text1" w:themeTint="A6"/>
                                <w:sz w:val="22"/>
                                <w:szCs w:val="22"/>
                              </w:rPr>
                              <w:t>.1 Schematic of the cell layers found in the oral mucosa</w:t>
                            </w:r>
                            <w:bookmarkEnd w:id="18"/>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64A2E2" id="Text Box 2" o:spid="_x0000_s1029" type="#_x0000_t202" style="position:absolute;left:0;text-align:left;margin-left:19pt;margin-top:1.15pt;width:451.25pt;height:27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" stroked="f">
                <v:textbox>
                  <w:txbxContent>
                    <w:p w14:paraId="4DEA36BC" w14:textId="326FB8AF" w:rsidR="008A47AC" w:rsidRPr="00A40497" w:rsidRDefault="008A47AC" w:rsidP="00A40497">
                      <w:pPr>
                        <w:pStyle w:val="Caption"/>
                        <w:jc w:val="both"/>
                        <w:rPr>
                          <w:rFonts w:ascii="Arial Narrow" w:hAnsi="Arial Narrow" w:cs="Arial"/>
                          <w:b/>
                          <w:bCs/>
                          <w:i w:val="0"/>
                          <w:iCs w:val="0"/>
                          <w:color w:val="595959" w:themeColor="text1" w:themeTint="A6"/>
                          <w:sz w:val="22"/>
                          <w:szCs w:val="22"/>
                        </w:rPr>
                      </w:pPr>
                      <w:bookmarkStart w:id="19" w:name="_Toc20428124"/>
                      <w:r w:rsidRPr="00A40497">
                        <w:rPr>
                          <w:rFonts w:ascii="Arial Narrow" w:hAnsi="Arial Narrow" w:cs="Arial"/>
                          <w:b/>
                          <w:bCs/>
                          <w:i w:val="0"/>
                          <w:iCs w:val="0"/>
                          <w:color w:val="595959" w:themeColor="text1" w:themeTint="A6"/>
                          <w:sz w:val="22"/>
                          <w:szCs w:val="22"/>
                        </w:rPr>
                        <w:t xml:space="preserve">Figure </w:t>
                      </w:r>
                      <w:r>
                        <w:rPr>
                          <w:rFonts w:ascii="Arial Narrow" w:hAnsi="Arial Narrow" w:cs="Arial"/>
                          <w:b/>
                          <w:bCs/>
                          <w:i w:val="0"/>
                          <w:iCs w:val="0"/>
                          <w:color w:val="595959" w:themeColor="text1" w:themeTint="A6"/>
                          <w:sz w:val="22"/>
                          <w:szCs w:val="22"/>
                        </w:rPr>
                        <w:t>1</w:t>
                      </w:r>
                      <w:r w:rsidRPr="00A40497">
                        <w:rPr>
                          <w:rFonts w:ascii="Arial Narrow" w:hAnsi="Arial Narrow" w:cs="Arial"/>
                          <w:b/>
                          <w:bCs/>
                          <w:i w:val="0"/>
                          <w:iCs w:val="0"/>
                          <w:color w:val="595959" w:themeColor="text1" w:themeTint="A6"/>
                          <w:sz w:val="22"/>
                          <w:szCs w:val="22"/>
                        </w:rPr>
                        <w:t>.1 Schematic of the cell layers found in the oral mucosa</w:t>
                      </w:r>
                      <w:bookmarkEnd w:id="19"/>
                    </w:p>
                  </w:txbxContent>
                </v:textbox>
                <w10:wrap anchorx="margin"/>
              </v:shape>
            </w:pict>
          </mc:Fallback>
        </mc:AlternateContent>
      </w:r>
    </w:p>
    <w:p w14:paraId="6C481983" w14:textId="4E76B3A0" w:rsidR="00CD6995" w:rsidRDefault="00CD6995" w:rsidP="009D02AC">
      <w:pPr>
        <w:pStyle w:val="Heading3"/>
        <w:numPr>
          <w:ilvl w:val="2"/>
          <w:numId w:val="4"/>
        </w:numPr>
        <w:rPr>
          <w:rFonts w:ascii="Arial" w:hAnsi="Arial" w:cs="Arial"/>
          <w:i/>
          <w:iCs/>
          <w:color w:val="595959" w:themeColor="text1" w:themeTint="A6"/>
        </w:rPr>
      </w:pPr>
      <w:bookmarkStart w:id="19" w:name="_Toc20423469"/>
      <w:bookmarkStart w:id="20" w:name="_Toc34208244"/>
      <w:r w:rsidRPr="000C332A">
        <w:rPr>
          <w:rFonts w:ascii="Arial" w:hAnsi="Arial" w:cs="Arial"/>
          <w:i/>
          <w:iCs/>
          <w:color w:val="595959" w:themeColor="text1" w:themeTint="A6"/>
        </w:rPr>
        <w:t>Biochemical roles of the ECM</w:t>
      </w:r>
      <w:bookmarkEnd w:id="19"/>
      <w:bookmarkEnd w:id="20"/>
    </w:p>
    <w:p w14:paraId="3A9A59E0" w14:textId="77777777" w:rsidR="009D02AC" w:rsidRPr="009D02AC" w:rsidRDefault="009D02AC" w:rsidP="009D02AC">
      <w:pPr>
        <w:pStyle w:val="ListParagraph"/>
      </w:pPr>
    </w:p>
    <w:p w14:paraId="2507B97E" w14:textId="4C6C7653" w:rsidR="00CD6995" w:rsidRPr="007325CD" w:rsidRDefault="00CD6995" w:rsidP="006756A8">
      <w:pPr>
        <w:spacing w:line="480" w:lineRule="auto"/>
        <w:jc w:val="both"/>
        <w:rPr>
          <w:rFonts w:ascii="Arial" w:hAnsi="Arial" w:cs="Arial"/>
          <w:iCs/>
          <w:color w:val="595959" w:themeColor="text1" w:themeTint="A6"/>
        </w:rPr>
      </w:pPr>
      <w:r w:rsidRPr="00661C4F">
        <w:rPr>
          <w:rFonts w:ascii="Arial" w:hAnsi="Arial" w:cs="Arial"/>
          <w:iCs/>
          <w:color w:val="595959" w:themeColor="text1" w:themeTint="A6"/>
        </w:rPr>
        <w:t>The responsiveness of cell types within the microenvironment is dependent on specific and highly complex signalling events allowing cell</w:t>
      </w:r>
      <w:r w:rsidR="008B73A2" w:rsidRPr="00661C4F">
        <w:rPr>
          <w:rFonts w:ascii="Arial" w:hAnsi="Arial" w:cs="Arial"/>
          <w:iCs/>
          <w:color w:val="595959" w:themeColor="text1" w:themeTint="A6"/>
        </w:rPr>
        <w:t>s</w:t>
      </w:r>
      <w:r w:rsidRPr="00661C4F">
        <w:rPr>
          <w:rFonts w:ascii="Arial" w:hAnsi="Arial" w:cs="Arial"/>
          <w:iCs/>
          <w:color w:val="595959" w:themeColor="text1" w:themeTint="A6"/>
        </w:rPr>
        <w:t xml:space="preserve"> to ‘sense’ their environment. For this reason, the ECM surface is functionally adapted to express a variety of receptors including integrins, transmembrane proteoglycans and discoidin domain types that can influence cellular events (Hynes, 2009). </w:t>
      </w:r>
      <w:r w:rsidR="00A75C63" w:rsidRPr="00661C4F">
        <w:rPr>
          <w:rFonts w:ascii="Arial" w:hAnsi="Arial" w:cs="Arial"/>
          <w:iCs/>
          <w:color w:val="595959" w:themeColor="text1" w:themeTint="A6"/>
        </w:rPr>
        <w:t xml:space="preserve">Integrins </w:t>
      </w:r>
      <w:r w:rsidR="00F376CF" w:rsidRPr="00661C4F">
        <w:rPr>
          <w:rFonts w:ascii="Arial" w:hAnsi="Arial" w:cs="Arial"/>
          <w:iCs/>
          <w:color w:val="595959" w:themeColor="text1" w:themeTint="A6"/>
        </w:rPr>
        <w:t xml:space="preserve">are </w:t>
      </w:r>
      <w:r w:rsidR="006115B7" w:rsidRPr="00661C4F">
        <w:rPr>
          <w:rFonts w:ascii="Arial" w:hAnsi="Arial" w:cs="Arial"/>
          <w:iCs/>
          <w:color w:val="595959" w:themeColor="text1" w:themeTint="A6"/>
        </w:rPr>
        <w:t xml:space="preserve">versatile </w:t>
      </w:r>
      <w:r w:rsidR="00F376CF" w:rsidRPr="00661C4F">
        <w:rPr>
          <w:rFonts w:ascii="Arial" w:hAnsi="Arial" w:cs="Arial"/>
          <w:iCs/>
          <w:color w:val="595959" w:themeColor="text1" w:themeTint="A6"/>
        </w:rPr>
        <w:t xml:space="preserve">in structure and can bind </w:t>
      </w:r>
      <w:r w:rsidR="00045447" w:rsidRPr="00661C4F">
        <w:rPr>
          <w:rFonts w:ascii="Arial" w:hAnsi="Arial" w:cs="Arial"/>
          <w:iCs/>
          <w:color w:val="595959" w:themeColor="text1" w:themeTint="A6"/>
        </w:rPr>
        <w:t>numerous protein</w:t>
      </w:r>
      <w:r w:rsidR="00660953" w:rsidRPr="00661C4F">
        <w:rPr>
          <w:rFonts w:ascii="Arial" w:hAnsi="Arial" w:cs="Arial"/>
          <w:iCs/>
          <w:color w:val="595959" w:themeColor="text1" w:themeTint="A6"/>
        </w:rPr>
        <w:t xml:space="preserve"> types</w:t>
      </w:r>
      <w:r w:rsidR="00045447" w:rsidRPr="00661C4F">
        <w:rPr>
          <w:rFonts w:ascii="Arial" w:hAnsi="Arial" w:cs="Arial"/>
          <w:iCs/>
          <w:color w:val="595959" w:themeColor="text1" w:themeTint="A6"/>
        </w:rPr>
        <w:t xml:space="preserve"> (</w:t>
      </w:r>
      <w:r w:rsidR="00F376CF" w:rsidRPr="00661C4F">
        <w:rPr>
          <w:rFonts w:ascii="Arial" w:hAnsi="Arial" w:cs="Arial"/>
          <w:iCs/>
          <w:color w:val="595959" w:themeColor="text1" w:themeTint="A6"/>
        </w:rPr>
        <w:t>fibronectin, laminin and collagen</w:t>
      </w:r>
      <w:r w:rsidR="00045447" w:rsidRPr="00661C4F">
        <w:rPr>
          <w:rFonts w:ascii="Arial" w:hAnsi="Arial" w:cs="Arial"/>
          <w:iCs/>
          <w:color w:val="595959" w:themeColor="text1" w:themeTint="A6"/>
        </w:rPr>
        <w:t>)</w:t>
      </w:r>
      <w:r w:rsidR="00F376CF" w:rsidRPr="00661C4F">
        <w:rPr>
          <w:rFonts w:ascii="Arial" w:hAnsi="Arial" w:cs="Arial"/>
          <w:iCs/>
          <w:color w:val="595959" w:themeColor="text1" w:themeTint="A6"/>
        </w:rPr>
        <w:t xml:space="preserve">. </w:t>
      </w:r>
      <w:r w:rsidR="009036B2" w:rsidRPr="00661C4F">
        <w:rPr>
          <w:rFonts w:ascii="Arial" w:hAnsi="Arial" w:cs="Arial"/>
          <w:iCs/>
          <w:color w:val="595959" w:themeColor="text1" w:themeTint="A6"/>
        </w:rPr>
        <w:t xml:space="preserve">The ECM acts as a binding reservoir for various growth factors and cytokines that are released once the ECM molecules are degraded or during alterations in matrix rigidity (Lukashev &amp; Werb 1998). </w:t>
      </w:r>
      <w:r w:rsidRPr="00661C4F">
        <w:rPr>
          <w:rFonts w:ascii="Arial" w:hAnsi="Arial" w:cs="Arial"/>
          <w:iCs/>
          <w:color w:val="595959" w:themeColor="text1" w:themeTint="A6"/>
        </w:rPr>
        <w:t>Th</w:t>
      </w:r>
      <w:r w:rsidR="009036B2" w:rsidRPr="00661C4F">
        <w:rPr>
          <w:rFonts w:ascii="Arial" w:hAnsi="Arial" w:cs="Arial"/>
          <w:iCs/>
          <w:color w:val="595959" w:themeColor="text1" w:themeTint="A6"/>
        </w:rPr>
        <w:t xml:space="preserve">is is due to it being a </w:t>
      </w:r>
      <w:r w:rsidRPr="00661C4F">
        <w:rPr>
          <w:rFonts w:ascii="Arial" w:hAnsi="Arial" w:cs="Arial"/>
          <w:iCs/>
          <w:color w:val="595959" w:themeColor="text1" w:themeTint="A6"/>
        </w:rPr>
        <w:t xml:space="preserve">highly charged </w:t>
      </w:r>
      <w:r w:rsidRPr="007325CD">
        <w:rPr>
          <w:rFonts w:ascii="Arial" w:hAnsi="Arial" w:cs="Arial"/>
          <w:iCs/>
          <w:color w:val="595959" w:themeColor="text1" w:themeTint="A6"/>
        </w:rPr>
        <w:lastRenderedPageBreak/>
        <w:t>meshwork due to</w:t>
      </w:r>
      <w:r w:rsidR="00D32027">
        <w:rPr>
          <w:rFonts w:ascii="Arial" w:hAnsi="Arial" w:cs="Arial"/>
          <w:iCs/>
          <w:color w:val="595959" w:themeColor="text1" w:themeTint="A6"/>
        </w:rPr>
        <w:t xml:space="preserve"> </w:t>
      </w:r>
      <w:r w:rsidRPr="007325CD">
        <w:rPr>
          <w:rFonts w:ascii="Arial" w:hAnsi="Arial" w:cs="Arial"/>
          <w:iCs/>
          <w:color w:val="595959" w:themeColor="text1" w:themeTint="A6"/>
        </w:rPr>
        <w:t>abundant polysaccharide modification</w:t>
      </w:r>
      <w:r w:rsidR="00D32027">
        <w:rPr>
          <w:rFonts w:ascii="Arial" w:hAnsi="Arial" w:cs="Arial"/>
          <w:iCs/>
          <w:color w:val="595959" w:themeColor="text1" w:themeTint="A6"/>
        </w:rPr>
        <w:t>s and</w:t>
      </w:r>
      <w:r w:rsidRPr="007325CD">
        <w:rPr>
          <w:rFonts w:ascii="Arial" w:hAnsi="Arial" w:cs="Arial"/>
          <w:iCs/>
          <w:color w:val="595959" w:themeColor="text1" w:themeTint="A6"/>
        </w:rPr>
        <w:t xml:space="preserve"> can bind a plethora of growth factors including but not limited to fibroblast growth factors (FGF), morphogenic proteins, and ligands such as Hhg and Wnt (Lu </w:t>
      </w:r>
      <w:r w:rsidRPr="007325CD">
        <w:rPr>
          <w:rFonts w:ascii="Arial" w:hAnsi="Arial" w:cs="Arial"/>
          <w:i/>
          <w:iCs/>
          <w:color w:val="595959" w:themeColor="text1" w:themeTint="A6"/>
        </w:rPr>
        <w:t>et al</w:t>
      </w:r>
      <w:r w:rsidRPr="007325CD">
        <w:rPr>
          <w:rFonts w:ascii="Arial" w:hAnsi="Arial" w:cs="Arial"/>
          <w:iCs/>
          <w:color w:val="595959" w:themeColor="text1" w:themeTint="A6"/>
        </w:rPr>
        <w:t xml:space="preserve">., 2012). </w:t>
      </w:r>
      <w:r w:rsidR="000D1D05">
        <w:rPr>
          <w:rFonts w:ascii="Arial" w:hAnsi="Arial" w:cs="Arial"/>
          <w:iCs/>
          <w:color w:val="595959" w:themeColor="text1" w:themeTint="A6"/>
        </w:rPr>
        <w:t>The release of m</w:t>
      </w:r>
      <w:r w:rsidRPr="007325CD">
        <w:rPr>
          <w:rFonts w:ascii="Arial" w:hAnsi="Arial" w:cs="Arial"/>
          <w:iCs/>
          <w:color w:val="595959" w:themeColor="text1" w:themeTint="A6"/>
        </w:rPr>
        <w:t>atrix metalloproteases (MMP) proteolytically cleav</w:t>
      </w:r>
      <w:r w:rsidR="000D1D05">
        <w:rPr>
          <w:rFonts w:ascii="Arial" w:hAnsi="Arial" w:cs="Arial"/>
          <w:iCs/>
          <w:color w:val="595959" w:themeColor="text1" w:themeTint="A6"/>
        </w:rPr>
        <w:t>e</w:t>
      </w:r>
      <w:r w:rsidRPr="007325CD">
        <w:rPr>
          <w:rFonts w:ascii="Arial" w:hAnsi="Arial" w:cs="Arial"/>
          <w:iCs/>
          <w:color w:val="595959" w:themeColor="text1" w:themeTint="A6"/>
        </w:rPr>
        <w:t xml:space="preserve"> proteins to produce biologically active signalling fragments that too can cause changes in cell behaviour (Sternlicht and Werb, 2001).</w:t>
      </w:r>
      <w:r w:rsidR="0097522E">
        <w:rPr>
          <w:rFonts w:ascii="Arial" w:hAnsi="Arial" w:cs="Arial"/>
          <w:iCs/>
          <w:color w:val="595959" w:themeColor="text1" w:themeTint="A6"/>
        </w:rPr>
        <w:t xml:space="preserve"> </w:t>
      </w:r>
      <w:r w:rsidRPr="007325CD">
        <w:rPr>
          <w:rFonts w:ascii="Arial" w:hAnsi="Arial" w:cs="Arial"/>
          <w:iCs/>
          <w:color w:val="595959" w:themeColor="text1" w:themeTint="A6"/>
        </w:rPr>
        <w:t>Decorin (collagen-associated proteoglycan) acts as a depot for</w:t>
      </w:r>
      <w:r w:rsidR="00D32027">
        <w:rPr>
          <w:rFonts w:ascii="Arial" w:hAnsi="Arial" w:cs="Arial"/>
          <w:iCs/>
          <w:color w:val="595959" w:themeColor="text1" w:themeTint="A6"/>
        </w:rPr>
        <w:t xml:space="preserve"> transforming growth factor</w:t>
      </w:r>
      <w:r w:rsidR="00662D74">
        <w:rPr>
          <w:rFonts w:ascii="Arial" w:hAnsi="Arial" w:cs="Arial"/>
          <w:iCs/>
          <w:color w:val="595959" w:themeColor="text1" w:themeTint="A6"/>
        </w:rPr>
        <w:t>-</w:t>
      </w:r>
      <w:r w:rsidR="00D32027">
        <w:rPr>
          <w:rFonts w:ascii="Arial" w:hAnsi="Arial" w:cs="Arial"/>
          <w:iCs/>
          <w:color w:val="595959" w:themeColor="text1" w:themeTint="A6"/>
        </w:rPr>
        <w:t>β</w:t>
      </w:r>
      <w:r w:rsidRPr="007325CD">
        <w:rPr>
          <w:rFonts w:ascii="Arial" w:hAnsi="Arial" w:cs="Arial"/>
          <w:iCs/>
          <w:color w:val="595959" w:themeColor="text1" w:themeTint="A6"/>
        </w:rPr>
        <w:t xml:space="preserve"> </w:t>
      </w:r>
      <w:r w:rsidR="00D32027">
        <w:rPr>
          <w:rFonts w:ascii="Arial" w:hAnsi="Arial" w:cs="Arial"/>
          <w:iCs/>
          <w:color w:val="595959" w:themeColor="text1" w:themeTint="A6"/>
        </w:rPr>
        <w:t>(</w:t>
      </w:r>
      <w:r w:rsidRPr="007325CD">
        <w:rPr>
          <w:rFonts w:ascii="Arial" w:hAnsi="Arial" w:cs="Arial"/>
          <w:iCs/>
          <w:color w:val="595959" w:themeColor="text1" w:themeTint="A6"/>
        </w:rPr>
        <w:t>TGF-β</w:t>
      </w:r>
      <w:r w:rsidR="00D32027">
        <w:rPr>
          <w:rFonts w:ascii="Arial" w:hAnsi="Arial" w:cs="Arial"/>
          <w:iCs/>
          <w:color w:val="595959" w:themeColor="text1" w:themeTint="A6"/>
        </w:rPr>
        <w:t>)</w:t>
      </w:r>
      <w:r w:rsidRPr="007325CD">
        <w:rPr>
          <w:rFonts w:ascii="Arial" w:hAnsi="Arial" w:cs="Arial"/>
          <w:iCs/>
          <w:color w:val="595959" w:themeColor="text1" w:themeTint="A6"/>
        </w:rPr>
        <w:t xml:space="preserve">, </w:t>
      </w:r>
      <w:r w:rsidR="006756A8">
        <w:rPr>
          <w:rFonts w:ascii="Arial" w:hAnsi="Arial" w:cs="Arial"/>
          <w:iCs/>
          <w:color w:val="595959" w:themeColor="text1" w:themeTint="A6"/>
        </w:rPr>
        <w:t xml:space="preserve">matrix </w:t>
      </w:r>
      <w:r w:rsidRPr="007325CD">
        <w:rPr>
          <w:rFonts w:ascii="Arial" w:hAnsi="Arial" w:cs="Arial"/>
          <w:iCs/>
          <w:color w:val="595959" w:themeColor="text1" w:themeTint="A6"/>
        </w:rPr>
        <w:t xml:space="preserve">degradation by MMP makes TGF-β available to implement its biologic functions (Imai </w:t>
      </w:r>
      <w:r w:rsidRPr="007325CD">
        <w:rPr>
          <w:rFonts w:ascii="Arial" w:hAnsi="Arial" w:cs="Arial"/>
          <w:i/>
          <w:iCs/>
          <w:color w:val="595959" w:themeColor="text1" w:themeTint="A6"/>
        </w:rPr>
        <w:t>et al.</w:t>
      </w:r>
      <w:r w:rsidRPr="007325CD">
        <w:rPr>
          <w:rFonts w:ascii="Arial" w:hAnsi="Arial" w:cs="Arial"/>
          <w:iCs/>
          <w:color w:val="595959" w:themeColor="text1" w:themeTint="A6"/>
        </w:rPr>
        <w:t xml:space="preserve"> 1997). One such function is to provide a negative feed-back loop by inhibiting the expression of several MMP genes. </w:t>
      </w:r>
    </w:p>
    <w:p w14:paraId="7828D0E9" w14:textId="7B5C912E" w:rsidR="004515AC" w:rsidRDefault="004515AC" w:rsidP="009D02AC">
      <w:pPr>
        <w:pStyle w:val="Heading3"/>
        <w:numPr>
          <w:ilvl w:val="2"/>
          <w:numId w:val="4"/>
        </w:numPr>
        <w:rPr>
          <w:rFonts w:ascii="Arial" w:hAnsi="Arial" w:cs="Arial"/>
          <w:i/>
          <w:iCs/>
          <w:color w:val="595959" w:themeColor="text1" w:themeTint="A6"/>
        </w:rPr>
      </w:pPr>
      <w:bookmarkStart w:id="21" w:name="_Toc34208245"/>
      <w:r w:rsidRPr="000C332A">
        <w:rPr>
          <w:rFonts w:ascii="Arial" w:hAnsi="Arial" w:cs="Arial"/>
          <w:i/>
          <w:iCs/>
          <w:color w:val="595959" w:themeColor="text1" w:themeTint="A6"/>
        </w:rPr>
        <w:t>Mechanical roles of the ECM</w:t>
      </w:r>
      <w:bookmarkEnd w:id="21"/>
    </w:p>
    <w:p w14:paraId="057BD9BB" w14:textId="77777777" w:rsidR="009D02AC" w:rsidRPr="009D02AC" w:rsidRDefault="009D02AC" w:rsidP="009D02AC">
      <w:pPr>
        <w:pStyle w:val="ListParagraph"/>
      </w:pPr>
    </w:p>
    <w:p w14:paraId="671D6BEA" w14:textId="4A6AD04C" w:rsidR="004515AC" w:rsidRPr="00661C4F" w:rsidRDefault="004515AC" w:rsidP="001A4145">
      <w:pPr>
        <w:spacing w:line="480" w:lineRule="auto"/>
        <w:jc w:val="both"/>
        <w:rPr>
          <w:rFonts w:ascii="Arial" w:hAnsi="Arial" w:cs="Arial"/>
          <w:iCs/>
          <w:color w:val="595959" w:themeColor="text1" w:themeTint="A6"/>
        </w:rPr>
      </w:pPr>
      <w:r w:rsidRPr="007325CD">
        <w:rPr>
          <w:rFonts w:ascii="Arial" w:hAnsi="Arial" w:cs="Arial"/>
          <w:iCs/>
          <w:color w:val="595959" w:themeColor="text1" w:themeTint="A6"/>
        </w:rPr>
        <w:t>Compliance-dependent cellular behaviour is observable in mesenchymal cell populations and the ECM can respond to neighbouring cells that subject it to their isometric forces. The ECM exhibits biomechanical properties such as responding to changes in elasticity to help perceive and sense external forces, thus providing key environmental cue</w:t>
      </w:r>
      <w:r w:rsidR="003C37CC">
        <w:rPr>
          <w:rFonts w:ascii="Arial" w:hAnsi="Arial" w:cs="Arial"/>
          <w:iCs/>
          <w:color w:val="595959" w:themeColor="text1" w:themeTint="A6"/>
        </w:rPr>
        <w:t>s</w:t>
      </w:r>
      <w:r w:rsidRPr="007325CD">
        <w:rPr>
          <w:rFonts w:ascii="Arial" w:hAnsi="Arial" w:cs="Arial"/>
          <w:iCs/>
          <w:color w:val="595959" w:themeColor="text1" w:themeTint="A6"/>
        </w:rPr>
        <w:t xml:space="preserve"> (Lu </w:t>
      </w:r>
      <w:r w:rsidRPr="007325CD">
        <w:rPr>
          <w:rFonts w:ascii="Arial" w:hAnsi="Arial" w:cs="Arial"/>
          <w:i/>
          <w:iCs/>
          <w:color w:val="595959" w:themeColor="text1" w:themeTint="A6"/>
        </w:rPr>
        <w:t>et al</w:t>
      </w:r>
      <w:r w:rsidRPr="007325CD">
        <w:rPr>
          <w:rFonts w:ascii="Arial" w:hAnsi="Arial" w:cs="Arial"/>
          <w:iCs/>
          <w:color w:val="595959" w:themeColor="text1" w:themeTint="A6"/>
        </w:rPr>
        <w:t>., 2012). Focal adhesion complexes (FAC) act as mecha</w:t>
      </w:r>
      <w:r w:rsidRPr="00661C4F">
        <w:rPr>
          <w:rFonts w:ascii="Arial" w:hAnsi="Arial" w:cs="Arial"/>
          <w:iCs/>
          <w:color w:val="595959" w:themeColor="text1" w:themeTint="A6"/>
        </w:rPr>
        <w:t>nosensors; consisting of integrin</w:t>
      </w:r>
      <w:r w:rsidR="00C23DE5" w:rsidRPr="00661C4F">
        <w:rPr>
          <w:rFonts w:ascii="Arial" w:hAnsi="Arial" w:cs="Arial"/>
          <w:iCs/>
          <w:color w:val="595959" w:themeColor="text1" w:themeTint="A6"/>
        </w:rPr>
        <w:t xml:space="preserve"> receptors</w:t>
      </w:r>
      <w:r w:rsidRPr="00661C4F">
        <w:rPr>
          <w:rFonts w:ascii="Arial" w:hAnsi="Arial" w:cs="Arial"/>
          <w:iCs/>
          <w:color w:val="595959" w:themeColor="text1" w:themeTint="A6"/>
        </w:rPr>
        <w:t>, multi-complex adaptors and signalling proteins. Adaptors such as Talin and p13Cas undergo conformational changes</w:t>
      </w:r>
      <w:r w:rsidR="006115B7" w:rsidRPr="00661C4F">
        <w:rPr>
          <w:rFonts w:ascii="Arial" w:hAnsi="Arial" w:cs="Arial"/>
          <w:iCs/>
          <w:color w:val="595959" w:themeColor="text1" w:themeTint="A6"/>
        </w:rPr>
        <w:t>. This f</w:t>
      </w:r>
      <w:r w:rsidRPr="00661C4F">
        <w:rPr>
          <w:rFonts w:ascii="Arial" w:hAnsi="Arial" w:cs="Arial"/>
          <w:iCs/>
          <w:color w:val="595959" w:themeColor="text1" w:themeTint="A6"/>
        </w:rPr>
        <w:t>unction</w:t>
      </w:r>
      <w:r w:rsidR="006115B7" w:rsidRPr="00661C4F">
        <w:rPr>
          <w:rFonts w:ascii="Arial" w:hAnsi="Arial" w:cs="Arial"/>
          <w:iCs/>
          <w:color w:val="595959" w:themeColor="text1" w:themeTint="A6"/>
        </w:rPr>
        <w:t xml:space="preserve"> is a</w:t>
      </w:r>
      <w:r w:rsidRPr="00661C4F">
        <w:rPr>
          <w:rFonts w:ascii="Arial" w:hAnsi="Arial" w:cs="Arial"/>
          <w:iCs/>
          <w:color w:val="595959" w:themeColor="text1" w:themeTint="A6"/>
        </w:rPr>
        <w:t xml:space="preserve"> consequence </w:t>
      </w:r>
      <w:r w:rsidR="006115B7" w:rsidRPr="00661C4F">
        <w:rPr>
          <w:rFonts w:ascii="Arial" w:hAnsi="Arial" w:cs="Arial"/>
          <w:iCs/>
          <w:color w:val="595959" w:themeColor="text1" w:themeTint="A6"/>
        </w:rPr>
        <w:t>of the</w:t>
      </w:r>
      <w:r w:rsidRPr="00661C4F">
        <w:rPr>
          <w:rFonts w:ascii="Arial" w:hAnsi="Arial" w:cs="Arial"/>
          <w:iCs/>
          <w:color w:val="595959" w:themeColor="text1" w:themeTint="A6"/>
        </w:rPr>
        <w:t xml:space="preserve"> appli</w:t>
      </w:r>
      <w:r w:rsidR="00674515" w:rsidRPr="00661C4F">
        <w:rPr>
          <w:rFonts w:ascii="Arial" w:hAnsi="Arial" w:cs="Arial"/>
          <w:iCs/>
          <w:color w:val="595959" w:themeColor="text1" w:themeTint="A6"/>
        </w:rPr>
        <w:t xml:space="preserve">ed force </w:t>
      </w:r>
      <w:r w:rsidR="006115B7" w:rsidRPr="00661C4F">
        <w:rPr>
          <w:rFonts w:ascii="Arial" w:hAnsi="Arial" w:cs="Arial"/>
          <w:iCs/>
          <w:color w:val="595959" w:themeColor="text1" w:themeTint="A6"/>
        </w:rPr>
        <w:t xml:space="preserve">against them and are </w:t>
      </w:r>
      <w:r w:rsidR="00674515" w:rsidRPr="00661C4F">
        <w:rPr>
          <w:rFonts w:ascii="Arial" w:hAnsi="Arial" w:cs="Arial"/>
          <w:iCs/>
          <w:color w:val="595959" w:themeColor="text1" w:themeTint="A6"/>
        </w:rPr>
        <w:t xml:space="preserve">capable of sensing </w:t>
      </w:r>
      <w:r w:rsidRPr="00661C4F">
        <w:rPr>
          <w:rFonts w:ascii="Arial" w:hAnsi="Arial" w:cs="Arial"/>
          <w:iCs/>
          <w:color w:val="595959" w:themeColor="text1" w:themeTint="A6"/>
        </w:rPr>
        <w:t xml:space="preserve">elastic changes (Wang </w:t>
      </w:r>
      <w:r w:rsidRPr="00661C4F">
        <w:rPr>
          <w:rFonts w:ascii="Arial" w:hAnsi="Arial" w:cs="Arial"/>
          <w:i/>
          <w:iCs/>
          <w:color w:val="595959" w:themeColor="text1" w:themeTint="A6"/>
        </w:rPr>
        <w:t>et al</w:t>
      </w:r>
      <w:r w:rsidRPr="00661C4F">
        <w:rPr>
          <w:rFonts w:ascii="Arial" w:hAnsi="Arial" w:cs="Arial"/>
          <w:iCs/>
          <w:color w:val="595959" w:themeColor="text1" w:themeTint="A6"/>
        </w:rPr>
        <w:t xml:space="preserve">., 2011). </w:t>
      </w:r>
      <w:r w:rsidRPr="007325CD">
        <w:rPr>
          <w:rFonts w:ascii="Arial" w:hAnsi="Arial" w:cs="Arial"/>
          <w:iCs/>
          <w:color w:val="595959" w:themeColor="text1" w:themeTint="A6"/>
        </w:rPr>
        <w:t xml:space="preserve">ECM stiffness is therefore a </w:t>
      </w:r>
      <w:r w:rsidR="00D32027">
        <w:rPr>
          <w:rFonts w:ascii="Arial" w:hAnsi="Arial" w:cs="Arial"/>
          <w:iCs/>
          <w:color w:val="595959" w:themeColor="text1" w:themeTint="A6"/>
        </w:rPr>
        <w:t>sustained</w:t>
      </w:r>
      <w:r w:rsidRPr="007325CD">
        <w:rPr>
          <w:rFonts w:ascii="Arial" w:hAnsi="Arial" w:cs="Arial"/>
          <w:iCs/>
          <w:color w:val="595959" w:themeColor="text1" w:themeTint="A6"/>
        </w:rPr>
        <w:t xml:space="preserve"> isometric force exhibited at a nanoscale level. An increase in ECM protein </w:t>
      </w:r>
      <w:r w:rsidRPr="00661C4F">
        <w:rPr>
          <w:rFonts w:ascii="Arial" w:hAnsi="Arial" w:cs="Arial"/>
          <w:iCs/>
          <w:color w:val="595959" w:themeColor="text1" w:themeTint="A6"/>
        </w:rPr>
        <w:t xml:space="preserve">production causes elevated matrix cross-linking and a subsequent reorganisation of matrix fibrils in the stromal matrix (Wells, 2008). This tissue stiffening alters the availability of growth factors and can alter the migratory status of cells. This refinement explains the heterogeneity of mechanical compliance in varying tissues including the lung, kidney, muscle myotubes, tendons and skin (Lu </w:t>
      </w:r>
      <w:r w:rsidRPr="00661C4F">
        <w:rPr>
          <w:rFonts w:ascii="Arial" w:hAnsi="Arial" w:cs="Arial"/>
          <w:i/>
          <w:iCs/>
          <w:color w:val="595959" w:themeColor="text1" w:themeTint="A6"/>
        </w:rPr>
        <w:t>et al</w:t>
      </w:r>
      <w:r w:rsidRPr="00661C4F">
        <w:rPr>
          <w:rFonts w:ascii="Arial" w:hAnsi="Arial" w:cs="Arial"/>
          <w:iCs/>
          <w:color w:val="595959" w:themeColor="text1" w:themeTint="A6"/>
        </w:rPr>
        <w:t xml:space="preserve">., 2012). </w:t>
      </w:r>
      <w:r w:rsidR="00ED4374" w:rsidRPr="00661C4F">
        <w:rPr>
          <w:rFonts w:ascii="Arial" w:hAnsi="Arial" w:cs="Arial"/>
          <w:iCs/>
          <w:color w:val="595959" w:themeColor="text1" w:themeTint="A6"/>
        </w:rPr>
        <w:t>C</w:t>
      </w:r>
      <w:r w:rsidRPr="00661C4F">
        <w:rPr>
          <w:rFonts w:ascii="Arial" w:hAnsi="Arial" w:cs="Arial"/>
          <w:iCs/>
          <w:color w:val="595959" w:themeColor="text1" w:themeTint="A6"/>
        </w:rPr>
        <w:t xml:space="preserve">ollagen type 1 superfamily are the greatest contributors to the mechanical properties of tissues as their fibrillary structure allows the greatest resistance to tensile, shear and compressive forces (Depalle </w:t>
      </w:r>
      <w:r w:rsidRPr="00661C4F">
        <w:rPr>
          <w:rFonts w:ascii="Arial" w:hAnsi="Arial" w:cs="Arial"/>
          <w:i/>
          <w:iCs/>
          <w:color w:val="595959" w:themeColor="text1" w:themeTint="A6"/>
        </w:rPr>
        <w:t>et al</w:t>
      </w:r>
      <w:r w:rsidRPr="00661C4F">
        <w:rPr>
          <w:rFonts w:ascii="Arial" w:hAnsi="Arial" w:cs="Arial"/>
          <w:iCs/>
          <w:color w:val="595959" w:themeColor="text1" w:themeTint="A6"/>
        </w:rPr>
        <w:t xml:space="preserve">., 2015). </w:t>
      </w:r>
      <w:r w:rsidR="00D32027" w:rsidRPr="00661C4F">
        <w:rPr>
          <w:rFonts w:ascii="Arial" w:hAnsi="Arial" w:cs="Arial"/>
          <w:iCs/>
          <w:color w:val="595959" w:themeColor="text1" w:themeTint="A6"/>
        </w:rPr>
        <w:t xml:space="preserve">Such </w:t>
      </w:r>
      <w:r w:rsidRPr="00661C4F">
        <w:rPr>
          <w:rFonts w:ascii="Arial" w:hAnsi="Arial" w:cs="Arial"/>
          <w:iCs/>
          <w:color w:val="595959" w:themeColor="text1" w:themeTint="A6"/>
        </w:rPr>
        <w:t xml:space="preserve">ECM-regulated processes are </w:t>
      </w:r>
      <w:r w:rsidR="007A4B3B" w:rsidRPr="00661C4F">
        <w:rPr>
          <w:rFonts w:ascii="Arial" w:hAnsi="Arial" w:cs="Arial"/>
          <w:iCs/>
          <w:color w:val="595959" w:themeColor="text1" w:themeTint="A6"/>
        </w:rPr>
        <w:t>modified</w:t>
      </w:r>
      <w:r w:rsidRPr="00661C4F">
        <w:rPr>
          <w:rFonts w:ascii="Arial" w:hAnsi="Arial" w:cs="Arial"/>
          <w:iCs/>
          <w:color w:val="595959" w:themeColor="text1" w:themeTint="A6"/>
        </w:rPr>
        <w:t xml:space="preserve"> </w:t>
      </w:r>
      <w:r w:rsidR="001A4145" w:rsidRPr="00661C4F">
        <w:rPr>
          <w:rFonts w:ascii="Arial" w:hAnsi="Arial" w:cs="Arial"/>
          <w:iCs/>
          <w:color w:val="595959" w:themeColor="text1" w:themeTint="A6"/>
        </w:rPr>
        <w:t>by specialised endoproteinases known as l</w:t>
      </w:r>
      <w:r w:rsidRPr="00661C4F">
        <w:rPr>
          <w:rFonts w:ascii="Arial" w:hAnsi="Arial" w:cs="Arial"/>
          <w:iCs/>
          <w:color w:val="595959" w:themeColor="text1" w:themeTint="A6"/>
        </w:rPr>
        <w:t>ys</w:t>
      </w:r>
      <w:r w:rsidR="002D3E55" w:rsidRPr="00661C4F">
        <w:rPr>
          <w:rFonts w:ascii="Arial" w:hAnsi="Arial" w:cs="Arial"/>
          <w:iCs/>
          <w:color w:val="595959" w:themeColor="text1" w:themeTint="A6"/>
        </w:rPr>
        <w:t>yl</w:t>
      </w:r>
      <w:r w:rsidRPr="00661C4F">
        <w:rPr>
          <w:rFonts w:ascii="Arial" w:hAnsi="Arial" w:cs="Arial"/>
          <w:iCs/>
          <w:color w:val="595959" w:themeColor="text1" w:themeTint="A6"/>
        </w:rPr>
        <w:t xml:space="preserve"> oxidase </w:t>
      </w:r>
      <w:r w:rsidR="001A4145" w:rsidRPr="00661C4F">
        <w:rPr>
          <w:rFonts w:ascii="Arial" w:hAnsi="Arial" w:cs="Arial"/>
          <w:iCs/>
          <w:color w:val="595959" w:themeColor="text1" w:themeTint="A6"/>
        </w:rPr>
        <w:lastRenderedPageBreak/>
        <w:t xml:space="preserve">(LOX) </w:t>
      </w:r>
      <w:r w:rsidRPr="00661C4F">
        <w:rPr>
          <w:rFonts w:ascii="Arial" w:hAnsi="Arial" w:cs="Arial"/>
          <w:iCs/>
          <w:color w:val="595959" w:themeColor="text1" w:themeTint="A6"/>
        </w:rPr>
        <w:t xml:space="preserve">enzymes </w:t>
      </w:r>
      <w:r w:rsidR="001A4145" w:rsidRPr="00661C4F">
        <w:rPr>
          <w:rFonts w:ascii="Arial" w:hAnsi="Arial" w:cs="Arial"/>
          <w:iCs/>
          <w:color w:val="595959" w:themeColor="text1" w:themeTint="A6"/>
        </w:rPr>
        <w:t xml:space="preserve">which </w:t>
      </w:r>
      <w:r w:rsidRPr="00661C4F">
        <w:rPr>
          <w:rFonts w:ascii="Arial" w:hAnsi="Arial" w:cs="Arial"/>
          <w:iCs/>
          <w:color w:val="595959" w:themeColor="text1" w:themeTint="A6"/>
        </w:rPr>
        <w:t>catalyse the intermolecular cross-links of elastin and collagen which in turn promotes increased matrix stiffness, strength and deposition. This is a fundamental regulatory process t</w:t>
      </w:r>
      <w:r w:rsidR="007167E4" w:rsidRPr="00661C4F">
        <w:rPr>
          <w:rFonts w:ascii="Arial" w:hAnsi="Arial" w:cs="Arial"/>
          <w:iCs/>
          <w:color w:val="595959" w:themeColor="text1" w:themeTint="A6"/>
        </w:rPr>
        <w:t xml:space="preserve">hat </w:t>
      </w:r>
      <w:r w:rsidRPr="00661C4F">
        <w:rPr>
          <w:rFonts w:ascii="Arial" w:hAnsi="Arial" w:cs="Arial"/>
          <w:iCs/>
          <w:color w:val="595959" w:themeColor="text1" w:themeTint="A6"/>
        </w:rPr>
        <w:t>maintain</w:t>
      </w:r>
      <w:r w:rsidR="007167E4" w:rsidRPr="00661C4F">
        <w:rPr>
          <w:rFonts w:ascii="Arial" w:hAnsi="Arial" w:cs="Arial"/>
          <w:iCs/>
          <w:color w:val="595959" w:themeColor="text1" w:themeTint="A6"/>
        </w:rPr>
        <w:t>s</w:t>
      </w:r>
      <w:r w:rsidRPr="00661C4F">
        <w:rPr>
          <w:rFonts w:ascii="Arial" w:hAnsi="Arial" w:cs="Arial"/>
          <w:iCs/>
          <w:color w:val="595959" w:themeColor="text1" w:themeTint="A6"/>
        </w:rPr>
        <w:t xml:space="preserve"> the appropriate mechano-responsive compliance of tissues. </w:t>
      </w:r>
    </w:p>
    <w:p w14:paraId="66EFE160" w14:textId="3FE1A0EF" w:rsidR="004515AC" w:rsidRPr="00661C4F" w:rsidRDefault="004515AC" w:rsidP="009D02AC">
      <w:pPr>
        <w:pStyle w:val="Heading3"/>
        <w:numPr>
          <w:ilvl w:val="2"/>
          <w:numId w:val="4"/>
        </w:numPr>
        <w:rPr>
          <w:rFonts w:ascii="Arial" w:hAnsi="Arial" w:cs="Arial"/>
          <w:i/>
          <w:iCs/>
          <w:color w:val="595959" w:themeColor="text1" w:themeTint="A6"/>
        </w:rPr>
      </w:pPr>
      <w:bookmarkStart w:id="22" w:name="_Toc34208246"/>
      <w:r w:rsidRPr="00661C4F">
        <w:rPr>
          <w:rFonts w:ascii="Arial" w:hAnsi="Arial" w:cs="Arial"/>
          <w:i/>
          <w:iCs/>
          <w:color w:val="595959" w:themeColor="text1" w:themeTint="A6"/>
        </w:rPr>
        <w:t xml:space="preserve">ECM </w:t>
      </w:r>
      <w:r w:rsidR="00D32027" w:rsidRPr="00661C4F">
        <w:rPr>
          <w:rFonts w:ascii="Arial" w:hAnsi="Arial" w:cs="Arial"/>
          <w:i/>
          <w:iCs/>
          <w:color w:val="595959" w:themeColor="text1" w:themeTint="A6"/>
        </w:rPr>
        <w:t>p</w:t>
      </w:r>
      <w:r w:rsidRPr="00661C4F">
        <w:rPr>
          <w:rFonts w:ascii="Arial" w:hAnsi="Arial" w:cs="Arial"/>
          <w:i/>
          <w:iCs/>
          <w:color w:val="595959" w:themeColor="text1" w:themeTint="A6"/>
        </w:rPr>
        <w:t>hysical components; structure, function and interactions</w:t>
      </w:r>
      <w:bookmarkEnd w:id="22"/>
    </w:p>
    <w:p w14:paraId="4CF0D2D0" w14:textId="77777777" w:rsidR="009D02AC" w:rsidRPr="00661C4F" w:rsidRDefault="009D02AC" w:rsidP="009D02AC">
      <w:pPr>
        <w:pStyle w:val="ListParagraph"/>
        <w:rPr>
          <w:color w:val="595959" w:themeColor="text1" w:themeTint="A6"/>
        </w:rPr>
      </w:pPr>
    </w:p>
    <w:p w14:paraId="1D9404A4" w14:textId="1D45A825" w:rsidR="00207D90" w:rsidRPr="00661C4F" w:rsidRDefault="004515AC" w:rsidP="001A4145">
      <w:pPr>
        <w:spacing w:line="480" w:lineRule="auto"/>
        <w:jc w:val="both"/>
        <w:rPr>
          <w:rFonts w:ascii="Arial" w:hAnsi="Arial" w:cs="Arial"/>
          <w:iCs/>
          <w:color w:val="595959" w:themeColor="text1" w:themeTint="A6"/>
        </w:rPr>
      </w:pPr>
      <w:r w:rsidRPr="00661C4F">
        <w:rPr>
          <w:rFonts w:ascii="Arial" w:hAnsi="Arial" w:cs="Arial"/>
          <w:iCs/>
          <w:color w:val="595959" w:themeColor="text1" w:themeTint="A6"/>
        </w:rPr>
        <w:t>The ECM is a complex meshwork of proteins</w:t>
      </w:r>
      <w:r w:rsidR="00AC4EC7" w:rsidRPr="00661C4F">
        <w:rPr>
          <w:rFonts w:ascii="Arial" w:hAnsi="Arial" w:cs="Arial"/>
          <w:iCs/>
          <w:color w:val="595959" w:themeColor="text1" w:themeTint="A6"/>
        </w:rPr>
        <w:t xml:space="preserve"> and sugars, differing </w:t>
      </w:r>
      <w:r w:rsidR="00ED4374" w:rsidRPr="00661C4F">
        <w:rPr>
          <w:rFonts w:ascii="Arial" w:hAnsi="Arial" w:cs="Arial"/>
          <w:iCs/>
          <w:color w:val="595959" w:themeColor="text1" w:themeTint="A6"/>
        </w:rPr>
        <w:t xml:space="preserve">from </w:t>
      </w:r>
      <w:r w:rsidR="00AC4EC7" w:rsidRPr="00661C4F">
        <w:rPr>
          <w:rFonts w:ascii="Arial" w:hAnsi="Arial" w:cs="Arial"/>
          <w:iCs/>
          <w:color w:val="595959" w:themeColor="text1" w:themeTint="A6"/>
        </w:rPr>
        <w:t xml:space="preserve">tissue to tissue; </w:t>
      </w:r>
      <w:r w:rsidR="00ED4374" w:rsidRPr="00661C4F">
        <w:rPr>
          <w:rFonts w:ascii="Arial" w:hAnsi="Arial" w:cs="Arial"/>
          <w:iCs/>
          <w:color w:val="595959" w:themeColor="text1" w:themeTint="A6"/>
        </w:rPr>
        <w:t xml:space="preserve">with </w:t>
      </w:r>
      <w:r w:rsidR="00AC4EC7" w:rsidRPr="00661C4F">
        <w:rPr>
          <w:rFonts w:ascii="Arial" w:hAnsi="Arial" w:cs="Arial"/>
          <w:iCs/>
          <w:color w:val="595959" w:themeColor="text1" w:themeTint="A6"/>
        </w:rPr>
        <w:t>individual properties that are both supportive and integral to tissue functionality</w:t>
      </w:r>
      <w:r w:rsidRPr="00661C4F">
        <w:rPr>
          <w:rFonts w:ascii="Arial" w:hAnsi="Arial" w:cs="Arial"/>
          <w:iCs/>
          <w:color w:val="595959" w:themeColor="text1" w:themeTint="A6"/>
        </w:rPr>
        <w:t xml:space="preserve"> (Figure </w:t>
      </w:r>
      <w:r w:rsidR="004E14BF" w:rsidRPr="00661C4F">
        <w:rPr>
          <w:rFonts w:ascii="Arial" w:hAnsi="Arial" w:cs="Arial"/>
          <w:iCs/>
          <w:color w:val="595959" w:themeColor="text1" w:themeTint="A6"/>
        </w:rPr>
        <w:t>1.</w:t>
      </w:r>
      <w:r w:rsidRPr="00661C4F">
        <w:rPr>
          <w:rFonts w:ascii="Arial" w:hAnsi="Arial" w:cs="Arial"/>
          <w:iCs/>
          <w:color w:val="595959" w:themeColor="text1" w:themeTint="A6"/>
        </w:rPr>
        <w:t xml:space="preserve">2). </w:t>
      </w:r>
      <w:r w:rsidR="00AC4EC7" w:rsidRPr="00661C4F">
        <w:rPr>
          <w:rFonts w:ascii="Arial" w:hAnsi="Arial" w:cs="Arial"/>
          <w:iCs/>
          <w:color w:val="595959" w:themeColor="text1" w:themeTint="A6"/>
        </w:rPr>
        <w:t>The first such proteins that are discussed are p</w:t>
      </w:r>
      <w:r w:rsidRPr="00661C4F">
        <w:rPr>
          <w:rFonts w:ascii="Arial" w:hAnsi="Arial" w:cs="Arial"/>
          <w:iCs/>
          <w:color w:val="595959" w:themeColor="text1" w:themeTint="A6"/>
        </w:rPr>
        <w:t>roteoglycans (PG)</w:t>
      </w:r>
      <w:r w:rsidR="00E44366" w:rsidRPr="00661C4F">
        <w:rPr>
          <w:rFonts w:ascii="Arial" w:hAnsi="Arial" w:cs="Arial"/>
          <w:iCs/>
          <w:color w:val="595959" w:themeColor="text1" w:themeTint="A6"/>
        </w:rPr>
        <w:t>. They</w:t>
      </w:r>
      <w:r w:rsidRPr="00661C4F">
        <w:rPr>
          <w:rFonts w:ascii="Arial" w:hAnsi="Arial" w:cs="Arial"/>
          <w:iCs/>
          <w:color w:val="595959" w:themeColor="text1" w:themeTint="A6"/>
        </w:rPr>
        <w:t xml:space="preserve"> are important structural and functional macromolecules that reside within tissues; structurally they consist of a core protein in which glycosaminoglycan (GAG) side chains can attach (Iozzo, 1998). The high density of negative charges on the repeate</w:t>
      </w:r>
      <w:r w:rsidR="00ED4374" w:rsidRPr="00661C4F">
        <w:rPr>
          <w:rFonts w:ascii="Arial" w:hAnsi="Arial" w:cs="Arial"/>
          <w:iCs/>
          <w:color w:val="595959" w:themeColor="text1" w:themeTint="A6"/>
        </w:rPr>
        <w:t xml:space="preserve">d disaccharide chains creates swelling pressure </w:t>
      </w:r>
      <w:r w:rsidRPr="00661C4F">
        <w:rPr>
          <w:rFonts w:ascii="Arial" w:hAnsi="Arial" w:cs="Arial"/>
          <w:iCs/>
          <w:color w:val="595959" w:themeColor="text1" w:themeTint="A6"/>
        </w:rPr>
        <w:t>that allows the matrix to withstand compressive forces</w:t>
      </w:r>
      <w:r w:rsidR="005C00A3" w:rsidRPr="00661C4F">
        <w:rPr>
          <w:rFonts w:ascii="Arial" w:hAnsi="Arial" w:cs="Arial"/>
          <w:iCs/>
          <w:color w:val="595959" w:themeColor="text1" w:themeTint="A6"/>
        </w:rPr>
        <w:t xml:space="preserve"> (Walker </w:t>
      </w:r>
      <w:r w:rsidR="005C00A3" w:rsidRPr="00661C4F">
        <w:rPr>
          <w:rFonts w:ascii="Arial" w:hAnsi="Arial" w:cs="Arial"/>
          <w:i/>
          <w:color w:val="595959" w:themeColor="text1" w:themeTint="A6"/>
        </w:rPr>
        <w:t>et al.,</w:t>
      </w:r>
      <w:r w:rsidR="005C00A3" w:rsidRPr="00661C4F">
        <w:rPr>
          <w:rFonts w:ascii="Arial" w:hAnsi="Arial" w:cs="Arial"/>
          <w:iCs/>
          <w:color w:val="595959" w:themeColor="text1" w:themeTint="A6"/>
        </w:rPr>
        <w:t xml:space="preserve"> 2018)</w:t>
      </w:r>
      <w:r w:rsidRPr="00661C4F">
        <w:rPr>
          <w:rFonts w:ascii="Arial" w:hAnsi="Arial" w:cs="Arial"/>
          <w:iCs/>
          <w:color w:val="595959" w:themeColor="text1" w:themeTint="A6"/>
        </w:rPr>
        <w:t>. As well as provid</w:t>
      </w:r>
      <w:r w:rsidR="00E44366" w:rsidRPr="00661C4F">
        <w:rPr>
          <w:rFonts w:ascii="Arial" w:hAnsi="Arial" w:cs="Arial"/>
          <w:iCs/>
          <w:color w:val="595959" w:themeColor="text1" w:themeTint="A6"/>
        </w:rPr>
        <w:t>ing</w:t>
      </w:r>
      <w:r w:rsidRPr="00661C4F">
        <w:rPr>
          <w:rFonts w:ascii="Arial" w:hAnsi="Arial" w:cs="Arial"/>
          <w:iCs/>
          <w:color w:val="595959" w:themeColor="text1" w:themeTint="A6"/>
        </w:rPr>
        <w:t xml:space="preserve"> structural support</w:t>
      </w:r>
      <w:r w:rsidR="00674515" w:rsidRPr="00661C4F">
        <w:rPr>
          <w:rFonts w:ascii="Arial" w:hAnsi="Arial" w:cs="Arial"/>
          <w:iCs/>
          <w:color w:val="595959" w:themeColor="text1" w:themeTint="A6"/>
        </w:rPr>
        <w:t>,</w:t>
      </w:r>
      <w:r w:rsidRPr="00661C4F">
        <w:rPr>
          <w:rFonts w:ascii="Arial" w:hAnsi="Arial" w:cs="Arial"/>
          <w:iCs/>
          <w:color w:val="595959" w:themeColor="text1" w:themeTint="A6"/>
        </w:rPr>
        <w:t xml:space="preserve"> </w:t>
      </w:r>
      <w:r w:rsidR="00ED4374" w:rsidRPr="00661C4F">
        <w:rPr>
          <w:rFonts w:ascii="Arial" w:hAnsi="Arial" w:cs="Arial"/>
          <w:iCs/>
          <w:color w:val="595959" w:themeColor="text1" w:themeTint="A6"/>
        </w:rPr>
        <w:t>PG</w:t>
      </w:r>
      <w:r w:rsidRPr="00661C4F">
        <w:rPr>
          <w:rFonts w:ascii="Arial" w:hAnsi="Arial" w:cs="Arial"/>
          <w:iCs/>
          <w:color w:val="595959" w:themeColor="text1" w:themeTint="A6"/>
        </w:rPr>
        <w:t xml:space="preserve"> interact with an abundance of growth factors, cytokines and chemokines as well as other ECM molecules both from </w:t>
      </w:r>
      <w:r w:rsidR="00674515" w:rsidRPr="00661C4F">
        <w:rPr>
          <w:rFonts w:ascii="Arial" w:hAnsi="Arial" w:cs="Arial"/>
          <w:iCs/>
          <w:color w:val="595959" w:themeColor="text1" w:themeTint="A6"/>
        </w:rPr>
        <w:t xml:space="preserve">their internal protein core </w:t>
      </w:r>
      <w:r w:rsidRPr="00661C4F">
        <w:rPr>
          <w:rFonts w:ascii="Arial" w:hAnsi="Arial" w:cs="Arial"/>
          <w:iCs/>
          <w:color w:val="595959" w:themeColor="text1" w:themeTint="A6"/>
        </w:rPr>
        <w:t xml:space="preserve">or </w:t>
      </w:r>
      <w:r w:rsidR="00674515" w:rsidRPr="00661C4F">
        <w:rPr>
          <w:rFonts w:ascii="Arial" w:hAnsi="Arial" w:cs="Arial"/>
          <w:iCs/>
          <w:color w:val="595959" w:themeColor="text1" w:themeTint="A6"/>
        </w:rPr>
        <w:t xml:space="preserve">by </w:t>
      </w:r>
      <w:r w:rsidR="00A919CD" w:rsidRPr="00661C4F">
        <w:rPr>
          <w:rFonts w:ascii="Arial" w:hAnsi="Arial" w:cs="Arial"/>
          <w:iCs/>
          <w:color w:val="595959" w:themeColor="text1" w:themeTint="A6"/>
        </w:rPr>
        <w:t xml:space="preserve">way of </w:t>
      </w:r>
      <w:r w:rsidRPr="00661C4F">
        <w:rPr>
          <w:rFonts w:ascii="Arial" w:hAnsi="Arial" w:cs="Arial"/>
          <w:iCs/>
          <w:color w:val="595959" w:themeColor="text1" w:themeTint="A6"/>
        </w:rPr>
        <w:t>their many GAG side</w:t>
      </w:r>
      <w:r w:rsidR="00DE229D" w:rsidRPr="00661C4F">
        <w:rPr>
          <w:rFonts w:ascii="Arial" w:hAnsi="Arial" w:cs="Arial"/>
          <w:iCs/>
          <w:color w:val="595959" w:themeColor="text1" w:themeTint="A6"/>
        </w:rPr>
        <w:t>-</w:t>
      </w:r>
      <w:r w:rsidRPr="00661C4F">
        <w:rPr>
          <w:rFonts w:ascii="Arial" w:hAnsi="Arial" w:cs="Arial"/>
          <w:iCs/>
          <w:color w:val="595959" w:themeColor="text1" w:themeTint="A6"/>
        </w:rPr>
        <w:t xml:space="preserve">chains. This allows for a functional involvement in biochemical signalling, proliferation, migration differentiation and cellular adhesion. </w:t>
      </w:r>
      <w:r w:rsidR="00091410" w:rsidRPr="00661C4F">
        <w:rPr>
          <w:rFonts w:ascii="Arial" w:hAnsi="Arial" w:cs="Arial"/>
          <w:iCs/>
          <w:color w:val="595959" w:themeColor="text1" w:themeTint="A6"/>
        </w:rPr>
        <w:t>The structure of h</w:t>
      </w:r>
      <w:r w:rsidRPr="00661C4F">
        <w:rPr>
          <w:rFonts w:ascii="Arial" w:hAnsi="Arial" w:cs="Arial"/>
          <w:iCs/>
          <w:color w:val="595959" w:themeColor="text1" w:themeTint="A6"/>
        </w:rPr>
        <w:t>yaluronan</w:t>
      </w:r>
      <w:r w:rsidR="00091410" w:rsidRPr="00661C4F">
        <w:rPr>
          <w:rFonts w:ascii="Arial" w:hAnsi="Arial" w:cs="Arial"/>
          <w:iCs/>
          <w:color w:val="595959" w:themeColor="text1" w:themeTint="A6"/>
        </w:rPr>
        <w:t xml:space="preserve"> has a </w:t>
      </w:r>
      <w:r w:rsidRPr="00661C4F">
        <w:rPr>
          <w:rFonts w:ascii="Arial" w:hAnsi="Arial" w:cs="Arial"/>
          <w:iCs/>
          <w:color w:val="595959" w:themeColor="text1" w:themeTint="A6"/>
        </w:rPr>
        <w:t xml:space="preserve">linear </w:t>
      </w:r>
      <w:r w:rsidR="004B4577" w:rsidRPr="00661C4F">
        <w:rPr>
          <w:rFonts w:ascii="Arial" w:hAnsi="Arial" w:cs="Arial"/>
          <w:iCs/>
          <w:color w:val="595959" w:themeColor="text1" w:themeTint="A6"/>
        </w:rPr>
        <w:t>GAG</w:t>
      </w:r>
      <w:r w:rsidR="00091410" w:rsidRPr="00661C4F">
        <w:rPr>
          <w:rFonts w:ascii="Arial" w:hAnsi="Arial" w:cs="Arial"/>
          <w:iCs/>
          <w:color w:val="595959" w:themeColor="text1" w:themeTint="A6"/>
        </w:rPr>
        <w:t xml:space="preserve"> formation, consisting of </w:t>
      </w:r>
      <w:r w:rsidRPr="00661C4F">
        <w:rPr>
          <w:rFonts w:ascii="Arial" w:hAnsi="Arial" w:cs="Arial"/>
          <w:iCs/>
          <w:color w:val="595959" w:themeColor="text1" w:themeTint="A6"/>
        </w:rPr>
        <w:t xml:space="preserve">a repetition of D-glucuronic </w:t>
      </w:r>
      <w:r w:rsidR="004B4577" w:rsidRPr="00661C4F">
        <w:rPr>
          <w:rFonts w:ascii="Arial" w:hAnsi="Arial" w:cs="Arial"/>
          <w:iCs/>
          <w:color w:val="595959" w:themeColor="text1" w:themeTint="A6"/>
        </w:rPr>
        <w:t>acid on its disaccharide units</w:t>
      </w:r>
      <w:r w:rsidR="00091410" w:rsidRPr="00661C4F">
        <w:rPr>
          <w:rFonts w:ascii="Arial" w:hAnsi="Arial" w:cs="Arial"/>
          <w:iCs/>
          <w:color w:val="595959" w:themeColor="text1" w:themeTint="A6"/>
        </w:rPr>
        <w:t xml:space="preserve">. It allows appropriate </w:t>
      </w:r>
      <w:r w:rsidRPr="00661C4F">
        <w:rPr>
          <w:rFonts w:ascii="Arial" w:hAnsi="Arial" w:cs="Arial"/>
          <w:iCs/>
          <w:color w:val="595959" w:themeColor="text1" w:themeTint="A6"/>
        </w:rPr>
        <w:t>bind</w:t>
      </w:r>
      <w:r w:rsidR="00091410" w:rsidRPr="00661C4F">
        <w:rPr>
          <w:rFonts w:ascii="Arial" w:hAnsi="Arial" w:cs="Arial"/>
          <w:iCs/>
          <w:color w:val="595959" w:themeColor="text1" w:themeTint="A6"/>
        </w:rPr>
        <w:t>ing</w:t>
      </w:r>
      <w:r w:rsidRPr="00661C4F">
        <w:rPr>
          <w:rFonts w:ascii="Arial" w:hAnsi="Arial" w:cs="Arial"/>
          <w:iCs/>
          <w:color w:val="595959" w:themeColor="text1" w:themeTint="A6"/>
        </w:rPr>
        <w:t xml:space="preserve"> to its own synthase or to cellular receptors (Fevert and Sannes, 2005). Accumulation of hyaluronan is found during development and tissues undergoing reorganisation. </w:t>
      </w:r>
      <w:r w:rsidR="00F659BD" w:rsidRPr="00661C4F">
        <w:rPr>
          <w:rFonts w:ascii="Arial" w:hAnsi="Arial" w:cs="Arial"/>
          <w:iCs/>
          <w:color w:val="595959" w:themeColor="text1" w:themeTint="A6"/>
        </w:rPr>
        <w:t>Hyaluronan’s</w:t>
      </w:r>
      <w:r w:rsidRPr="00661C4F">
        <w:rPr>
          <w:rFonts w:ascii="Arial" w:hAnsi="Arial" w:cs="Arial"/>
          <w:iCs/>
          <w:color w:val="595959" w:themeColor="text1" w:themeTint="A6"/>
        </w:rPr>
        <w:t xml:space="preserve"> role in reorganisation is mainly due to </w:t>
      </w:r>
      <w:r w:rsidR="00DE229D" w:rsidRPr="00661C4F">
        <w:rPr>
          <w:rFonts w:ascii="Arial" w:hAnsi="Arial" w:cs="Arial"/>
          <w:iCs/>
          <w:color w:val="595959" w:themeColor="text1" w:themeTint="A6"/>
        </w:rPr>
        <w:t xml:space="preserve">the </w:t>
      </w:r>
      <w:r w:rsidR="004B4577" w:rsidRPr="00661C4F">
        <w:rPr>
          <w:rFonts w:ascii="Arial" w:hAnsi="Arial" w:cs="Arial"/>
          <w:iCs/>
          <w:color w:val="595959" w:themeColor="text1" w:themeTint="A6"/>
        </w:rPr>
        <w:t xml:space="preserve">ability to retain </w:t>
      </w:r>
      <w:r w:rsidRPr="00661C4F">
        <w:rPr>
          <w:rFonts w:ascii="Arial" w:hAnsi="Arial" w:cs="Arial"/>
          <w:iCs/>
          <w:color w:val="595959" w:themeColor="text1" w:themeTint="A6"/>
        </w:rPr>
        <w:t xml:space="preserve">water </w:t>
      </w:r>
      <w:r w:rsidR="004B4577" w:rsidRPr="00661C4F">
        <w:rPr>
          <w:rFonts w:ascii="Arial" w:hAnsi="Arial" w:cs="Arial"/>
          <w:iCs/>
          <w:color w:val="595959" w:themeColor="text1" w:themeTint="A6"/>
        </w:rPr>
        <w:t>molecules, which</w:t>
      </w:r>
      <w:r w:rsidRPr="00661C4F">
        <w:rPr>
          <w:rFonts w:ascii="Arial" w:hAnsi="Arial" w:cs="Arial"/>
          <w:iCs/>
          <w:color w:val="595959" w:themeColor="text1" w:themeTint="A6"/>
        </w:rPr>
        <w:t xml:space="preserve"> </w:t>
      </w:r>
      <w:r w:rsidR="00D32027" w:rsidRPr="00661C4F">
        <w:rPr>
          <w:rFonts w:ascii="Arial" w:hAnsi="Arial" w:cs="Arial"/>
          <w:iCs/>
          <w:color w:val="595959" w:themeColor="text1" w:themeTint="A6"/>
        </w:rPr>
        <w:t>supports</w:t>
      </w:r>
      <w:r w:rsidRPr="00661C4F">
        <w:rPr>
          <w:rFonts w:ascii="Arial" w:hAnsi="Arial" w:cs="Arial"/>
          <w:iCs/>
          <w:color w:val="595959" w:themeColor="text1" w:themeTint="A6"/>
        </w:rPr>
        <w:t xml:space="preserve"> tissue plasticity (Comper and Laurent, 1978). PG</w:t>
      </w:r>
      <w:r w:rsidR="00DA23F1" w:rsidRPr="00661C4F">
        <w:rPr>
          <w:rFonts w:ascii="Arial" w:hAnsi="Arial" w:cs="Arial"/>
          <w:iCs/>
          <w:color w:val="595959" w:themeColor="text1" w:themeTint="A6"/>
        </w:rPr>
        <w:t xml:space="preserve"> found in the</w:t>
      </w:r>
      <w:r w:rsidRPr="00661C4F">
        <w:rPr>
          <w:rFonts w:ascii="Arial" w:hAnsi="Arial" w:cs="Arial"/>
          <w:iCs/>
          <w:color w:val="595959" w:themeColor="text1" w:themeTint="A6"/>
        </w:rPr>
        <w:t xml:space="preserve"> </w:t>
      </w:r>
      <w:r w:rsidR="00DA23F1" w:rsidRPr="00661C4F">
        <w:rPr>
          <w:rFonts w:ascii="Arial" w:hAnsi="Arial" w:cs="Arial"/>
          <w:iCs/>
          <w:color w:val="595959" w:themeColor="text1" w:themeTint="A6"/>
        </w:rPr>
        <w:t>extracellular space are</w:t>
      </w:r>
      <w:r w:rsidR="00AE172F" w:rsidRPr="00661C4F">
        <w:rPr>
          <w:rFonts w:ascii="Arial" w:hAnsi="Arial" w:cs="Arial"/>
          <w:iCs/>
          <w:color w:val="595959" w:themeColor="text1" w:themeTint="A6"/>
        </w:rPr>
        <w:t xml:space="preserve"> </w:t>
      </w:r>
      <w:r w:rsidR="003471EE" w:rsidRPr="00661C4F">
        <w:rPr>
          <w:rFonts w:ascii="Arial" w:hAnsi="Arial" w:cs="Arial"/>
          <w:iCs/>
          <w:color w:val="595959" w:themeColor="text1" w:themeTint="A6"/>
        </w:rPr>
        <w:t xml:space="preserve">known as </w:t>
      </w:r>
      <w:r w:rsidR="00AE172F" w:rsidRPr="00661C4F">
        <w:rPr>
          <w:rFonts w:ascii="Arial" w:hAnsi="Arial" w:cs="Arial"/>
          <w:iCs/>
          <w:color w:val="595959" w:themeColor="text1" w:themeTint="A6"/>
        </w:rPr>
        <w:t>the hyalectan</w:t>
      </w:r>
      <w:r w:rsidR="00DA23F1" w:rsidRPr="00661C4F">
        <w:rPr>
          <w:rFonts w:ascii="Arial" w:hAnsi="Arial" w:cs="Arial"/>
          <w:iCs/>
          <w:color w:val="595959" w:themeColor="text1" w:themeTint="A6"/>
        </w:rPr>
        <w:t>s</w:t>
      </w:r>
      <w:r w:rsidR="00E44E5D" w:rsidRPr="00661C4F">
        <w:rPr>
          <w:rFonts w:ascii="Arial" w:hAnsi="Arial" w:cs="Arial"/>
          <w:iCs/>
          <w:color w:val="595959" w:themeColor="text1" w:themeTint="A6"/>
        </w:rPr>
        <w:t xml:space="preserve"> (</w:t>
      </w:r>
      <w:r w:rsidR="00E045AB" w:rsidRPr="00661C4F">
        <w:rPr>
          <w:rFonts w:ascii="Arial" w:hAnsi="Arial" w:cs="Arial"/>
          <w:iCs/>
          <w:color w:val="595959" w:themeColor="text1" w:themeTint="A6"/>
        </w:rPr>
        <w:t>aggrecan,</w:t>
      </w:r>
      <w:r w:rsidR="00AE172F" w:rsidRPr="00661C4F">
        <w:rPr>
          <w:rFonts w:ascii="Arial" w:hAnsi="Arial" w:cs="Arial"/>
          <w:iCs/>
          <w:color w:val="595959" w:themeColor="text1" w:themeTint="A6"/>
        </w:rPr>
        <w:t xml:space="preserve"> </w:t>
      </w:r>
      <w:r w:rsidR="00D32027" w:rsidRPr="00661C4F">
        <w:rPr>
          <w:rFonts w:ascii="Arial" w:hAnsi="Arial" w:cs="Arial"/>
          <w:iCs/>
          <w:color w:val="595959" w:themeColor="text1" w:themeTint="A6"/>
        </w:rPr>
        <w:t>v</w:t>
      </w:r>
      <w:r w:rsidRPr="00661C4F">
        <w:rPr>
          <w:rFonts w:ascii="Arial" w:hAnsi="Arial" w:cs="Arial"/>
          <w:iCs/>
          <w:color w:val="595959" w:themeColor="text1" w:themeTint="A6"/>
        </w:rPr>
        <w:t>ersican</w:t>
      </w:r>
      <w:r w:rsidR="00F94546" w:rsidRPr="00661C4F">
        <w:rPr>
          <w:rFonts w:ascii="Arial" w:hAnsi="Arial" w:cs="Arial"/>
          <w:iCs/>
          <w:color w:val="595959" w:themeColor="text1" w:themeTint="A6"/>
        </w:rPr>
        <w:t>,</w:t>
      </w:r>
      <w:r w:rsidR="00E045AB" w:rsidRPr="00661C4F">
        <w:rPr>
          <w:rFonts w:ascii="Arial" w:hAnsi="Arial" w:cs="Arial"/>
          <w:iCs/>
          <w:color w:val="595959" w:themeColor="text1" w:themeTint="A6"/>
        </w:rPr>
        <w:t xml:space="preserve"> neurocan, and brevican</w:t>
      </w:r>
      <w:r w:rsidR="003471EE" w:rsidRPr="00661C4F">
        <w:rPr>
          <w:rFonts w:ascii="Arial" w:hAnsi="Arial" w:cs="Arial"/>
          <w:iCs/>
          <w:color w:val="595959" w:themeColor="text1" w:themeTint="A6"/>
        </w:rPr>
        <w:t>)</w:t>
      </w:r>
      <w:r w:rsidR="004845CF" w:rsidRPr="00661C4F">
        <w:rPr>
          <w:rFonts w:ascii="Arial" w:hAnsi="Arial" w:cs="Arial"/>
          <w:iCs/>
          <w:color w:val="595959" w:themeColor="text1" w:themeTint="A6"/>
        </w:rPr>
        <w:t>. Versican is found in the ECM of almost all tissues and organs</w:t>
      </w:r>
      <w:r w:rsidR="00EB3103" w:rsidRPr="00661C4F">
        <w:rPr>
          <w:rFonts w:ascii="Arial" w:hAnsi="Arial" w:cs="Arial"/>
          <w:iCs/>
          <w:color w:val="595959" w:themeColor="text1" w:themeTint="A6"/>
        </w:rPr>
        <w:t xml:space="preserve"> (Wu </w:t>
      </w:r>
      <w:r w:rsidR="00EB3103" w:rsidRPr="00661C4F">
        <w:rPr>
          <w:rFonts w:ascii="Arial" w:hAnsi="Arial" w:cs="Arial"/>
          <w:i/>
          <w:color w:val="595959" w:themeColor="text1" w:themeTint="A6"/>
        </w:rPr>
        <w:t>et al.,</w:t>
      </w:r>
      <w:r w:rsidR="00EB3103" w:rsidRPr="00661C4F">
        <w:rPr>
          <w:rFonts w:ascii="Arial" w:hAnsi="Arial" w:cs="Arial"/>
          <w:iCs/>
          <w:color w:val="595959" w:themeColor="text1" w:themeTint="A6"/>
        </w:rPr>
        <w:t xml:space="preserve"> 2005).</w:t>
      </w:r>
      <w:r w:rsidRPr="00661C4F">
        <w:rPr>
          <w:rFonts w:ascii="Arial" w:hAnsi="Arial" w:cs="Arial"/>
          <w:iCs/>
          <w:color w:val="595959" w:themeColor="text1" w:themeTint="A6"/>
        </w:rPr>
        <w:t xml:space="preserve"> </w:t>
      </w:r>
      <w:r w:rsidR="006E54EE" w:rsidRPr="00661C4F">
        <w:rPr>
          <w:rFonts w:ascii="Arial" w:hAnsi="Arial" w:cs="Arial"/>
          <w:iCs/>
          <w:color w:val="595959" w:themeColor="text1" w:themeTint="A6"/>
        </w:rPr>
        <w:t xml:space="preserve">The </w:t>
      </w:r>
      <w:r w:rsidRPr="00661C4F">
        <w:rPr>
          <w:rFonts w:ascii="Arial" w:hAnsi="Arial" w:cs="Arial"/>
          <w:iCs/>
          <w:color w:val="595959" w:themeColor="text1" w:themeTint="A6"/>
        </w:rPr>
        <w:t xml:space="preserve">large domain consists of two smaller GAGα and GAGβ subunits which </w:t>
      </w:r>
      <w:r w:rsidR="004B4577" w:rsidRPr="00661C4F">
        <w:rPr>
          <w:rFonts w:ascii="Arial" w:hAnsi="Arial" w:cs="Arial"/>
          <w:iCs/>
          <w:color w:val="595959" w:themeColor="text1" w:themeTint="A6"/>
        </w:rPr>
        <w:t>can undergo alternative splicing resulting in four splice variants; V0-V4</w:t>
      </w:r>
      <w:r w:rsidRPr="00661C4F">
        <w:rPr>
          <w:rFonts w:ascii="Arial" w:hAnsi="Arial" w:cs="Arial"/>
          <w:iCs/>
          <w:color w:val="595959" w:themeColor="text1" w:themeTint="A6"/>
        </w:rPr>
        <w:t xml:space="preserve">. </w:t>
      </w:r>
      <w:r w:rsidR="005E74CA" w:rsidRPr="00661C4F">
        <w:rPr>
          <w:rFonts w:ascii="Arial" w:hAnsi="Arial" w:cs="Arial"/>
          <w:iCs/>
          <w:color w:val="595959" w:themeColor="text1" w:themeTint="A6"/>
        </w:rPr>
        <w:t xml:space="preserve">Homeostatic regulation of </w:t>
      </w:r>
      <w:r w:rsidR="00CC03E7" w:rsidRPr="00661C4F">
        <w:rPr>
          <w:rFonts w:ascii="Arial" w:hAnsi="Arial" w:cs="Arial"/>
          <w:iCs/>
          <w:color w:val="595959" w:themeColor="text1" w:themeTint="A6"/>
        </w:rPr>
        <w:t xml:space="preserve">PG’s </w:t>
      </w:r>
      <w:r w:rsidR="005E74CA" w:rsidRPr="00661C4F">
        <w:rPr>
          <w:rFonts w:ascii="Arial" w:hAnsi="Arial" w:cs="Arial"/>
          <w:iCs/>
          <w:color w:val="595959" w:themeColor="text1" w:themeTint="A6"/>
        </w:rPr>
        <w:t xml:space="preserve">promotes tissue </w:t>
      </w:r>
      <w:r w:rsidR="008312B2" w:rsidRPr="00661C4F">
        <w:rPr>
          <w:rFonts w:ascii="Arial" w:hAnsi="Arial" w:cs="Arial"/>
          <w:iCs/>
          <w:color w:val="595959" w:themeColor="text1" w:themeTint="A6"/>
        </w:rPr>
        <w:t xml:space="preserve">stability </w:t>
      </w:r>
      <w:r w:rsidR="001C04F1" w:rsidRPr="00661C4F">
        <w:rPr>
          <w:rFonts w:ascii="Arial" w:hAnsi="Arial" w:cs="Arial"/>
          <w:iCs/>
          <w:color w:val="595959" w:themeColor="text1" w:themeTint="A6"/>
        </w:rPr>
        <w:t xml:space="preserve">by providing </w:t>
      </w:r>
      <w:r w:rsidR="008312B2" w:rsidRPr="00661C4F">
        <w:rPr>
          <w:rFonts w:ascii="Arial" w:hAnsi="Arial" w:cs="Arial"/>
          <w:iCs/>
          <w:color w:val="595959" w:themeColor="text1" w:themeTint="A6"/>
        </w:rPr>
        <w:t>additional structural support to the protein lattice that encases it</w:t>
      </w:r>
      <w:r w:rsidR="001C04F1" w:rsidRPr="00661C4F">
        <w:rPr>
          <w:rFonts w:ascii="Arial" w:hAnsi="Arial" w:cs="Arial"/>
          <w:iCs/>
          <w:color w:val="595959" w:themeColor="text1" w:themeTint="A6"/>
        </w:rPr>
        <w:t xml:space="preserve">, as well as </w:t>
      </w:r>
      <w:r w:rsidRPr="00661C4F">
        <w:rPr>
          <w:rFonts w:ascii="Arial" w:hAnsi="Arial" w:cs="Arial"/>
          <w:iCs/>
          <w:color w:val="595959" w:themeColor="text1" w:themeTint="A6"/>
        </w:rPr>
        <w:t>regulat</w:t>
      </w:r>
      <w:r w:rsidR="001C04F1" w:rsidRPr="00661C4F">
        <w:rPr>
          <w:rFonts w:ascii="Arial" w:hAnsi="Arial" w:cs="Arial"/>
          <w:iCs/>
          <w:color w:val="595959" w:themeColor="text1" w:themeTint="A6"/>
        </w:rPr>
        <w:t>ing</w:t>
      </w:r>
      <w:r w:rsidRPr="00661C4F">
        <w:rPr>
          <w:rFonts w:ascii="Arial" w:hAnsi="Arial" w:cs="Arial"/>
          <w:iCs/>
          <w:color w:val="595959" w:themeColor="text1" w:themeTint="A6"/>
        </w:rPr>
        <w:t xml:space="preserve"> cell </w:t>
      </w:r>
      <w:r w:rsidR="00966BCB" w:rsidRPr="00661C4F">
        <w:rPr>
          <w:rFonts w:ascii="Arial" w:hAnsi="Arial" w:cs="Arial"/>
          <w:iCs/>
          <w:color w:val="595959" w:themeColor="text1" w:themeTint="A6"/>
        </w:rPr>
        <w:t>adhesion, proliferation</w:t>
      </w:r>
      <w:r w:rsidR="008312B2" w:rsidRPr="00661C4F">
        <w:rPr>
          <w:rFonts w:ascii="Arial" w:hAnsi="Arial" w:cs="Arial"/>
          <w:iCs/>
          <w:color w:val="595959" w:themeColor="text1" w:themeTint="A6"/>
        </w:rPr>
        <w:t>,</w:t>
      </w:r>
      <w:r w:rsidRPr="00661C4F">
        <w:rPr>
          <w:rFonts w:ascii="Arial" w:hAnsi="Arial" w:cs="Arial"/>
          <w:iCs/>
          <w:color w:val="595959" w:themeColor="text1" w:themeTint="A6"/>
        </w:rPr>
        <w:t xml:space="preserve"> migration and inflammation</w:t>
      </w:r>
      <w:r w:rsidR="008312B2" w:rsidRPr="00661C4F">
        <w:rPr>
          <w:rFonts w:ascii="Arial" w:hAnsi="Arial" w:cs="Arial"/>
          <w:iCs/>
          <w:color w:val="595959" w:themeColor="text1" w:themeTint="A6"/>
        </w:rPr>
        <w:t xml:space="preserve"> (Wight 2002). </w:t>
      </w:r>
    </w:p>
    <w:p w14:paraId="2B3F98A9" w14:textId="51E91E75" w:rsidR="004515AC" w:rsidRPr="007325CD" w:rsidRDefault="001F025E" w:rsidP="00FF2007">
      <w:pPr>
        <w:spacing w:line="480" w:lineRule="auto"/>
        <w:jc w:val="both"/>
        <w:rPr>
          <w:rFonts w:ascii="Arial" w:hAnsi="Arial" w:cs="Arial"/>
          <w:iCs/>
          <w:color w:val="595959" w:themeColor="text1" w:themeTint="A6"/>
        </w:rPr>
      </w:pPr>
      <w:r>
        <w:rPr>
          <w:rFonts w:ascii="Arial" w:hAnsi="Arial" w:cs="Arial"/>
          <w:iCs/>
          <w:color w:val="595959" w:themeColor="text1" w:themeTint="A6"/>
        </w:rPr>
        <w:lastRenderedPageBreak/>
        <w:t>T</w:t>
      </w:r>
      <w:r w:rsidR="004515AC" w:rsidRPr="007325CD">
        <w:rPr>
          <w:rFonts w:ascii="Arial" w:hAnsi="Arial" w:cs="Arial"/>
          <w:iCs/>
          <w:color w:val="595959" w:themeColor="text1" w:themeTint="A6"/>
        </w:rPr>
        <w:t>he most abundant fibrous protein</w:t>
      </w:r>
      <w:r>
        <w:rPr>
          <w:rFonts w:ascii="Arial" w:hAnsi="Arial" w:cs="Arial"/>
          <w:iCs/>
          <w:color w:val="595959" w:themeColor="text1" w:themeTint="A6"/>
        </w:rPr>
        <w:t>s</w:t>
      </w:r>
      <w:r w:rsidR="004B4577">
        <w:rPr>
          <w:rFonts w:ascii="Arial" w:hAnsi="Arial" w:cs="Arial"/>
          <w:iCs/>
          <w:color w:val="595959" w:themeColor="text1" w:themeTint="A6"/>
        </w:rPr>
        <w:t xml:space="preserve"> within interstitial ECM, constituting 30% of all </w:t>
      </w:r>
      <w:r w:rsidR="004515AC" w:rsidRPr="007325CD">
        <w:rPr>
          <w:rFonts w:ascii="Arial" w:hAnsi="Arial" w:cs="Arial"/>
          <w:iCs/>
          <w:color w:val="595959" w:themeColor="text1" w:themeTint="A6"/>
        </w:rPr>
        <w:t xml:space="preserve">human </w:t>
      </w:r>
      <w:r w:rsidR="004B4577" w:rsidRPr="007325CD">
        <w:rPr>
          <w:rFonts w:ascii="Arial" w:hAnsi="Arial" w:cs="Arial"/>
          <w:iCs/>
          <w:color w:val="595959" w:themeColor="text1" w:themeTint="A6"/>
        </w:rPr>
        <w:t>protein</w:t>
      </w:r>
      <w:r>
        <w:rPr>
          <w:rFonts w:ascii="Arial" w:hAnsi="Arial" w:cs="Arial"/>
          <w:iCs/>
          <w:color w:val="595959" w:themeColor="text1" w:themeTint="A6"/>
        </w:rPr>
        <w:t xml:space="preserve"> are the collagens</w:t>
      </w:r>
      <w:r w:rsidR="004515AC" w:rsidRPr="007325CD">
        <w:rPr>
          <w:rFonts w:ascii="Arial" w:hAnsi="Arial" w:cs="Arial"/>
          <w:iCs/>
          <w:color w:val="595959" w:themeColor="text1" w:themeTint="A6"/>
        </w:rPr>
        <w:t xml:space="preserve">. They are a large family of triple-helical proteins with at least 28 members which are classified based on their common domain homology. Within human tissues they form higher </w:t>
      </w:r>
      <w:r w:rsidR="00275182">
        <w:rPr>
          <w:rFonts w:ascii="Arial" w:hAnsi="Arial" w:cs="Arial"/>
          <w:iCs/>
          <w:color w:val="595959" w:themeColor="text1" w:themeTint="A6"/>
        </w:rPr>
        <w:t xml:space="preserve">order structures such as fibres and </w:t>
      </w:r>
      <w:r w:rsidR="004515AC" w:rsidRPr="007325CD">
        <w:rPr>
          <w:rFonts w:ascii="Arial" w:hAnsi="Arial" w:cs="Arial"/>
          <w:iCs/>
          <w:color w:val="595959" w:themeColor="text1" w:themeTint="A6"/>
        </w:rPr>
        <w:t>sheets; provid</w:t>
      </w:r>
      <w:r w:rsidR="004E6C51">
        <w:rPr>
          <w:rFonts w:ascii="Arial" w:hAnsi="Arial" w:cs="Arial"/>
          <w:iCs/>
          <w:color w:val="595959" w:themeColor="text1" w:themeTint="A6"/>
        </w:rPr>
        <w:t>ing</w:t>
      </w:r>
      <w:r w:rsidR="004515AC" w:rsidRPr="007325CD">
        <w:rPr>
          <w:rFonts w:ascii="Arial" w:hAnsi="Arial" w:cs="Arial"/>
          <w:iCs/>
          <w:color w:val="595959" w:themeColor="text1" w:themeTint="A6"/>
        </w:rPr>
        <w:t xml:space="preserve"> the resilience</w:t>
      </w:r>
      <w:r w:rsidR="00472626">
        <w:rPr>
          <w:rFonts w:ascii="Arial" w:hAnsi="Arial" w:cs="Arial"/>
          <w:iCs/>
          <w:color w:val="595959" w:themeColor="text1" w:themeTint="A6"/>
        </w:rPr>
        <w:t xml:space="preserve"> required</w:t>
      </w:r>
      <w:r w:rsidR="004515AC" w:rsidRPr="007325CD">
        <w:rPr>
          <w:rFonts w:ascii="Arial" w:hAnsi="Arial" w:cs="Arial"/>
          <w:iCs/>
          <w:color w:val="595959" w:themeColor="text1" w:themeTint="A6"/>
        </w:rPr>
        <w:t xml:space="preserve"> for hierarchical structure alignment. They interact with </w:t>
      </w:r>
      <w:r w:rsidR="00472626">
        <w:rPr>
          <w:rFonts w:ascii="Arial" w:hAnsi="Arial" w:cs="Arial"/>
          <w:iCs/>
          <w:color w:val="595959" w:themeColor="text1" w:themeTint="A6"/>
        </w:rPr>
        <w:t xml:space="preserve">other </w:t>
      </w:r>
      <w:r w:rsidR="004515AC" w:rsidRPr="007325CD">
        <w:rPr>
          <w:rFonts w:ascii="Arial" w:hAnsi="Arial" w:cs="Arial"/>
          <w:iCs/>
          <w:color w:val="595959" w:themeColor="text1" w:themeTint="A6"/>
        </w:rPr>
        <w:t xml:space="preserve">ECM molecules to aid in this supportive scaffold functionality (Heino </w:t>
      </w:r>
      <w:r w:rsidR="004515AC" w:rsidRPr="007325CD">
        <w:rPr>
          <w:rFonts w:ascii="Arial" w:hAnsi="Arial" w:cs="Arial"/>
          <w:i/>
          <w:iCs/>
          <w:color w:val="595959" w:themeColor="text1" w:themeTint="A6"/>
        </w:rPr>
        <w:t>et al</w:t>
      </w:r>
      <w:r w:rsidR="004515AC" w:rsidRPr="007325CD">
        <w:rPr>
          <w:rFonts w:ascii="Arial" w:hAnsi="Arial" w:cs="Arial"/>
          <w:iCs/>
          <w:color w:val="595959" w:themeColor="text1" w:themeTint="A6"/>
        </w:rPr>
        <w:t>., 2009). The archetypal collagen found ubiquitously expressed among</w:t>
      </w:r>
      <w:r w:rsidR="00275182">
        <w:rPr>
          <w:rFonts w:ascii="Arial" w:hAnsi="Arial" w:cs="Arial"/>
          <w:iCs/>
          <w:color w:val="595959" w:themeColor="text1" w:themeTint="A6"/>
        </w:rPr>
        <w:t>st</w:t>
      </w:r>
      <w:r w:rsidR="004515AC" w:rsidRPr="007325CD">
        <w:rPr>
          <w:rFonts w:ascii="Arial" w:hAnsi="Arial" w:cs="Arial"/>
          <w:iCs/>
          <w:color w:val="595959" w:themeColor="text1" w:themeTint="A6"/>
        </w:rPr>
        <w:t xml:space="preserve"> tissue</w:t>
      </w:r>
      <w:r w:rsidR="00275182">
        <w:rPr>
          <w:rFonts w:ascii="Arial" w:hAnsi="Arial" w:cs="Arial"/>
          <w:iCs/>
          <w:color w:val="595959" w:themeColor="text1" w:themeTint="A6"/>
        </w:rPr>
        <w:t>s</w:t>
      </w:r>
      <w:r w:rsidR="004515AC" w:rsidRPr="007325CD">
        <w:rPr>
          <w:rFonts w:ascii="Arial" w:hAnsi="Arial" w:cs="Arial"/>
          <w:iCs/>
          <w:color w:val="595959" w:themeColor="text1" w:themeTint="A6"/>
        </w:rPr>
        <w:t xml:space="preserve"> is collagen type 1. It has heterodimeric helices which self-assemble into characteristic fibrils, thus providing structural elements in tissue, bone and tendinous areas (Heino, 2007). It consists of three polypeptide chains; 2α</w:t>
      </w:r>
      <w:r w:rsidR="004515AC" w:rsidRPr="007325CD">
        <w:rPr>
          <w:rFonts w:ascii="Arial" w:hAnsi="Arial" w:cs="Arial"/>
          <w:iCs/>
          <w:color w:val="595959" w:themeColor="text1" w:themeTint="A6"/>
          <w:vertAlign w:val="subscript"/>
        </w:rPr>
        <w:t xml:space="preserve">1 </w:t>
      </w:r>
      <w:r w:rsidR="004515AC" w:rsidRPr="007325CD">
        <w:rPr>
          <w:rFonts w:ascii="Arial" w:hAnsi="Arial" w:cs="Arial"/>
          <w:iCs/>
          <w:color w:val="595959" w:themeColor="text1" w:themeTint="A6"/>
        </w:rPr>
        <w:t>and 1α</w:t>
      </w:r>
      <w:r w:rsidR="004515AC" w:rsidRPr="007325CD">
        <w:rPr>
          <w:rFonts w:ascii="Arial" w:hAnsi="Arial" w:cs="Arial"/>
          <w:iCs/>
          <w:color w:val="595959" w:themeColor="text1" w:themeTint="A6"/>
          <w:vertAlign w:val="subscript"/>
        </w:rPr>
        <w:t>2</w:t>
      </w:r>
      <w:r w:rsidR="004515AC" w:rsidRPr="007325CD">
        <w:rPr>
          <w:rFonts w:ascii="Arial" w:hAnsi="Arial" w:cs="Arial"/>
          <w:iCs/>
          <w:color w:val="595959" w:themeColor="text1" w:themeTint="A6"/>
        </w:rPr>
        <w:t>, which</w:t>
      </w:r>
      <w:r w:rsidR="004B4577">
        <w:rPr>
          <w:rFonts w:ascii="Arial" w:hAnsi="Arial" w:cs="Arial"/>
          <w:iCs/>
          <w:color w:val="595959" w:themeColor="text1" w:themeTint="A6"/>
        </w:rPr>
        <w:t xml:space="preserve"> result in a nearly 200 nm </w:t>
      </w:r>
      <w:r w:rsidR="004515AC" w:rsidRPr="007325CD">
        <w:rPr>
          <w:rFonts w:ascii="Arial" w:hAnsi="Arial" w:cs="Arial"/>
          <w:iCs/>
          <w:color w:val="595959" w:themeColor="text1" w:themeTint="A6"/>
        </w:rPr>
        <w:t xml:space="preserve">triple helical structure with an entangled tropo-collagen (Depalle </w:t>
      </w:r>
      <w:r w:rsidR="004515AC" w:rsidRPr="007325CD">
        <w:rPr>
          <w:rFonts w:ascii="Arial" w:hAnsi="Arial" w:cs="Arial"/>
          <w:i/>
          <w:iCs/>
          <w:color w:val="595959" w:themeColor="text1" w:themeTint="A6"/>
        </w:rPr>
        <w:t>et al.,</w:t>
      </w:r>
      <w:r w:rsidR="004515AC" w:rsidRPr="007325CD">
        <w:rPr>
          <w:rFonts w:ascii="Arial" w:hAnsi="Arial" w:cs="Arial"/>
          <w:iCs/>
          <w:color w:val="595959" w:themeColor="text1" w:themeTint="A6"/>
        </w:rPr>
        <w:t xml:space="preserve"> 2015). Tropo-collagen triple helices are capable of self-assembly and form myofibrils. Covalent cross-linking</w:t>
      </w:r>
      <w:r w:rsidR="00751708">
        <w:rPr>
          <w:rFonts w:ascii="Arial" w:hAnsi="Arial" w:cs="Arial"/>
          <w:iCs/>
          <w:color w:val="595959" w:themeColor="text1" w:themeTint="A6"/>
        </w:rPr>
        <w:t xml:space="preserve"> </w:t>
      </w:r>
      <w:r w:rsidR="0040456C">
        <w:rPr>
          <w:rFonts w:ascii="Arial" w:hAnsi="Arial" w:cs="Arial"/>
          <w:iCs/>
          <w:color w:val="595959" w:themeColor="text1" w:themeTint="A6"/>
        </w:rPr>
        <w:t xml:space="preserve">of </w:t>
      </w:r>
      <w:r w:rsidR="0040456C" w:rsidRPr="007325CD">
        <w:rPr>
          <w:rFonts w:ascii="Arial" w:hAnsi="Arial" w:cs="Arial"/>
          <w:iCs/>
          <w:color w:val="595959" w:themeColor="text1" w:themeTint="A6"/>
        </w:rPr>
        <w:t xml:space="preserve">these larger fibrils </w:t>
      </w:r>
      <w:r w:rsidR="00793682">
        <w:rPr>
          <w:rFonts w:ascii="Arial" w:hAnsi="Arial" w:cs="Arial"/>
          <w:iCs/>
          <w:color w:val="595959" w:themeColor="text1" w:themeTint="A6"/>
        </w:rPr>
        <w:t>is further</w:t>
      </w:r>
      <w:r w:rsidR="004515AC" w:rsidRPr="007325CD">
        <w:rPr>
          <w:rFonts w:ascii="Arial" w:hAnsi="Arial" w:cs="Arial"/>
          <w:iCs/>
          <w:color w:val="595959" w:themeColor="text1" w:themeTint="A6"/>
        </w:rPr>
        <w:t xml:space="preserve"> stabili</w:t>
      </w:r>
      <w:r w:rsidR="00910192">
        <w:rPr>
          <w:rFonts w:ascii="Arial" w:hAnsi="Arial" w:cs="Arial"/>
          <w:iCs/>
          <w:color w:val="595959" w:themeColor="text1" w:themeTint="A6"/>
        </w:rPr>
        <w:t>s</w:t>
      </w:r>
      <w:r w:rsidR="004515AC" w:rsidRPr="007325CD">
        <w:rPr>
          <w:rFonts w:ascii="Arial" w:hAnsi="Arial" w:cs="Arial"/>
          <w:iCs/>
          <w:color w:val="595959" w:themeColor="text1" w:themeTint="A6"/>
        </w:rPr>
        <w:t>e</w:t>
      </w:r>
      <w:r w:rsidR="00793682">
        <w:rPr>
          <w:rFonts w:ascii="Arial" w:hAnsi="Arial" w:cs="Arial"/>
          <w:iCs/>
          <w:color w:val="595959" w:themeColor="text1" w:themeTint="A6"/>
        </w:rPr>
        <w:t>d by LOX</w:t>
      </w:r>
      <w:r w:rsidR="004515AC" w:rsidRPr="007325CD">
        <w:rPr>
          <w:rFonts w:ascii="Arial" w:hAnsi="Arial" w:cs="Arial"/>
          <w:iCs/>
          <w:color w:val="595959" w:themeColor="text1" w:themeTint="A6"/>
        </w:rPr>
        <w:t xml:space="preserve"> </w:t>
      </w:r>
      <w:r w:rsidR="0073457F">
        <w:rPr>
          <w:rFonts w:ascii="Arial" w:hAnsi="Arial" w:cs="Arial"/>
          <w:iCs/>
          <w:color w:val="595959" w:themeColor="text1" w:themeTint="A6"/>
        </w:rPr>
        <w:t xml:space="preserve">largely contributing to the enhanced </w:t>
      </w:r>
      <w:r w:rsidR="004515AC" w:rsidRPr="007325CD">
        <w:rPr>
          <w:rFonts w:ascii="Arial" w:hAnsi="Arial" w:cs="Arial"/>
          <w:iCs/>
          <w:color w:val="595959" w:themeColor="text1" w:themeTint="A6"/>
        </w:rPr>
        <w:t xml:space="preserve">mechanical properties (Shoulders </w:t>
      </w:r>
      <w:r w:rsidR="004515AC" w:rsidRPr="007325CD">
        <w:rPr>
          <w:rFonts w:ascii="Arial" w:hAnsi="Arial" w:cs="Arial"/>
          <w:i/>
          <w:iCs/>
          <w:color w:val="595959" w:themeColor="text1" w:themeTint="A6"/>
        </w:rPr>
        <w:t>et al</w:t>
      </w:r>
      <w:r w:rsidR="004515AC" w:rsidRPr="007325CD">
        <w:rPr>
          <w:rFonts w:ascii="Arial" w:hAnsi="Arial" w:cs="Arial"/>
          <w:iCs/>
          <w:color w:val="595959" w:themeColor="text1" w:themeTint="A6"/>
        </w:rPr>
        <w:t>., 2009</w:t>
      </w:r>
      <w:r w:rsidR="0073457F">
        <w:rPr>
          <w:rFonts w:ascii="Arial" w:hAnsi="Arial" w:cs="Arial"/>
          <w:iCs/>
          <w:color w:val="595959" w:themeColor="text1" w:themeTint="A6"/>
        </w:rPr>
        <w:t xml:space="preserve">, Walker </w:t>
      </w:r>
      <w:r w:rsidR="0073457F" w:rsidRPr="0073457F">
        <w:rPr>
          <w:rFonts w:ascii="Arial" w:hAnsi="Arial" w:cs="Arial"/>
          <w:i/>
          <w:color w:val="595959" w:themeColor="text1" w:themeTint="A6"/>
        </w:rPr>
        <w:t>et al.,</w:t>
      </w:r>
      <w:r w:rsidR="0073457F">
        <w:rPr>
          <w:rFonts w:ascii="Arial" w:hAnsi="Arial" w:cs="Arial"/>
          <w:iCs/>
          <w:color w:val="595959" w:themeColor="text1" w:themeTint="A6"/>
        </w:rPr>
        <w:t xml:space="preserve"> 2018</w:t>
      </w:r>
      <w:r w:rsidR="004515AC" w:rsidRPr="007325CD">
        <w:rPr>
          <w:rFonts w:ascii="Arial" w:hAnsi="Arial" w:cs="Arial"/>
          <w:iCs/>
          <w:color w:val="595959" w:themeColor="text1" w:themeTint="A6"/>
        </w:rPr>
        <w:t xml:space="preserve">). It is not uncommon for fibrils and high order structures to associate with other collagen types thereby </w:t>
      </w:r>
      <w:r w:rsidR="004515AC" w:rsidRPr="00661C4F">
        <w:rPr>
          <w:rFonts w:ascii="Arial" w:hAnsi="Arial" w:cs="Arial"/>
          <w:iCs/>
          <w:color w:val="595959" w:themeColor="text1" w:themeTint="A6"/>
        </w:rPr>
        <w:t>expanding their range of properties allowing for functional multi-potency</w:t>
      </w:r>
      <w:r w:rsidR="00382A17" w:rsidRPr="00661C4F">
        <w:rPr>
          <w:rFonts w:ascii="Arial" w:hAnsi="Arial" w:cs="Arial"/>
          <w:iCs/>
          <w:color w:val="595959" w:themeColor="text1" w:themeTint="A6"/>
        </w:rPr>
        <w:t>.</w:t>
      </w:r>
      <w:r w:rsidR="004515AC" w:rsidRPr="00661C4F">
        <w:rPr>
          <w:rFonts w:ascii="Arial" w:hAnsi="Arial" w:cs="Arial"/>
          <w:iCs/>
          <w:color w:val="595959" w:themeColor="text1" w:themeTint="A6"/>
        </w:rPr>
        <w:t xml:space="preserve"> </w:t>
      </w:r>
      <w:r w:rsidR="00382A17" w:rsidRPr="00661C4F">
        <w:rPr>
          <w:rFonts w:ascii="Arial" w:hAnsi="Arial" w:cs="Arial"/>
          <w:iCs/>
          <w:color w:val="595959" w:themeColor="text1" w:themeTint="A6"/>
        </w:rPr>
        <w:t>F</w:t>
      </w:r>
      <w:r w:rsidR="004515AC" w:rsidRPr="00661C4F">
        <w:rPr>
          <w:rFonts w:ascii="Arial" w:hAnsi="Arial" w:cs="Arial"/>
          <w:iCs/>
          <w:color w:val="595959" w:themeColor="text1" w:themeTint="A6"/>
        </w:rPr>
        <w:t>or example, some</w:t>
      </w:r>
      <w:r w:rsidR="005F41C8" w:rsidRPr="00661C4F">
        <w:rPr>
          <w:rFonts w:ascii="Arial" w:hAnsi="Arial" w:cs="Arial"/>
          <w:iCs/>
          <w:color w:val="595959" w:themeColor="text1" w:themeTint="A6"/>
        </w:rPr>
        <w:t xml:space="preserve"> unique collagens such as </w:t>
      </w:r>
      <w:r w:rsidR="00061D5E" w:rsidRPr="00661C4F">
        <w:rPr>
          <w:rFonts w:ascii="Arial" w:hAnsi="Arial" w:cs="Arial"/>
          <w:iCs/>
          <w:color w:val="595959" w:themeColor="text1" w:themeTint="A6"/>
        </w:rPr>
        <w:t>COLXVII</w:t>
      </w:r>
      <w:r w:rsidR="004515AC" w:rsidRPr="00661C4F">
        <w:rPr>
          <w:rFonts w:ascii="Arial" w:hAnsi="Arial" w:cs="Arial"/>
          <w:iCs/>
          <w:color w:val="595959" w:themeColor="text1" w:themeTint="A6"/>
        </w:rPr>
        <w:t xml:space="preserve"> to have long interruptions in the transmembrane spanning portion of the protein and this confers homeostatic signalling and adhesion capabilities (Kadler </w:t>
      </w:r>
      <w:r w:rsidR="004515AC" w:rsidRPr="00661C4F">
        <w:rPr>
          <w:rFonts w:ascii="Arial" w:hAnsi="Arial" w:cs="Arial"/>
          <w:i/>
          <w:iCs/>
          <w:color w:val="595959" w:themeColor="text1" w:themeTint="A6"/>
        </w:rPr>
        <w:t>et al</w:t>
      </w:r>
      <w:r w:rsidR="004515AC" w:rsidRPr="00661C4F">
        <w:rPr>
          <w:rFonts w:ascii="Arial" w:hAnsi="Arial" w:cs="Arial"/>
          <w:iCs/>
          <w:color w:val="595959" w:themeColor="text1" w:themeTint="A6"/>
        </w:rPr>
        <w:t xml:space="preserve">., 2007). </w:t>
      </w:r>
      <w:r w:rsidR="00091410" w:rsidRPr="00661C4F">
        <w:rPr>
          <w:rFonts w:ascii="Arial" w:hAnsi="Arial" w:cs="Arial"/>
          <w:iCs/>
          <w:color w:val="595959" w:themeColor="text1" w:themeTint="A6"/>
        </w:rPr>
        <w:t xml:space="preserve">The main function of the </w:t>
      </w:r>
      <w:r w:rsidR="004515AC" w:rsidRPr="00661C4F">
        <w:rPr>
          <w:rFonts w:ascii="Arial" w:hAnsi="Arial" w:cs="Arial"/>
          <w:iCs/>
          <w:color w:val="595959" w:themeColor="text1" w:themeTint="A6"/>
        </w:rPr>
        <w:t xml:space="preserve">fibrillary collagens (Types I, II, III, V, XI, XXIV and XXIVII) are </w:t>
      </w:r>
      <w:r w:rsidR="00091410" w:rsidRPr="00661C4F">
        <w:rPr>
          <w:rFonts w:ascii="Arial" w:hAnsi="Arial" w:cs="Arial"/>
          <w:iCs/>
          <w:color w:val="595959" w:themeColor="text1" w:themeTint="A6"/>
        </w:rPr>
        <w:t xml:space="preserve">to confer tensile strength and are found </w:t>
      </w:r>
      <w:r w:rsidR="004515AC" w:rsidRPr="00661C4F">
        <w:rPr>
          <w:rFonts w:ascii="Arial" w:hAnsi="Arial" w:cs="Arial"/>
          <w:iCs/>
          <w:color w:val="595959" w:themeColor="text1" w:themeTint="A6"/>
        </w:rPr>
        <w:t>abundantly expressed in tissues</w:t>
      </w:r>
      <w:r w:rsidR="00091410" w:rsidRPr="00661C4F">
        <w:rPr>
          <w:rFonts w:ascii="Arial" w:hAnsi="Arial" w:cs="Arial"/>
          <w:iCs/>
          <w:color w:val="595959" w:themeColor="text1" w:themeTint="A6"/>
        </w:rPr>
        <w:t xml:space="preserve">. </w:t>
      </w:r>
      <w:r w:rsidR="004515AC" w:rsidRPr="00661C4F">
        <w:rPr>
          <w:rFonts w:ascii="Arial" w:hAnsi="Arial" w:cs="Arial"/>
          <w:iCs/>
          <w:color w:val="595959" w:themeColor="text1" w:themeTint="A6"/>
        </w:rPr>
        <w:t xml:space="preserve">However, their scaffold structure also acts as a signalling platform affecting numerous cellular functions including cellular adhesion, migratory phenotypes, tissue development and repair (Kadler </w:t>
      </w:r>
      <w:r w:rsidR="004515AC" w:rsidRPr="00661C4F">
        <w:rPr>
          <w:rFonts w:ascii="Arial" w:hAnsi="Arial" w:cs="Arial"/>
          <w:i/>
          <w:iCs/>
          <w:color w:val="595959" w:themeColor="text1" w:themeTint="A6"/>
        </w:rPr>
        <w:t>et al</w:t>
      </w:r>
      <w:r w:rsidR="004515AC" w:rsidRPr="00661C4F">
        <w:rPr>
          <w:rFonts w:ascii="Arial" w:hAnsi="Arial" w:cs="Arial"/>
          <w:iCs/>
          <w:color w:val="595959" w:themeColor="text1" w:themeTint="A6"/>
        </w:rPr>
        <w:t xml:space="preserve">., 2007).   </w:t>
      </w:r>
    </w:p>
    <w:p w14:paraId="228F7E33" w14:textId="74D3DD38" w:rsidR="004515AC" w:rsidRPr="007325CD" w:rsidRDefault="006F6449" w:rsidP="004B4577">
      <w:pPr>
        <w:spacing w:line="480" w:lineRule="auto"/>
        <w:jc w:val="both"/>
        <w:rPr>
          <w:rFonts w:ascii="Arial" w:hAnsi="Arial" w:cs="Arial"/>
          <w:iCs/>
          <w:color w:val="595959" w:themeColor="text1" w:themeTint="A6"/>
        </w:rPr>
      </w:pPr>
      <w:r>
        <w:rPr>
          <w:rFonts w:ascii="Arial" w:hAnsi="Arial" w:cs="Arial"/>
          <w:iCs/>
          <w:color w:val="595959" w:themeColor="text1" w:themeTint="A6"/>
        </w:rPr>
        <w:t>The l</w:t>
      </w:r>
      <w:r w:rsidR="004515AC" w:rsidRPr="007325CD">
        <w:rPr>
          <w:rFonts w:ascii="Arial" w:hAnsi="Arial" w:cs="Arial"/>
          <w:iCs/>
          <w:color w:val="595959" w:themeColor="text1" w:themeTint="A6"/>
        </w:rPr>
        <w:t xml:space="preserve">arge ECM fibres that provide the necessary resilience of tissues in response to the stretching forces </w:t>
      </w:r>
      <w:r w:rsidR="001F025E">
        <w:rPr>
          <w:rFonts w:ascii="Arial" w:hAnsi="Arial" w:cs="Arial"/>
          <w:iCs/>
          <w:color w:val="595959" w:themeColor="text1" w:themeTint="A6"/>
        </w:rPr>
        <w:t>are the elastins</w:t>
      </w:r>
      <w:r w:rsidR="004515AC" w:rsidRPr="007325CD">
        <w:rPr>
          <w:rFonts w:ascii="Arial" w:hAnsi="Arial" w:cs="Arial"/>
          <w:iCs/>
          <w:color w:val="595959" w:themeColor="text1" w:themeTint="A6"/>
        </w:rPr>
        <w:t xml:space="preserve">. </w:t>
      </w:r>
      <w:r w:rsidR="001F025E">
        <w:rPr>
          <w:rFonts w:ascii="Arial" w:hAnsi="Arial" w:cs="Arial"/>
          <w:iCs/>
          <w:color w:val="595959" w:themeColor="text1" w:themeTint="A6"/>
        </w:rPr>
        <w:t>They are</w:t>
      </w:r>
      <w:r w:rsidR="004515AC" w:rsidRPr="007325CD">
        <w:rPr>
          <w:rFonts w:ascii="Arial" w:hAnsi="Arial" w:cs="Arial"/>
          <w:iCs/>
          <w:color w:val="595959" w:themeColor="text1" w:themeTint="A6"/>
        </w:rPr>
        <w:t xml:space="preserve"> largely insoluble, hydrophobic, amorphous and extensively cross-linked (Debelle and Alix, 1999).  </w:t>
      </w:r>
      <w:r w:rsidR="00E33801">
        <w:rPr>
          <w:rFonts w:ascii="Arial" w:hAnsi="Arial" w:cs="Arial"/>
          <w:iCs/>
          <w:color w:val="595959" w:themeColor="text1" w:themeTint="A6"/>
        </w:rPr>
        <w:t xml:space="preserve">Elastic </w:t>
      </w:r>
      <w:r w:rsidR="004515AC" w:rsidRPr="007325CD">
        <w:rPr>
          <w:rFonts w:ascii="Arial" w:hAnsi="Arial" w:cs="Arial"/>
          <w:iCs/>
          <w:color w:val="595959" w:themeColor="text1" w:themeTint="A6"/>
        </w:rPr>
        <w:t>tissue</w:t>
      </w:r>
      <w:r w:rsidR="00DC1AD3">
        <w:rPr>
          <w:rFonts w:ascii="Arial" w:hAnsi="Arial" w:cs="Arial"/>
          <w:iCs/>
          <w:color w:val="595959" w:themeColor="text1" w:themeTint="A6"/>
        </w:rPr>
        <w:t xml:space="preserve"> </w:t>
      </w:r>
      <w:r w:rsidR="009234EB">
        <w:rPr>
          <w:rFonts w:ascii="Arial" w:hAnsi="Arial" w:cs="Arial"/>
          <w:iCs/>
          <w:color w:val="595959" w:themeColor="text1" w:themeTint="A6"/>
        </w:rPr>
        <w:t>exists</w:t>
      </w:r>
      <w:r w:rsidR="00DC1AD3">
        <w:rPr>
          <w:rFonts w:ascii="Arial" w:hAnsi="Arial" w:cs="Arial"/>
          <w:iCs/>
          <w:color w:val="595959" w:themeColor="text1" w:themeTint="A6"/>
        </w:rPr>
        <w:t xml:space="preserve"> in</w:t>
      </w:r>
      <w:r w:rsidR="004515AC" w:rsidRPr="007325CD">
        <w:rPr>
          <w:rFonts w:ascii="Arial" w:hAnsi="Arial" w:cs="Arial"/>
          <w:iCs/>
          <w:color w:val="595959" w:themeColor="text1" w:themeTint="A6"/>
        </w:rPr>
        <w:t xml:space="preserve"> a network of two components; the elastin molecules</w:t>
      </w:r>
      <w:r w:rsidR="0055639C">
        <w:rPr>
          <w:rFonts w:ascii="Arial" w:hAnsi="Arial" w:cs="Arial"/>
          <w:iCs/>
          <w:color w:val="595959" w:themeColor="text1" w:themeTint="A6"/>
        </w:rPr>
        <w:t>, which</w:t>
      </w:r>
      <w:r w:rsidR="004515AC" w:rsidRPr="007325CD">
        <w:rPr>
          <w:rFonts w:ascii="Arial" w:hAnsi="Arial" w:cs="Arial"/>
          <w:iCs/>
          <w:color w:val="595959" w:themeColor="text1" w:themeTint="A6"/>
        </w:rPr>
        <w:t xml:space="preserve"> confer the majority of the structure (70-90%) and the rest consist</w:t>
      </w:r>
      <w:r w:rsidR="00877B3D">
        <w:rPr>
          <w:rFonts w:ascii="Arial" w:hAnsi="Arial" w:cs="Arial"/>
          <w:iCs/>
          <w:color w:val="595959" w:themeColor="text1" w:themeTint="A6"/>
        </w:rPr>
        <w:t>ing</w:t>
      </w:r>
      <w:r w:rsidR="004515AC" w:rsidRPr="007325CD">
        <w:rPr>
          <w:rFonts w:ascii="Arial" w:hAnsi="Arial" w:cs="Arial"/>
          <w:iCs/>
          <w:color w:val="595959" w:themeColor="text1" w:themeTint="A6"/>
        </w:rPr>
        <w:t xml:space="preserve"> of tubular microfibrillar protein (Oxlund </w:t>
      </w:r>
      <w:r w:rsidR="004515AC" w:rsidRPr="007325CD">
        <w:rPr>
          <w:rFonts w:ascii="Arial" w:hAnsi="Arial" w:cs="Arial"/>
          <w:i/>
          <w:iCs/>
          <w:color w:val="595959" w:themeColor="text1" w:themeTint="A6"/>
        </w:rPr>
        <w:t>et al</w:t>
      </w:r>
      <w:r w:rsidR="004515AC" w:rsidRPr="007325CD">
        <w:rPr>
          <w:rFonts w:ascii="Arial" w:hAnsi="Arial" w:cs="Arial"/>
          <w:iCs/>
          <w:color w:val="595959" w:themeColor="text1" w:themeTint="A6"/>
        </w:rPr>
        <w:t>., 1988). This glycoprotein co-</w:t>
      </w:r>
      <w:r w:rsidR="004515AC" w:rsidRPr="007325CD">
        <w:rPr>
          <w:rFonts w:ascii="Arial" w:hAnsi="Arial" w:cs="Arial"/>
          <w:iCs/>
          <w:color w:val="595959" w:themeColor="text1" w:themeTint="A6"/>
        </w:rPr>
        <w:lastRenderedPageBreak/>
        <w:t xml:space="preserve">localises with fibrillin 1 on the periphery of the fibre and provides the necessary scaffolding to aid alignment and cross-linking (Wagenseil </w:t>
      </w:r>
      <w:r w:rsidR="004515AC" w:rsidRPr="007325CD">
        <w:rPr>
          <w:rFonts w:ascii="Arial" w:hAnsi="Arial" w:cs="Arial"/>
          <w:i/>
          <w:iCs/>
          <w:color w:val="595959" w:themeColor="text1" w:themeTint="A6"/>
        </w:rPr>
        <w:t>et al</w:t>
      </w:r>
      <w:r w:rsidR="004515AC" w:rsidRPr="007325CD">
        <w:rPr>
          <w:rFonts w:ascii="Arial" w:hAnsi="Arial" w:cs="Arial"/>
          <w:iCs/>
          <w:color w:val="595959" w:themeColor="text1" w:themeTint="A6"/>
        </w:rPr>
        <w:t xml:space="preserve">., 2007). The precursor of elastin molecule is tropo-elastin encoded by a single </w:t>
      </w:r>
      <w:r w:rsidR="004515AC" w:rsidRPr="00275182">
        <w:rPr>
          <w:rFonts w:ascii="Arial" w:hAnsi="Arial" w:cs="Arial"/>
          <w:i/>
          <w:color w:val="595959" w:themeColor="text1" w:themeTint="A6"/>
        </w:rPr>
        <w:t>ELN</w:t>
      </w:r>
      <w:r w:rsidR="004515AC" w:rsidRPr="007325CD">
        <w:rPr>
          <w:rFonts w:ascii="Arial" w:hAnsi="Arial" w:cs="Arial"/>
          <w:iCs/>
          <w:color w:val="595959" w:themeColor="text1" w:themeTint="A6"/>
        </w:rPr>
        <w:t xml:space="preserve"> gene and is considered the fundamental building block of elastin. Within the hydrophobic regions of </w:t>
      </w:r>
      <w:r w:rsidR="004B4577" w:rsidRPr="007325CD">
        <w:rPr>
          <w:rFonts w:ascii="Arial" w:hAnsi="Arial" w:cs="Arial"/>
          <w:iCs/>
          <w:color w:val="595959" w:themeColor="text1" w:themeTint="A6"/>
        </w:rPr>
        <w:t>elastin,</w:t>
      </w:r>
      <w:r w:rsidR="004515AC" w:rsidRPr="007325CD">
        <w:rPr>
          <w:rFonts w:ascii="Arial" w:hAnsi="Arial" w:cs="Arial"/>
          <w:iCs/>
          <w:color w:val="595959" w:themeColor="text1" w:themeTint="A6"/>
        </w:rPr>
        <w:t xml:space="preserve"> </w:t>
      </w:r>
      <w:r w:rsidR="004B4577" w:rsidRPr="007325CD">
        <w:rPr>
          <w:rFonts w:ascii="Arial" w:hAnsi="Arial" w:cs="Arial"/>
          <w:iCs/>
          <w:color w:val="595959" w:themeColor="text1" w:themeTint="A6"/>
        </w:rPr>
        <w:t>two structures</w:t>
      </w:r>
      <w:r w:rsidR="004515AC" w:rsidRPr="007325CD">
        <w:rPr>
          <w:rFonts w:ascii="Arial" w:hAnsi="Arial" w:cs="Arial"/>
          <w:iCs/>
          <w:color w:val="595959" w:themeColor="text1" w:themeTint="A6"/>
        </w:rPr>
        <w:t xml:space="preserve"> give the protein its elastic recoil</w:t>
      </w:r>
      <w:r w:rsidR="004B4577">
        <w:rPr>
          <w:rFonts w:ascii="Arial" w:hAnsi="Arial" w:cs="Arial"/>
          <w:iCs/>
          <w:color w:val="595959" w:themeColor="text1" w:themeTint="A6"/>
        </w:rPr>
        <w:t xml:space="preserve"> functionality</w:t>
      </w:r>
      <w:r w:rsidR="004515AC" w:rsidRPr="007325CD">
        <w:rPr>
          <w:rFonts w:ascii="Arial" w:hAnsi="Arial" w:cs="Arial"/>
          <w:iCs/>
          <w:color w:val="595959" w:themeColor="text1" w:themeTint="A6"/>
        </w:rPr>
        <w:t xml:space="preserve">. In relaxed conformations the elastin tends to favour an unordered structure and so the chains are considered to be highly mobile. If stretched, during swelling, the tropo-elastin </w:t>
      </w:r>
      <w:r w:rsidR="007325CD" w:rsidRPr="007325CD">
        <w:rPr>
          <w:rFonts w:ascii="Arial" w:hAnsi="Arial" w:cs="Arial"/>
          <w:iCs/>
          <w:color w:val="595959" w:themeColor="text1" w:themeTint="A6"/>
        </w:rPr>
        <w:t>unfolds,</w:t>
      </w:r>
      <w:r w:rsidR="004515AC" w:rsidRPr="007325CD">
        <w:rPr>
          <w:rFonts w:ascii="Arial" w:hAnsi="Arial" w:cs="Arial"/>
          <w:iCs/>
          <w:color w:val="595959" w:themeColor="text1" w:themeTint="A6"/>
        </w:rPr>
        <w:t xml:space="preserve"> and the chains are pulled uniformly in one direction; that of the stretching force. This encourages hydrogen bonds to form and the structure favours a more ordered conformation thus resulting in a more restrained structure (Debelle and Alix, 1999). </w:t>
      </w:r>
    </w:p>
    <w:p w14:paraId="0B679296" w14:textId="6D9EF004" w:rsidR="004515AC" w:rsidRPr="007325CD" w:rsidRDefault="004B4577" w:rsidP="004B4577">
      <w:pPr>
        <w:spacing w:line="480" w:lineRule="auto"/>
        <w:jc w:val="both"/>
        <w:rPr>
          <w:rFonts w:ascii="Arial" w:hAnsi="Arial" w:cs="Arial"/>
          <w:iCs/>
          <w:color w:val="595959" w:themeColor="text1" w:themeTint="A6"/>
        </w:rPr>
      </w:pPr>
      <w:r>
        <w:rPr>
          <w:rFonts w:ascii="Arial" w:hAnsi="Arial" w:cs="Arial"/>
          <w:iCs/>
          <w:color w:val="595959" w:themeColor="text1" w:themeTint="A6"/>
        </w:rPr>
        <w:t>U</w:t>
      </w:r>
      <w:r w:rsidR="004515AC" w:rsidRPr="007325CD">
        <w:rPr>
          <w:rFonts w:ascii="Arial" w:hAnsi="Arial" w:cs="Arial"/>
          <w:iCs/>
          <w:color w:val="595959" w:themeColor="text1" w:themeTint="A6"/>
        </w:rPr>
        <w:t>biquitously expressed in the ECM of all vertebrates</w:t>
      </w:r>
      <w:r>
        <w:rPr>
          <w:rFonts w:ascii="Arial" w:hAnsi="Arial" w:cs="Arial"/>
          <w:iCs/>
          <w:color w:val="595959" w:themeColor="text1" w:themeTint="A6"/>
        </w:rPr>
        <w:t xml:space="preserve"> is fibronectin</w:t>
      </w:r>
      <w:r w:rsidR="00FB5F6F">
        <w:rPr>
          <w:rFonts w:ascii="Arial" w:hAnsi="Arial" w:cs="Arial"/>
          <w:iCs/>
          <w:color w:val="595959" w:themeColor="text1" w:themeTint="A6"/>
        </w:rPr>
        <w:t xml:space="preserve">, </w:t>
      </w:r>
      <w:r w:rsidR="00387030">
        <w:rPr>
          <w:rFonts w:ascii="Arial" w:hAnsi="Arial" w:cs="Arial"/>
          <w:iCs/>
          <w:color w:val="595959" w:themeColor="text1" w:themeTint="A6"/>
        </w:rPr>
        <w:t>responsible</w:t>
      </w:r>
      <w:r w:rsidR="00FB5F6F">
        <w:rPr>
          <w:rFonts w:ascii="Arial" w:hAnsi="Arial" w:cs="Arial"/>
          <w:iCs/>
          <w:color w:val="595959" w:themeColor="text1" w:themeTint="A6"/>
        </w:rPr>
        <w:t xml:space="preserve"> for connecting cell</w:t>
      </w:r>
      <w:r w:rsidR="00387030">
        <w:rPr>
          <w:rFonts w:ascii="Arial" w:hAnsi="Arial" w:cs="Arial"/>
          <w:iCs/>
          <w:color w:val="595959" w:themeColor="text1" w:themeTint="A6"/>
        </w:rPr>
        <w:t>s to the ECM</w:t>
      </w:r>
      <w:r w:rsidR="004515AC" w:rsidRPr="007325CD">
        <w:rPr>
          <w:rFonts w:ascii="Arial" w:hAnsi="Arial" w:cs="Arial"/>
          <w:iCs/>
          <w:color w:val="595959" w:themeColor="text1" w:themeTint="A6"/>
        </w:rPr>
        <w:t xml:space="preserve"> (Hynes, 1986</w:t>
      </w:r>
      <w:r w:rsidR="00065565">
        <w:rPr>
          <w:rFonts w:ascii="Arial" w:hAnsi="Arial" w:cs="Arial"/>
          <w:iCs/>
          <w:color w:val="595959" w:themeColor="text1" w:themeTint="A6"/>
        </w:rPr>
        <w:t>, Mou</w:t>
      </w:r>
      <w:r w:rsidR="00EA1C14">
        <w:rPr>
          <w:rFonts w:ascii="Arial" w:hAnsi="Arial" w:cs="Arial"/>
          <w:iCs/>
          <w:color w:val="595959" w:themeColor="text1" w:themeTint="A6"/>
        </w:rPr>
        <w:t>w and Weaver, 2004</w:t>
      </w:r>
      <w:r w:rsidR="00387030">
        <w:rPr>
          <w:rFonts w:ascii="Arial" w:hAnsi="Arial" w:cs="Arial"/>
          <w:iCs/>
          <w:color w:val="595959" w:themeColor="text1" w:themeTint="A6"/>
        </w:rPr>
        <w:t xml:space="preserve">, Walker </w:t>
      </w:r>
      <w:r w:rsidR="00387030" w:rsidRPr="00387030">
        <w:rPr>
          <w:rFonts w:ascii="Arial" w:hAnsi="Arial" w:cs="Arial"/>
          <w:i/>
          <w:color w:val="595959" w:themeColor="text1" w:themeTint="A6"/>
        </w:rPr>
        <w:t>et al.,</w:t>
      </w:r>
      <w:r w:rsidR="00387030">
        <w:rPr>
          <w:rFonts w:ascii="Arial" w:hAnsi="Arial" w:cs="Arial"/>
          <w:iCs/>
          <w:color w:val="595959" w:themeColor="text1" w:themeTint="A6"/>
        </w:rPr>
        <w:t xml:space="preserve"> 2018</w:t>
      </w:r>
      <w:r w:rsidR="004515AC" w:rsidRPr="007325CD">
        <w:rPr>
          <w:rFonts w:ascii="Arial" w:hAnsi="Arial" w:cs="Arial"/>
          <w:iCs/>
          <w:color w:val="595959" w:themeColor="text1" w:themeTint="A6"/>
        </w:rPr>
        <w:t>). Although encoded by a single gene, alternative splicing accounts fo</w:t>
      </w:r>
      <w:r>
        <w:rPr>
          <w:rFonts w:ascii="Arial" w:hAnsi="Arial" w:cs="Arial"/>
          <w:iCs/>
          <w:color w:val="595959" w:themeColor="text1" w:themeTint="A6"/>
        </w:rPr>
        <w:t>r</w:t>
      </w:r>
      <w:r w:rsidR="00E730AD">
        <w:rPr>
          <w:rFonts w:ascii="Arial" w:hAnsi="Arial" w:cs="Arial"/>
          <w:iCs/>
          <w:color w:val="595959" w:themeColor="text1" w:themeTint="A6"/>
        </w:rPr>
        <w:t xml:space="preserve"> 20 isoforms</w:t>
      </w:r>
      <w:r>
        <w:rPr>
          <w:rFonts w:ascii="Arial" w:hAnsi="Arial" w:cs="Arial"/>
          <w:iCs/>
          <w:color w:val="595959" w:themeColor="text1" w:themeTint="A6"/>
        </w:rPr>
        <w:t xml:space="preserve"> to be present within </w:t>
      </w:r>
      <w:r w:rsidR="00E0223B">
        <w:rPr>
          <w:rFonts w:ascii="Arial" w:hAnsi="Arial" w:cs="Arial"/>
          <w:iCs/>
          <w:color w:val="595959" w:themeColor="text1" w:themeTint="A6"/>
        </w:rPr>
        <w:t>human</w:t>
      </w:r>
      <w:r>
        <w:rPr>
          <w:rFonts w:ascii="Arial" w:hAnsi="Arial" w:cs="Arial"/>
          <w:iCs/>
          <w:color w:val="595959" w:themeColor="text1" w:themeTint="A6"/>
        </w:rPr>
        <w:t xml:space="preserve"> ECM</w:t>
      </w:r>
      <w:r w:rsidR="004515AC" w:rsidRPr="007325CD">
        <w:rPr>
          <w:rFonts w:ascii="Arial" w:hAnsi="Arial" w:cs="Arial"/>
          <w:iCs/>
          <w:color w:val="595959" w:themeColor="text1" w:themeTint="A6"/>
        </w:rPr>
        <w:t xml:space="preserve">. The solubility of fibronectin allows it to be categorised into soluble plasma fibronectin and cellular fibronectin. The latter is more heterogeneous and varies in different tissues. </w:t>
      </w:r>
      <w:r w:rsidR="004515AC" w:rsidRPr="007325CD">
        <w:rPr>
          <w:rFonts w:ascii="Arial" w:hAnsi="Arial" w:cs="Arial"/>
          <w:i/>
          <w:iCs/>
          <w:color w:val="595959" w:themeColor="text1" w:themeTint="A6"/>
        </w:rPr>
        <w:t>In vivo</w:t>
      </w:r>
      <w:r w:rsidR="004515AC" w:rsidRPr="007325CD">
        <w:rPr>
          <w:rFonts w:ascii="Arial" w:hAnsi="Arial" w:cs="Arial"/>
          <w:iCs/>
          <w:color w:val="595959" w:themeColor="text1" w:themeTint="A6"/>
        </w:rPr>
        <w:t xml:space="preserve"> fibronectin functions in its fibrillary state. The molecular composition is capable of forming into super-molecular fibres that can be tens of micrometres in length, providing a vast </w:t>
      </w:r>
      <w:r>
        <w:rPr>
          <w:rFonts w:ascii="Arial" w:hAnsi="Arial" w:cs="Arial"/>
          <w:iCs/>
          <w:color w:val="595959" w:themeColor="text1" w:themeTint="A6"/>
        </w:rPr>
        <w:t xml:space="preserve">structural support </w:t>
      </w:r>
      <w:r w:rsidR="004515AC" w:rsidRPr="007325CD">
        <w:rPr>
          <w:rFonts w:ascii="Arial" w:hAnsi="Arial" w:cs="Arial"/>
          <w:iCs/>
          <w:color w:val="595959" w:themeColor="text1" w:themeTint="A6"/>
        </w:rPr>
        <w:t xml:space="preserve">network </w:t>
      </w:r>
      <w:r>
        <w:rPr>
          <w:rFonts w:ascii="Arial" w:hAnsi="Arial" w:cs="Arial"/>
          <w:iCs/>
          <w:color w:val="595959" w:themeColor="text1" w:themeTint="A6"/>
        </w:rPr>
        <w:t xml:space="preserve">in </w:t>
      </w:r>
      <w:r w:rsidR="004515AC" w:rsidRPr="007325CD">
        <w:rPr>
          <w:rFonts w:ascii="Arial" w:hAnsi="Arial" w:cs="Arial"/>
          <w:iCs/>
          <w:color w:val="595959" w:themeColor="text1" w:themeTint="A6"/>
        </w:rPr>
        <w:t xml:space="preserve">developing tissues (Larsen </w:t>
      </w:r>
      <w:r w:rsidR="004515AC" w:rsidRPr="007325CD">
        <w:rPr>
          <w:rFonts w:ascii="Arial" w:hAnsi="Arial" w:cs="Arial"/>
          <w:i/>
          <w:iCs/>
          <w:color w:val="595959" w:themeColor="text1" w:themeTint="A6"/>
        </w:rPr>
        <w:t>et al</w:t>
      </w:r>
      <w:r w:rsidR="004515AC" w:rsidRPr="007325CD">
        <w:rPr>
          <w:rFonts w:ascii="Arial" w:hAnsi="Arial" w:cs="Arial"/>
          <w:iCs/>
          <w:color w:val="595959" w:themeColor="text1" w:themeTint="A6"/>
        </w:rPr>
        <w:t xml:space="preserve">., 2006). Fibronectin is also capable of binding other ECM components; the multi-domain protein complex can be involved with fibrin, which aids adhesion/migrations in clot formation. Binding of fibronectin together with cells is achieved primarily </w:t>
      </w:r>
      <w:r w:rsidR="004515AC" w:rsidRPr="009C7735">
        <w:rPr>
          <w:rFonts w:ascii="Arial" w:hAnsi="Arial" w:cs="Arial"/>
          <w:iCs/>
          <w:color w:val="595959" w:themeColor="text1" w:themeTint="A6"/>
        </w:rPr>
        <w:t xml:space="preserve">through integrin and </w:t>
      </w:r>
      <w:r w:rsidR="004515AC" w:rsidRPr="007325CD">
        <w:rPr>
          <w:rFonts w:ascii="Arial" w:hAnsi="Arial" w:cs="Arial"/>
          <w:iCs/>
          <w:color w:val="595959" w:themeColor="text1" w:themeTint="A6"/>
        </w:rPr>
        <w:t>syndecan</w:t>
      </w:r>
      <w:r>
        <w:rPr>
          <w:rFonts w:ascii="Arial" w:hAnsi="Arial" w:cs="Arial"/>
          <w:iCs/>
          <w:color w:val="595959" w:themeColor="text1" w:themeTint="A6"/>
        </w:rPr>
        <w:t xml:space="preserve"> receptors. F</w:t>
      </w:r>
      <w:r w:rsidR="004515AC" w:rsidRPr="007325CD">
        <w:rPr>
          <w:rFonts w:ascii="Arial" w:hAnsi="Arial" w:cs="Arial"/>
          <w:iCs/>
          <w:color w:val="595959" w:themeColor="text1" w:themeTint="A6"/>
        </w:rPr>
        <w:t xml:space="preserve">ibronectin is continually synthesised to maintain the pre-existing fibronectin matrix (Sottile and Hicking, 2002). </w:t>
      </w:r>
    </w:p>
    <w:p w14:paraId="071989E9" w14:textId="4C8ABE53" w:rsidR="004515AC" w:rsidRPr="007325CD" w:rsidRDefault="001F025E" w:rsidP="00095833">
      <w:pPr>
        <w:spacing w:line="480" w:lineRule="auto"/>
        <w:jc w:val="both"/>
        <w:rPr>
          <w:rFonts w:ascii="Arial" w:hAnsi="Arial" w:cs="Arial"/>
          <w:iCs/>
          <w:color w:val="595959" w:themeColor="text1" w:themeTint="A6"/>
        </w:rPr>
      </w:pPr>
      <w:r>
        <w:rPr>
          <w:rFonts w:ascii="Arial" w:hAnsi="Arial" w:cs="Arial"/>
          <w:iCs/>
          <w:color w:val="595959" w:themeColor="text1" w:themeTint="A6"/>
        </w:rPr>
        <w:t xml:space="preserve">The laminins are considered </w:t>
      </w:r>
      <w:r w:rsidR="004515AC" w:rsidRPr="007325CD">
        <w:rPr>
          <w:rFonts w:ascii="Arial" w:hAnsi="Arial" w:cs="Arial"/>
          <w:iCs/>
          <w:color w:val="595959" w:themeColor="text1" w:themeTint="A6"/>
        </w:rPr>
        <w:t>major constituents of the bas</w:t>
      </w:r>
      <w:r w:rsidR="006B7D97">
        <w:rPr>
          <w:rFonts w:ascii="Arial" w:hAnsi="Arial" w:cs="Arial"/>
          <w:iCs/>
          <w:color w:val="595959" w:themeColor="text1" w:themeTint="A6"/>
        </w:rPr>
        <w:t>al lamina, specifically the basement membrane</w:t>
      </w:r>
      <w:r w:rsidR="004515AC" w:rsidRPr="007325CD">
        <w:rPr>
          <w:rFonts w:ascii="Arial" w:hAnsi="Arial" w:cs="Arial"/>
          <w:iCs/>
          <w:color w:val="595959" w:themeColor="text1" w:themeTint="A6"/>
        </w:rPr>
        <w:t>; a highly organised area of the ECM that provides an interface with a variety of cell types including endothelial and epithelial</w:t>
      </w:r>
      <w:r w:rsidR="004B4577" w:rsidRPr="004B4577">
        <w:rPr>
          <w:rFonts w:ascii="Arial" w:hAnsi="Arial" w:cs="Arial"/>
          <w:iCs/>
          <w:color w:val="595959" w:themeColor="text1" w:themeTint="A6"/>
        </w:rPr>
        <w:t xml:space="preserve"> </w:t>
      </w:r>
      <w:r w:rsidR="004B4577" w:rsidRPr="007325CD">
        <w:rPr>
          <w:rFonts w:ascii="Arial" w:hAnsi="Arial" w:cs="Arial"/>
          <w:iCs/>
          <w:color w:val="595959" w:themeColor="text1" w:themeTint="A6"/>
        </w:rPr>
        <w:t>cells</w:t>
      </w:r>
      <w:r w:rsidR="00095833">
        <w:rPr>
          <w:rFonts w:ascii="Arial" w:hAnsi="Arial" w:cs="Arial"/>
          <w:iCs/>
          <w:color w:val="595959" w:themeColor="text1" w:themeTint="A6"/>
        </w:rPr>
        <w:t xml:space="preserve">, surrounding nerves, </w:t>
      </w:r>
      <w:r w:rsidR="004515AC" w:rsidRPr="007325CD">
        <w:rPr>
          <w:rFonts w:ascii="Arial" w:hAnsi="Arial" w:cs="Arial"/>
          <w:iCs/>
          <w:color w:val="595959" w:themeColor="text1" w:themeTint="A6"/>
        </w:rPr>
        <w:t>muscle</w:t>
      </w:r>
      <w:r w:rsidR="00095833">
        <w:rPr>
          <w:rFonts w:ascii="Arial" w:hAnsi="Arial" w:cs="Arial"/>
          <w:iCs/>
          <w:color w:val="595959" w:themeColor="text1" w:themeTint="A6"/>
        </w:rPr>
        <w:t>s,</w:t>
      </w:r>
      <w:r w:rsidR="004515AC" w:rsidRPr="007325CD">
        <w:rPr>
          <w:rFonts w:ascii="Arial" w:hAnsi="Arial" w:cs="Arial"/>
          <w:iCs/>
          <w:color w:val="595959" w:themeColor="text1" w:themeTint="A6"/>
        </w:rPr>
        <w:t xml:space="preserve"> </w:t>
      </w:r>
      <w:r w:rsidR="00095833">
        <w:rPr>
          <w:rFonts w:ascii="Arial" w:hAnsi="Arial" w:cs="Arial"/>
          <w:iCs/>
          <w:color w:val="595959" w:themeColor="text1" w:themeTint="A6"/>
        </w:rPr>
        <w:t xml:space="preserve">and </w:t>
      </w:r>
      <w:r w:rsidR="0004082F">
        <w:rPr>
          <w:rFonts w:ascii="Arial" w:hAnsi="Arial" w:cs="Arial"/>
          <w:iCs/>
          <w:color w:val="595959" w:themeColor="text1" w:themeTint="A6"/>
        </w:rPr>
        <w:t>adipose tissue</w:t>
      </w:r>
      <w:r w:rsidR="003C7A50">
        <w:rPr>
          <w:rFonts w:ascii="Arial" w:hAnsi="Arial" w:cs="Arial"/>
          <w:iCs/>
          <w:color w:val="595959" w:themeColor="text1" w:themeTint="A6"/>
        </w:rPr>
        <w:t xml:space="preserve"> (Walker </w:t>
      </w:r>
      <w:r w:rsidR="003C7A50" w:rsidRPr="003C7A50">
        <w:rPr>
          <w:rFonts w:ascii="Arial" w:hAnsi="Arial" w:cs="Arial"/>
          <w:i/>
          <w:color w:val="595959" w:themeColor="text1" w:themeTint="A6"/>
        </w:rPr>
        <w:t>et al.,</w:t>
      </w:r>
      <w:r w:rsidR="003C7A50">
        <w:rPr>
          <w:rFonts w:ascii="Arial" w:hAnsi="Arial" w:cs="Arial"/>
          <w:iCs/>
          <w:color w:val="595959" w:themeColor="text1" w:themeTint="A6"/>
        </w:rPr>
        <w:t xml:space="preserve"> 2018)</w:t>
      </w:r>
      <w:r w:rsidR="004515AC" w:rsidRPr="007325CD">
        <w:rPr>
          <w:rFonts w:ascii="Arial" w:hAnsi="Arial" w:cs="Arial"/>
          <w:iCs/>
          <w:color w:val="595959" w:themeColor="text1" w:themeTint="A6"/>
        </w:rPr>
        <w:t xml:space="preserve">. As well as allowing cellular communication it also provides mechanical support and </w:t>
      </w:r>
      <w:r w:rsidR="009C7735" w:rsidRPr="007325CD">
        <w:rPr>
          <w:rFonts w:ascii="Arial" w:hAnsi="Arial" w:cs="Arial"/>
          <w:iCs/>
          <w:color w:val="595959" w:themeColor="text1" w:themeTint="A6"/>
        </w:rPr>
        <w:t>stability,</w:t>
      </w:r>
      <w:r w:rsidR="004515AC" w:rsidRPr="007325CD">
        <w:rPr>
          <w:rFonts w:ascii="Arial" w:hAnsi="Arial" w:cs="Arial"/>
          <w:iCs/>
          <w:color w:val="595959" w:themeColor="text1" w:themeTint="A6"/>
        </w:rPr>
        <w:t xml:space="preserve"> allowing for structural compartmentali</w:t>
      </w:r>
      <w:r w:rsidR="00452333">
        <w:rPr>
          <w:rFonts w:ascii="Arial" w:hAnsi="Arial" w:cs="Arial"/>
          <w:iCs/>
          <w:color w:val="595959" w:themeColor="text1" w:themeTint="A6"/>
        </w:rPr>
        <w:t>s</w:t>
      </w:r>
      <w:r w:rsidR="004515AC" w:rsidRPr="007325CD">
        <w:rPr>
          <w:rFonts w:ascii="Arial" w:hAnsi="Arial" w:cs="Arial"/>
          <w:iCs/>
          <w:color w:val="595959" w:themeColor="text1" w:themeTint="A6"/>
        </w:rPr>
        <w:t xml:space="preserve">ation and a physical </w:t>
      </w:r>
      <w:r w:rsidR="004515AC" w:rsidRPr="007325CD">
        <w:rPr>
          <w:rFonts w:ascii="Arial" w:hAnsi="Arial" w:cs="Arial"/>
          <w:iCs/>
          <w:color w:val="595959" w:themeColor="text1" w:themeTint="A6"/>
        </w:rPr>
        <w:lastRenderedPageBreak/>
        <w:t xml:space="preserve">reservoir for cellular growth factors (Tzu and Marinkovich, 2008). There are 16 known laminin glycoprotein </w:t>
      </w:r>
      <w:r w:rsidR="00714A41" w:rsidRPr="007325CD">
        <w:rPr>
          <w:rFonts w:ascii="Arial" w:hAnsi="Arial" w:cs="Arial"/>
          <w:iCs/>
          <w:color w:val="595959" w:themeColor="text1" w:themeTint="A6"/>
        </w:rPr>
        <w:t>isoform</w:t>
      </w:r>
      <w:r w:rsidR="00714A41">
        <w:rPr>
          <w:rFonts w:ascii="Arial" w:hAnsi="Arial" w:cs="Arial"/>
          <w:iCs/>
          <w:color w:val="595959" w:themeColor="text1" w:themeTint="A6"/>
        </w:rPr>
        <w:t>s,</w:t>
      </w:r>
      <w:r w:rsidR="008541C2">
        <w:rPr>
          <w:rFonts w:ascii="Arial" w:hAnsi="Arial" w:cs="Arial"/>
          <w:iCs/>
          <w:color w:val="595959" w:themeColor="text1" w:themeTint="A6"/>
        </w:rPr>
        <w:t xml:space="preserve"> but </w:t>
      </w:r>
      <w:r w:rsidR="00055C4E">
        <w:rPr>
          <w:rFonts w:ascii="Arial" w:hAnsi="Arial" w:cs="Arial"/>
          <w:iCs/>
          <w:color w:val="595959" w:themeColor="text1" w:themeTint="A6"/>
        </w:rPr>
        <w:t xml:space="preserve">each has </w:t>
      </w:r>
      <w:r w:rsidR="004515AC" w:rsidRPr="007325CD">
        <w:rPr>
          <w:rFonts w:ascii="Arial" w:hAnsi="Arial" w:cs="Arial"/>
          <w:iCs/>
          <w:color w:val="595959" w:themeColor="text1" w:themeTint="A6"/>
        </w:rPr>
        <w:t>a defined structure</w:t>
      </w:r>
      <w:r w:rsidR="003C6EF3">
        <w:rPr>
          <w:rFonts w:ascii="Arial" w:hAnsi="Arial" w:cs="Arial"/>
          <w:iCs/>
          <w:color w:val="595959" w:themeColor="text1" w:themeTint="A6"/>
        </w:rPr>
        <w:t xml:space="preserve">; they are </w:t>
      </w:r>
      <w:r w:rsidR="004515AC" w:rsidRPr="007325CD">
        <w:rPr>
          <w:rFonts w:ascii="Arial" w:hAnsi="Arial" w:cs="Arial"/>
          <w:iCs/>
          <w:color w:val="595959" w:themeColor="text1" w:themeTint="A6"/>
        </w:rPr>
        <w:t xml:space="preserve">large (400-900 kDa), cross-shaped and heterotrimeric; each heterotrimer consists of 1α, 1β and 1γ chain each encoded by its own gene (Aumailley </w:t>
      </w:r>
      <w:r w:rsidR="004515AC" w:rsidRPr="007325CD">
        <w:rPr>
          <w:rFonts w:ascii="Arial" w:hAnsi="Arial" w:cs="Arial"/>
          <w:i/>
          <w:iCs/>
          <w:color w:val="595959" w:themeColor="text1" w:themeTint="A6"/>
        </w:rPr>
        <w:t>et al</w:t>
      </w:r>
      <w:r w:rsidR="004515AC" w:rsidRPr="007325CD">
        <w:rPr>
          <w:rFonts w:ascii="Arial" w:hAnsi="Arial" w:cs="Arial"/>
          <w:iCs/>
          <w:color w:val="595959" w:themeColor="text1" w:themeTint="A6"/>
        </w:rPr>
        <w:t xml:space="preserve">., 2005). Each chain has specific domains which are capable of </w:t>
      </w:r>
      <w:r w:rsidR="004515AC" w:rsidRPr="00714A41">
        <w:rPr>
          <w:rFonts w:ascii="Arial" w:hAnsi="Arial" w:cs="Arial"/>
          <w:iCs/>
          <w:color w:val="595959" w:themeColor="text1" w:themeTint="A6"/>
        </w:rPr>
        <w:t xml:space="preserve">interacting with integrins and </w:t>
      </w:r>
      <w:r w:rsidR="004515AC" w:rsidRPr="007325CD">
        <w:rPr>
          <w:rFonts w:ascii="Arial" w:hAnsi="Arial" w:cs="Arial"/>
          <w:iCs/>
          <w:color w:val="595959" w:themeColor="text1" w:themeTint="A6"/>
        </w:rPr>
        <w:t xml:space="preserve">various ligands and therefore has a role in maintaining architectural assembly and integrity of the basement membrane (Yurchenco and Wadsworth, 2004). </w:t>
      </w:r>
      <w:r w:rsidR="008E4E5F">
        <w:rPr>
          <w:rFonts w:ascii="Arial" w:hAnsi="Arial" w:cs="Arial"/>
          <w:iCs/>
          <w:color w:val="595959" w:themeColor="text1" w:themeTint="A6"/>
        </w:rPr>
        <w:t xml:space="preserve">They </w:t>
      </w:r>
      <w:r w:rsidR="004515AC" w:rsidRPr="007325CD">
        <w:rPr>
          <w:rFonts w:ascii="Arial" w:hAnsi="Arial" w:cs="Arial"/>
          <w:iCs/>
          <w:color w:val="595959" w:themeColor="text1" w:themeTint="A6"/>
        </w:rPr>
        <w:t xml:space="preserve">interact with various cell types to impact </w:t>
      </w:r>
      <w:r w:rsidR="00142D74">
        <w:rPr>
          <w:rFonts w:ascii="Arial" w:hAnsi="Arial" w:cs="Arial"/>
          <w:iCs/>
          <w:color w:val="595959" w:themeColor="text1" w:themeTint="A6"/>
        </w:rPr>
        <w:t xml:space="preserve">behavioural responses such as </w:t>
      </w:r>
      <w:r w:rsidR="004515AC" w:rsidRPr="007325CD">
        <w:rPr>
          <w:rFonts w:ascii="Arial" w:hAnsi="Arial" w:cs="Arial"/>
          <w:iCs/>
          <w:color w:val="595959" w:themeColor="text1" w:themeTint="A6"/>
        </w:rPr>
        <w:t>proliferation, adhesion</w:t>
      </w:r>
      <w:r w:rsidR="00142D74">
        <w:rPr>
          <w:rFonts w:ascii="Arial" w:hAnsi="Arial" w:cs="Arial"/>
          <w:iCs/>
          <w:color w:val="595959" w:themeColor="text1" w:themeTint="A6"/>
        </w:rPr>
        <w:t xml:space="preserve">, </w:t>
      </w:r>
      <w:r w:rsidR="004515AC" w:rsidRPr="007325CD">
        <w:rPr>
          <w:rFonts w:ascii="Arial" w:hAnsi="Arial" w:cs="Arial"/>
          <w:iCs/>
          <w:color w:val="595959" w:themeColor="text1" w:themeTint="A6"/>
        </w:rPr>
        <w:t xml:space="preserve">migration as well as differentiation in normal pathways (Theocharis </w:t>
      </w:r>
      <w:r w:rsidR="004515AC" w:rsidRPr="007325CD">
        <w:rPr>
          <w:rFonts w:ascii="Arial" w:hAnsi="Arial" w:cs="Arial"/>
          <w:i/>
          <w:iCs/>
          <w:color w:val="595959" w:themeColor="text1" w:themeTint="A6"/>
        </w:rPr>
        <w:t>et al</w:t>
      </w:r>
      <w:r w:rsidR="004515AC" w:rsidRPr="007325CD">
        <w:rPr>
          <w:rFonts w:ascii="Arial" w:hAnsi="Arial" w:cs="Arial"/>
          <w:iCs/>
          <w:color w:val="595959" w:themeColor="text1" w:themeTint="A6"/>
        </w:rPr>
        <w:t xml:space="preserve">., 2016). </w:t>
      </w:r>
    </w:p>
    <w:p w14:paraId="1DC906F1" w14:textId="10E69C9A" w:rsidR="004515AC" w:rsidRDefault="004515AC" w:rsidP="00673737">
      <w:pPr>
        <w:spacing w:line="480" w:lineRule="auto"/>
        <w:jc w:val="both"/>
        <w:rPr>
          <w:rFonts w:ascii="Arial" w:hAnsi="Arial" w:cs="Arial"/>
          <w:iCs/>
          <w:color w:val="595959" w:themeColor="text1" w:themeTint="A6"/>
        </w:rPr>
      </w:pPr>
      <w:r w:rsidRPr="007325CD">
        <w:rPr>
          <w:rFonts w:ascii="Arial" w:hAnsi="Arial" w:cs="Arial"/>
          <w:iCs/>
          <w:color w:val="595959" w:themeColor="text1" w:themeTint="A6"/>
        </w:rPr>
        <w:t xml:space="preserve">Laminins are incorporated into the ECM by interactions with other proteins including collagen (IV), fibulin and other laminins. </w:t>
      </w:r>
      <w:r w:rsidR="007E4A64">
        <w:rPr>
          <w:rFonts w:ascii="Arial" w:hAnsi="Arial" w:cs="Arial"/>
          <w:iCs/>
          <w:color w:val="595959" w:themeColor="text1" w:themeTint="A6"/>
        </w:rPr>
        <w:t>L</w:t>
      </w:r>
      <w:r w:rsidRPr="007325CD">
        <w:rPr>
          <w:rFonts w:ascii="Arial" w:hAnsi="Arial" w:cs="Arial"/>
          <w:iCs/>
          <w:color w:val="595959" w:themeColor="text1" w:themeTint="A6"/>
        </w:rPr>
        <w:t>aminin migration and adhesion provid</w:t>
      </w:r>
      <w:r w:rsidR="004442F9">
        <w:rPr>
          <w:rFonts w:ascii="Arial" w:hAnsi="Arial" w:cs="Arial"/>
          <w:iCs/>
          <w:color w:val="595959" w:themeColor="text1" w:themeTint="A6"/>
        </w:rPr>
        <w:t>e</w:t>
      </w:r>
      <w:r w:rsidRPr="007325CD">
        <w:rPr>
          <w:rFonts w:ascii="Arial" w:hAnsi="Arial" w:cs="Arial"/>
          <w:iCs/>
          <w:color w:val="595959" w:themeColor="text1" w:themeTint="A6"/>
        </w:rPr>
        <w:t xml:space="preserve"> critical signal</w:t>
      </w:r>
      <w:r w:rsidR="00C46826">
        <w:rPr>
          <w:rFonts w:ascii="Arial" w:hAnsi="Arial" w:cs="Arial"/>
          <w:iCs/>
          <w:color w:val="595959" w:themeColor="text1" w:themeTint="A6"/>
        </w:rPr>
        <w:t>ling cues</w:t>
      </w:r>
      <w:r w:rsidRPr="007325CD">
        <w:rPr>
          <w:rFonts w:ascii="Arial" w:hAnsi="Arial" w:cs="Arial"/>
          <w:iCs/>
          <w:color w:val="595959" w:themeColor="text1" w:themeTint="A6"/>
        </w:rPr>
        <w:t xml:space="preserve"> to surrounding cells to aid in directing cellular motion and dynamics. The processing of laminin-332 α and γ chains play a role in cellular migration, alternative binding of these chains in a different domain (LG3-LG4) allows the binding of </w:t>
      </w:r>
      <w:r w:rsidR="00275182">
        <w:rPr>
          <w:rFonts w:ascii="Arial" w:hAnsi="Arial" w:cs="Arial"/>
          <w:iCs/>
          <w:color w:val="595959" w:themeColor="text1" w:themeTint="A6"/>
        </w:rPr>
        <w:t>i</w:t>
      </w:r>
      <w:r w:rsidR="00095833">
        <w:rPr>
          <w:rFonts w:ascii="Arial" w:hAnsi="Arial" w:cs="Arial"/>
          <w:iCs/>
          <w:color w:val="595959" w:themeColor="text1" w:themeTint="A6"/>
        </w:rPr>
        <w:t xml:space="preserve">ntegrin α6β4, </w:t>
      </w:r>
      <w:r w:rsidRPr="007325CD">
        <w:rPr>
          <w:rFonts w:ascii="Arial" w:hAnsi="Arial" w:cs="Arial"/>
          <w:iCs/>
          <w:color w:val="595959" w:themeColor="text1" w:themeTint="A6"/>
        </w:rPr>
        <w:t>this</w:t>
      </w:r>
      <w:r w:rsidR="00095833">
        <w:rPr>
          <w:rFonts w:ascii="Arial" w:hAnsi="Arial" w:cs="Arial"/>
          <w:iCs/>
          <w:color w:val="595959" w:themeColor="text1" w:themeTint="A6"/>
        </w:rPr>
        <w:t xml:space="preserve"> increases the formation of </w:t>
      </w:r>
      <w:r w:rsidRPr="007325CD">
        <w:rPr>
          <w:rFonts w:ascii="Arial" w:hAnsi="Arial" w:cs="Arial"/>
          <w:iCs/>
          <w:color w:val="595959" w:themeColor="text1" w:themeTint="A6"/>
        </w:rPr>
        <w:t>hemidesmosomes</w:t>
      </w:r>
      <w:r w:rsidR="00095833">
        <w:rPr>
          <w:rFonts w:ascii="Arial" w:hAnsi="Arial" w:cs="Arial"/>
          <w:iCs/>
          <w:color w:val="595959" w:themeColor="text1" w:themeTint="A6"/>
        </w:rPr>
        <w:t xml:space="preserve"> aiding cell-cell adhesion and</w:t>
      </w:r>
      <w:r w:rsidRPr="007325CD">
        <w:rPr>
          <w:rFonts w:ascii="Arial" w:hAnsi="Arial" w:cs="Arial"/>
          <w:iCs/>
          <w:color w:val="595959" w:themeColor="text1" w:themeTint="A6"/>
        </w:rPr>
        <w:t xml:space="preserve"> inhibiting cellular migration (Hintermann and Quaranta, 2004). γ chain processing causes the release of a DIII fragment which binds erbB1. This initiates the ERK1/2 pathway and phosphorylates </w:t>
      </w:r>
      <w:r w:rsidR="00CE0215">
        <w:rPr>
          <w:rFonts w:ascii="Arial" w:hAnsi="Arial" w:cs="Arial"/>
          <w:iCs/>
          <w:color w:val="595959" w:themeColor="text1" w:themeTint="A6"/>
        </w:rPr>
        <w:t>i</w:t>
      </w:r>
      <w:r w:rsidR="00095833">
        <w:rPr>
          <w:rFonts w:ascii="Arial" w:hAnsi="Arial" w:cs="Arial"/>
          <w:iCs/>
          <w:color w:val="595959" w:themeColor="text1" w:themeTint="A6"/>
        </w:rPr>
        <w:t>ntegrin α2β4 causing hemidesmosome</w:t>
      </w:r>
      <w:r w:rsidRPr="007325CD">
        <w:rPr>
          <w:rFonts w:ascii="Arial" w:hAnsi="Arial" w:cs="Arial"/>
          <w:iCs/>
          <w:color w:val="595959" w:themeColor="text1" w:themeTint="A6"/>
        </w:rPr>
        <w:t xml:space="preserve"> disassembly, and hence aids migration. Erb1 also has the capability to activate MMP2, which aids the γ chain processing further and allows for migration (Schenk </w:t>
      </w:r>
      <w:r w:rsidRPr="007325CD">
        <w:rPr>
          <w:rFonts w:ascii="Arial" w:hAnsi="Arial" w:cs="Arial"/>
          <w:i/>
          <w:iCs/>
          <w:color w:val="595959" w:themeColor="text1" w:themeTint="A6"/>
        </w:rPr>
        <w:t xml:space="preserve">et al., </w:t>
      </w:r>
      <w:r w:rsidRPr="007325CD">
        <w:rPr>
          <w:rFonts w:ascii="Arial" w:hAnsi="Arial" w:cs="Arial"/>
          <w:iCs/>
          <w:color w:val="595959" w:themeColor="text1" w:themeTint="A6"/>
        </w:rPr>
        <w:t>2003).</w:t>
      </w:r>
    </w:p>
    <w:p w14:paraId="436B99B4" w14:textId="168B2497" w:rsidR="00794585" w:rsidRDefault="00794585" w:rsidP="00673737">
      <w:pPr>
        <w:spacing w:line="480" w:lineRule="auto"/>
        <w:jc w:val="both"/>
        <w:rPr>
          <w:rFonts w:ascii="Arial" w:hAnsi="Arial" w:cs="Arial"/>
          <w:iCs/>
          <w:color w:val="595959" w:themeColor="text1" w:themeTint="A6"/>
        </w:rPr>
      </w:pPr>
    </w:p>
    <w:p w14:paraId="73078567" w14:textId="7A725A69" w:rsidR="0039237C" w:rsidRDefault="0039237C" w:rsidP="00673737">
      <w:pPr>
        <w:spacing w:line="480" w:lineRule="auto"/>
        <w:jc w:val="both"/>
        <w:rPr>
          <w:rFonts w:ascii="Arial" w:hAnsi="Arial" w:cs="Arial"/>
          <w:iCs/>
          <w:color w:val="595959" w:themeColor="text1" w:themeTint="A6"/>
        </w:rPr>
      </w:pPr>
    </w:p>
    <w:p w14:paraId="1003692E" w14:textId="523A0F37" w:rsidR="008614E3" w:rsidRDefault="008614E3" w:rsidP="00673737">
      <w:pPr>
        <w:spacing w:line="480" w:lineRule="auto"/>
        <w:jc w:val="both"/>
        <w:rPr>
          <w:rFonts w:ascii="Arial" w:hAnsi="Arial" w:cs="Arial"/>
          <w:iCs/>
          <w:color w:val="595959" w:themeColor="text1" w:themeTint="A6"/>
        </w:rPr>
      </w:pPr>
    </w:p>
    <w:p w14:paraId="18668B46" w14:textId="77777777" w:rsidR="00942A8E" w:rsidRDefault="00942A8E" w:rsidP="00673737">
      <w:pPr>
        <w:spacing w:line="480" w:lineRule="auto"/>
        <w:jc w:val="both"/>
        <w:rPr>
          <w:rFonts w:ascii="Arial" w:hAnsi="Arial" w:cs="Arial"/>
          <w:iCs/>
          <w:color w:val="595959" w:themeColor="text1" w:themeTint="A6"/>
        </w:rPr>
      </w:pPr>
    </w:p>
    <w:p w14:paraId="171EE545" w14:textId="77777777" w:rsidR="00192439" w:rsidRDefault="00192439" w:rsidP="00673737">
      <w:pPr>
        <w:spacing w:line="480" w:lineRule="auto"/>
        <w:jc w:val="both"/>
        <w:rPr>
          <w:rFonts w:ascii="Arial" w:hAnsi="Arial" w:cs="Arial"/>
          <w:iCs/>
          <w:color w:val="595959" w:themeColor="text1" w:themeTint="A6"/>
        </w:rPr>
      </w:pPr>
    </w:p>
    <w:p w14:paraId="695EF1AD" w14:textId="649C5727" w:rsidR="00220314" w:rsidRDefault="00CF3695" w:rsidP="00CF3695">
      <w:pPr>
        <w:tabs>
          <w:tab w:val="left" w:pos="2243"/>
        </w:tabs>
        <w:spacing w:line="480" w:lineRule="auto"/>
        <w:jc w:val="both"/>
        <w:rPr>
          <w:rFonts w:ascii="Arial" w:hAnsi="Arial" w:cs="Arial"/>
          <w:iCs/>
          <w:color w:val="595959" w:themeColor="text1" w:themeTint="A6"/>
        </w:rPr>
      </w:pPr>
      <w:r>
        <w:rPr>
          <w:rFonts w:ascii="Arial" w:hAnsi="Arial" w:cs="Arial"/>
          <w:iCs/>
          <w:color w:val="595959" w:themeColor="text1" w:themeTint="A6"/>
        </w:rPr>
        <w:lastRenderedPageBreak/>
        <w:tab/>
      </w:r>
    </w:p>
    <w:p w14:paraId="736A0EB0" w14:textId="3ED25A54" w:rsidR="0085189A" w:rsidRDefault="0085189A" w:rsidP="00673737">
      <w:pPr>
        <w:spacing w:line="480" w:lineRule="auto"/>
        <w:jc w:val="both"/>
        <w:rPr>
          <w:rFonts w:ascii="Arial" w:hAnsi="Arial" w:cs="Arial"/>
          <w:iCs/>
          <w:color w:val="595959" w:themeColor="text1" w:themeTint="A6"/>
        </w:rPr>
      </w:pPr>
    </w:p>
    <w:p w14:paraId="2A77F4A4" w14:textId="3BB7561B" w:rsidR="0085189A" w:rsidRDefault="0085189A" w:rsidP="00673737">
      <w:pPr>
        <w:spacing w:line="480" w:lineRule="auto"/>
        <w:jc w:val="both"/>
        <w:rPr>
          <w:rFonts w:ascii="Arial" w:hAnsi="Arial" w:cs="Arial"/>
          <w:iCs/>
          <w:color w:val="595959" w:themeColor="text1" w:themeTint="A6"/>
        </w:rPr>
      </w:pPr>
    </w:p>
    <w:p w14:paraId="76E3024F" w14:textId="5CC8559F" w:rsidR="0085189A" w:rsidRDefault="00CF3695" w:rsidP="00673737">
      <w:pPr>
        <w:spacing w:line="480" w:lineRule="auto"/>
        <w:jc w:val="both"/>
        <w:rPr>
          <w:rFonts w:ascii="Arial" w:hAnsi="Arial" w:cs="Arial"/>
          <w:iCs/>
          <w:color w:val="595959" w:themeColor="text1" w:themeTint="A6"/>
        </w:rPr>
      </w:pPr>
      <w:r>
        <w:rPr>
          <w:rFonts w:ascii="Arial" w:hAnsi="Arial" w:cs="Arial"/>
          <w:iCs/>
          <w:noProof/>
          <w:color w:val="595959" w:themeColor="text1" w:themeTint="A6"/>
        </w:rPr>
        <w:drawing>
          <wp:anchor distT="0" distB="0" distL="114300" distR="114300" simplePos="0" relativeHeight="251701515" behindDoc="0" locked="0" layoutInCell="1" allowOverlap="1" wp14:anchorId="1C196996" wp14:editId="0C89A888">
            <wp:simplePos x="0" y="0"/>
            <wp:positionH relativeFrom="margin">
              <wp:align>left</wp:align>
            </wp:positionH>
            <wp:positionV relativeFrom="paragraph">
              <wp:posOffset>290633</wp:posOffset>
            </wp:positionV>
            <wp:extent cx="8588032" cy="6114431"/>
            <wp:effectExtent l="0" t="1588" r="2223" b="2222"/>
            <wp:wrapNone/>
            <wp:docPr id="2057" name="Picture 2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rot="16200000">
                      <a:off x="0" y="0"/>
                      <a:ext cx="8588032" cy="6114431"/>
                    </a:xfrm>
                    <a:prstGeom prst="rect">
                      <a:avLst/>
                    </a:prstGeom>
                    <a:noFill/>
                  </pic:spPr>
                </pic:pic>
              </a:graphicData>
            </a:graphic>
            <wp14:sizeRelH relativeFrom="margin">
              <wp14:pctWidth>0</wp14:pctWidth>
            </wp14:sizeRelH>
            <wp14:sizeRelV relativeFrom="margin">
              <wp14:pctHeight>0</wp14:pctHeight>
            </wp14:sizeRelV>
          </wp:anchor>
        </w:drawing>
      </w:r>
    </w:p>
    <w:p w14:paraId="12FA50DF" w14:textId="27FD2E7D" w:rsidR="0085189A" w:rsidRDefault="0085189A" w:rsidP="00673737">
      <w:pPr>
        <w:spacing w:line="480" w:lineRule="auto"/>
        <w:jc w:val="both"/>
        <w:rPr>
          <w:rFonts w:ascii="Arial" w:hAnsi="Arial" w:cs="Arial"/>
          <w:iCs/>
          <w:color w:val="595959" w:themeColor="text1" w:themeTint="A6"/>
        </w:rPr>
      </w:pPr>
    </w:p>
    <w:p w14:paraId="36ED4315" w14:textId="47335605" w:rsidR="0085189A" w:rsidRDefault="0085189A" w:rsidP="00673737">
      <w:pPr>
        <w:spacing w:line="480" w:lineRule="auto"/>
        <w:jc w:val="both"/>
        <w:rPr>
          <w:rFonts w:ascii="Arial" w:hAnsi="Arial" w:cs="Arial"/>
          <w:iCs/>
          <w:color w:val="595959" w:themeColor="text1" w:themeTint="A6"/>
        </w:rPr>
      </w:pPr>
    </w:p>
    <w:p w14:paraId="1777CC0B" w14:textId="69DB8DBF" w:rsidR="0085189A" w:rsidRDefault="0085189A" w:rsidP="00673737">
      <w:pPr>
        <w:spacing w:line="480" w:lineRule="auto"/>
        <w:jc w:val="both"/>
        <w:rPr>
          <w:rFonts w:ascii="Arial" w:hAnsi="Arial" w:cs="Arial"/>
          <w:iCs/>
          <w:color w:val="595959" w:themeColor="text1" w:themeTint="A6"/>
        </w:rPr>
      </w:pPr>
    </w:p>
    <w:p w14:paraId="26D9CABB" w14:textId="0C432275" w:rsidR="0085189A" w:rsidRDefault="0085189A" w:rsidP="00673737">
      <w:pPr>
        <w:spacing w:line="480" w:lineRule="auto"/>
        <w:jc w:val="both"/>
        <w:rPr>
          <w:rFonts w:ascii="Arial" w:hAnsi="Arial" w:cs="Arial"/>
          <w:iCs/>
          <w:color w:val="595959" w:themeColor="text1" w:themeTint="A6"/>
        </w:rPr>
      </w:pPr>
    </w:p>
    <w:p w14:paraId="068D90AA" w14:textId="7FF37909" w:rsidR="0085189A" w:rsidRDefault="0085189A" w:rsidP="00673737">
      <w:pPr>
        <w:spacing w:line="480" w:lineRule="auto"/>
        <w:jc w:val="both"/>
        <w:rPr>
          <w:rFonts w:ascii="Arial" w:hAnsi="Arial" w:cs="Arial"/>
          <w:iCs/>
          <w:color w:val="595959" w:themeColor="text1" w:themeTint="A6"/>
        </w:rPr>
      </w:pPr>
    </w:p>
    <w:p w14:paraId="3A773FB6" w14:textId="0BD40342" w:rsidR="0085189A" w:rsidRDefault="0085189A" w:rsidP="00673737">
      <w:pPr>
        <w:spacing w:line="480" w:lineRule="auto"/>
        <w:jc w:val="both"/>
        <w:rPr>
          <w:rFonts w:ascii="Arial" w:hAnsi="Arial" w:cs="Arial"/>
          <w:iCs/>
          <w:color w:val="595959" w:themeColor="text1" w:themeTint="A6"/>
        </w:rPr>
      </w:pPr>
    </w:p>
    <w:p w14:paraId="5F8DC228" w14:textId="5C5E67CC" w:rsidR="0085189A" w:rsidRDefault="0085189A" w:rsidP="00673737">
      <w:pPr>
        <w:spacing w:line="480" w:lineRule="auto"/>
        <w:jc w:val="both"/>
        <w:rPr>
          <w:rFonts w:ascii="Arial" w:hAnsi="Arial" w:cs="Arial"/>
          <w:iCs/>
          <w:color w:val="595959" w:themeColor="text1" w:themeTint="A6"/>
        </w:rPr>
      </w:pPr>
    </w:p>
    <w:p w14:paraId="2CC0F333" w14:textId="013EA933" w:rsidR="0085189A" w:rsidRDefault="0085189A" w:rsidP="00673737">
      <w:pPr>
        <w:spacing w:line="480" w:lineRule="auto"/>
        <w:jc w:val="both"/>
        <w:rPr>
          <w:rFonts w:ascii="Arial" w:hAnsi="Arial" w:cs="Arial"/>
          <w:iCs/>
          <w:color w:val="595959" w:themeColor="text1" w:themeTint="A6"/>
        </w:rPr>
      </w:pPr>
    </w:p>
    <w:p w14:paraId="5BEDA972" w14:textId="478A62CA" w:rsidR="0085189A" w:rsidRDefault="0085189A" w:rsidP="00673737">
      <w:pPr>
        <w:spacing w:line="480" w:lineRule="auto"/>
        <w:jc w:val="both"/>
        <w:rPr>
          <w:rFonts w:ascii="Arial" w:hAnsi="Arial" w:cs="Arial"/>
          <w:iCs/>
          <w:color w:val="595959" w:themeColor="text1" w:themeTint="A6"/>
        </w:rPr>
      </w:pPr>
    </w:p>
    <w:p w14:paraId="22FCC5A9" w14:textId="5637BBE9" w:rsidR="0085189A" w:rsidRDefault="0085189A" w:rsidP="00673737">
      <w:pPr>
        <w:spacing w:line="480" w:lineRule="auto"/>
        <w:jc w:val="both"/>
        <w:rPr>
          <w:rFonts w:ascii="Arial" w:hAnsi="Arial" w:cs="Arial"/>
          <w:iCs/>
          <w:color w:val="595959" w:themeColor="text1" w:themeTint="A6"/>
        </w:rPr>
      </w:pPr>
    </w:p>
    <w:p w14:paraId="3330B97B" w14:textId="6F48635F" w:rsidR="0085189A" w:rsidRDefault="0085189A" w:rsidP="00673737">
      <w:pPr>
        <w:spacing w:line="480" w:lineRule="auto"/>
        <w:jc w:val="both"/>
        <w:rPr>
          <w:rFonts w:ascii="Arial" w:hAnsi="Arial" w:cs="Arial"/>
          <w:iCs/>
          <w:color w:val="595959" w:themeColor="text1" w:themeTint="A6"/>
        </w:rPr>
      </w:pPr>
    </w:p>
    <w:p w14:paraId="47191C7C" w14:textId="2966AD52" w:rsidR="0085189A" w:rsidRDefault="0085189A" w:rsidP="00673737">
      <w:pPr>
        <w:spacing w:line="480" w:lineRule="auto"/>
        <w:jc w:val="both"/>
        <w:rPr>
          <w:rFonts w:ascii="Arial" w:hAnsi="Arial" w:cs="Arial"/>
          <w:iCs/>
          <w:color w:val="595959" w:themeColor="text1" w:themeTint="A6"/>
        </w:rPr>
      </w:pPr>
    </w:p>
    <w:p w14:paraId="6313E852" w14:textId="0DC48136" w:rsidR="0085189A" w:rsidRDefault="0085189A" w:rsidP="00673737">
      <w:pPr>
        <w:spacing w:line="480" w:lineRule="auto"/>
        <w:jc w:val="both"/>
        <w:rPr>
          <w:rFonts w:ascii="Arial" w:hAnsi="Arial" w:cs="Arial"/>
          <w:iCs/>
          <w:color w:val="595959" w:themeColor="text1" w:themeTint="A6"/>
        </w:rPr>
      </w:pPr>
    </w:p>
    <w:p w14:paraId="469DABEA" w14:textId="29D90BCC" w:rsidR="0085189A" w:rsidRDefault="0085189A" w:rsidP="00673737">
      <w:pPr>
        <w:spacing w:line="480" w:lineRule="auto"/>
        <w:jc w:val="both"/>
        <w:rPr>
          <w:rFonts w:ascii="Arial" w:hAnsi="Arial" w:cs="Arial"/>
          <w:iCs/>
          <w:color w:val="595959" w:themeColor="text1" w:themeTint="A6"/>
        </w:rPr>
      </w:pPr>
    </w:p>
    <w:p w14:paraId="06A65825" w14:textId="2A5D1FDB" w:rsidR="0085189A" w:rsidRDefault="0085189A" w:rsidP="00673737">
      <w:pPr>
        <w:spacing w:line="480" w:lineRule="auto"/>
        <w:jc w:val="both"/>
        <w:rPr>
          <w:rFonts w:ascii="Arial" w:hAnsi="Arial" w:cs="Arial"/>
          <w:iCs/>
          <w:color w:val="595959" w:themeColor="text1" w:themeTint="A6"/>
        </w:rPr>
      </w:pPr>
    </w:p>
    <w:p w14:paraId="3F56BFFE" w14:textId="7413A308" w:rsidR="0085189A" w:rsidRDefault="0085189A" w:rsidP="00673737">
      <w:pPr>
        <w:spacing w:line="480" w:lineRule="auto"/>
        <w:jc w:val="both"/>
        <w:rPr>
          <w:rFonts w:ascii="Arial" w:hAnsi="Arial" w:cs="Arial"/>
          <w:iCs/>
          <w:color w:val="595959" w:themeColor="text1" w:themeTint="A6"/>
        </w:rPr>
      </w:pPr>
    </w:p>
    <w:p w14:paraId="3062597A" w14:textId="77777777" w:rsidR="00AD40D2" w:rsidRPr="007325CD" w:rsidRDefault="00AD40D2" w:rsidP="00673737">
      <w:pPr>
        <w:spacing w:line="480" w:lineRule="auto"/>
        <w:jc w:val="both"/>
        <w:rPr>
          <w:rFonts w:ascii="Arial" w:hAnsi="Arial" w:cs="Arial"/>
          <w:iCs/>
          <w:color w:val="595959" w:themeColor="text1" w:themeTint="A6"/>
        </w:rPr>
      </w:pPr>
    </w:p>
    <w:p w14:paraId="4354C230" w14:textId="619BA033" w:rsidR="00150CAB" w:rsidRDefault="00150CAB" w:rsidP="009D02AC">
      <w:pPr>
        <w:pStyle w:val="Heading2"/>
        <w:numPr>
          <w:ilvl w:val="1"/>
          <w:numId w:val="4"/>
        </w:numPr>
        <w:rPr>
          <w:rFonts w:ascii="Arial" w:hAnsi="Arial" w:cs="Arial"/>
          <w:color w:val="595959" w:themeColor="text1" w:themeTint="A6"/>
          <w:sz w:val="24"/>
          <w:szCs w:val="24"/>
        </w:rPr>
      </w:pPr>
      <w:bookmarkStart w:id="23" w:name="_Toc34208247"/>
      <w:r w:rsidRPr="004A3264">
        <w:rPr>
          <w:rFonts w:ascii="Arial" w:hAnsi="Arial" w:cs="Arial"/>
          <w:color w:val="595959" w:themeColor="text1" w:themeTint="A6"/>
          <w:sz w:val="24"/>
          <w:szCs w:val="24"/>
        </w:rPr>
        <w:lastRenderedPageBreak/>
        <w:t xml:space="preserve">The role of the ECM in </w:t>
      </w:r>
      <w:r w:rsidR="00A50888" w:rsidRPr="004A3264">
        <w:rPr>
          <w:rFonts w:ascii="Arial" w:hAnsi="Arial" w:cs="Arial"/>
          <w:color w:val="595959" w:themeColor="text1" w:themeTint="A6"/>
          <w:sz w:val="24"/>
          <w:szCs w:val="24"/>
        </w:rPr>
        <w:t xml:space="preserve">oral </w:t>
      </w:r>
      <w:r w:rsidRPr="004A3264">
        <w:rPr>
          <w:rFonts w:ascii="Arial" w:hAnsi="Arial" w:cs="Arial"/>
          <w:color w:val="595959" w:themeColor="text1" w:themeTint="A6"/>
          <w:sz w:val="24"/>
          <w:szCs w:val="24"/>
        </w:rPr>
        <w:t>cancer</w:t>
      </w:r>
      <w:bookmarkEnd w:id="23"/>
      <w:r w:rsidRPr="004A3264">
        <w:rPr>
          <w:rFonts w:ascii="Arial" w:hAnsi="Arial" w:cs="Arial"/>
          <w:color w:val="595959" w:themeColor="text1" w:themeTint="A6"/>
          <w:sz w:val="24"/>
          <w:szCs w:val="24"/>
        </w:rPr>
        <w:t xml:space="preserve"> </w:t>
      </w:r>
    </w:p>
    <w:p w14:paraId="5BAEF28B" w14:textId="77777777" w:rsidR="009D02AC" w:rsidRPr="009D02AC" w:rsidRDefault="009D02AC" w:rsidP="009D02AC">
      <w:pPr>
        <w:pStyle w:val="ListParagraph"/>
        <w:ind w:left="600"/>
      </w:pPr>
    </w:p>
    <w:p w14:paraId="713E0B36" w14:textId="1BCEE6CD" w:rsidR="00F05B45" w:rsidRDefault="001B56D9" w:rsidP="00EE45AC">
      <w:pPr>
        <w:spacing w:line="480" w:lineRule="auto"/>
        <w:jc w:val="both"/>
        <w:rPr>
          <w:rFonts w:ascii="Arial" w:hAnsi="Arial" w:cs="Arial"/>
          <w:iCs/>
          <w:color w:val="595959" w:themeColor="text1" w:themeTint="A6"/>
        </w:rPr>
      </w:pPr>
      <w:r>
        <w:rPr>
          <w:rFonts w:ascii="Arial" w:hAnsi="Arial" w:cs="Arial"/>
          <w:iCs/>
          <w:noProof/>
          <w:color w:val="595959" w:themeColor="text1" w:themeTint="A6"/>
          <w:lang w:eastAsia="zh-CN"/>
        </w:rPr>
        <mc:AlternateContent>
          <mc:Choice Requires="wpg">
            <w:drawing>
              <wp:anchor distT="0" distB="0" distL="114300" distR="114300" simplePos="0" relativeHeight="251658243" behindDoc="0" locked="0" layoutInCell="1" allowOverlap="1" wp14:anchorId="4D40FEE5" wp14:editId="6B791811">
                <wp:simplePos x="0" y="0"/>
                <wp:positionH relativeFrom="margin">
                  <wp:align>center</wp:align>
                </wp:positionH>
                <wp:positionV relativeFrom="paragraph">
                  <wp:posOffset>2802255</wp:posOffset>
                </wp:positionV>
                <wp:extent cx="6123215" cy="4090307"/>
                <wp:effectExtent l="0" t="0" r="0" b="5715"/>
                <wp:wrapNone/>
                <wp:docPr id="4126" name="Group 4126"/>
                <wp:cNvGraphicFramePr/>
                <a:graphic xmlns:a="http://schemas.openxmlformats.org/drawingml/2006/main">
                  <a:graphicData uri="http://schemas.microsoft.com/office/word/2010/wordprocessingGroup">
                    <wpg:wgp>
                      <wpg:cNvGrpSpPr/>
                      <wpg:grpSpPr>
                        <a:xfrm>
                          <a:off x="0" y="0"/>
                          <a:ext cx="6123215" cy="4090307"/>
                          <a:chOff x="-276447" y="-1"/>
                          <a:chExt cx="7311539" cy="5111113"/>
                        </a:xfrm>
                      </wpg:grpSpPr>
                      <pic:pic xmlns:pic="http://schemas.openxmlformats.org/drawingml/2006/picture">
                        <pic:nvPicPr>
                          <pic:cNvPr id="313" name="Picture 313"/>
                          <pic:cNvPicPr>
                            <a:picLocks noChangeAspect="1"/>
                          </pic:cNvPicPr>
                        </pic:nvPicPr>
                        <pic:blipFill>
                          <a:blip r:embed="rId17">
                            <a:extLst>
                              <a:ext uri="{28A0092B-C50C-407E-A947-70E740481C1C}">
                                <a14:useLocalDpi xmlns:a14="http://schemas.microsoft.com/office/drawing/2010/main" val="0"/>
                              </a:ext>
                            </a:extLst>
                          </a:blip>
                          <a:srcRect/>
                          <a:stretch>
                            <a:fillRect/>
                          </a:stretch>
                        </pic:blipFill>
                        <pic:spPr bwMode="auto">
                          <a:xfrm>
                            <a:off x="-276447" y="-1"/>
                            <a:ext cx="7311539" cy="5111113"/>
                          </a:xfrm>
                          <a:prstGeom prst="rect">
                            <a:avLst/>
                          </a:prstGeom>
                          <a:noFill/>
                        </pic:spPr>
                      </pic:pic>
                      <pic:pic xmlns:pic="http://schemas.openxmlformats.org/drawingml/2006/picture">
                        <pic:nvPicPr>
                          <pic:cNvPr id="4125" name="Picture 4125"/>
                          <pic:cNvPicPr>
                            <a:picLocks noChangeAspect="1"/>
                          </pic:cNvPicPr>
                        </pic:nvPicPr>
                        <pic:blipFill>
                          <a:blip r:embed="rId18">
                            <a:extLst>
                              <a:ext uri="{28A0092B-C50C-407E-A947-70E740481C1C}">
                                <a14:useLocalDpi xmlns:a14="http://schemas.microsoft.com/office/drawing/2010/main" val="0"/>
                              </a:ext>
                            </a:extLst>
                          </a:blip>
                          <a:srcRect/>
                          <a:stretch>
                            <a:fillRect/>
                          </a:stretch>
                        </pic:blipFill>
                        <pic:spPr bwMode="auto">
                          <a:xfrm>
                            <a:off x="388974" y="1044206"/>
                            <a:ext cx="6362700" cy="3286125"/>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082BA0FC" id="Group 4126" o:spid="_x0000_s1026" style="position:absolute;margin-left:0;margin-top:220.65pt;width:482.15pt;height:322.05pt;z-index:251658243;mso-position-horizontal:center;mso-position-horizontal-relative:margin;mso-width-relative:margin;mso-height-relative:margin" coordorigin="-2764" coordsize="73115,511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">
                <v:shape id="Picture 313" o:spid="_x0000_s1027" type="#_x0000_t75" style="position:absolute;left:-2764;width:73114;height:51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">
                  <v:imagedata r:id="rId20" o:title=""/>
                </v:shape>
                <v:shape id="Picture 4125" o:spid="_x0000_s1028" type="#_x0000_t75" style="position:absolute;left:3889;top:10442;width:63627;height:328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">
                  <v:imagedata r:id="rId21" o:title=""/>
                </v:shape>
                <w10:wrap anchorx="margin"/>
              </v:group>
            </w:pict>
          </mc:Fallback>
        </mc:AlternateContent>
      </w:r>
      <w:r w:rsidR="009A79F5" w:rsidRPr="007325CD">
        <w:rPr>
          <w:rFonts w:ascii="Arial" w:hAnsi="Arial" w:cs="Arial"/>
          <w:iCs/>
          <w:color w:val="595959" w:themeColor="text1" w:themeTint="A6"/>
        </w:rPr>
        <w:t xml:space="preserve">Tumours </w:t>
      </w:r>
      <w:r w:rsidR="007D6AE3" w:rsidRPr="007325CD">
        <w:rPr>
          <w:rFonts w:ascii="Arial" w:hAnsi="Arial" w:cs="Arial"/>
          <w:iCs/>
          <w:color w:val="595959" w:themeColor="text1" w:themeTint="A6"/>
        </w:rPr>
        <w:t>can initiate</w:t>
      </w:r>
      <w:r w:rsidR="009A79F5" w:rsidRPr="007325CD">
        <w:rPr>
          <w:rFonts w:ascii="Arial" w:hAnsi="Arial" w:cs="Arial"/>
          <w:iCs/>
          <w:color w:val="595959" w:themeColor="text1" w:themeTint="A6"/>
        </w:rPr>
        <w:t xml:space="preserve"> the activation of the host stroma via </w:t>
      </w:r>
      <w:r w:rsidR="008D67E1">
        <w:rPr>
          <w:rFonts w:ascii="Arial" w:hAnsi="Arial" w:cs="Arial"/>
          <w:iCs/>
          <w:color w:val="595959" w:themeColor="text1" w:themeTint="A6"/>
        </w:rPr>
        <w:t>the</w:t>
      </w:r>
      <w:r w:rsidR="009A79F5" w:rsidRPr="007325CD">
        <w:rPr>
          <w:rFonts w:ascii="Arial" w:hAnsi="Arial" w:cs="Arial"/>
          <w:iCs/>
          <w:color w:val="595959" w:themeColor="text1" w:themeTint="A6"/>
        </w:rPr>
        <w:t xml:space="preserve"> desmoplastic response; a fibrotic state that is characterised by an altered organisation and composition of ECM proteins (Lu </w:t>
      </w:r>
      <w:r w:rsidR="009A79F5" w:rsidRPr="007325CD">
        <w:rPr>
          <w:rFonts w:ascii="Arial" w:hAnsi="Arial" w:cs="Arial"/>
          <w:i/>
          <w:iCs/>
          <w:color w:val="595959" w:themeColor="text1" w:themeTint="A6"/>
        </w:rPr>
        <w:t>et al</w:t>
      </w:r>
      <w:r w:rsidR="009A79F5" w:rsidRPr="007325CD">
        <w:rPr>
          <w:rFonts w:ascii="Arial" w:hAnsi="Arial" w:cs="Arial"/>
          <w:iCs/>
          <w:color w:val="595959" w:themeColor="text1" w:themeTint="A6"/>
        </w:rPr>
        <w:t>., 2012</w:t>
      </w:r>
      <w:r w:rsidR="00653D8D">
        <w:rPr>
          <w:rFonts w:ascii="Arial" w:hAnsi="Arial" w:cs="Arial"/>
          <w:iCs/>
          <w:color w:val="595959" w:themeColor="text1" w:themeTint="A6"/>
        </w:rPr>
        <w:t xml:space="preserve">, Bonnans </w:t>
      </w:r>
      <w:r w:rsidR="00653D8D" w:rsidRPr="00653D8D">
        <w:rPr>
          <w:rFonts w:ascii="Arial" w:hAnsi="Arial" w:cs="Arial"/>
          <w:i/>
          <w:color w:val="595959" w:themeColor="text1" w:themeTint="A6"/>
        </w:rPr>
        <w:t>et al.,</w:t>
      </w:r>
      <w:r w:rsidR="00653D8D">
        <w:rPr>
          <w:rFonts w:ascii="Arial" w:hAnsi="Arial" w:cs="Arial"/>
          <w:iCs/>
          <w:color w:val="595959" w:themeColor="text1" w:themeTint="A6"/>
        </w:rPr>
        <w:t xml:space="preserve"> 2014</w:t>
      </w:r>
      <w:r w:rsidR="009A79F5" w:rsidRPr="007325CD">
        <w:rPr>
          <w:rFonts w:ascii="Arial" w:hAnsi="Arial" w:cs="Arial"/>
          <w:iCs/>
          <w:color w:val="595959" w:themeColor="text1" w:themeTint="A6"/>
        </w:rPr>
        <w:t xml:space="preserve">). </w:t>
      </w:r>
      <w:r w:rsidR="00AB3D99">
        <w:rPr>
          <w:rFonts w:ascii="Arial" w:hAnsi="Arial" w:cs="Arial"/>
          <w:iCs/>
          <w:color w:val="595959" w:themeColor="text1" w:themeTint="A6"/>
        </w:rPr>
        <w:t xml:space="preserve">It is now </w:t>
      </w:r>
      <w:r w:rsidR="00AF029E">
        <w:rPr>
          <w:rFonts w:ascii="Arial" w:hAnsi="Arial" w:cs="Arial"/>
          <w:iCs/>
          <w:color w:val="595959" w:themeColor="text1" w:themeTint="A6"/>
        </w:rPr>
        <w:t>imperative that</w:t>
      </w:r>
      <w:r w:rsidR="00FF3BDD">
        <w:rPr>
          <w:rFonts w:ascii="Arial" w:hAnsi="Arial" w:cs="Arial"/>
          <w:iCs/>
          <w:color w:val="595959" w:themeColor="text1" w:themeTint="A6"/>
        </w:rPr>
        <w:t xml:space="preserve"> our understanding of</w:t>
      </w:r>
      <w:r w:rsidR="00AF029E">
        <w:rPr>
          <w:rFonts w:ascii="Arial" w:hAnsi="Arial" w:cs="Arial"/>
          <w:iCs/>
          <w:color w:val="595959" w:themeColor="text1" w:themeTint="A6"/>
        </w:rPr>
        <w:t xml:space="preserve"> cancer progression</w:t>
      </w:r>
      <w:r w:rsidR="00FF3BDD">
        <w:rPr>
          <w:rFonts w:ascii="Arial" w:hAnsi="Arial" w:cs="Arial"/>
          <w:iCs/>
          <w:color w:val="595959" w:themeColor="text1" w:themeTint="A6"/>
        </w:rPr>
        <w:t xml:space="preserve"> considers the effects of th</w:t>
      </w:r>
      <w:r>
        <w:rPr>
          <w:rFonts w:ascii="Arial" w:hAnsi="Arial" w:cs="Arial"/>
          <w:iCs/>
          <w:color w:val="595959" w:themeColor="text1" w:themeTint="A6"/>
        </w:rPr>
        <w:t>is</w:t>
      </w:r>
      <w:r w:rsidR="00FF3BDD">
        <w:rPr>
          <w:rFonts w:ascii="Arial" w:hAnsi="Arial" w:cs="Arial"/>
          <w:iCs/>
          <w:color w:val="595959" w:themeColor="text1" w:themeTint="A6"/>
        </w:rPr>
        <w:t xml:space="preserve"> altered tissue-specific microenvironment</w:t>
      </w:r>
      <w:r w:rsidR="00472D37">
        <w:rPr>
          <w:rFonts w:ascii="Arial" w:hAnsi="Arial" w:cs="Arial"/>
          <w:iCs/>
          <w:color w:val="595959" w:themeColor="text1" w:themeTint="A6"/>
        </w:rPr>
        <w:t>,</w:t>
      </w:r>
      <w:r w:rsidR="00AF029E">
        <w:rPr>
          <w:rFonts w:ascii="Arial" w:hAnsi="Arial" w:cs="Arial"/>
          <w:iCs/>
          <w:color w:val="595959" w:themeColor="text1" w:themeTint="A6"/>
        </w:rPr>
        <w:t xml:space="preserve"> </w:t>
      </w:r>
      <w:r w:rsidR="00472D37">
        <w:rPr>
          <w:rFonts w:ascii="Arial" w:hAnsi="Arial" w:cs="Arial"/>
          <w:iCs/>
          <w:color w:val="595959" w:themeColor="text1" w:themeTint="A6"/>
        </w:rPr>
        <w:t xml:space="preserve">which impacts </w:t>
      </w:r>
      <w:r w:rsidR="009A79F5" w:rsidRPr="007325CD">
        <w:rPr>
          <w:rFonts w:ascii="Arial" w:hAnsi="Arial" w:cs="Arial"/>
          <w:iCs/>
          <w:color w:val="595959" w:themeColor="text1" w:themeTint="A6"/>
        </w:rPr>
        <w:t>cancer progression by supporting cellular</w:t>
      </w:r>
      <w:r w:rsidR="00EE45AC">
        <w:rPr>
          <w:rFonts w:ascii="Arial" w:hAnsi="Arial" w:cs="Arial"/>
          <w:iCs/>
          <w:color w:val="595959" w:themeColor="text1" w:themeTint="A6"/>
        </w:rPr>
        <w:t xml:space="preserve"> transformation and metastasis, </w:t>
      </w:r>
      <w:r w:rsidR="009A79F5" w:rsidRPr="007325CD">
        <w:rPr>
          <w:rFonts w:ascii="Arial" w:hAnsi="Arial" w:cs="Arial"/>
          <w:iCs/>
          <w:color w:val="595959" w:themeColor="text1" w:themeTint="A6"/>
        </w:rPr>
        <w:t xml:space="preserve">facilitates sustained angiogenesis and </w:t>
      </w:r>
      <w:r w:rsidR="00EE45AC">
        <w:rPr>
          <w:rFonts w:ascii="Arial" w:hAnsi="Arial" w:cs="Arial"/>
          <w:iCs/>
          <w:color w:val="595959" w:themeColor="text1" w:themeTint="A6"/>
        </w:rPr>
        <w:t xml:space="preserve">maintains </w:t>
      </w:r>
      <w:r w:rsidR="009A79F5" w:rsidRPr="007325CD">
        <w:rPr>
          <w:rFonts w:ascii="Arial" w:hAnsi="Arial" w:cs="Arial"/>
          <w:iCs/>
          <w:color w:val="595959" w:themeColor="text1" w:themeTint="A6"/>
        </w:rPr>
        <w:t>a pro-inflammatory response, leading to the generation of a tumorigenic microenvironment</w:t>
      </w:r>
      <w:r w:rsidR="00EE45AC">
        <w:rPr>
          <w:rFonts w:ascii="Arial" w:hAnsi="Arial" w:cs="Arial"/>
          <w:iCs/>
          <w:color w:val="595959" w:themeColor="text1" w:themeTint="A6"/>
        </w:rPr>
        <w:t xml:space="preserve"> </w:t>
      </w:r>
      <w:r w:rsidR="00F03C25">
        <w:rPr>
          <w:rFonts w:ascii="Arial" w:hAnsi="Arial" w:cs="Arial"/>
          <w:iCs/>
          <w:color w:val="595959" w:themeColor="text1" w:themeTint="A6"/>
        </w:rPr>
        <w:t xml:space="preserve">(Friedl and Wolf, 2008) </w:t>
      </w:r>
      <w:r w:rsidR="00EE45AC">
        <w:rPr>
          <w:rFonts w:ascii="Arial" w:hAnsi="Arial" w:cs="Arial"/>
          <w:iCs/>
          <w:color w:val="595959" w:themeColor="text1" w:themeTint="A6"/>
        </w:rPr>
        <w:t xml:space="preserve">(Figure </w:t>
      </w:r>
      <w:r w:rsidR="004E14BF">
        <w:rPr>
          <w:rFonts w:ascii="Arial" w:hAnsi="Arial" w:cs="Arial"/>
          <w:iCs/>
          <w:color w:val="595959" w:themeColor="text1" w:themeTint="A6"/>
        </w:rPr>
        <w:t>1.</w:t>
      </w:r>
      <w:r w:rsidR="00EE45AC">
        <w:rPr>
          <w:rFonts w:ascii="Arial" w:hAnsi="Arial" w:cs="Arial"/>
          <w:iCs/>
          <w:color w:val="595959" w:themeColor="text1" w:themeTint="A6"/>
        </w:rPr>
        <w:t>3)</w:t>
      </w:r>
      <w:r w:rsidR="009A79F5" w:rsidRPr="007325CD">
        <w:rPr>
          <w:rFonts w:ascii="Arial" w:hAnsi="Arial" w:cs="Arial"/>
          <w:iCs/>
          <w:color w:val="595959" w:themeColor="text1" w:themeTint="A6"/>
        </w:rPr>
        <w:t xml:space="preserve">. </w:t>
      </w:r>
      <w:r w:rsidR="00EF5F40">
        <w:rPr>
          <w:rFonts w:ascii="Arial" w:hAnsi="Arial" w:cs="Arial"/>
          <w:iCs/>
          <w:color w:val="595959" w:themeColor="text1" w:themeTint="A6"/>
        </w:rPr>
        <w:t xml:space="preserve">Understanding the role of the ECM </w:t>
      </w:r>
      <w:r w:rsidR="00A50888">
        <w:rPr>
          <w:rFonts w:ascii="Arial" w:hAnsi="Arial" w:cs="Arial"/>
          <w:iCs/>
          <w:color w:val="595959" w:themeColor="text1" w:themeTint="A6"/>
        </w:rPr>
        <w:t xml:space="preserve">in oral cancer progression </w:t>
      </w:r>
      <w:r w:rsidR="00EF5F40">
        <w:rPr>
          <w:rFonts w:ascii="Arial" w:hAnsi="Arial" w:cs="Arial"/>
          <w:iCs/>
          <w:color w:val="595959" w:themeColor="text1" w:themeTint="A6"/>
        </w:rPr>
        <w:t xml:space="preserve">requires </w:t>
      </w:r>
      <w:r w:rsidR="00095833">
        <w:rPr>
          <w:rFonts w:ascii="Arial" w:hAnsi="Arial" w:cs="Arial"/>
          <w:iCs/>
          <w:color w:val="595959" w:themeColor="text1" w:themeTint="A6"/>
        </w:rPr>
        <w:t>knowledg</w:t>
      </w:r>
      <w:r w:rsidR="00EE45AC">
        <w:rPr>
          <w:rFonts w:ascii="Arial" w:hAnsi="Arial" w:cs="Arial"/>
          <w:iCs/>
          <w:color w:val="595959" w:themeColor="text1" w:themeTint="A6"/>
        </w:rPr>
        <w:t>e of the matrix-</w:t>
      </w:r>
      <w:r w:rsidR="004D6214">
        <w:rPr>
          <w:rFonts w:ascii="Arial" w:hAnsi="Arial" w:cs="Arial"/>
          <w:iCs/>
          <w:color w:val="595959" w:themeColor="text1" w:themeTint="A6"/>
        </w:rPr>
        <w:t>producing</w:t>
      </w:r>
      <w:r w:rsidR="00EE45AC">
        <w:rPr>
          <w:rFonts w:ascii="Arial" w:hAnsi="Arial" w:cs="Arial"/>
          <w:iCs/>
          <w:color w:val="595959" w:themeColor="text1" w:themeTint="A6"/>
        </w:rPr>
        <w:t xml:space="preserve"> cells</w:t>
      </w:r>
      <w:r w:rsidR="00EE45AC" w:rsidRPr="001A4145">
        <w:rPr>
          <w:rFonts w:ascii="Arial" w:hAnsi="Arial" w:cs="Arial"/>
          <w:iCs/>
          <w:color w:val="595959" w:themeColor="text1" w:themeTint="A6"/>
        </w:rPr>
        <w:t>-</w:t>
      </w:r>
      <w:r w:rsidR="00EF5F40" w:rsidRPr="001A4145">
        <w:rPr>
          <w:rFonts w:ascii="Arial" w:hAnsi="Arial" w:cs="Arial"/>
          <w:iCs/>
          <w:color w:val="595959" w:themeColor="text1" w:themeTint="A6"/>
        </w:rPr>
        <w:t xml:space="preserve"> the fibroblasts.</w:t>
      </w:r>
      <w:r w:rsidR="00EF5F40">
        <w:rPr>
          <w:rFonts w:ascii="Arial" w:hAnsi="Arial" w:cs="Arial"/>
          <w:iCs/>
          <w:color w:val="595959" w:themeColor="text1" w:themeTint="A6"/>
        </w:rPr>
        <w:t xml:space="preserve"> </w:t>
      </w:r>
    </w:p>
    <w:p w14:paraId="0C1EA5AF" w14:textId="41F2D47F" w:rsidR="00EE45AC" w:rsidRDefault="00EE45AC" w:rsidP="00EE45AC">
      <w:pPr>
        <w:spacing w:line="480" w:lineRule="auto"/>
        <w:ind w:firstLine="720"/>
        <w:jc w:val="both"/>
        <w:rPr>
          <w:rFonts w:ascii="Arial" w:hAnsi="Arial" w:cs="Arial"/>
          <w:iCs/>
          <w:color w:val="595959" w:themeColor="text1" w:themeTint="A6"/>
        </w:rPr>
      </w:pPr>
    </w:p>
    <w:p w14:paraId="0EC6F4D5" w14:textId="77777777" w:rsidR="00EE45AC" w:rsidRDefault="00EE45AC" w:rsidP="00EE45AC">
      <w:pPr>
        <w:spacing w:line="480" w:lineRule="auto"/>
        <w:ind w:firstLine="720"/>
        <w:jc w:val="both"/>
        <w:rPr>
          <w:rFonts w:ascii="Arial" w:hAnsi="Arial" w:cs="Arial"/>
          <w:iCs/>
          <w:color w:val="595959" w:themeColor="text1" w:themeTint="A6"/>
        </w:rPr>
      </w:pPr>
    </w:p>
    <w:p w14:paraId="01AB4315" w14:textId="77777777" w:rsidR="00EE45AC" w:rsidRDefault="00EE45AC" w:rsidP="00EE45AC">
      <w:pPr>
        <w:spacing w:line="480" w:lineRule="auto"/>
        <w:ind w:firstLine="720"/>
        <w:jc w:val="both"/>
        <w:rPr>
          <w:rFonts w:ascii="Arial" w:hAnsi="Arial" w:cs="Arial"/>
          <w:iCs/>
          <w:color w:val="595959" w:themeColor="text1" w:themeTint="A6"/>
        </w:rPr>
      </w:pPr>
    </w:p>
    <w:p w14:paraId="22393CD8" w14:textId="77777777" w:rsidR="00EE45AC" w:rsidRDefault="00EE45AC" w:rsidP="00EE45AC">
      <w:pPr>
        <w:spacing w:line="480" w:lineRule="auto"/>
        <w:ind w:firstLine="720"/>
        <w:jc w:val="both"/>
        <w:rPr>
          <w:rFonts w:ascii="Arial" w:hAnsi="Arial" w:cs="Arial"/>
          <w:iCs/>
          <w:color w:val="595959" w:themeColor="text1" w:themeTint="A6"/>
        </w:rPr>
      </w:pPr>
    </w:p>
    <w:p w14:paraId="08DFF780" w14:textId="77777777" w:rsidR="00EE45AC" w:rsidRDefault="00EE45AC" w:rsidP="00EE45AC">
      <w:pPr>
        <w:spacing w:line="480" w:lineRule="auto"/>
        <w:ind w:firstLine="720"/>
        <w:jc w:val="both"/>
        <w:rPr>
          <w:rFonts w:ascii="Arial" w:hAnsi="Arial" w:cs="Arial"/>
          <w:iCs/>
          <w:color w:val="595959" w:themeColor="text1" w:themeTint="A6"/>
        </w:rPr>
      </w:pPr>
    </w:p>
    <w:p w14:paraId="1326A97E" w14:textId="3CF0438B" w:rsidR="00EE45AC" w:rsidRDefault="00EE45AC" w:rsidP="00EE45AC">
      <w:pPr>
        <w:spacing w:line="480" w:lineRule="auto"/>
        <w:ind w:firstLine="720"/>
        <w:jc w:val="both"/>
        <w:rPr>
          <w:rFonts w:ascii="Arial" w:hAnsi="Arial" w:cs="Arial"/>
          <w:iCs/>
          <w:color w:val="595959" w:themeColor="text1" w:themeTint="A6"/>
        </w:rPr>
      </w:pPr>
    </w:p>
    <w:p w14:paraId="7A1E883D" w14:textId="1E876F4E" w:rsidR="00EE45AC" w:rsidRDefault="00EE45AC" w:rsidP="00EE45AC">
      <w:pPr>
        <w:spacing w:line="480" w:lineRule="auto"/>
        <w:jc w:val="both"/>
        <w:rPr>
          <w:rFonts w:ascii="Arial" w:hAnsi="Arial" w:cs="Arial"/>
          <w:iCs/>
          <w:color w:val="595959" w:themeColor="text1" w:themeTint="A6"/>
        </w:rPr>
      </w:pPr>
    </w:p>
    <w:p w14:paraId="20E9F16F" w14:textId="043649A1" w:rsidR="00EE45AC" w:rsidRDefault="00EE45AC" w:rsidP="00EE45AC">
      <w:pPr>
        <w:spacing w:line="480" w:lineRule="auto"/>
        <w:jc w:val="both"/>
        <w:rPr>
          <w:rFonts w:ascii="Arial" w:hAnsi="Arial" w:cs="Arial"/>
          <w:iCs/>
          <w:color w:val="595959" w:themeColor="text1" w:themeTint="A6"/>
        </w:rPr>
      </w:pPr>
    </w:p>
    <w:p w14:paraId="4447968D" w14:textId="57B27381" w:rsidR="00EE45AC" w:rsidRPr="007325CD" w:rsidRDefault="001B56D9" w:rsidP="00EE45AC">
      <w:pPr>
        <w:spacing w:line="480" w:lineRule="auto"/>
        <w:jc w:val="both"/>
        <w:rPr>
          <w:rFonts w:ascii="Arial" w:hAnsi="Arial" w:cs="Arial"/>
          <w:iCs/>
          <w:color w:val="595959" w:themeColor="text1" w:themeTint="A6"/>
        </w:rPr>
      </w:pPr>
      <w:r w:rsidRPr="00762DA1">
        <w:rPr>
          <w:rFonts w:ascii="Arial" w:hAnsi="Arial" w:cs="Arial"/>
          <w:i/>
          <w:iCs/>
          <w:noProof/>
          <w:color w:val="595959" w:themeColor="text1" w:themeTint="A6"/>
          <w:lang w:eastAsia="zh-CN"/>
        </w:rPr>
        <mc:AlternateContent>
          <mc:Choice Requires="wps">
            <w:drawing>
              <wp:anchor distT="45720" distB="45720" distL="114300" distR="114300" simplePos="0" relativeHeight="251658242" behindDoc="0" locked="0" layoutInCell="1" allowOverlap="1" wp14:anchorId="03BB9C89" wp14:editId="426E9447">
                <wp:simplePos x="0" y="0"/>
                <wp:positionH relativeFrom="margin">
                  <wp:align>right</wp:align>
                </wp:positionH>
                <wp:positionV relativeFrom="paragraph">
                  <wp:posOffset>599803</wp:posOffset>
                </wp:positionV>
                <wp:extent cx="5730875" cy="1403350"/>
                <wp:effectExtent l="0" t="0" r="3175" b="6350"/>
                <wp:wrapSquare wrapText="bothSides"/>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0875" cy="1403350"/>
                        </a:xfrm>
                        <a:prstGeom prst="rect">
                          <a:avLst/>
                        </a:prstGeom>
                        <a:solidFill>
                          <a:srgbClr val="FFFFFF"/>
                        </a:solidFill>
                        <a:ln w="9525">
                          <a:noFill/>
                          <a:miter lim="800000"/>
                          <a:headEnd/>
                          <a:tailEnd/>
                        </a:ln>
                      </wps:spPr>
                      <wps:txbx>
                        <w:txbxContent>
                          <w:p w14:paraId="2A78D365" w14:textId="51E1D3B0" w:rsidR="008A47AC" w:rsidRDefault="008A47AC" w:rsidP="00EE45AC">
                            <w:pPr>
                              <w:rPr>
                                <w:rFonts w:ascii="Arial Narrow" w:hAnsi="Arial Narrow"/>
                                <w:b/>
                                <w:color w:val="595959" w:themeColor="text1" w:themeTint="A6"/>
                              </w:rPr>
                            </w:pPr>
                            <w:r>
                              <w:rPr>
                                <w:rFonts w:ascii="Arial Narrow" w:hAnsi="Arial Narrow"/>
                                <w:b/>
                                <w:color w:val="595959" w:themeColor="text1" w:themeTint="A6"/>
                              </w:rPr>
                              <w:t>Figure 1.</w:t>
                            </w:r>
                            <w:r w:rsidRPr="00762DA1">
                              <w:rPr>
                                <w:rFonts w:ascii="Arial Narrow" w:hAnsi="Arial Narrow"/>
                                <w:b/>
                                <w:color w:val="595959" w:themeColor="text1" w:themeTint="A6"/>
                              </w:rPr>
                              <w:t xml:space="preserve">3. </w:t>
                            </w:r>
                            <w:r>
                              <w:rPr>
                                <w:rFonts w:ascii="Arial Narrow" w:hAnsi="Arial Narrow"/>
                                <w:b/>
                                <w:color w:val="595959" w:themeColor="text1" w:themeTint="A6"/>
                              </w:rPr>
                              <w:t xml:space="preserve">Diagram </w:t>
                            </w:r>
                            <w:r w:rsidRPr="00762DA1">
                              <w:rPr>
                                <w:rFonts w:ascii="Arial Narrow" w:hAnsi="Arial Narrow"/>
                                <w:b/>
                                <w:color w:val="595959" w:themeColor="text1" w:themeTint="A6"/>
                              </w:rPr>
                              <w:t>depicting the intertwined roles of the ECM in tumour progression</w:t>
                            </w:r>
                          </w:p>
                          <w:p w14:paraId="78529238" w14:textId="14EBFA8C" w:rsidR="008A47AC" w:rsidRDefault="008A47AC" w:rsidP="001A4145">
                            <w:pPr>
                              <w:jc w:val="both"/>
                              <w:rPr>
                                <w:rFonts w:ascii="Arial Narrow" w:hAnsi="Arial Narrow"/>
                                <w:color w:val="595959" w:themeColor="text1" w:themeTint="A6"/>
                              </w:rPr>
                            </w:pPr>
                            <w:r>
                              <w:rPr>
                                <w:rFonts w:ascii="Arial Narrow" w:hAnsi="Arial Narrow"/>
                                <w:color w:val="595959" w:themeColor="text1" w:themeTint="A6"/>
                              </w:rPr>
                              <w:t xml:space="preserve">Matrix stiffness due to elevated collagen cross-linking generates a mal-perfusion barrier conferring chemotherapeutic drug resistance and the sequestering of growth factors and cytokine release causing tumour growth. This also induces invasive signalling </w:t>
                            </w:r>
                            <w:r w:rsidRPr="00252614">
                              <w:rPr>
                                <w:rFonts w:ascii="Arial Narrow" w:hAnsi="Arial Narrow"/>
                                <w:color w:val="595959" w:themeColor="text1" w:themeTint="A6"/>
                              </w:rPr>
                              <w:t xml:space="preserve">cascades in stromal cells providing a feedback loop for fibroblast activation and further pathological ECM deposition. This alters the </w:t>
                            </w:r>
                            <w:r>
                              <w:rPr>
                                <w:rFonts w:ascii="Arial Narrow" w:hAnsi="Arial Narrow"/>
                                <w:color w:val="595959" w:themeColor="text1" w:themeTint="A6"/>
                              </w:rPr>
                              <w:t xml:space="preserve">structural components of tissues and leads to the formation/degradation of adhesive sites changing matrix topography influencing the phenotypic behaviour of the stromal cells. </w:t>
                            </w:r>
                          </w:p>
                          <w:p w14:paraId="12C067F5" w14:textId="77777777" w:rsidR="008A47AC" w:rsidRPr="00762DA1" w:rsidRDefault="008A47AC" w:rsidP="00EE45AC">
                            <w:pPr>
                              <w:jc w:val="both"/>
                              <w:rPr>
                                <w:rFonts w:ascii="Arial Narrow" w:hAnsi="Arial Narrow"/>
                                <w:color w:val="595959" w:themeColor="text1" w:themeTint="A6"/>
                              </w:rPr>
                            </w:pPr>
                            <w:r>
                              <w:rPr>
                                <w:rFonts w:ascii="Arial Narrow" w:hAnsi="Arial Narrow"/>
                                <w:color w:val="595959" w:themeColor="text1" w:themeTint="A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3BB9C89" id="_x0000_t202" coordsize="21600,21600" o:spt="202" path="m,l,21600r21600,l21600,xe">
                <v:stroke joinstyle="miter"/>
                <v:path gradientshapeok="t" o:connecttype="rect"/>
              </v:shapetype>
              <v:shape id="_x0000_s1030" type="#_x0000_t202" style="position:absolute;left:0;text-align:left;margin-left:400.05pt;margin-top:47.25pt;width:451.25pt;height:110.5pt;z-index:25165824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" stroked="f">
                <v:textbox>
                  <w:txbxContent>
                    <w:p w14:paraId="2A78D365" w14:textId="51E1D3B0" w:rsidR="008A47AC" w:rsidRDefault="008A47AC" w:rsidP="00EE45AC">
                      <w:pPr>
                        <w:rPr>
                          <w:rFonts w:ascii="Arial Narrow" w:hAnsi="Arial Narrow"/>
                          <w:b/>
                          <w:color w:val="595959" w:themeColor="text1" w:themeTint="A6"/>
                        </w:rPr>
                      </w:pPr>
                      <w:r>
                        <w:rPr>
                          <w:rFonts w:ascii="Arial Narrow" w:hAnsi="Arial Narrow"/>
                          <w:b/>
                          <w:color w:val="595959" w:themeColor="text1" w:themeTint="A6"/>
                        </w:rPr>
                        <w:t>Figure 1.</w:t>
                      </w:r>
                      <w:r w:rsidRPr="00762DA1">
                        <w:rPr>
                          <w:rFonts w:ascii="Arial Narrow" w:hAnsi="Arial Narrow"/>
                          <w:b/>
                          <w:color w:val="595959" w:themeColor="text1" w:themeTint="A6"/>
                        </w:rPr>
                        <w:t xml:space="preserve">3. </w:t>
                      </w:r>
                      <w:r>
                        <w:rPr>
                          <w:rFonts w:ascii="Arial Narrow" w:hAnsi="Arial Narrow"/>
                          <w:b/>
                          <w:color w:val="595959" w:themeColor="text1" w:themeTint="A6"/>
                        </w:rPr>
                        <w:t xml:space="preserve">Diagram </w:t>
                      </w:r>
                      <w:r w:rsidRPr="00762DA1">
                        <w:rPr>
                          <w:rFonts w:ascii="Arial Narrow" w:hAnsi="Arial Narrow"/>
                          <w:b/>
                          <w:color w:val="595959" w:themeColor="text1" w:themeTint="A6"/>
                        </w:rPr>
                        <w:t>depicting the intertwined roles of the ECM in tumour progression</w:t>
                      </w:r>
                    </w:p>
                    <w:p w14:paraId="78529238" w14:textId="14EBFA8C" w:rsidR="008A47AC" w:rsidRDefault="008A47AC" w:rsidP="001A4145">
                      <w:pPr>
                        <w:jc w:val="both"/>
                        <w:rPr>
                          <w:rFonts w:ascii="Arial Narrow" w:hAnsi="Arial Narrow"/>
                          <w:color w:val="595959" w:themeColor="text1" w:themeTint="A6"/>
                        </w:rPr>
                      </w:pPr>
                      <w:r>
                        <w:rPr>
                          <w:rFonts w:ascii="Arial Narrow" w:hAnsi="Arial Narrow"/>
                          <w:color w:val="595959" w:themeColor="text1" w:themeTint="A6"/>
                        </w:rPr>
                        <w:t xml:space="preserve">Matrix stiffness due to elevated collagen cross-linking generates a mal-perfusion barrier conferring chemotherapeutic drug resistance and the sequestering of growth factors and cytokine release causing tumour growth. This also induces invasive signalling </w:t>
                      </w:r>
                      <w:r w:rsidRPr="00252614">
                        <w:rPr>
                          <w:rFonts w:ascii="Arial Narrow" w:hAnsi="Arial Narrow"/>
                          <w:color w:val="595959" w:themeColor="text1" w:themeTint="A6"/>
                        </w:rPr>
                        <w:t xml:space="preserve">cascades in stromal cells providing a feedback loop for fibroblast activation and further pathological ECM deposition. This alters the </w:t>
                      </w:r>
                      <w:r>
                        <w:rPr>
                          <w:rFonts w:ascii="Arial Narrow" w:hAnsi="Arial Narrow"/>
                          <w:color w:val="595959" w:themeColor="text1" w:themeTint="A6"/>
                        </w:rPr>
                        <w:t xml:space="preserve">structural components of tissues and leads to the formation/degradation of adhesive sites changing matrix topography influencing the phenotypic behaviour of the stromal cells. </w:t>
                      </w:r>
                    </w:p>
                    <w:p w14:paraId="12C067F5" w14:textId="77777777" w:rsidR="008A47AC" w:rsidRPr="00762DA1" w:rsidRDefault="008A47AC" w:rsidP="00EE45AC">
                      <w:pPr>
                        <w:jc w:val="both"/>
                        <w:rPr>
                          <w:rFonts w:ascii="Arial Narrow" w:hAnsi="Arial Narrow"/>
                          <w:color w:val="595959" w:themeColor="text1" w:themeTint="A6"/>
                        </w:rPr>
                      </w:pPr>
                      <w:r>
                        <w:rPr>
                          <w:rFonts w:ascii="Arial Narrow" w:hAnsi="Arial Narrow"/>
                          <w:color w:val="595959" w:themeColor="text1" w:themeTint="A6"/>
                        </w:rPr>
                        <w:t xml:space="preserve"> </w:t>
                      </w:r>
                    </w:p>
                  </w:txbxContent>
                </v:textbox>
                <w10:wrap type="square" anchorx="margin"/>
              </v:shape>
            </w:pict>
          </mc:Fallback>
        </mc:AlternateContent>
      </w:r>
    </w:p>
    <w:p w14:paraId="1E5728E3" w14:textId="452FE719" w:rsidR="00F27879" w:rsidRDefault="00F27879" w:rsidP="009D02AC">
      <w:pPr>
        <w:pStyle w:val="Heading3"/>
        <w:numPr>
          <w:ilvl w:val="2"/>
          <w:numId w:val="4"/>
        </w:numPr>
        <w:rPr>
          <w:rFonts w:ascii="Arial" w:hAnsi="Arial" w:cs="Arial"/>
          <w:i/>
          <w:iCs/>
          <w:color w:val="595959" w:themeColor="text1" w:themeTint="A6"/>
        </w:rPr>
      </w:pPr>
      <w:bookmarkStart w:id="24" w:name="_Toc34208248"/>
      <w:r w:rsidRPr="000C332A">
        <w:rPr>
          <w:rFonts w:ascii="Arial" w:hAnsi="Arial" w:cs="Arial"/>
          <w:i/>
          <w:iCs/>
          <w:color w:val="595959" w:themeColor="text1" w:themeTint="A6"/>
        </w:rPr>
        <w:lastRenderedPageBreak/>
        <w:t>Cancer-associated fibroblasts; the story</w:t>
      </w:r>
      <w:bookmarkEnd w:id="24"/>
    </w:p>
    <w:p w14:paraId="776E6347" w14:textId="77777777" w:rsidR="009D02AC" w:rsidRPr="009D02AC" w:rsidRDefault="009D02AC" w:rsidP="009D02AC">
      <w:pPr>
        <w:pStyle w:val="ListParagraph"/>
      </w:pPr>
    </w:p>
    <w:p w14:paraId="10C8475D" w14:textId="03FA2913" w:rsidR="00F27879" w:rsidRPr="00910192" w:rsidRDefault="00F27879" w:rsidP="00095833">
      <w:pPr>
        <w:spacing w:line="480" w:lineRule="auto"/>
        <w:jc w:val="both"/>
        <w:rPr>
          <w:rFonts w:ascii="Arial" w:hAnsi="Arial" w:cs="Arial"/>
          <w:iCs/>
          <w:color w:val="595959" w:themeColor="text1" w:themeTint="A6"/>
        </w:rPr>
      </w:pPr>
      <w:r w:rsidRPr="00910192">
        <w:rPr>
          <w:rFonts w:ascii="Arial" w:hAnsi="Arial" w:cs="Arial"/>
          <w:iCs/>
          <w:color w:val="595959" w:themeColor="text1" w:themeTint="A6"/>
        </w:rPr>
        <w:t xml:space="preserve">The dominant cell type within the stroma </w:t>
      </w:r>
      <w:r w:rsidR="00A50888">
        <w:rPr>
          <w:rFonts w:ascii="Arial" w:hAnsi="Arial" w:cs="Arial"/>
          <w:iCs/>
          <w:color w:val="595959" w:themeColor="text1" w:themeTint="A6"/>
        </w:rPr>
        <w:t>are</w:t>
      </w:r>
      <w:r w:rsidRPr="00910192">
        <w:rPr>
          <w:rFonts w:ascii="Arial" w:hAnsi="Arial" w:cs="Arial"/>
          <w:iCs/>
          <w:color w:val="595959" w:themeColor="text1" w:themeTint="A6"/>
        </w:rPr>
        <w:t xml:space="preserve"> the fibroblasts, and those associated within the tumour microenvironment are termed cancer-associated fibroblasts (CAF).  Although relatively easy to isolate and </w:t>
      </w:r>
      <w:r w:rsidR="00095833">
        <w:rPr>
          <w:rFonts w:ascii="Arial" w:hAnsi="Arial" w:cs="Arial"/>
          <w:iCs/>
          <w:color w:val="595959" w:themeColor="text1" w:themeTint="A6"/>
        </w:rPr>
        <w:t xml:space="preserve">culture </w:t>
      </w:r>
      <w:r w:rsidRPr="00910192">
        <w:rPr>
          <w:rFonts w:ascii="Arial" w:hAnsi="Arial" w:cs="Arial"/>
          <w:i/>
          <w:iCs/>
          <w:color w:val="595959" w:themeColor="text1" w:themeTint="A6"/>
        </w:rPr>
        <w:t>in vitro</w:t>
      </w:r>
      <w:r w:rsidRPr="00910192">
        <w:rPr>
          <w:rFonts w:ascii="Arial" w:hAnsi="Arial" w:cs="Arial"/>
          <w:iCs/>
          <w:color w:val="595959" w:themeColor="text1" w:themeTint="A6"/>
        </w:rPr>
        <w:t>, they have remained an enigmatic cell type. The pleiotropic actions of these cells are becoming uncovered and further research will highlight their capabilities for functional plasticity in cancer biology (</w:t>
      </w:r>
      <w:r w:rsidR="00BE56CD">
        <w:rPr>
          <w:rFonts w:ascii="Arial" w:hAnsi="Arial" w:cs="Arial"/>
          <w:iCs/>
          <w:color w:val="595959" w:themeColor="text1" w:themeTint="A6"/>
        </w:rPr>
        <w:t>Kalluri, 20</w:t>
      </w:r>
      <w:r w:rsidR="00AB4BAC">
        <w:rPr>
          <w:rFonts w:ascii="Arial" w:hAnsi="Arial" w:cs="Arial"/>
          <w:iCs/>
          <w:color w:val="595959" w:themeColor="text1" w:themeTint="A6"/>
        </w:rPr>
        <w:t>1</w:t>
      </w:r>
      <w:r w:rsidR="00BE56CD">
        <w:rPr>
          <w:rFonts w:ascii="Arial" w:hAnsi="Arial" w:cs="Arial"/>
          <w:iCs/>
          <w:color w:val="595959" w:themeColor="text1" w:themeTint="A6"/>
        </w:rPr>
        <w:t xml:space="preserve">6, </w:t>
      </w:r>
      <w:r w:rsidRPr="00910192">
        <w:rPr>
          <w:rFonts w:ascii="Arial" w:hAnsi="Arial" w:cs="Arial"/>
          <w:iCs/>
          <w:color w:val="595959" w:themeColor="text1" w:themeTint="A6"/>
        </w:rPr>
        <w:t xml:space="preserve">Bhowmick </w:t>
      </w:r>
      <w:r w:rsidRPr="00910192">
        <w:rPr>
          <w:rFonts w:ascii="Arial" w:hAnsi="Arial" w:cs="Arial"/>
          <w:i/>
          <w:iCs/>
          <w:color w:val="595959" w:themeColor="text1" w:themeTint="A6"/>
        </w:rPr>
        <w:t>et al</w:t>
      </w:r>
      <w:r w:rsidRPr="00910192">
        <w:rPr>
          <w:rFonts w:ascii="Arial" w:hAnsi="Arial" w:cs="Arial"/>
          <w:iCs/>
          <w:color w:val="595959" w:themeColor="text1" w:themeTint="A6"/>
        </w:rPr>
        <w:t xml:space="preserve">., 2004). </w:t>
      </w:r>
    </w:p>
    <w:p w14:paraId="6E66656B" w14:textId="2C41A5EA" w:rsidR="00F27879" w:rsidRDefault="00F27879" w:rsidP="009D02AC">
      <w:pPr>
        <w:pStyle w:val="Heading4"/>
        <w:numPr>
          <w:ilvl w:val="3"/>
          <w:numId w:val="4"/>
        </w:numPr>
        <w:rPr>
          <w:rFonts w:ascii="Arial" w:hAnsi="Arial" w:cs="Arial"/>
          <w:color w:val="595959" w:themeColor="text1" w:themeTint="A6"/>
        </w:rPr>
      </w:pPr>
      <w:bookmarkStart w:id="25" w:name="_Toc34208249"/>
      <w:r w:rsidRPr="00910192">
        <w:rPr>
          <w:rFonts w:ascii="Arial" w:hAnsi="Arial" w:cs="Arial"/>
          <w:color w:val="595959" w:themeColor="text1" w:themeTint="A6"/>
        </w:rPr>
        <w:t>Definition</w:t>
      </w:r>
      <w:r w:rsidR="00293C80">
        <w:rPr>
          <w:rFonts w:ascii="Arial" w:hAnsi="Arial" w:cs="Arial"/>
          <w:color w:val="595959" w:themeColor="text1" w:themeTint="A6"/>
        </w:rPr>
        <w:t>, o</w:t>
      </w:r>
      <w:r w:rsidRPr="00910192">
        <w:rPr>
          <w:rFonts w:ascii="Arial" w:hAnsi="Arial" w:cs="Arial"/>
          <w:color w:val="595959" w:themeColor="text1" w:themeTint="A6"/>
        </w:rPr>
        <w:t>rigin</w:t>
      </w:r>
      <w:r w:rsidR="00293C80">
        <w:rPr>
          <w:rFonts w:ascii="Arial" w:hAnsi="Arial" w:cs="Arial"/>
          <w:color w:val="595959" w:themeColor="text1" w:themeTint="A6"/>
        </w:rPr>
        <w:t>, and activation</w:t>
      </w:r>
      <w:bookmarkEnd w:id="25"/>
    </w:p>
    <w:p w14:paraId="62DBCBA2" w14:textId="77777777" w:rsidR="009D02AC" w:rsidRPr="009D02AC" w:rsidRDefault="009D02AC" w:rsidP="009D02AC">
      <w:pPr>
        <w:pStyle w:val="ListParagraph"/>
      </w:pPr>
    </w:p>
    <w:p w14:paraId="694DA145" w14:textId="79DA0E87" w:rsidR="00F27879" w:rsidRPr="00910192" w:rsidRDefault="00F27879" w:rsidP="00095833">
      <w:pPr>
        <w:spacing w:line="480" w:lineRule="auto"/>
        <w:jc w:val="both"/>
        <w:rPr>
          <w:rFonts w:ascii="Arial" w:hAnsi="Arial" w:cs="Arial"/>
          <w:iCs/>
          <w:color w:val="595959" w:themeColor="text1" w:themeTint="A6"/>
        </w:rPr>
      </w:pPr>
      <w:r w:rsidRPr="00910192">
        <w:rPr>
          <w:rFonts w:ascii="Arial" w:hAnsi="Arial" w:cs="Arial"/>
          <w:iCs/>
          <w:color w:val="595959" w:themeColor="text1" w:themeTint="A6"/>
        </w:rPr>
        <w:t>Basic microscopic analysis of human tissue revealed the fibroblasts as being t</w:t>
      </w:r>
      <w:r w:rsidR="00095833">
        <w:rPr>
          <w:rFonts w:ascii="Arial" w:hAnsi="Arial" w:cs="Arial"/>
          <w:iCs/>
          <w:color w:val="595959" w:themeColor="text1" w:themeTint="A6"/>
        </w:rPr>
        <w:t xml:space="preserve">he synthesisers of collagen and </w:t>
      </w:r>
      <w:r w:rsidRPr="00910192">
        <w:rPr>
          <w:rFonts w:ascii="Arial" w:hAnsi="Arial" w:cs="Arial"/>
          <w:iCs/>
          <w:color w:val="595959" w:themeColor="text1" w:themeTint="A6"/>
        </w:rPr>
        <w:t xml:space="preserve">after isolation in granulation </w:t>
      </w:r>
      <w:r w:rsidR="00095833" w:rsidRPr="00910192">
        <w:rPr>
          <w:rFonts w:ascii="Arial" w:hAnsi="Arial" w:cs="Arial"/>
          <w:iCs/>
          <w:color w:val="595959" w:themeColor="text1" w:themeTint="A6"/>
        </w:rPr>
        <w:t>tissue,</w:t>
      </w:r>
      <w:r w:rsidRPr="00910192">
        <w:rPr>
          <w:rFonts w:ascii="Arial" w:hAnsi="Arial" w:cs="Arial"/>
          <w:iCs/>
          <w:color w:val="595959" w:themeColor="text1" w:themeTint="A6"/>
        </w:rPr>
        <w:t xml:space="preserve"> their regulatory importance in force pr</w:t>
      </w:r>
      <w:r w:rsidR="00095833">
        <w:rPr>
          <w:rFonts w:ascii="Arial" w:hAnsi="Arial" w:cs="Arial"/>
          <w:iCs/>
          <w:color w:val="595959" w:themeColor="text1" w:themeTint="A6"/>
        </w:rPr>
        <w:t xml:space="preserve">oduction for tissue remodelling was assessed </w:t>
      </w:r>
      <w:r w:rsidR="00095833" w:rsidRPr="00910192">
        <w:rPr>
          <w:rFonts w:ascii="Arial" w:hAnsi="Arial" w:cs="Arial"/>
          <w:iCs/>
          <w:color w:val="595959" w:themeColor="text1" w:themeTint="A6"/>
        </w:rPr>
        <w:t xml:space="preserve">(Manjo </w:t>
      </w:r>
      <w:r w:rsidR="00095833" w:rsidRPr="00910192">
        <w:rPr>
          <w:rFonts w:ascii="Arial" w:hAnsi="Arial" w:cs="Arial"/>
          <w:i/>
          <w:iCs/>
          <w:color w:val="595959" w:themeColor="text1" w:themeTint="A6"/>
        </w:rPr>
        <w:t>et al.,</w:t>
      </w:r>
      <w:r w:rsidR="00095833" w:rsidRPr="00910192">
        <w:rPr>
          <w:rFonts w:ascii="Arial" w:hAnsi="Arial" w:cs="Arial"/>
          <w:iCs/>
          <w:color w:val="595959" w:themeColor="text1" w:themeTint="A6"/>
        </w:rPr>
        <w:t xml:space="preserve"> 1971</w:t>
      </w:r>
      <w:r w:rsidR="00095833">
        <w:rPr>
          <w:rFonts w:ascii="Arial" w:hAnsi="Arial" w:cs="Arial"/>
          <w:iCs/>
          <w:color w:val="595959" w:themeColor="text1" w:themeTint="A6"/>
        </w:rPr>
        <w:t xml:space="preserve">). </w:t>
      </w:r>
      <w:r w:rsidRPr="00910192">
        <w:rPr>
          <w:rFonts w:ascii="Arial" w:hAnsi="Arial" w:cs="Arial"/>
          <w:iCs/>
          <w:color w:val="595959" w:themeColor="text1" w:themeTint="A6"/>
        </w:rPr>
        <w:t xml:space="preserve">Within normal </w:t>
      </w:r>
      <w:r w:rsidR="003A3888" w:rsidRPr="00910192">
        <w:rPr>
          <w:rFonts w:ascii="Arial" w:hAnsi="Arial" w:cs="Arial"/>
          <w:iCs/>
          <w:color w:val="595959" w:themeColor="text1" w:themeTint="A6"/>
        </w:rPr>
        <w:t>tissue,</w:t>
      </w:r>
      <w:r w:rsidRPr="00910192">
        <w:rPr>
          <w:rFonts w:ascii="Arial" w:hAnsi="Arial" w:cs="Arial"/>
          <w:iCs/>
          <w:color w:val="595959" w:themeColor="text1" w:themeTint="A6"/>
        </w:rPr>
        <w:t xml:space="preserve"> they are normally single cells found within the fibrillary ECM interstitium and have no </w:t>
      </w:r>
      <w:r w:rsidR="003A3888">
        <w:rPr>
          <w:rFonts w:ascii="Arial" w:hAnsi="Arial" w:cs="Arial"/>
          <w:iCs/>
          <w:color w:val="595959" w:themeColor="text1" w:themeTint="A6"/>
        </w:rPr>
        <w:t xml:space="preserve">physical </w:t>
      </w:r>
      <w:r w:rsidRPr="00910192">
        <w:rPr>
          <w:rFonts w:ascii="Arial" w:hAnsi="Arial" w:cs="Arial"/>
          <w:iCs/>
          <w:color w:val="595959" w:themeColor="text1" w:themeTint="A6"/>
        </w:rPr>
        <w:t>association with the basement membrane. They are non-immune and non-</w:t>
      </w:r>
      <w:r w:rsidR="007325CD" w:rsidRPr="00910192">
        <w:rPr>
          <w:rFonts w:ascii="Arial" w:hAnsi="Arial" w:cs="Arial"/>
          <w:iCs/>
          <w:color w:val="595959" w:themeColor="text1" w:themeTint="A6"/>
        </w:rPr>
        <w:t>epithelial and</w:t>
      </w:r>
      <w:r w:rsidRPr="00910192">
        <w:rPr>
          <w:rFonts w:ascii="Arial" w:hAnsi="Arial" w:cs="Arial"/>
          <w:iCs/>
          <w:color w:val="595959" w:themeColor="text1" w:themeTint="A6"/>
        </w:rPr>
        <w:t xml:space="preserve"> are of mesenchymal origin</w:t>
      </w:r>
      <w:r w:rsidR="003E608C">
        <w:rPr>
          <w:rFonts w:ascii="Arial" w:hAnsi="Arial" w:cs="Arial"/>
          <w:iCs/>
          <w:color w:val="595959" w:themeColor="text1" w:themeTint="A6"/>
        </w:rPr>
        <w:t xml:space="preserve"> (Kalluri, 2016, LeBleu and Kalluri, 2018</w:t>
      </w:r>
      <w:r w:rsidR="004E26DE">
        <w:rPr>
          <w:rFonts w:ascii="Arial" w:hAnsi="Arial" w:cs="Arial"/>
          <w:iCs/>
          <w:color w:val="595959" w:themeColor="text1" w:themeTint="A6"/>
        </w:rPr>
        <w:t>)</w:t>
      </w:r>
      <w:r w:rsidRPr="00910192">
        <w:rPr>
          <w:rFonts w:ascii="Arial" w:hAnsi="Arial" w:cs="Arial"/>
          <w:iCs/>
          <w:color w:val="595959" w:themeColor="text1" w:themeTint="A6"/>
        </w:rPr>
        <w:t xml:space="preserve">. They exhibit classic </w:t>
      </w:r>
      <w:r w:rsidR="00FF2007">
        <w:rPr>
          <w:rFonts w:ascii="Arial" w:hAnsi="Arial" w:cs="Arial"/>
          <w:iCs/>
          <w:color w:val="595959" w:themeColor="text1" w:themeTint="A6"/>
        </w:rPr>
        <w:t>fusiform</w:t>
      </w:r>
      <w:r w:rsidRPr="00910192">
        <w:rPr>
          <w:rFonts w:ascii="Arial" w:hAnsi="Arial" w:cs="Arial"/>
          <w:iCs/>
          <w:color w:val="595959" w:themeColor="text1" w:themeTint="A6"/>
        </w:rPr>
        <w:t xml:space="preserve"> morphology with considerable planar polarity. </w:t>
      </w:r>
      <w:r w:rsidR="00FF2007">
        <w:rPr>
          <w:rFonts w:ascii="Arial" w:hAnsi="Arial" w:cs="Arial"/>
          <w:iCs/>
          <w:color w:val="595959" w:themeColor="text1" w:themeTint="A6"/>
        </w:rPr>
        <w:t>F</w:t>
      </w:r>
      <w:r w:rsidRPr="00910192">
        <w:rPr>
          <w:rFonts w:ascii="Arial" w:hAnsi="Arial" w:cs="Arial"/>
          <w:iCs/>
          <w:color w:val="595959" w:themeColor="text1" w:themeTint="A6"/>
        </w:rPr>
        <w:t>ibroblasts are considered at large to be indolent with little metabolic activity</w:t>
      </w:r>
      <w:r w:rsidR="00A50888">
        <w:rPr>
          <w:rFonts w:ascii="Arial" w:hAnsi="Arial" w:cs="Arial"/>
          <w:iCs/>
          <w:color w:val="595959" w:themeColor="text1" w:themeTint="A6"/>
        </w:rPr>
        <w:t>;</w:t>
      </w:r>
      <w:r w:rsidRPr="00910192">
        <w:rPr>
          <w:rFonts w:ascii="Arial" w:hAnsi="Arial" w:cs="Arial"/>
          <w:iCs/>
          <w:color w:val="595959" w:themeColor="text1" w:themeTint="A6"/>
        </w:rPr>
        <w:t xml:space="preserve"> and </w:t>
      </w:r>
      <w:r w:rsidR="00A50888">
        <w:rPr>
          <w:rFonts w:ascii="Arial" w:hAnsi="Arial" w:cs="Arial"/>
          <w:iCs/>
          <w:color w:val="595959" w:themeColor="text1" w:themeTint="A6"/>
        </w:rPr>
        <w:t xml:space="preserve">their </w:t>
      </w:r>
      <w:r w:rsidR="007325CD" w:rsidRPr="00910192">
        <w:rPr>
          <w:rFonts w:ascii="Arial" w:hAnsi="Arial" w:cs="Arial"/>
          <w:iCs/>
          <w:color w:val="595959" w:themeColor="text1" w:themeTint="A6"/>
        </w:rPr>
        <w:t>transcriptome</w:t>
      </w:r>
      <w:r w:rsidR="00A50888">
        <w:rPr>
          <w:rFonts w:ascii="Arial" w:hAnsi="Arial" w:cs="Arial"/>
          <w:iCs/>
          <w:color w:val="595959" w:themeColor="text1" w:themeTint="A6"/>
        </w:rPr>
        <w:t xml:space="preserve"> is</w:t>
      </w:r>
      <w:r w:rsidRPr="00910192">
        <w:rPr>
          <w:rFonts w:ascii="Arial" w:hAnsi="Arial" w:cs="Arial"/>
          <w:iCs/>
          <w:color w:val="595959" w:themeColor="text1" w:themeTint="A6"/>
        </w:rPr>
        <w:t xml:space="preserve"> quiescent</w:t>
      </w:r>
      <w:r w:rsidR="00A50888">
        <w:rPr>
          <w:rFonts w:ascii="Arial" w:hAnsi="Arial" w:cs="Arial"/>
          <w:iCs/>
          <w:color w:val="595959" w:themeColor="text1" w:themeTint="A6"/>
        </w:rPr>
        <w:t xml:space="preserve"> in nature</w:t>
      </w:r>
      <w:r w:rsidR="007523D6">
        <w:rPr>
          <w:rFonts w:ascii="Arial" w:hAnsi="Arial" w:cs="Arial"/>
          <w:iCs/>
          <w:color w:val="595959" w:themeColor="text1" w:themeTint="A6"/>
        </w:rPr>
        <w:t xml:space="preserve"> (Table 1.1)</w:t>
      </w:r>
      <w:r w:rsidR="007523D6" w:rsidRPr="00910192">
        <w:rPr>
          <w:rFonts w:ascii="Arial" w:hAnsi="Arial" w:cs="Arial"/>
          <w:iCs/>
          <w:color w:val="595959" w:themeColor="text1" w:themeTint="A6"/>
        </w:rPr>
        <w:t>.</w:t>
      </w:r>
    </w:p>
    <w:p w14:paraId="045DC2FC" w14:textId="5C500055" w:rsidR="00F27879" w:rsidRDefault="00F27879" w:rsidP="001A4145">
      <w:pPr>
        <w:spacing w:line="480" w:lineRule="auto"/>
        <w:jc w:val="both"/>
        <w:rPr>
          <w:rFonts w:ascii="Arial" w:hAnsi="Arial" w:cs="Arial"/>
          <w:iCs/>
          <w:color w:val="595959" w:themeColor="text1" w:themeTint="A6"/>
        </w:rPr>
      </w:pPr>
      <w:r w:rsidRPr="00910192">
        <w:rPr>
          <w:rFonts w:ascii="Arial" w:hAnsi="Arial" w:cs="Arial"/>
          <w:iCs/>
          <w:color w:val="595959" w:themeColor="text1" w:themeTint="A6"/>
        </w:rPr>
        <w:t>Activation of indolent fibroblasts was first described in wound healing and tissue regeneration (</w:t>
      </w:r>
      <w:r w:rsidR="0014166E">
        <w:rPr>
          <w:rFonts w:ascii="Arial" w:hAnsi="Arial" w:cs="Arial"/>
          <w:iCs/>
          <w:color w:val="595959" w:themeColor="text1" w:themeTint="A6"/>
        </w:rPr>
        <w:t>Gabb</w:t>
      </w:r>
      <w:r w:rsidR="008F5909">
        <w:rPr>
          <w:rFonts w:ascii="Arial" w:hAnsi="Arial" w:cs="Arial"/>
          <w:iCs/>
          <w:color w:val="595959" w:themeColor="text1" w:themeTint="A6"/>
        </w:rPr>
        <w:t xml:space="preserve">iani </w:t>
      </w:r>
      <w:r w:rsidR="008F5909" w:rsidRPr="008F5909">
        <w:rPr>
          <w:rFonts w:ascii="Arial" w:hAnsi="Arial" w:cs="Arial"/>
          <w:i/>
          <w:color w:val="595959" w:themeColor="text1" w:themeTint="A6"/>
        </w:rPr>
        <w:t xml:space="preserve">et al., </w:t>
      </w:r>
      <w:r w:rsidR="008F5909">
        <w:rPr>
          <w:rFonts w:ascii="Arial" w:hAnsi="Arial" w:cs="Arial"/>
          <w:iCs/>
          <w:color w:val="595959" w:themeColor="text1" w:themeTint="A6"/>
        </w:rPr>
        <w:t>1971</w:t>
      </w:r>
      <w:r w:rsidRPr="00910192">
        <w:rPr>
          <w:rFonts w:ascii="Arial" w:hAnsi="Arial" w:cs="Arial"/>
          <w:iCs/>
          <w:color w:val="595959" w:themeColor="text1" w:themeTint="A6"/>
        </w:rPr>
        <w:t>). Morphologically active and stellate in appearance these ‘activated’ cells were termed myofibroblasts (</w:t>
      </w:r>
      <w:r w:rsidR="0048019F">
        <w:rPr>
          <w:rFonts w:ascii="Arial" w:hAnsi="Arial" w:cs="Arial"/>
          <w:iCs/>
          <w:color w:val="595959" w:themeColor="text1" w:themeTint="A6"/>
        </w:rPr>
        <w:t>m</w:t>
      </w:r>
      <w:r w:rsidRPr="00910192">
        <w:rPr>
          <w:rFonts w:ascii="Arial" w:hAnsi="Arial" w:cs="Arial"/>
          <w:iCs/>
          <w:color w:val="595959" w:themeColor="text1" w:themeTint="A6"/>
        </w:rPr>
        <w:t>yoFB)</w:t>
      </w:r>
      <w:r w:rsidR="00A50888">
        <w:rPr>
          <w:rFonts w:ascii="Arial" w:hAnsi="Arial" w:cs="Arial"/>
          <w:iCs/>
          <w:color w:val="595959" w:themeColor="text1" w:themeTint="A6"/>
        </w:rPr>
        <w:t xml:space="preserve"> due to their similar appearance to </w:t>
      </w:r>
      <w:r w:rsidR="00095833">
        <w:rPr>
          <w:rFonts w:ascii="Arial" w:hAnsi="Arial" w:cs="Arial"/>
          <w:iCs/>
          <w:color w:val="595959" w:themeColor="text1" w:themeTint="A6"/>
        </w:rPr>
        <w:t xml:space="preserve">smooth </w:t>
      </w:r>
      <w:r w:rsidR="00A50888">
        <w:rPr>
          <w:rFonts w:ascii="Arial" w:hAnsi="Arial" w:cs="Arial"/>
          <w:iCs/>
          <w:color w:val="595959" w:themeColor="text1" w:themeTint="A6"/>
        </w:rPr>
        <w:t>muscle cells</w:t>
      </w:r>
      <w:r w:rsidR="00A61FBB">
        <w:rPr>
          <w:rFonts w:ascii="Arial" w:hAnsi="Arial" w:cs="Arial"/>
          <w:iCs/>
          <w:color w:val="595959" w:themeColor="text1" w:themeTint="A6"/>
        </w:rPr>
        <w:t xml:space="preserve"> (</w:t>
      </w:r>
      <w:r w:rsidR="00A61FBB" w:rsidRPr="00910192">
        <w:rPr>
          <w:rFonts w:ascii="Arial" w:hAnsi="Arial" w:cs="Arial"/>
          <w:iCs/>
          <w:color w:val="595959" w:themeColor="text1" w:themeTint="A6"/>
        </w:rPr>
        <w:t xml:space="preserve">Darby </w:t>
      </w:r>
      <w:r w:rsidR="00A61FBB" w:rsidRPr="00910192">
        <w:rPr>
          <w:rFonts w:ascii="Arial" w:hAnsi="Arial" w:cs="Arial"/>
          <w:i/>
          <w:iCs/>
          <w:color w:val="595959" w:themeColor="text1" w:themeTint="A6"/>
        </w:rPr>
        <w:t>et al.,</w:t>
      </w:r>
      <w:r w:rsidR="00A61FBB" w:rsidRPr="00910192">
        <w:rPr>
          <w:rFonts w:ascii="Arial" w:hAnsi="Arial" w:cs="Arial"/>
          <w:iCs/>
          <w:color w:val="595959" w:themeColor="text1" w:themeTint="A6"/>
        </w:rPr>
        <w:t xml:space="preserve"> 2014)</w:t>
      </w:r>
      <w:r w:rsidR="004B0A93">
        <w:rPr>
          <w:rFonts w:ascii="Arial" w:hAnsi="Arial" w:cs="Arial"/>
          <w:iCs/>
          <w:color w:val="595959" w:themeColor="text1" w:themeTint="A6"/>
        </w:rPr>
        <w:t>. MyoFB</w:t>
      </w:r>
      <w:r w:rsidRPr="00910192">
        <w:rPr>
          <w:rFonts w:ascii="Arial" w:hAnsi="Arial" w:cs="Arial"/>
          <w:iCs/>
          <w:color w:val="595959" w:themeColor="text1" w:themeTint="A6"/>
        </w:rPr>
        <w:t xml:space="preserve"> are associated with </w:t>
      </w:r>
      <w:r w:rsidR="00FF2007">
        <w:rPr>
          <w:rFonts w:ascii="Arial" w:hAnsi="Arial" w:cs="Arial"/>
          <w:iCs/>
          <w:color w:val="595959" w:themeColor="text1" w:themeTint="A6"/>
        </w:rPr>
        <w:t xml:space="preserve">a </w:t>
      </w:r>
      <w:r w:rsidR="004B0A93">
        <w:rPr>
          <w:rFonts w:ascii="Arial" w:hAnsi="Arial" w:cs="Arial"/>
          <w:iCs/>
          <w:color w:val="595959" w:themeColor="text1" w:themeTint="A6"/>
        </w:rPr>
        <w:t xml:space="preserve">variety of distinct features and can </w:t>
      </w:r>
      <w:r w:rsidR="00A50888">
        <w:rPr>
          <w:rFonts w:ascii="Arial" w:hAnsi="Arial" w:cs="Arial"/>
          <w:iCs/>
          <w:color w:val="595959" w:themeColor="text1" w:themeTint="A6"/>
        </w:rPr>
        <w:t>regulate</w:t>
      </w:r>
      <w:r w:rsidRPr="00910192">
        <w:rPr>
          <w:rFonts w:ascii="Arial" w:hAnsi="Arial" w:cs="Arial"/>
          <w:iCs/>
          <w:color w:val="595959" w:themeColor="text1" w:themeTint="A6"/>
        </w:rPr>
        <w:t xml:space="preserve"> connective tissue restructuring by the combined production of an a</w:t>
      </w:r>
      <w:r w:rsidR="004B0A93">
        <w:rPr>
          <w:rFonts w:ascii="Arial" w:hAnsi="Arial" w:cs="Arial"/>
          <w:iCs/>
          <w:color w:val="595959" w:themeColor="text1" w:themeTint="A6"/>
        </w:rPr>
        <w:t>ctivated and dynamic secretome,</w:t>
      </w:r>
      <w:r w:rsidRPr="00910192">
        <w:rPr>
          <w:rFonts w:ascii="Arial" w:hAnsi="Arial" w:cs="Arial"/>
          <w:iCs/>
          <w:color w:val="595959" w:themeColor="text1" w:themeTint="A6"/>
        </w:rPr>
        <w:t xml:space="preserve"> </w:t>
      </w:r>
      <w:r w:rsidR="004B0A93">
        <w:rPr>
          <w:rFonts w:ascii="Arial" w:hAnsi="Arial" w:cs="Arial"/>
          <w:iCs/>
          <w:color w:val="595959" w:themeColor="text1" w:themeTint="A6"/>
        </w:rPr>
        <w:t>producing</w:t>
      </w:r>
      <w:r w:rsidRPr="00910192">
        <w:rPr>
          <w:rFonts w:ascii="Arial" w:hAnsi="Arial" w:cs="Arial"/>
          <w:iCs/>
          <w:color w:val="595959" w:themeColor="text1" w:themeTint="A6"/>
        </w:rPr>
        <w:t xml:space="preserve"> ECM components (Desmoulieré </w:t>
      </w:r>
      <w:r w:rsidRPr="00910192">
        <w:rPr>
          <w:rFonts w:ascii="Arial" w:hAnsi="Arial" w:cs="Arial"/>
          <w:i/>
          <w:iCs/>
          <w:color w:val="595959" w:themeColor="text1" w:themeTint="A6"/>
        </w:rPr>
        <w:t>et al</w:t>
      </w:r>
      <w:r w:rsidRPr="00910192">
        <w:rPr>
          <w:rFonts w:ascii="Arial" w:hAnsi="Arial" w:cs="Arial"/>
          <w:iCs/>
          <w:color w:val="595959" w:themeColor="text1" w:themeTint="A6"/>
        </w:rPr>
        <w:t>., 2004)</w:t>
      </w:r>
      <w:r w:rsidR="00EC0534">
        <w:rPr>
          <w:rFonts w:ascii="Arial" w:hAnsi="Arial" w:cs="Arial"/>
          <w:iCs/>
          <w:color w:val="595959" w:themeColor="text1" w:themeTint="A6"/>
        </w:rPr>
        <w:t xml:space="preserve"> (Table 1.1)</w:t>
      </w:r>
      <w:r w:rsidRPr="00910192">
        <w:rPr>
          <w:rFonts w:ascii="Arial" w:hAnsi="Arial" w:cs="Arial"/>
          <w:iCs/>
          <w:color w:val="595959" w:themeColor="text1" w:themeTint="A6"/>
        </w:rPr>
        <w:t xml:space="preserve">. </w:t>
      </w:r>
      <w:r w:rsidR="00FF2007">
        <w:rPr>
          <w:rFonts w:ascii="Arial" w:hAnsi="Arial" w:cs="Arial"/>
          <w:iCs/>
          <w:color w:val="595959" w:themeColor="text1" w:themeTint="A6"/>
        </w:rPr>
        <w:t>Myo</w:t>
      </w:r>
      <w:r w:rsidR="00C5031E">
        <w:rPr>
          <w:rFonts w:ascii="Arial" w:hAnsi="Arial" w:cs="Arial"/>
          <w:iCs/>
          <w:color w:val="595959" w:themeColor="text1" w:themeTint="A6"/>
        </w:rPr>
        <w:t>FB</w:t>
      </w:r>
      <w:r w:rsidR="00FF2007">
        <w:rPr>
          <w:rFonts w:ascii="Arial" w:hAnsi="Arial" w:cs="Arial"/>
          <w:iCs/>
          <w:color w:val="595959" w:themeColor="text1" w:themeTint="A6"/>
        </w:rPr>
        <w:t xml:space="preserve"> </w:t>
      </w:r>
      <w:r w:rsidR="00452333">
        <w:rPr>
          <w:rFonts w:ascii="Arial" w:hAnsi="Arial" w:cs="Arial"/>
          <w:iCs/>
          <w:color w:val="595959" w:themeColor="text1" w:themeTint="A6"/>
        </w:rPr>
        <w:t>have a</w:t>
      </w:r>
      <w:r w:rsidRPr="00910192">
        <w:rPr>
          <w:rFonts w:ascii="Arial" w:hAnsi="Arial" w:cs="Arial"/>
          <w:iCs/>
          <w:color w:val="595959" w:themeColor="text1" w:themeTint="A6"/>
        </w:rPr>
        <w:t xml:space="preserve"> prominent contractile apparatus capable of exerting physical forces </w:t>
      </w:r>
      <w:r w:rsidR="00A50888">
        <w:rPr>
          <w:rFonts w:ascii="Arial" w:hAnsi="Arial" w:cs="Arial"/>
          <w:iCs/>
          <w:color w:val="595959" w:themeColor="text1" w:themeTint="A6"/>
        </w:rPr>
        <w:t>that</w:t>
      </w:r>
      <w:r w:rsidRPr="00910192">
        <w:rPr>
          <w:rFonts w:ascii="Arial" w:hAnsi="Arial" w:cs="Arial"/>
          <w:iCs/>
          <w:color w:val="595959" w:themeColor="text1" w:themeTint="A6"/>
        </w:rPr>
        <w:t xml:space="preserve"> modify tissue architecture. Primarily they are characterised by </w:t>
      </w:r>
      <w:r w:rsidRPr="00910192">
        <w:rPr>
          <w:rFonts w:ascii="Arial" w:hAnsi="Arial" w:cs="Arial"/>
          <w:i/>
          <w:iCs/>
          <w:color w:val="595959" w:themeColor="text1" w:themeTint="A6"/>
        </w:rPr>
        <w:t>de novo</w:t>
      </w:r>
      <w:r w:rsidRPr="00910192">
        <w:rPr>
          <w:rFonts w:ascii="Arial" w:hAnsi="Arial" w:cs="Arial"/>
          <w:iCs/>
          <w:color w:val="595959" w:themeColor="text1" w:themeTint="A6"/>
        </w:rPr>
        <w:t xml:space="preserve"> synthesis of </w:t>
      </w:r>
      <w:r w:rsidR="00FF2007">
        <w:rPr>
          <w:rFonts w:ascii="Arial" w:hAnsi="Arial" w:cs="Arial"/>
          <w:iCs/>
          <w:color w:val="595959" w:themeColor="text1" w:themeTint="A6"/>
        </w:rPr>
        <w:t xml:space="preserve"> alpha-smooth muscle actin (</w:t>
      </w:r>
      <w:r w:rsidRPr="00910192">
        <w:rPr>
          <w:rFonts w:ascii="Arial" w:hAnsi="Arial" w:cs="Arial"/>
          <w:iCs/>
          <w:color w:val="595959" w:themeColor="text1" w:themeTint="A6"/>
        </w:rPr>
        <w:sym w:font="Symbol" w:char="F061"/>
      </w:r>
      <w:r w:rsidRPr="00910192">
        <w:rPr>
          <w:rFonts w:ascii="Arial" w:hAnsi="Arial" w:cs="Arial"/>
          <w:iCs/>
          <w:color w:val="595959" w:themeColor="text1" w:themeTint="A6"/>
        </w:rPr>
        <w:t>SMA</w:t>
      </w:r>
      <w:r w:rsidR="00FF2007">
        <w:rPr>
          <w:rFonts w:ascii="Arial" w:hAnsi="Arial" w:cs="Arial"/>
          <w:iCs/>
          <w:color w:val="595959" w:themeColor="text1" w:themeTint="A6"/>
        </w:rPr>
        <w:t>)</w:t>
      </w:r>
      <w:r w:rsidRPr="00910192">
        <w:rPr>
          <w:rFonts w:ascii="Arial" w:hAnsi="Arial" w:cs="Arial"/>
          <w:iCs/>
          <w:color w:val="595959" w:themeColor="text1" w:themeTint="A6"/>
        </w:rPr>
        <w:t>, as well as other markers such as fibroblast activating protein (FAP) and platelet-derived growth factor receptor (PDGFR)</w:t>
      </w:r>
      <w:r w:rsidR="00A50888">
        <w:rPr>
          <w:rFonts w:ascii="Arial" w:hAnsi="Arial" w:cs="Arial"/>
          <w:iCs/>
          <w:color w:val="595959" w:themeColor="text1" w:themeTint="A6"/>
        </w:rPr>
        <w:t xml:space="preserve">, however their heterogenous nature has made it impossible to define them by marker expression alone (Suigmoto </w:t>
      </w:r>
      <w:r w:rsidR="00A50888" w:rsidRPr="00A50888">
        <w:rPr>
          <w:rFonts w:ascii="Arial" w:hAnsi="Arial" w:cs="Arial"/>
          <w:i/>
          <w:iCs/>
          <w:color w:val="595959" w:themeColor="text1" w:themeTint="A6"/>
        </w:rPr>
        <w:t>et al.,</w:t>
      </w:r>
      <w:r w:rsidR="00A50888">
        <w:rPr>
          <w:rFonts w:ascii="Arial" w:hAnsi="Arial" w:cs="Arial"/>
          <w:iCs/>
          <w:color w:val="595959" w:themeColor="text1" w:themeTint="A6"/>
        </w:rPr>
        <w:t xml:space="preserve"> 2006). </w:t>
      </w:r>
      <w:r w:rsidRPr="00910192">
        <w:rPr>
          <w:rFonts w:ascii="Arial" w:hAnsi="Arial" w:cs="Arial"/>
          <w:iCs/>
          <w:color w:val="595959" w:themeColor="text1" w:themeTint="A6"/>
        </w:rPr>
        <w:t>Th</w:t>
      </w:r>
      <w:r w:rsidR="00A50888">
        <w:rPr>
          <w:rFonts w:ascii="Arial" w:hAnsi="Arial" w:cs="Arial"/>
          <w:iCs/>
          <w:color w:val="595959" w:themeColor="text1" w:themeTint="A6"/>
        </w:rPr>
        <w:t xml:space="preserve">ey </w:t>
      </w:r>
      <w:r w:rsidR="00A50888">
        <w:rPr>
          <w:rFonts w:ascii="Arial" w:hAnsi="Arial" w:cs="Arial"/>
          <w:iCs/>
          <w:color w:val="595959" w:themeColor="text1" w:themeTint="A6"/>
        </w:rPr>
        <w:lastRenderedPageBreak/>
        <w:t>also have</w:t>
      </w:r>
      <w:r w:rsidRPr="00910192">
        <w:rPr>
          <w:rFonts w:ascii="Arial" w:hAnsi="Arial" w:cs="Arial"/>
          <w:iCs/>
          <w:color w:val="595959" w:themeColor="text1" w:themeTint="A6"/>
        </w:rPr>
        <w:t xml:space="preserve"> characteris</w:t>
      </w:r>
      <w:r w:rsidR="00A50888">
        <w:rPr>
          <w:rFonts w:ascii="Arial" w:hAnsi="Arial" w:cs="Arial"/>
          <w:iCs/>
          <w:color w:val="595959" w:themeColor="text1" w:themeTint="A6"/>
        </w:rPr>
        <w:t xml:space="preserve">tic </w:t>
      </w:r>
      <w:r w:rsidRPr="00910192">
        <w:rPr>
          <w:rFonts w:ascii="Arial" w:hAnsi="Arial" w:cs="Arial"/>
          <w:iCs/>
          <w:color w:val="595959" w:themeColor="text1" w:themeTint="A6"/>
        </w:rPr>
        <w:t>stress fibres</w:t>
      </w:r>
      <w:r w:rsidR="00A50888">
        <w:rPr>
          <w:rFonts w:ascii="Arial" w:hAnsi="Arial" w:cs="Arial"/>
          <w:iCs/>
          <w:color w:val="595959" w:themeColor="text1" w:themeTint="A6"/>
        </w:rPr>
        <w:t>;</w:t>
      </w:r>
      <w:r w:rsidRPr="00910192">
        <w:rPr>
          <w:rFonts w:ascii="Arial" w:hAnsi="Arial" w:cs="Arial"/>
          <w:iCs/>
          <w:color w:val="595959" w:themeColor="text1" w:themeTint="A6"/>
        </w:rPr>
        <w:t xml:space="preserve"> which contribute to a greater force generated for contractibility. These morphological traits also exert traction forces that exhibit greater longevity than their smooth muscle cell counterparts, with effects active </w:t>
      </w:r>
      <w:r w:rsidR="00FF2007">
        <w:rPr>
          <w:rFonts w:ascii="Arial" w:hAnsi="Arial" w:cs="Arial"/>
          <w:iCs/>
          <w:color w:val="595959" w:themeColor="text1" w:themeTint="A6"/>
        </w:rPr>
        <w:t>for</w:t>
      </w:r>
      <w:r w:rsidRPr="00910192">
        <w:rPr>
          <w:rFonts w:ascii="Arial" w:hAnsi="Arial" w:cs="Arial"/>
          <w:iCs/>
          <w:color w:val="595959" w:themeColor="text1" w:themeTint="A6"/>
        </w:rPr>
        <w:t xml:space="preserve"> months (Kalluri, 2015). </w:t>
      </w:r>
      <w:r w:rsidRPr="00910192">
        <w:rPr>
          <w:rFonts w:ascii="Arial" w:hAnsi="Arial" w:cs="Arial"/>
          <w:i/>
          <w:iCs/>
          <w:color w:val="595959" w:themeColor="text1" w:themeTint="A6"/>
        </w:rPr>
        <w:t>In vitro</w:t>
      </w:r>
      <w:r w:rsidRPr="00910192">
        <w:rPr>
          <w:rFonts w:ascii="Arial" w:hAnsi="Arial" w:cs="Arial"/>
          <w:iCs/>
          <w:color w:val="595959" w:themeColor="text1" w:themeTint="A6"/>
        </w:rPr>
        <w:t xml:space="preserve"> </w:t>
      </w:r>
      <w:r w:rsidR="00FF2007" w:rsidRPr="00B611AB">
        <w:rPr>
          <w:rFonts w:ascii="Arial" w:hAnsi="Arial" w:cs="Arial"/>
          <w:iCs/>
          <w:color w:val="595959" w:themeColor="text1" w:themeTint="A6"/>
        </w:rPr>
        <w:t>analysis</w:t>
      </w:r>
      <w:r w:rsidR="004B0A93" w:rsidRPr="00B611AB">
        <w:rPr>
          <w:rFonts w:ascii="Arial" w:hAnsi="Arial" w:cs="Arial"/>
          <w:iCs/>
          <w:color w:val="595959" w:themeColor="text1" w:themeTint="A6"/>
        </w:rPr>
        <w:t xml:space="preserve"> h</w:t>
      </w:r>
      <w:r w:rsidR="00951C24" w:rsidRPr="00B611AB">
        <w:rPr>
          <w:rFonts w:ascii="Arial" w:hAnsi="Arial" w:cs="Arial"/>
          <w:iCs/>
          <w:color w:val="595959" w:themeColor="text1" w:themeTint="A6"/>
        </w:rPr>
        <w:t>as</w:t>
      </w:r>
      <w:r w:rsidR="004B0A93" w:rsidRPr="00B611AB">
        <w:rPr>
          <w:rFonts w:ascii="Arial" w:hAnsi="Arial" w:cs="Arial"/>
          <w:iCs/>
          <w:color w:val="595959" w:themeColor="text1" w:themeTint="A6"/>
        </w:rPr>
        <w:t xml:space="preserve"> shown </w:t>
      </w:r>
      <w:r w:rsidR="00091410" w:rsidRPr="00B611AB">
        <w:rPr>
          <w:rFonts w:ascii="Arial" w:hAnsi="Arial" w:cs="Arial"/>
          <w:iCs/>
          <w:color w:val="595959" w:themeColor="text1" w:themeTint="A6"/>
        </w:rPr>
        <w:t xml:space="preserve">that </w:t>
      </w:r>
      <w:r w:rsidRPr="00B611AB">
        <w:rPr>
          <w:rFonts w:ascii="Arial" w:hAnsi="Arial" w:cs="Arial"/>
          <w:iCs/>
          <w:color w:val="595959" w:themeColor="text1" w:themeTint="A6"/>
        </w:rPr>
        <w:t xml:space="preserve">myoFB </w:t>
      </w:r>
      <w:r w:rsidR="004B0A93" w:rsidRPr="00B611AB">
        <w:rPr>
          <w:rFonts w:ascii="Arial" w:hAnsi="Arial" w:cs="Arial"/>
          <w:iCs/>
          <w:color w:val="595959" w:themeColor="text1" w:themeTint="A6"/>
        </w:rPr>
        <w:t>use</w:t>
      </w:r>
      <w:r w:rsidRPr="00B611AB">
        <w:rPr>
          <w:rFonts w:ascii="Arial" w:hAnsi="Arial" w:cs="Arial"/>
          <w:iCs/>
          <w:color w:val="595959" w:themeColor="text1" w:themeTint="A6"/>
        </w:rPr>
        <w:t xml:space="preserve"> a ‘ratchet mechanism’ with cyclical </w:t>
      </w:r>
      <w:r w:rsidRPr="00910192">
        <w:rPr>
          <w:rFonts w:ascii="Arial" w:hAnsi="Arial" w:cs="Arial"/>
          <w:iCs/>
          <w:color w:val="595959" w:themeColor="text1" w:themeTint="A6"/>
        </w:rPr>
        <w:t xml:space="preserve">contractile features to aid motility and contractility. Such strong long wave contracture events are signalled by the </w:t>
      </w:r>
      <w:r w:rsidR="00332893" w:rsidRPr="00332893">
        <w:rPr>
          <w:rFonts w:ascii="Arial" w:hAnsi="Arial" w:cs="Arial"/>
          <w:iCs/>
          <w:color w:val="595959" w:themeColor="text1" w:themeTint="A6"/>
        </w:rPr>
        <w:t>Ras homolog gene family, member A </w:t>
      </w:r>
      <w:r w:rsidR="00332893">
        <w:rPr>
          <w:rFonts w:ascii="Arial" w:hAnsi="Arial" w:cs="Arial"/>
          <w:iCs/>
          <w:color w:val="595959" w:themeColor="text1" w:themeTint="A6"/>
        </w:rPr>
        <w:t>(</w:t>
      </w:r>
      <w:r w:rsidRPr="00910192">
        <w:rPr>
          <w:rFonts w:ascii="Arial" w:hAnsi="Arial" w:cs="Arial"/>
          <w:iCs/>
          <w:color w:val="595959" w:themeColor="text1" w:themeTint="A6"/>
        </w:rPr>
        <w:t>RhoA</w:t>
      </w:r>
      <w:r w:rsidR="00332893">
        <w:rPr>
          <w:rFonts w:ascii="Arial" w:hAnsi="Arial" w:cs="Arial"/>
          <w:iCs/>
          <w:color w:val="595959" w:themeColor="text1" w:themeTint="A6"/>
        </w:rPr>
        <w:t>)</w:t>
      </w:r>
      <w:r w:rsidRPr="00910192">
        <w:rPr>
          <w:rFonts w:ascii="Arial" w:hAnsi="Arial" w:cs="Arial"/>
          <w:iCs/>
          <w:color w:val="595959" w:themeColor="text1" w:themeTint="A6"/>
        </w:rPr>
        <w:t xml:space="preserve"> kinases, whereas shorter wave contractures are produced by fluxes of calcium concentrations intracellularly allowing these cells to </w:t>
      </w:r>
      <w:r w:rsidR="00A50888">
        <w:rPr>
          <w:rFonts w:ascii="Arial" w:hAnsi="Arial" w:cs="Arial"/>
          <w:iCs/>
          <w:color w:val="595959" w:themeColor="text1" w:themeTint="A6"/>
        </w:rPr>
        <w:t>have</w:t>
      </w:r>
      <w:r w:rsidRPr="00910192">
        <w:rPr>
          <w:rFonts w:ascii="Arial" w:hAnsi="Arial" w:cs="Arial"/>
          <w:iCs/>
          <w:color w:val="595959" w:themeColor="text1" w:themeTint="A6"/>
        </w:rPr>
        <w:t xml:space="preserve"> </w:t>
      </w:r>
      <w:r w:rsidR="004B0A93">
        <w:rPr>
          <w:rFonts w:ascii="Arial" w:hAnsi="Arial" w:cs="Arial"/>
          <w:iCs/>
          <w:color w:val="595959" w:themeColor="text1" w:themeTint="A6"/>
        </w:rPr>
        <w:t xml:space="preserve">greater </w:t>
      </w:r>
      <w:r w:rsidRPr="00910192">
        <w:rPr>
          <w:rFonts w:ascii="Arial" w:hAnsi="Arial" w:cs="Arial"/>
          <w:iCs/>
          <w:color w:val="595959" w:themeColor="text1" w:themeTint="A6"/>
        </w:rPr>
        <w:t xml:space="preserve">migratory </w:t>
      </w:r>
      <w:r w:rsidR="00A50888">
        <w:rPr>
          <w:rFonts w:ascii="Arial" w:hAnsi="Arial" w:cs="Arial"/>
          <w:iCs/>
          <w:color w:val="595959" w:themeColor="text1" w:themeTint="A6"/>
        </w:rPr>
        <w:t xml:space="preserve">capabilities </w:t>
      </w:r>
      <w:r w:rsidRPr="00910192">
        <w:rPr>
          <w:rFonts w:ascii="Arial" w:hAnsi="Arial" w:cs="Arial"/>
          <w:iCs/>
          <w:color w:val="595959" w:themeColor="text1" w:themeTint="A6"/>
        </w:rPr>
        <w:t xml:space="preserve">(Kole </w:t>
      </w:r>
      <w:r w:rsidRPr="00910192">
        <w:rPr>
          <w:rFonts w:ascii="Arial" w:hAnsi="Arial" w:cs="Arial"/>
          <w:i/>
          <w:iCs/>
          <w:color w:val="595959" w:themeColor="text1" w:themeTint="A6"/>
        </w:rPr>
        <w:t>et al.,</w:t>
      </w:r>
      <w:r w:rsidRPr="00910192">
        <w:rPr>
          <w:rFonts w:ascii="Arial" w:hAnsi="Arial" w:cs="Arial"/>
          <w:iCs/>
          <w:color w:val="595959" w:themeColor="text1" w:themeTint="A6"/>
        </w:rPr>
        <w:t xml:space="preserve"> 2005). There are conditional factors which contribute to the induction of </w:t>
      </w:r>
      <w:r w:rsidR="00CB5E03">
        <w:rPr>
          <w:rFonts w:ascii="Arial" w:hAnsi="Arial" w:cs="Arial"/>
          <w:iCs/>
          <w:color w:val="595959" w:themeColor="text1" w:themeTint="A6"/>
        </w:rPr>
        <w:t xml:space="preserve">these </w:t>
      </w:r>
      <w:r w:rsidR="00BA507E">
        <w:rPr>
          <w:rFonts w:ascii="Arial" w:hAnsi="Arial" w:cs="Arial"/>
          <w:iCs/>
          <w:color w:val="595959" w:themeColor="text1" w:themeTint="A6"/>
        </w:rPr>
        <w:t xml:space="preserve">activated </w:t>
      </w:r>
      <w:r w:rsidRPr="00910192">
        <w:rPr>
          <w:rFonts w:ascii="Arial" w:hAnsi="Arial" w:cs="Arial"/>
          <w:iCs/>
          <w:color w:val="595959" w:themeColor="text1" w:themeTint="A6"/>
        </w:rPr>
        <w:t>myoFB. In general, a build-up of mechanical resistance within the ECM combined with the actions of TGF</w:t>
      </w:r>
      <w:r w:rsidRPr="00910192">
        <w:rPr>
          <w:rFonts w:ascii="Arial" w:hAnsi="Arial" w:cs="Arial"/>
          <w:iCs/>
          <w:color w:val="595959" w:themeColor="text1" w:themeTint="A6"/>
        </w:rPr>
        <w:sym w:font="Symbol" w:char="F062"/>
      </w:r>
      <w:r w:rsidRPr="00910192">
        <w:rPr>
          <w:rFonts w:ascii="Arial" w:hAnsi="Arial" w:cs="Arial"/>
          <w:iCs/>
          <w:color w:val="595959" w:themeColor="text1" w:themeTint="A6"/>
        </w:rPr>
        <w:t xml:space="preserve">-1 (a pro-fibrotic growth factor) is enough to stimulate the differentiation </w:t>
      </w:r>
      <w:r w:rsidR="002412D6">
        <w:rPr>
          <w:rFonts w:ascii="Arial" w:hAnsi="Arial" w:cs="Arial"/>
          <w:iCs/>
          <w:color w:val="595959" w:themeColor="text1" w:themeTint="A6"/>
        </w:rPr>
        <w:t>into</w:t>
      </w:r>
      <w:r w:rsidRPr="00910192">
        <w:rPr>
          <w:rFonts w:ascii="Arial" w:hAnsi="Arial" w:cs="Arial"/>
          <w:iCs/>
          <w:color w:val="595959" w:themeColor="text1" w:themeTint="A6"/>
        </w:rPr>
        <w:t xml:space="preserve"> myoFB (Kalluri, 2016). Once ECM stiffness has reached </w:t>
      </w:r>
      <w:r w:rsidR="009A7614">
        <w:rPr>
          <w:rFonts w:ascii="Arial" w:hAnsi="Arial" w:cs="Arial"/>
          <w:iCs/>
          <w:color w:val="595959" w:themeColor="text1" w:themeTint="A6"/>
        </w:rPr>
        <w:t xml:space="preserve">a </w:t>
      </w:r>
      <w:r w:rsidRPr="00910192">
        <w:rPr>
          <w:rFonts w:ascii="Arial" w:hAnsi="Arial" w:cs="Arial"/>
          <w:iCs/>
          <w:color w:val="595959" w:themeColor="text1" w:themeTint="A6"/>
        </w:rPr>
        <w:t>threshold during the remodelling of tissues, the cells produce a</w:t>
      </w:r>
      <w:r w:rsidR="003A3888">
        <w:rPr>
          <w:rFonts w:ascii="Arial" w:hAnsi="Arial" w:cs="Arial"/>
          <w:iCs/>
          <w:color w:val="595959" w:themeColor="text1" w:themeTint="A6"/>
        </w:rPr>
        <w:t>n</w:t>
      </w:r>
      <w:r w:rsidRPr="00910192">
        <w:rPr>
          <w:rFonts w:ascii="Arial" w:hAnsi="Arial" w:cs="Arial"/>
          <w:iCs/>
          <w:color w:val="595959" w:themeColor="text1" w:themeTint="A6"/>
        </w:rPr>
        <w:t xml:space="preserve"> </w:t>
      </w:r>
      <w:r w:rsidR="003A3888">
        <w:rPr>
          <w:rFonts w:ascii="Arial" w:hAnsi="Arial" w:cs="Arial"/>
          <w:iCs/>
          <w:color w:val="595959" w:themeColor="text1" w:themeTint="A6"/>
        </w:rPr>
        <w:t>actin-</w:t>
      </w:r>
      <w:r w:rsidRPr="00910192">
        <w:rPr>
          <w:rFonts w:ascii="Arial" w:hAnsi="Arial" w:cs="Arial"/>
          <w:iCs/>
          <w:color w:val="595959" w:themeColor="text1" w:themeTint="A6"/>
        </w:rPr>
        <w:t xml:space="preserve">cytoskeletal contractile apparatus that </w:t>
      </w:r>
      <w:r w:rsidR="003A3888">
        <w:rPr>
          <w:rFonts w:ascii="Arial" w:hAnsi="Arial" w:cs="Arial"/>
          <w:iCs/>
          <w:color w:val="595959" w:themeColor="text1" w:themeTint="A6"/>
        </w:rPr>
        <w:t xml:space="preserve">transduces mechanical stimuli into biochemical signals activating gene expression pathways for </w:t>
      </w:r>
      <w:r w:rsidRPr="00910192">
        <w:rPr>
          <w:rFonts w:ascii="Arial" w:hAnsi="Arial" w:cs="Arial"/>
          <w:iCs/>
          <w:color w:val="595959" w:themeColor="text1" w:themeTint="A6"/>
        </w:rPr>
        <w:t>autocrine contractility</w:t>
      </w:r>
      <w:r w:rsidR="003A3888">
        <w:rPr>
          <w:rFonts w:ascii="Arial" w:hAnsi="Arial" w:cs="Arial"/>
          <w:iCs/>
          <w:color w:val="595959" w:themeColor="text1" w:themeTint="A6"/>
        </w:rPr>
        <w:t xml:space="preserve"> (Huang </w:t>
      </w:r>
      <w:r w:rsidR="003A3888" w:rsidRPr="003A3888">
        <w:rPr>
          <w:rFonts w:ascii="Arial" w:hAnsi="Arial" w:cs="Arial"/>
          <w:i/>
          <w:color w:val="595959" w:themeColor="text1" w:themeTint="A6"/>
        </w:rPr>
        <w:t>et al.,</w:t>
      </w:r>
      <w:r w:rsidR="001A4145">
        <w:rPr>
          <w:rFonts w:ascii="Arial" w:hAnsi="Arial" w:cs="Arial"/>
          <w:iCs/>
          <w:color w:val="595959" w:themeColor="text1" w:themeTint="A6"/>
        </w:rPr>
        <w:t xml:space="preserve"> 2012,</w:t>
      </w:r>
      <w:r w:rsidR="003A3888">
        <w:rPr>
          <w:rFonts w:ascii="Arial" w:hAnsi="Arial" w:cs="Arial"/>
          <w:iCs/>
          <w:color w:val="595959" w:themeColor="text1" w:themeTint="A6"/>
        </w:rPr>
        <w:t xml:space="preserve"> Stempien-Otero </w:t>
      </w:r>
      <w:r w:rsidR="003A3888" w:rsidRPr="003A3888">
        <w:rPr>
          <w:rFonts w:ascii="Arial" w:hAnsi="Arial" w:cs="Arial"/>
          <w:i/>
          <w:color w:val="595959" w:themeColor="text1" w:themeTint="A6"/>
        </w:rPr>
        <w:t>et al.,</w:t>
      </w:r>
      <w:r w:rsidR="003A3888">
        <w:rPr>
          <w:rFonts w:ascii="Arial" w:hAnsi="Arial" w:cs="Arial"/>
          <w:iCs/>
          <w:color w:val="595959" w:themeColor="text1" w:themeTint="A6"/>
        </w:rPr>
        <w:t xml:space="preserve"> 2016)</w:t>
      </w:r>
      <w:r w:rsidRPr="00910192">
        <w:rPr>
          <w:rFonts w:ascii="Arial" w:hAnsi="Arial" w:cs="Arial"/>
          <w:iCs/>
          <w:color w:val="595959" w:themeColor="text1" w:themeTint="A6"/>
        </w:rPr>
        <w:t xml:space="preserve">. The origins of these mesenchymal cells are both controversial and heterogeneous but can largely be explained by the different origins of precursor fibroblasts such as mesenchymal stem cells (MSC), endothelial cells, pericytes, bone-marrow derived cells and epithelial cells (Kalluri and Ziesberg, 2006). </w:t>
      </w:r>
    </w:p>
    <w:p w14:paraId="53AA2B3B" w14:textId="6351D69F" w:rsidR="005F72FC" w:rsidRDefault="00E93AA2" w:rsidP="001A4145">
      <w:pPr>
        <w:spacing w:line="480" w:lineRule="auto"/>
        <w:jc w:val="both"/>
        <w:rPr>
          <w:rFonts w:ascii="Arial" w:hAnsi="Arial" w:cs="Arial"/>
          <w:iCs/>
          <w:color w:val="595959" w:themeColor="text1" w:themeTint="A6"/>
        </w:rPr>
      </w:pPr>
      <w:r>
        <w:rPr>
          <w:rFonts w:ascii="Arial" w:hAnsi="Arial" w:cs="Arial"/>
          <w:iCs/>
          <w:noProof/>
          <w:color w:val="595959" w:themeColor="text1" w:themeTint="A6"/>
        </w:rPr>
        <w:drawing>
          <wp:anchor distT="0" distB="0" distL="114300" distR="114300" simplePos="0" relativeHeight="251658484" behindDoc="0" locked="0" layoutInCell="1" allowOverlap="1" wp14:anchorId="29AACFF6" wp14:editId="06EFDB19">
            <wp:simplePos x="0" y="0"/>
            <wp:positionH relativeFrom="margin">
              <wp:align>center</wp:align>
            </wp:positionH>
            <wp:positionV relativeFrom="paragraph">
              <wp:posOffset>50800</wp:posOffset>
            </wp:positionV>
            <wp:extent cx="5016500" cy="1673470"/>
            <wp:effectExtent l="0" t="0" r="0" b="3175"/>
            <wp:wrapNone/>
            <wp:docPr id="2106" name="Picture 2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016500" cy="1673470"/>
                    </a:xfrm>
                    <a:prstGeom prst="rect">
                      <a:avLst/>
                    </a:prstGeom>
                    <a:noFill/>
                  </pic:spPr>
                </pic:pic>
              </a:graphicData>
            </a:graphic>
            <wp14:sizeRelH relativeFrom="margin">
              <wp14:pctWidth>0</wp14:pctWidth>
            </wp14:sizeRelH>
            <wp14:sizeRelV relativeFrom="margin">
              <wp14:pctHeight>0</wp14:pctHeight>
            </wp14:sizeRelV>
          </wp:anchor>
        </w:drawing>
      </w:r>
    </w:p>
    <w:p w14:paraId="3C6566A1" w14:textId="19DA35E2" w:rsidR="005A32C0" w:rsidRDefault="005A32C0" w:rsidP="001A4145">
      <w:pPr>
        <w:spacing w:line="480" w:lineRule="auto"/>
        <w:jc w:val="both"/>
        <w:rPr>
          <w:rFonts w:ascii="Arial" w:hAnsi="Arial" w:cs="Arial"/>
          <w:iCs/>
          <w:color w:val="595959" w:themeColor="text1" w:themeTint="A6"/>
        </w:rPr>
      </w:pPr>
    </w:p>
    <w:p w14:paraId="6190E91E" w14:textId="0F4C0828" w:rsidR="00937D5C" w:rsidRDefault="00937D5C" w:rsidP="001A4145">
      <w:pPr>
        <w:spacing w:line="480" w:lineRule="auto"/>
        <w:jc w:val="both"/>
        <w:rPr>
          <w:rFonts w:ascii="Arial" w:hAnsi="Arial" w:cs="Arial"/>
          <w:iCs/>
          <w:color w:val="595959" w:themeColor="text1" w:themeTint="A6"/>
        </w:rPr>
      </w:pPr>
    </w:p>
    <w:p w14:paraId="72E1A6D1" w14:textId="55C99A48" w:rsidR="00937D5C" w:rsidRDefault="00937D5C" w:rsidP="001A4145">
      <w:pPr>
        <w:spacing w:line="480" w:lineRule="auto"/>
        <w:jc w:val="both"/>
        <w:rPr>
          <w:rFonts w:ascii="Arial" w:hAnsi="Arial" w:cs="Arial"/>
          <w:iCs/>
          <w:color w:val="595959" w:themeColor="text1" w:themeTint="A6"/>
        </w:rPr>
      </w:pPr>
    </w:p>
    <w:p w14:paraId="1ADA12C3" w14:textId="3AA85E05" w:rsidR="005F72FC" w:rsidRDefault="005F72FC" w:rsidP="00F27879">
      <w:pPr>
        <w:spacing w:line="480" w:lineRule="auto"/>
        <w:jc w:val="both"/>
        <w:rPr>
          <w:rFonts w:ascii="Arial" w:hAnsi="Arial" w:cs="Arial"/>
          <w:iCs/>
          <w:color w:val="595959" w:themeColor="text1" w:themeTint="A6"/>
        </w:rPr>
      </w:pPr>
    </w:p>
    <w:p w14:paraId="6FBAF4D7" w14:textId="0DB34F01" w:rsidR="00137C4D" w:rsidRPr="006747ED" w:rsidRDefault="00137C4D" w:rsidP="00137C4D">
      <w:pPr>
        <w:spacing w:line="360" w:lineRule="auto"/>
        <w:jc w:val="both"/>
        <w:rPr>
          <w:rFonts w:ascii="Arial Narrow" w:hAnsi="Arial Narrow"/>
          <w:color w:val="595959" w:themeColor="text1" w:themeTint="A6"/>
        </w:rPr>
      </w:pPr>
      <w:r w:rsidRPr="006747ED">
        <w:rPr>
          <w:rFonts w:ascii="Arial Narrow" w:hAnsi="Arial Narrow"/>
          <w:color w:val="595959" w:themeColor="text1" w:themeTint="A6"/>
        </w:rPr>
        <w:t>Table 1.</w:t>
      </w:r>
      <w:r>
        <w:rPr>
          <w:rFonts w:ascii="Arial Narrow" w:hAnsi="Arial Narrow"/>
          <w:color w:val="595959" w:themeColor="text1" w:themeTint="A6"/>
        </w:rPr>
        <w:t>1</w:t>
      </w:r>
      <w:r w:rsidRPr="006747ED">
        <w:rPr>
          <w:rFonts w:ascii="Arial Narrow" w:hAnsi="Arial Narrow"/>
          <w:color w:val="595959" w:themeColor="text1" w:themeTint="A6"/>
        </w:rPr>
        <w:t xml:space="preserve"> </w:t>
      </w:r>
      <w:r w:rsidR="00DC597B">
        <w:rPr>
          <w:rFonts w:ascii="Arial Narrow" w:hAnsi="Arial Narrow"/>
          <w:color w:val="595959" w:themeColor="text1" w:themeTint="A6"/>
        </w:rPr>
        <w:t>Quiescent fibroblasts vs activated fibroblasts</w:t>
      </w:r>
      <w:r w:rsidRPr="006747ED">
        <w:rPr>
          <w:rFonts w:ascii="Arial Narrow" w:hAnsi="Arial Narrow"/>
          <w:color w:val="595959" w:themeColor="text1" w:themeTint="A6"/>
        </w:rPr>
        <w:t xml:space="preserve"> </w:t>
      </w:r>
    </w:p>
    <w:p w14:paraId="682BB490" w14:textId="77777777" w:rsidR="00137C4D" w:rsidRPr="00910192" w:rsidRDefault="00137C4D" w:rsidP="00F27879">
      <w:pPr>
        <w:spacing w:line="480" w:lineRule="auto"/>
        <w:jc w:val="both"/>
        <w:rPr>
          <w:rFonts w:ascii="Arial" w:hAnsi="Arial" w:cs="Arial"/>
          <w:i/>
          <w:iCs/>
          <w:color w:val="595959" w:themeColor="text1" w:themeTint="A6"/>
        </w:rPr>
      </w:pPr>
    </w:p>
    <w:p w14:paraId="1C0E02DC" w14:textId="110F1D92" w:rsidR="00F27879" w:rsidRDefault="000B58CD" w:rsidP="009D02AC">
      <w:pPr>
        <w:pStyle w:val="Heading4"/>
        <w:numPr>
          <w:ilvl w:val="3"/>
          <w:numId w:val="4"/>
        </w:numPr>
        <w:rPr>
          <w:rFonts w:ascii="Arial" w:hAnsi="Arial" w:cs="Arial"/>
          <w:color w:val="595959" w:themeColor="text1" w:themeTint="A6"/>
        </w:rPr>
      </w:pPr>
      <w:r>
        <w:rPr>
          <w:rFonts w:ascii="Arial" w:hAnsi="Arial" w:cs="Arial"/>
          <w:color w:val="595959" w:themeColor="text1" w:themeTint="A6"/>
        </w:rPr>
        <w:lastRenderedPageBreak/>
        <w:t xml:space="preserve"> </w:t>
      </w:r>
      <w:bookmarkStart w:id="26" w:name="_Toc34208250"/>
      <w:r w:rsidR="00F27879" w:rsidRPr="000C332A">
        <w:rPr>
          <w:rFonts w:ascii="Arial" w:hAnsi="Arial" w:cs="Arial"/>
          <w:color w:val="595959" w:themeColor="text1" w:themeTint="A6"/>
        </w:rPr>
        <w:t>Role in cancer fibrosis- the desmoplastic reaction</w:t>
      </w:r>
      <w:bookmarkEnd w:id="26"/>
    </w:p>
    <w:p w14:paraId="4173E417" w14:textId="77777777" w:rsidR="009D02AC" w:rsidRPr="009D02AC" w:rsidRDefault="009D02AC" w:rsidP="009D02AC">
      <w:pPr>
        <w:pStyle w:val="ListParagraph"/>
      </w:pPr>
    </w:p>
    <w:p w14:paraId="03129C0E" w14:textId="4B73382B" w:rsidR="006F587D" w:rsidRDefault="005F72FC" w:rsidP="004E14BF">
      <w:pPr>
        <w:spacing w:after="0" w:line="480" w:lineRule="auto"/>
        <w:jc w:val="both"/>
        <w:rPr>
          <w:rFonts w:ascii="Arial" w:hAnsi="Arial" w:cs="Arial"/>
          <w:iCs/>
          <w:color w:val="595959" w:themeColor="text1" w:themeTint="A6"/>
        </w:rPr>
      </w:pPr>
      <w:r>
        <w:rPr>
          <w:rFonts w:ascii="Arial" w:hAnsi="Arial" w:cs="Arial"/>
          <w:iCs/>
          <w:noProof/>
          <w:color w:val="595959" w:themeColor="text1" w:themeTint="A6"/>
          <w:lang w:eastAsia="zh-CN"/>
        </w:rPr>
        <w:drawing>
          <wp:anchor distT="0" distB="0" distL="114300" distR="114300" simplePos="0" relativeHeight="251658244" behindDoc="0" locked="0" layoutInCell="1" allowOverlap="1" wp14:anchorId="17AD4C84" wp14:editId="7EA2C644">
            <wp:simplePos x="0" y="0"/>
            <wp:positionH relativeFrom="margin">
              <wp:posOffset>1475317</wp:posOffset>
            </wp:positionH>
            <wp:positionV relativeFrom="paragraph">
              <wp:posOffset>2279106</wp:posOffset>
            </wp:positionV>
            <wp:extent cx="3795505" cy="4320419"/>
            <wp:effectExtent l="0" t="0" r="0" b="4445"/>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795505" cy="4320419"/>
                    </a:xfrm>
                    <a:prstGeom prst="rect">
                      <a:avLst/>
                    </a:prstGeom>
                    <a:noFill/>
                  </pic:spPr>
                </pic:pic>
              </a:graphicData>
            </a:graphic>
            <wp14:sizeRelH relativeFrom="margin">
              <wp14:pctWidth>0</wp14:pctWidth>
            </wp14:sizeRelH>
            <wp14:sizeRelV relativeFrom="margin">
              <wp14:pctHeight>0</wp14:pctHeight>
            </wp14:sizeRelV>
          </wp:anchor>
        </w:drawing>
      </w:r>
      <w:r w:rsidR="00F27879" w:rsidRPr="00910192">
        <w:rPr>
          <w:rFonts w:ascii="Arial" w:hAnsi="Arial" w:cs="Arial"/>
          <w:iCs/>
          <w:color w:val="595959" w:themeColor="text1" w:themeTint="A6"/>
        </w:rPr>
        <w:t>Genetic injury to the functional parenchyma that occurs during cancer also triggers a chronic tissue repair response by fibroblasts, hence why cancers are</w:t>
      </w:r>
      <w:r w:rsidR="001B6D30">
        <w:rPr>
          <w:rFonts w:ascii="Arial" w:hAnsi="Arial" w:cs="Arial"/>
          <w:iCs/>
          <w:color w:val="595959" w:themeColor="text1" w:themeTint="A6"/>
        </w:rPr>
        <w:t xml:space="preserve"> termed</w:t>
      </w:r>
      <w:r w:rsidR="00F27879" w:rsidRPr="00910192">
        <w:rPr>
          <w:rFonts w:ascii="Arial" w:hAnsi="Arial" w:cs="Arial"/>
          <w:iCs/>
          <w:color w:val="595959" w:themeColor="text1" w:themeTint="A6"/>
        </w:rPr>
        <w:t xml:space="preserve">, ‘wounds that do not heal’ (Dvorak, 1986). </w:t>
      </w:r>
      <w:r w:rsidR="007325CD" w:rsidRPr="00910192">
        <w:rPr>
          <w:rFonts w:ascii="Arial" w:hAnsi="Arial" w:cs="Arial"/>
          <w:iCs/>
          <w:color w:val="595959" w:themeColor="text1" w:themeTint="A6"/>
        </w:rPr>
        <w:t xml:space="preserve">The recruitment of CAF </w:t>
      </w:r>
      <w:r w:rsidR="00A92C6D">
        <w:rPr>
          <w:rFonts w:ascii="Arial" w:hAnsi="Arial" w:cs="Arial"/>
          <w:iCs/>
          <w:color w:val="595959" w:themeColor="text1" w:themeTint="A6"/>
        </w:rPr>
        <w:t>is</w:t>
      </w:r>
      <w:r w:rsidR="007325CD" w:rsidRPr="00910192">
        <w:rPr>
          <w:rFonts w:ascii="Arial" w:hAnsi="Arial" w:cs="Arial"/>
          <w:iCs/>
          <w:color w:val="595959" w:themeColor="text1" w:themeTint="A6"/>
        </w:rPr>
        <w:t xml:space="preserve"> largely </w:t>
      </w:r>
      <w:r w:rsidR="006F587D">
        <w:rPr>
          <w:rFonts w:ascii="Arial" w:hAnsi="Arial" w:cs="Arial"/>
          <w:iCs/>
          <w:color w:val="595959" w:themeColor="text1" w:themeTint="A6"/>
        </w:rPr>
        <w:t xml:space="preserve">the </w:t>
      </w:r>
      <w:r w:rsidR="007325CD" w:rsidRPr="00910192">
        <w:rPr>
          <w:rFonts w:ascii="Arial" w:hAnsi="Arial" w:cs="Arial"/>
          <w:iCs/>
          <w:color w:val="595959" w:themeColor="text1" w:themeTint="A6"/>
        </w:rPr>
        <w:t xml:space="preserve">result </w:t>
      </w:r>
      <w:r w:rsidR="006F587D">
        <w:rPr>
          <w:rFonts w:ascii="Arial" w:hAnsi="Arial" w:cs="Arial"/>
          <w:iCs/>
          <w:color w:val="595959" w:themeColor="text1" w:themeTint="A6"/>
        </w:rPr>
        <w:t>of</w:t>
      </w:r>
      <w:r w:rsidR="007325CD" w:rsidRPr="00910192">
        <w:rPr>
          <w:rFonts w:ascii="Arial" w:hAnsi="Arial" w:cs="Arial"/>
          <w:iCs/>
          <w:color w:val="595959" w:themeColor="text1" w:themeTint="A6"/>
        </w:rPr>
        <w:t xml:space="preserve"> growth factor release by cancer cells. TGFβ, PDGF</w:t>
      </w:r>
      <w:r w:rsidR="00A92C6D">
        <w:rPr>
          <w:rFonts w:ascii="Arial" w:hAnsi="Arial" w:cs="Arial"/>
          <w:iCs/>
          <w:color w:val="595959" w:themeColor="text1" w:themeTint="A6"/>
        </w:rPr>
        <w:t>, SDF-1</w:t>
      </w:r>
      <w:r w:rsidR="007325CD" w:rsidRPr="00910192">
        <w:rPr>
          <w:rFonts w:ascii="Arial" w:hAnsi="Arial" w:cs="Arial"/>
          <w:iCs/>
          <w:color w:val="595959" w:themeColor="text1" w:themeTint="A6"/>
        </w:rPr>
        <w:t xml:space="preserve"> and fibroblast growth factor (FGF) are the prominent mediators for t</w:t>
      </w:r>
      <w:r w:rsidR="007325CD" w:rsidRPr="00B611AB">
        <w:rPr>
          <w:rFonts w:ascii="Arial" w:hAnsi="Arial" w:cs="Arial"/>
          <w:iCs/>
          <w:color w:val="595959" w:themeColor="text1" w:themeTint="A6"/>
        </w:rPr>
        <w:t>he recruitment of activated CAF in cancer tissue injury</w:t>
      </w:r>
      <w:r w:rsidR="003F10F6" w:rsidRPr="00B611AB">
        <w:rPr>
          <w:rFonts w:ascii="Arial" w:hAnsi="Arial" w:cs="Arial"/>
          <w:iCs/>
          <w:color w:val="595959" w:themeColor="text1" w:themeTint="A6"/>
        </w:rPr>
        <w:t xml:space="preserve"> (Figure 1.4)</w:t>
      </w:r>
      <w:r w:rsidR="007325CD" w:rsidRPr="00B611AB">
        <w:rPr>
          <w:rFonts w:ascii="Arial" w:hAnsi="Arial" w:cs="Arial"/>
          <w:iCs/>
          <w:color w:val="595959" w:themeColor="text1" w:themeTint="A6"/>
        </w:rPr>
        <w:t xml:space="preserve">. </w:t>
      </w:r>
      <w:r w:rsidR="0093456D" w:rsidRPr="00B611AB">
        <w:rPr>
          <w:rFonts w:ascii="Arial" w:hAnsi="Arial" w:cs="Arial"/>
          <w:color w:val="595959" w:themeColor="text1" w:themeTint="A6"/>
        </w:rPr>
        <w:t>TGFβ</w:t>
      </w:r>
      <w:r w:rsidR="007325CD" w:rsidRPr="00B611AB">
        <w:rPr>
          <w:rFonts w:ascii="Arial" w:hAnsi="Arial" w:cs="Arial"/>
          <w:color w:val="595959" w:themeColor="text1" w:themeTint="A6"/>
        </w:rPr>
        <w:t xml:space="preserve">-1 has </w:t>
      </w:r>
      <w:r w:rsidR="00175AC6" w:rsidRPr="00B611AB">
        <w:rPr>
          <w:rFonts w:ascii="Arial" w:hAnsi="Arial" w:cs="Arial"/>
          <w:color w:val="595959" w:themeColor="text1" w:themeTint="A6"/>
        </w:rPr>
        <w:t>been observed</w:t>
      </w:r>
      <w:r w:rsidR="007325CD" w:rsidRPr="00B611AB">
        <w:rPr>
          <w:rFonts w:ascii="Arial" w:hAnsi="Arial" w:cs="Arial"/>
          <w:color w:val="595959" w:themeColor="text1" w:themeTint="A6"/>
        </w:rPr>
        <w:t xml:space="preserve"> to induce fibroblast proliferation and invasion both </w:t>
      </w:r>
      <w:r w:rsidR="007325CD" w:rsidRPr="00B611AB">
        <w:rPr>
          <w:rFonts w:ascii="Arial" w:hAnsi="Arial" w:cs="Arial"/>
          <w:i/>
          <w:color w:val="595959" w:themeColor="text1" w:themeTint="A6"/>
        </w:rPr>
        <w:t>in vitro</w:t>
      </w:r>
      <w:r w:rsidR="007325CD" w:rsidRPr="00B611AB">
        <w:rPr>
          <w:rFonts w:ascii="Arial" w:hAnsi="Arial" w:cs="Arial"/>
          <w:color w:val="595959" w:themeColor="text1" w:themeTint="A6"/>
        </w:rPr>
        <w:t xml:space="preserve"> and </w:t>
      </w:r>
      <w:r w:rsidR="007325CD" w:rsidRPr="00B611AB">
        <w:rPr>
          <w:rFonts w:ascii="Arial" w:hAnsi="Arial" w:cs="Arial"/>
          <w:i/>
          <w:color w:val="595959" w:themeColor="text1" w:themeTint="A6"/>
        </w:rPr>
        <w:t>in vivo</w:t>
      </w:r>
      <w:r w:rsidR="007325CD" w:rsidRPr="00B611AB">
        <w:rPr>
          <w:rFonts w:ascii="Arial" w:hAnsi="Arial" w:cs="Arial"/>
          <w:color w:val="595959" w:themeColor="text1" w:themeTint="A6"/>
        </w:rPr>
        <w:t xml:space="preserve"> </w:t>
      </w:r>
      <w:r w:rsidR="00C0301B" w:rsidRPr="00B611AB">
        <w:rPr>
          <w:rFonts w:ascii="Arial" w:hAnsi="Arial" w:cs="Arial"/>
          <w:color w:val="595959" w:themeColor="text1" w:themeTint="A6"/>
        </w:rPr>
        <w:t xml:space="preserve">as well as exhibiting an </w:t>
      </w:r>
      <w:r w:rsidR="007325CD" w:rsidRPr="00B611AB">
        <w:rPr>
          <w:rFonts w:ascii="Arial" w:hAnsi="Arial" w:cs="Arial"/>
          <w:color w:val="595959" w:themeColor="text1" w:themeTint="A6"/>
        </w:rPr>
        <w:t xml:space="preserve">upregulation of matrix proteins and growth factors </w:t>
      </w:r>
      <w:r w:rsidR="007325CD" w:rsidRPr="00B611AB">
        <w:rPr>
          <w:rFonts w:ascii="Arial" w:hAnsi="Arial" w:cs="Arial"/>
          <w:iCs/>
          <w:color w:val="595959" w:themeColor="text1" w:themeTint="A6"/>
        </w:rPr>
        <w:t>(</w:t>
      </w:r>
      <w:r w:rsidR="00175AC6" w:rsidRPr="00B611AB">
        <w:rPr>
          <w:rFonts w:ascii="Arial" w:hAnsi="Arial" w:cs="Arial"/>
          <w:iCs/>
          <w:color w:val="595959" w:themeColor="text1" w:themeTint="A6"/>
        </w:rPr>
        <w:t xml:space="preserve">Lui </w:t>
      </w:r>
      <w:r w:rsidR="00175AC6" w:rsidRPr="00B611AB">
        <w:rPr>
          <w:rFonts w:ascii="Arial" w:hAnsi="Arial" w:cs="Arial"/>
          <w:i/>
          <w:color w:val="595959" w:themeColor="text1" w:themeTint="A6"/>
        </w:rPr>
        <w:t xml:space="preserve">et </w:t>
      </w:r>
      <w:r w:rsidR="00175AC6" w:rsidRPr="00175AC6">
        <w:rPr>
          <w:rFonts w:ascii="Arial" w:hAnsi="Arial" w:cs="Arial"/>
          <w:i/>
          <w:color w:val="595959" w:themeColor="text1" w:themeTint="A6"/>
        </w:rPr>
        <w:t>al.,</w:t>
      </w:r>
      <w:r w:rsidR="00175AC6">
        <w:rPr>
          <w:rFonts w:ascii="Arial" w:hAnsi="Arial" w:cs="Arial"/>
          <w:iCs/>
          <w:color w:val="595959" w:themeColor="text1" w:themeTint="A6"/>
        </w:rPr>
        <w:t xml:space="preserve"> 2019, </w:t>
      </w:r>
      <w:r w:rsidR="007325CD" w:rsidRPr="00910192">
        <w:rPr>
          <w:rFonts w:ascii="Arial" w:hAnsi="Arial" w:cs="Arial"/>
          <w:iCs/>
          <w:color w:val="595959" w:themeColor="text1" w:themeTint="A6"/>
        </w:rPr>
        <w:t xml:space="preserve">Lohr </w:t>
      </w:r>
      <w:r w:rsidR="007325CD" w:rsidRPr="00910192">
        <w:rPr>
          <w:rFonts w:ascii="Arial" w:hAnsi="Arial" w:cs="Arial"/>
          <w:i/>
          <w:iCs/>
          <w:color w:val="595959" w:themeColor="text1" w:themeTint="A6"/>
        </w:rPr>
        <w:t>et al.,</w:t>
      </w:r>
      <w:r w:rsidR="007325CD" w:rsidRPr="00910192">
        <w:rPr>
          <w:rFonts w:ascii="Arial" w:hAnsi="Arial" w:cs="Arial"/>
          <w:iCs/>
          <w:color w:val="595959" w:themeColor="text1" w:themeTint="A6"/>
        </w:rPr>
        <w:t xml:space="preserve"> 2010</w:t>
      </w:r>
      <w:r w:rsidR="00175AC6">
        <w:rPr>
          <w:rFonts w:ascii="Arial" w:hAnsi="Arial" w:cs="Arial"/>
          <w:iCs/>
          <w:color w:val="595959" w:themeColor="text1" w:themeTint="A6"/>
        </w:rPr>
        <w:t xml:space="preserve">, Melling </w:t>
      </w:r>
      <w:r w:rsidR="00175AC6" w:rsidRPr="00175AC6">
        <w:rPr>
          <w:rFonts w:ascii="Arial" w:hAnsi="Arial" w:cs="Arial"/>
          <w:i/>
          <w:color w:val="595959" w:themeColor="text1" w:themeTint="A6"/>
        </w:rPr>
        <w:t>et al.,</w:t>
      </w:r>
      <w:r w:rsidR="00175AC6">
        <w:rPr>
          <w:rFonts w:ascii="Arial" w:hAnsi="Arial" w:cs="Arial"/>
          <w:iCs/>
          <w:color w:val="595959" w:themeColor="text1" w:themeTint="A6"/>
        </w:rPr>
        <w:t xml:space="preserve"> 2018</w:t>
      </w:r>
      <w:r w:rsidR="007325CD" w:rsidRPr="00910192">
        <w:rPr>
          <w:rFonts w:ascii="Arial" w:hAnsi="Arial" w:cs="Arial"/>
          <w:iCs/>
          <w:color w:val="595959" w:themeColor="text1" w:themeTint="A6"/>
        </w:rPr>
        <w:t>).</w:t>
      </w:r>
    </w:p>
    <w:p w14:paraId="424AD49B" w14:textId="385F44C8" w:rsidR="003F10F6" w:rsidRDefault="003F10F6" w:rsidP="004E14BF">
      <w:pPr>
        <w:spacing w:after="0" w:line="480" w:lineRule="auto"/>
        <w:jc w:val="both"/>
        <w:rPr>
          <w:rFonts w:ascii="Arial" w:hAnsi="Arial" w:cs="Arial"/>
          <w:iCs/>
          <w:color w:val="595959" w:themeColor="text1" w:themeTint="A6"/>
        </w:rPr>
      </w:pPr>
    </w:p>
    <w:p w14:paraId="487BA636" w14:textId="787F4810" w:rsidR="003F10F6" w:rsidRDefault="003F10F6" w:rsidP="004E14BF">
      <w:pPr>
        <w:spacing w:after="0" w:line="480" w:lineRule="auto"/>
        <w:jc w:val="both"/>
        <w:rPr>
          <w:rFonts w:ascii="Arial" w:hAnsi="Arial" w:cs="Arial"/>
          <w:iCs/>
          <w:color w:val="595959" w:themeColor="text1" w:themeTint="A6"/>
        </w:rPr>
      </w:pPr>
    </w:p>
    <w:p w14:paraId="19966384" w14:textId="39747C18" w:rsidR="003F10F6" w:rsidRPr="00C0301B" w:rsidRDefault="003F10F6" w:rsidP="004E14BF">
      <w:pPr>
        <w:spacing w:after="0" w:line="480" w:lineRule="auto"/>
        <w:jc w:val="both"/>
        <w:rPr>
          <w:rFonts w:ascii="Arial" w:hAnsi="Arial" w:cs="Arial"/>
          <w:iCs/>
          <w:color w:val="FF0000"/>
        </w:rPr>
      </w:pPr>
    </w:p>
    <w:p w14:paraId="44C986F3" w14:textId="024AF724" w:rsidR="003F10F6" w:rsidRDefault="003F10F6" w:rsidP="004E14BF">
      <w:pPr>
        <w:spacing w:after="0" w:line="480" w:lineRule="auto"/>
        <w:jc w:val="both"/>
        <w:rPr>
          <w:rFonts w:ascii="Arial" w:hAnsi="Arial" w:cs="Arial"/>
          <w:iCs/>
          <w:color w:val="595959" w:themeColor="text1" w:themeTint="A6"/>
        </w:rPr>
      </w:pPr>
    </w:p>
    <w:p w14:paraId="10F7D1E9" w14:textId="0E3C831C" w:rsidR="003F10F6" w:rsidRDefault="003F10F6" w:rsidP="004E14BF">
      <w:pPr>
        <w:spacing w:after="0" w:line="480" w:lineRule="auto"/>
        <w:jc w:val="both"/>
        <w:rPr>
          <w:rFonts w:ascii="Arial" w:hAnsi="Arial" w:cs="Arial"/>
          <w:iCs/>
          <w:color w:val="595959" w:themeColor="text1" w:themeTint="A6"/>
        </w:rPr>
      </w:pPr>
    </w:p>
    <w:p w14:paraId="427E7AC6" w14:textId="0938E137" w:rsidR="003F10F6" w:rsidRDefault="003F10F6" w:rsidP="004E14BF">
      <w:pPr>
        <w:spacing w:after="0" w:line="480" w:lineRule="auto"/>
        <w:jc w:val="both"/>
        <w:rPr>
          <w:rFonts w:ascii="Arial" w:hAnsi="Arial" w:cs="Arial"/>
          <w:iCs/>
          <w:color w:val="595959" w:themeColor="text1" w:themeTint="A6"/>
        </w:rPr>
      </w:pPr>
    </w:p>
    <w:p w14:paraId="6624A1F1" w14:textId="266585C6" w:rsidR="003F10F6" w:rsidRDefault="003F10F6" w:rsidP="004E14BF">
      <w:pPr>
        <w:spacing w:after="0" w:line="480" w:lineRule="auto"/>
        <w:jc w:val="both"/>
        <w:rPr>
          <w:rFonts w:ascii="Arial" w:hAnsi="Arial" w:cs="Arial"/>
          <w:iCs/>
          <w:color w:val="595959" w:themeColor="text1" w:themeTint="A6"/>
        </w:rPr>
      </w:pPr>
    </w:p>
    <w:p w14:paraId="1FC9D400" w14:textId="1CD6BA07" w:rsidR="003F10F6" w:rsidRDefault="003F10F6" w:rsidP="004E14BF">
      <w:pPr>
        <w:spacing w:after="0" w:line="480" w:lineRule="auto"/>
        <w:jc w:val="both"/>
        <w:rPr>
          <w:rFonts w:ascii="Arial" w:hAnsi="Arial" w:cs="Arial"/>
          <w:iCs/>
          <w:color w:val="595959" w:themeColor="text1" w:themeTint="A6"/>
        </w:rPr>
      </w:pPr>
    </w:p>
    <w:p w14:paraId="74AB5098" w14:textId="6B3FBDF1" w:rsidR="003F10F6" w:rsidRDefault="003F10F6" w:rsidP="004E14BF">
      <w:pPr>
        <w:spacing w:after="0" w:line="480" w:lineRule="auto"/>
        <w:jc w:val="both"/>
        <w:rPr>
          <w:rFonts w:ascii="Arial" w:hAnsi="Arial" w:cs="Arial"/>
          <w:iCs/>
          <w:color w:val="595959" w:themeColor="text1" w:themeTint="A6"/>
        </w:rPr>
      </w:pPr>
    </w:p>
    <w:p w14:paraId="0766C7F5" w14:textId="28FE2F5C" w:rsidR="003F10F6" w:rsidRDefault="003F10F6" w:rsidP="004E14BF">
      <w:pPr>
        <w:spacing w:after="0" w:line="480" w:lineRule="auto"/>
        <w:jc w:val="both"/>
        <w:rPr>
          <w:rFonts w:ascii="Arial" w:hAnsi="Arial" w:cs="Arial"/>
          <w:iCs/>
          <w:color w:val="595959" w:themeColor="text1" w:themeTint="A6"/>
        </w:rPr>
      </w:pPr>
    </w:p>
    <w:p w14:paraId="79AB9587" w14:textId="40C5F50D" w:rsidR="003F10F6" w:rsidRDefault="003F10F6" w:rsidP="004E14BF">
      <w:pPr>
        <w:spacing w:after="0" w:line="480" w:lineRule="auto"/>
        <w:jc w:val="both"/>
        <w:rPr>
          <w:rFonts w:ascii="Arial" w:hAnsi="Arial" w:cs="Arial"/>
          <w:iCs/>
          <w:color w:val="595959" w:themeColor="text1" w:themeTint="A6"/>
        </w:rPr>
      </w:pPr>
    </w:p>
    <w:p w14:paraId="0358C7AB" w14:textId="6937A088" w:rsidR="003F10F6" w:rsidRDefault="003F10F6" w:rsidP="004E14BF">
      <w:pPr>
        <w:spacing w:after="0" w:line="480" w:lineRule="auto"/>
        <w:jc w:val="both"/>
        <w:rPr>
          <w:rFonts w:ascii="Arial" w:hAnsi="Arial" w:cs="Arial"/>
          <w:iCs/>
          <w:color w:val="595959" w:themeColor="text1" w:themeTint="A6"/>
        </w:rPr>
      </w:pPr>
    </w:p>
    <w:p w14:paraId="4E79B450" w14:textId="161679BE" w:rsidR="003F10F6" w:rsidRDefault="005F72FC" w:rsidP="004E14BF">
      <w:pPr>
        <w:spacing w:after="0" w:line="480" w:lineRule="auto"/>
        <w:jc w:val="both"/>
        <w:rPr>
          <w:rFonts w:ascii="Arial" w:hAnsi="Arial" w:cs="Arial"/>
          <w:iCs/>
          <w:color w:val="595959" w:themeColor="text1" w:themeTint="A6"/>
        </w:rPr>
      </w:pPr>
      <w:r>
        <w:rPr>
          <w:noProof/>
          <w:lang w:eastAsia="zh-CN"/>
        </w:rPr>
        <mc:AlternateContent>
          <mc:Choice Requires="wps">
            <w:drawing>
              <wp:anchor distT="0" distB="0" distL="114300" distR="114300" simplePos="0" relativeHeight="251658245" behindDoc="0" locked="0" layoutInCell="1" allowOverlap="1" wp14:anchorId="01CC84A7" wp14:editId="06EB9319">
                <wp:simplePos x="0" y="0"/>
                <wp:positionH relativeFrom="margin">
                  <wp:align>center</wp:align>
                </wp:positionH>
                <wp:positionV relativeFrom="paragraph">
                  <wp:posOffset>195028</wp:posOffset>
                </wp:positionV>
                <wp:extent cx="5720080" cy="1775637"/>
                <wp:effectExtent l="0" t="0" r="0" b="0"/>
                <wp:wrapNone/>
                <wp:docPr id="53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0080" cy="1775637"/>
                        </a:xfrm>
                        <a:prstGeom prst="rect">
                          <a:avLst/>
                        </a:prstGeom>
                        <a:solidFill>
                          <a:srgbClr val="FFFFFF"/>
                        </a:solidFill>
                        <a:ln w="9525">
                          <a:noFill/>
                          <a:miter lim="800000"/>
                          <a:headEnd/>
                          <a:tailEnd/>
                        </a:ln>
                      </wps:spPr>
                      <wps:txbx>
                        <w:txbxContent>
                          <w:p w14:paraId="5E46C272" w14:textId="7ECA1D81" w:rsidR="008A47AC" w:rsidRDefault="008A47AC" w:rsidP="004100C9">
                            <w:pPr>
                              <w:rPr>
                                <w:rFonts w:ascii="Arial Narrow" w:hAnsi="Arial Narrow"/>
                                <w:b/>
                                <w:color w:val="595959" w:themeColor="text1" w:themeTint="A6"/>
                              </w:rPr>
                            </w:pPr>
                            <w:r>
                              <w:rPr>
                                <w:rFonts w:ascii="Arial Narrow" w:hAnsi="Arial Narrow"/>
                                <w:b/>
                                <w:color w:val="595959" w:themeColor="text1" w:themeTint="A6"/>
                              </w:rPr>
                              <w:t>Figure 1.4 Flow diagram depicting</w:t>
                            </w:r>
                            <w:r w:rsidRPr="00FE36C2">
                              <w:rPr>
                                <w:rFonts w:ascii="Arial Narrow" w:hAnsi="Arial Narrow"/>
                                <w:b/>
                                <w:color w:val="595959" w:themeColor="text1" w:themeTint="A6"/>
                              </w:rPr>
                              <w:t xml:space="preserve"> the role</w:t>
                            </w:r>
                            <w:r>
                              <w:rPr>
                                <w:rFonts w:ascii="Arial Narrow" w:hAnsi="Arial Narrow"/>
                                <w:b/>
                                <w:color w:val="595959" w:themeColor="text1" w:themeTint="A6"/>
                              </w:rPr>
                              <w:t>s of CAF in OSCC disease progression</w:t>
                            </w:r>
                          </w:p>
                          <w:p w14:paraId="5B9E75B1" w14:textId="3908727B" w:rsidR="008A47AC" w:rsidRPr="00FE36C2" w:rsidRDefault="008A47AC" w:rsidP="004100C9">
                            <w:pPr>
                              <w:jc w:val="both"/>
                              <w:rPr>
                                <w:rFonts w:ascii="Arial Narrow" w:hAnsi="Arial Narrow"/>
                                <w:color w:val="595959" w:themeColor="text1" w:themeTint="A6"/>
                              </w:rPr>
                            </w:pPr>
                            <w:r>
                              <w:rPr>
                                <w:rFonts w:ascii="Arial Narrow" w:hAnsi="Arial Narrow"/>
                                <w:color w:val="595959" w:themeColor="text1" w:themeTint="A6"/>
                              </w:rPr>
                              <w:t>Genetic instability within the epithelial layer of the oral mucosa provides the initial trigger for pathological demise. These genetic aberrations cause irreversible change to underling stromal components.  Exogenous growth factor release (i.e TGFβ-1) signal to initiate fibroblast to CAF transdifferentiation and activation</w:t>
                            </w:r>
                            <w:r w:rsidRPr="004100C9">
                              <w:rPr>
                                <w:rFonts w:ascii="Arial Narrow" w:hAnsi="Arial Narrow"/>
                                <w:color w:val="595959" w:themeColor="text1" w:themeTint="A6"/>
                              </w:rPr>
                              <w:t xml:space="preserve"> </w:t>
                            </w:r>
                            <w:r>
                              <w:rPr>
                                <w:rFonts w:ascii="Arial Narrow" w:hAnsi="Arial Narrow"/>
                                <w:color w:val="595959" w:themeColor="text1" w:themeTint="A6"/>
                              </w:rPr>
                              <w:t xml:space="preserve">as well as increasing vascular sprouting and angiogenesis. CAF activation confers changes in MMP and growth factor behaviour causing the degradation of matrix components leading to cellular invasion and metastasis.  CAF increase the contractibility of the ECM, which also triggers signalling cascades that further activate CAF phenotype. These factors all contribute to tumour progression in OSCC. </w:t>
                            </w:r>
                          </w:p>
                          <w:p w14:paraId="6915DED1" w14:textId="77777777" w:rsidR="008A47AC" w:rsidRPr="00FE36C2" w:rsidRDefault="008A47AC" w:rsidP="004100C9">
                            <w:pPr>
                              <w:jc w:val="both"/>
                              <w:rPr>
                                <w:rFonts w:ascii="Arial Narrow" w:hAnsi="Arial Narrow"/>
                              </w:rPr>
                            </w:pPr>
                          </w:p>
                          <w:p w14:paraId="0711D7C3" w14:textId="77777777" w:rsidR="008A47AC" w:rsidRDefault="008A47AC" w:rsidP="004100C9">
                            <w:pPr>
                              <w:jc w:val="both"/>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CC84A7" id="_x0000_s1031" type="#_x0000_t202" style="position:absolute;left:0;text-align:left;margin-left:0;margin-top:15.35pt;width:450.4pt;height:139.8pt;z-index:251658245;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" stroked="f">
                <v:textbox>
                  <w:txbxContent>
                    <w:p w14:paraId="5E46C272" w14:textId="7ECA1D81" w:rsidR="008A47AC" w:rsidRDefault="008A47AC" w:rsidP="004100C9">
                      <w:pPr>
                        <w:rPr>
                          <w:rFonts w:ascii="Arial Narrow" w:hAnsi="Arial Narrow"/>
                          <w:b/>
                          <w:color w:val="595959" w:themeColor="text1" w:themeTint="A6"/>
                        </w:rPr>
                      </w:pPr>
                      <w:r>
                        <w:rPr>
                          <w:rFonts w:ascii="Arial Narrow" w:hAnsi="Arial Narrow"/>
                          <w:b/>
                          <w:color w:val="595959" w:themeColor="text1" w:themeTint="A6"/>
                        </w:rPr>
                        <w:t>Figure 1.4 Flow diagram depicting</w:t>
                      </w:r>
                      <w:r w:rsidRPr="00FE36C2">
                        <w:rPr>
                          <w:rFonts w:ascii="Arial Narrow" w:hAnsi="Arial Narrow"/>
                          <w:b/>
                          <w:color w:val="595959" w:themeColor="text1" w:themeTint="A6"/>
                        </w:rPr>
                        <w:t xml:space="preserve"> the role</w:t>
                      </w:r>
                      <w:r>
                        <w:rPr>
                          <w:rFonts w:ascii="Arial Narrow" w:hAnsi="Arial Narrow"/>
                          <w:b/>
                          <w:color w:val="595959" w:themeColor="text1" w:themeTint="A6"/>
                        </w:rPr>
                        <w:t>s of CAF in OSCC disease progression</w:t>
                      </w:r>
                    </w:p>
                    <w:p w14:paraId="5B9E75B1" w14:textId="3908727B" w:rsidR="008A47AC" w:rsidRPr="00FE36C2" w:rsidRDefault="008A47AC" w:rsidP="004100C9">
                      <w:pPr>
                        <w:jc w:val="both"/>
                        <w:rPr>
                          <w:rFonts w:ascii="Arial Narrow" w:hAnsi="Arial Narrow"/>
                          <w:color w:val="595959" w:themeColor="text1" w:themeTint="A6"/>
                        </w:rPr>
                      </w:pPr>
                      <w:r>
                        <w:rPr>
                          <w:rFonts w:ascii="Arial Narrow" w:hAnsi="Arial Narrow"/>
                          <w:color w:val="595959" w:themeColor="text1" w:themeTint="A6"/>
                        </w:rPr>
                        <w:t>Genetic instability within the epithelial layer of the oral mucosa provides the initial trigger for pathological demise. These genetic aberrations cause irreversible change to underling stromal components.  Exogenous growth factor release (</w:t>
                      </w:r>
                      <w:proofErr w:type="spellStart"/>
                      <w:r>
                        <w:rPr>
                          <w:rFonts w:ascii="Arial Narrow" w:hAnsi="Arial Narrow"/>
                          <w:color w:val="595959" w:themeColor="text1" w:themeTint="A6"/>
                        </w:rPr>
                        <w:t>i.e</w:t>
                      </w:r>
                      <w:proofErr w:type="spellEnd"/>
                      <w:r>
                        <w:rPr>
                          <w:rFonts w:ascii="Arial Narrow" w:hAnsi="Arial Narrow"/>
                          <w:color w:val="595959" w:themeColor="text1" w:themeTint="A6"/>
                        </w:rPr>
                        <w:t xml:space="preserve"> TGFβ-1) signal to initiate fibroblast to CAF </w:t>
                      </w:r>
                      <w:proofErr w:type="spellStart"/>
                      <w:r>
                        <w:rPr>
                          <w:rFonts w:ascii="Arial Narrow" w:hAnsi="Arial Narrow"/>
                          <w:color w:val="595959" w:themeColor="text1" w:themeTint="A6"/>
                        </w:rPr>
                        <w:t>transdifferentiation</w:t>
                      </w:r>
                      <w:proofErr w:type="spellEnd"/>
                      <w:r>
                        <w:rPr>
                          <w:rFonts w:ascii="Arial Narrow" w:hAnsi="Arial Narrow"/>
                          <w:color w:val="595959" w:themeColor="text1" w:themeTint="A6"/>
                        </w:rPr>
                        <w:t xml:space="preserve"> and activation</w:t>
                      </w:r>
                      <w:r w:rsidRPr="004100C9">
                        <w:rPr>
                          <w:rFonts w:ascii="Arial Narrow" w:hAnsi="Arial Narrow"/>
                          <w:color w:val="595959" w:themeColor="text1" w:themeTint="A6"/>
                        </w:rPr>
                        <w:t xml:space="preserve"> </w:t>
                      </w:r>
                      <w:r>
                        <w:rPr>
                          <w:rFonts w:ascii="Arial Narrow" w:hAnsi="Arial Narrow"/>
                          <w:color w:val="595959" w:themeColor="text1" w:themeTint="A6"/>
                        </w:rPr>
                        <w:t xml:space="preserve">as well as increasing vascular sprouting and angiogenesis. CAF activation confers changes in MMP and growth factor behaviour causing the degradation of matrix components leading to cellular invasion and metastasis.  CAF increase the contractibility of the ECM, which also triggers signalling cascades that further activate CAF phenotype. These factors all contribute to tumour progression in OSCC. </w:t>
                      </w:r>
                    </w:p>
                    <w:p w14:paraId="6915DED1" w14:textId="77777777" w:rsidR="008A47AC" w:rsidRPr="00FE36C2" w:rsidRDefault="008A47AC" w:rsidP="004100C9">
                      <w:pPr>
                        <w:jc w:val="both"/>
                        <w:rPr>
                          <w:rFonts w:ascii="Arial Narrow" w:hAnsi="Arial Narrow"/>
                        </w:rPr>
                      </w:pPr>
                    </w:p>
                    <w:p w14:paraId="0711D7C3" w14:textId="77777777" w:rsidR="008A47AC" w:rsidRDefault="008A47AC" w:rsidP="004100C9">
                      <w:pPr>
                        <w:jc w:val="both"/>
                      </w:pPr>
                    </w:p>
                  </w:txbxContent>
                </v:textbox>
                <w10:wrap anchorx="margin"/>
              </v:shape>
            </w:pict>
          </mc:Fallback>
        </mc:AlternateContent>
      </w:r>
    </w:p>
    <w:p w14:paraId="65F2C705" w14:textId="5967362D" w:rsidR="003F10F6" w:rsidRDefault="003F10F6" w:rsidP="004E14BF">
      <w:pPr>
        <w:spacing w:after="0" w:line="480" w:lineRule="auto"/>
        <w:jc w:val="both"/>
        <w:rPr>
          <w:rFonts w:ascii="Arial" w:hAnsi="Arial" w:cs="Arial"/>
          <w:iCs/>
          <w:color w:val="595959" w:themeColor="text1" w:themeTint="A6"/>
        </w:rPr>
      </w:pPr>
    </w:p>
    <w:p w14:paraId="3835B199" w14:textId="01758A4D" w:rsidR="003F10F6" w:rsidRDefault="003F10F6" w:rsidP="004E14BF">
      <w:pPr>
        <w:spacing w:after="0" w:line="480" w:lineRule="auto"/>
        <w:jc w:val="both"/>
        <w:rPr>
          <w:rFonts w:ascii="Arial" w:hAnsi="Arial" w:cs="Arial"/>
          <w:iCs/>
          <w:color w:val="595959" w:themeColor="text1" w:themeTint="A6"/>
        </w:rPr>
      </w:pPr>
    </w:p>
    <w:p w14:paraId="188A26CB" w14:textId="06FEF252" w:rsidR="003F10F6" w:rsidRDefault="003F10F6" w:rsidP="004E14BF">
      <w:pPr>
        <w:spacing w:after="0" w:line="480" w:lineRule="auto"/>
        <w:jc w:val="both"/>
        <w:rPr>
          <w:rFonts w:ascii="Arial" w:hAnsi="Arial" w:cs="Arial"/>
          <w:iCs/>
          <w:color w:val="595959" w:themeColor="text1" w:themeTint="A6"/>
        </w:rPr>
      </w:pPr>
    </w:p>
    <w:p w14:paraId="7DA2EC95" w14:textId="77777777" w:rsidR="003F10F6" w:rsidRPr="004E14BF" w:rsidRDefault="003F10F6" w:rsidP="004E14BF">
      <w:pPr>
        <w:spacing w:after="0" w:line="480" w:lineRule="auto"/>
        <w:jc w:val="both"/>
        <w:rPr>
          <w:rFonts w:ascii="Arial" w:hAnsi="Arial" w:cs="Arial"/>
          <w:iCs/>
          <w:color w:val="595959" w:themeColor="text1" w:themeTint="A6"/>
        </w:rPr>
      </w:pPr>
    </w:p>
    <w:p w14:paraId="30E92190" w14:textId="62662126" w:rsidR="007325CD" w:rsidRPr="0096508E" w:rsidRDefault="007325CD" w:rsidP="009D02AC">
      <w:pPr>
        <w:pStyle w:val="Heading4"/>
        <w:rPr>
          <w:rFonts w:ascii="Arial" w:hAnsi="Arial" w:cs="Arial"/>
          <w:i w:val="0"/>
          <w:iCs w:val="0"/>
          <w:color w:val="595959" w:themeColor="text1" w:themeTint="A6"/>
        </w:rPr>
      </w:pPr>
      <w:bookmarkStart w:id="27" w:name="_Toc34208251"/>
      <w:r w:rsidRPr="0096508E">
        <w:rPr>
          <w:rFonts w:ascii="Arial" w:hAnsi="Arial" w:cs="Arial"/>
          <w:color w:val="595959" w:themeColor="text1" w:themeTint="A6"/>
        </w:rPr>
        <w:lastRenderedPageBreak/>
        <w:t>1.</w:t>
      </w:r>
      <w:r w:rsidR="00910192" w:rsidRPr="0096508E">
        <w:rPr>
          <w:rFonts w:ascii="Arial" w:hAnsi="Arial" w:cs="Arial"/>
          <w:color w:val="595959" w:themeColor="text1" w:themeTint="A6"/>
        </w:rPr>
        <w:t>3</w:t>
      </w:r>
      <w:r w:rsidRPr="0096508E">
        <w:rPr>
          <w:rFonts w:ascii="Arial" w:hAnsi="Arial" w:cs="Arial"/>
          <w:color w:val="595959" w:themeColor="text1" w:themeTint="A6"/>
        </w:rPr>
        <w:t>.</w:t>
      </w:r>
      <w:r w:rsidR="00910192" w:rsidRPr="0096508E">
        <w:rPr>
          <w:rFonts w:ascii="Arial" w:hAnsi="Arial" w:cs="Arial"/>
          <w:color w:val="595959" w:themeColor="text1" w:themeTint="A6"/>
        </w:rPr>
        <w:t>1</w:t>
      </w:r>
      <w:r w:rsidRPr="0096508E">
        <w:rPr>
          <w:rFonts w:ascii="Arial" w:hAnsi="Arial" w:cs="Arial"/>
          <w:color w:val="595959" w:themeColor="text1" w:themeTint="A6"/>
        </w:rPr>
        <w:t>.3 CAF phenotype and heterogeneity</w:t>
      </w:r>
      <w:bookmarkEnd w:id="27"/>
      <w:r w:rsidRPr="0096508E">
        <w:rPr>
          <w:rFonts w:ascii="Arial" w:hAnsi="Arial" w:cs="Arial"/>
          <w:color w:val="595959" w:themeColor="text1" w:themeTint="A6"/>
        </w:rPr>
        <w:t xml:space="preserve"> </w:t>
      </w:r>
    </w:p>
    <w:p w14:paraId="00A5EA6A" w14:textId="1CD03E68" w:rsidR="0007636D" w:rsidRDefault="00673737" w:rsidP="001A4145">
      <w:pPr>
        <w:spacing w:before="240" w:line="480" w:lineRule="auto"/>
        <w:jc w:val="both"/>
        <w:rPr>
          <w:rFonts w:ascii="Arial" w:hAnsi="Arial" w:cs="Arial"/>
          <w:iCs/>
          <w:color w:val="595959" w:themeColor="text1" w:themeTint="A6"/>
        </w:rPr>
      </w:pPr>
      <w:r w:rsidRPr="00A008DC">
        <w:rPr>
          <w:rFonts w:ascii="Arial" w:hAnsi="Arial" w:cs="Arial"/>
          <w:iCs/>
          <w:color w:val="595959" w:themeColor="text1" w:themeTint="A6"/>
        </w:rPr>
        <w:t xml:space="preserve">CAF morphologically have </w:t>
      </w:r>
      <w:r w:rsidR="007412A1">
        <w:rPr>
          <w:rFonts w:ascii="Arial" w:hAnsi="Arial" w:cs="Arial"/>
          <w:iCs/>
          <w:color w:val="595959" w:themeColor="text1" w:themeTint="A6"/>
        </w:rPr>
        <w:t xml:space="preserve">a </w:t>
      </w:r>
      <w:r w:rsidRPr="00A008DC">
        <w:rPr>
          <w:rFonts w:ascii="Arial" w:hAnsi="Arial" w:cs="Arial"/>
          <w:iCs/>
          <w:color w:val="595959" w:themeColor="text1" w:themeTint="A6"/>
        </w:rPr>
        <w:t>more prominent rough</w:t>
      </w:r>
      <w:r w:rsidR="006F7C8B">
        <w:rPr>
          <w:rFonts w:ascii="Arial" w:hAnsi="Arial" w:cs="Arial"/>
          <w:iCs/>
          <w:color w:val="595959" w:themeColor="text1" w:themeTint="A6"/>
        </w:rPr>
        <w:t xml:space="preserve"> endoplasmic reticulum (</w:t>
      </w:r>
      <w:r w:rsidRPr="00A008DC">
        <w:rPr>
          <w:rFonts w:ascii="Arial" w:hAnsi="Arial" w:cs="Arial"/>
          <w:iCs/>
          <w:color w:val="595959" w:themeColor="text1" w:themeTint="A6"/>
        </w:rPr>
        <w:t>ER</w:t>
      </w:r>
      <w:r w:rsidR="006F7C8B">
        <w:rPr>
          <w:rFonts w:ascii="Arial" w:hAnsi="Arial" w:cs="Arial"/>
          <w:iCs/>
          <w:color w:val="595959" w:themeColor="text1" w:themeTint="A6"/>
        </w:rPr>
        <w:t>)</w:t>
      </w:r>
      <w:r w:rsidRPr="00A008DC">
        <w:rPr>
          <w:rFonts w:ascii="Arial" w:hAnsi="Arial" w:cs="Arial"/>
          <w:iCs/>
          <w:color w:val="595959" w:themeColor="text1" w:themeTint="A6"/>
        </w:rPr>
        <w:t xml:space="preserve"> and Golgi apparatus, a more distinctive fibronexus and exert </w:t>
      </w:r>
      <w:r>
        <w:rPr>
          <w:rFonts w:ascii="Arial" w:hAnsi="Arial" w:cs="Arial"/>
          <w:iCs/>
          <w:color w:val="595959" w:themeColor="text1" w:themeTint="A6"/>
        </w:rPr>
        <w:t xml:space="preserve">a </w:t>
      </w:r>
      <w:r w:rsidRPr="00A008DC">
        <w:rPr>
          <w:rFonts w:ascii="Arial" w:hAnsi="Arial" w:cs="Arial"/>
          <w:iCs/>
          <w:color w:val="595959" w:themeColor="text1" w:themeTint="A6"/>
        </w:rPr>
        <w:t xml:space="preserve">greater force of contracture than the myoFB </w:t>
      </w:r>
      <w:r w:rsidRPr="00B611AB">
        <w:rPr>
          <w:rFonts w:ascii="Arial" w:hAnsi="Arial" w:cs="Arial"/>
          <w:iCs/>
          <w:color w:val="595959" w:themeColor="text1" w:themeTint="A6"/>
        </w:rPr>
        <w:t xml:space="preserve">population and </w:t>
      </w:r>
      <w:r w:rsidR="00C0301B" w:rsidRPr="00B611AB">
        <w:rPr>
          <w:rFonts w:ascii="Arial" w:hAnsi="Arial" w:cs="Arial"/>
          <w:iCs/>
          <w:color w:val="595959" w:themeColor="text1" w:themeTint="A6"/>
        </w:rPr>
        <w:t xml:space="preserve">are </w:t>
      </w:r>
      <w:r w:rsidRPr="00B611AB">
        <w:rPr>
          <w:rFonts w:ascii="Arial" w:hAnsi="Arial" w:cs="Arial"/>
          <w:iCs/>
          <w:color w:val="595959" w:themeColor="text1" w:themeTint="A6"/>
        </w:rPr>
        <w:t xml:space="preserve">found in larger quantities accumulated </w:t>
      </w:r>
      <w:r w:rsidRPr="00A008DC">
        <w:rPr>
          <w:rFonts w:ascii="Arial" w:hAnsi="Arial" w:cs="Arial"/>
          <w:iCs/>
          <w:color w:val="595959" w:themeColor="text1" w:themeTint="A6"/>
        </w:rPr>
        <w:t>in pathological stroma</w:t>
      </w:r>
      <w:r w:rsidR="007412A1">
        <w:rPr>
          <w:rFonts w:ascii="Arial" w:hAnsi="Arial" w:cs="Arial"/>
          <w:iCs/>
          <w:color w:val="595959" w:themeColor="text1" w:themeTint="A6"/>
        </w:rPr>
        <w:t xml:space="preserve"> (Kalluri, 2016, Lui </w:t>
      </w:r>
      <w:r w:rsidR="007412A1" w:rsidRPr="007412A1">
        <w:rPr>
          <w:rFonts w:ascii="Arial" w:hAnsi="Arial" w:cs="Arial"/>
          <w:i/>
          <w:color w:val="595959" w:themeColor="text1" w:themeTint="A6"/>
        </w:rPr>
        <w:t>et al.,</w:t>
      </w:r>
      <w:r w:rsidR="007412A1">
        <w:rPr>
          <w:rFonts w:ascii="Arial" w:hAnsi="Arial" w:cs="Arial"/>
          <w:iCs/>
          <w:color w:val="595959" w:themeColor="text1" w:themeTint="A6"/>
        </w:rPr>
        <w:t xml:space="preserve"> 2019)</w:t>
      </w:r>
      <w:r w:rsidRPr="00A008DC">
        <w:rPr>
          <w:rFonts w:ascii="Arial" w:hAnsi="Arial" w:cs="Arial"/>
          <w:iCs/>
          <w:color w:val="595959" w:themeColor="text1" w:themeTint="A6"/>
        </w:rPr>
        <w:t>. It is well established that cancer</w:t>
      </w:r>
      <w:r w:rsidR="008D3E7A">
        <w:rPr>
          <w:rFonts w:ascii="Arial" w:hAnsi="Arial" w:cs="Arial"/>
          <w:iCs/>
          <w:color w:val="595959" w:themeColor="text1" w:themeTint="A6"/>
        </w:rPr>
        <w:t>ous</w:t>
      </w:r>
      <w:r w:rsidRPr="00A008DC">
        <w:rPr>
          <w:rFonts w:ascii="Arial" w:hAnsi="Arial" w:cs="Arial"/>
          <w:iCs/>
          <w:color w:val="595959" w:themeColor="text1" w:themeTint="A6"/>
        </w:rPr>
        <w:t xml:space="preserve"> epithelial cells within the oral cavity can have paracrine effects on neighbouring myoFB to promote transdifferentiation into CAF. </w:t>
      </w:r>
      <w:r w:rsidR="00A92C6D" w:rsidRPr="0096508E">
        <w:rPr>
          <w:rFonts w:ascii="Arial" w:hAnsi="Arial" w:cs="Arial"/>
          <w:iCs/>
          <w:color w:val="595959" w:themeColor="text1" w:themeTint="A6"/>
        </w:rPr>
        <w:t>The complexity of CAF has also been highlighted by single-cell RNA-sequencing analyses (</w:t>
      </w:r>
      <w:hyperlink r:id="rId24" w:anchor="ref-8" w:history="1">
        <w:r w:rsidR="00A92C6D" w:rsidRPr="0096508E">
          <w:rPr>
            <w:rStyle w:val="Hyperlink"/>
            <w:rFonts w:ascii="Arial" w:hAnsi="Arial" w:cs="Arial"/>
            <w:iCs/>
            <w:color w:val="595959" w:themeColor="text1" w:themeTint="A6"/>
            <w:u w:val="none"/>
          </w:rPr>
          <w:t xml:space="preserve">Li </w:t>
        </w:r>
        <w:r w:rsidR="00A92C6D" w:rsidRPr="0096508E">
          <w:rPr>
            <w:rStyle w:val="Hyperlink"/>
            <w:rFonts w:ascii="Arial" w:hAnsi="Arial" w:cs="Arial"/>
            <w:i/>
            <w:color w:val="595959" w:themeColor="text1" w:themeTint="A6"/>
            <w:u w:val="none"/>
          </w:rPr>
          <w:t xml:space="preserve">et al., </w:t>
        </w:r>
        <w:r w:rsidR="00A92C6D" w:rsidRPr="0096508E">
          <w:rPr>
            <w:rStyle w:val="Hyperlink"/>
            <w:rFonts w:ascii="Arial" w:hAnsi="Arial" w:cs="Arial"/>
            <w:iCs/>
            <w:color w:val="595959" w:themeColor="text1" w:themeTint="A6"/>
            <w:u w:val="none"/>
          </w:rPr>
          <w:t>2017</w:t>
        </w:r>
      </w:hyperlink>
      <w:r w:rsidR="00233FE5">
        <w:rPr>
          <w:rFonts w:ascii="Arial" w:hAnsi="Arial" w:cs="Arial"/>
          <w:iCs/>
          <w:color w:val="595959" w:themeColor="text1" w:themeTint="A6"/>
        </w:rPr>
        <w:t>,</w:t>
      </w:r>
      <w:r w:rsidR="00A92C6D" w:rsidRPr="0096508E">
        <w:rPr>
          <w:rFonts w:ascii="Arial" w:hAnsi="Arial" w:cs="Arial"/>
          <w:iCs/>
          <w:color w:val="595959" w:themeColor="text1" w:themeTint="A6"/>
        </w:rPr>
        <w:t> </w:t>
      </w:r>
      <w:hyperlink r:id="rId25" w:anchor="ref-1" w:history="1">
        <w:r w:rsidR="00A92C6D" w:rsidRPr="0096508E">
          <w:rPr>
            <w:rStyle w:val="Hyperlink"/>
            <w:rFonts w:ascii="Arial" w:hAnsi="Arial" w:cs="Arial"/>
            <w:iCs/>
            <w:color w:val="595959" w:themeColor="text1" w:themeTint="A6"/>
            <w:u w:val="none"/>
          </w:rPr>
          <w:t xml:space="preserve">Bernard </w:t>
        </w:r>
        <w:r w:rsidR="00A92C6D" w:rsidRPr="0096508E">
          <w:rPr>
            <w:rStyle w:val="Hyperlink"/>
            <w:rFonts w:ascii="Arial" w:hAnsi="Arial" w:cs="Arial"/>
            <w:i/>
            <w:color w:val="595959" w:themeColor="text1" w:themeTint="A6"/>
            <w:u w:val="none"/>
          </w:rPr>
          <w:t xml:space="preserve">et al., </w:t>
        </w:r>
        <w:r w:rsidR="00A92C6D" w:rsidRPr="0096508E">
          <w:rPr>
            <w:rStyle w:val="Hyperlink"/>
            <w:rFonts w:ascii="Arial" w:hAnsi="Arial" w:cs="Arial"/>
            <w:iCs/>
            <w:color w:val="595959" w:themeColor="text1" w:themeTint="A6"/>
            <w:u w:val="none"/>
          </w:rPr>
          <w:t>2018</w:t>
        </w:r>
      </w:hyperlink>
      <w:r w:rsidR="001A4145">
        <w:rPr>
          <w:rFonts w:ascii="Arial" w:hAnsi="Arial" w:cs="Arial"/>
          <w:iCs/>
          <w:color w:val="595959" w:themeColor="text1" w:themeTint="A6"/>
        </w:rPr>
        <w:t xml:space="preserve">, </w:t>
      </w:r>
      <w:hyperlink r:id="rId26" w:anchor="ref-7" w:history="1">
        <w:r w:rsidR="00A92C6D" w:rsidRPr="0096508E">
          <w:rPr>
            <w:rStyle w:val="Hyperlink"/>
            <w:rFonts w:ascii="Arial" w:hAnsi="Arial" w:cs="Arial"/>
            <w:iCs/>
            <w:color w:val="595959" w:themeColor="text1" w:themeTint="A6"/>
            <w:u w:val="none"/>
          </w:rPr>
          <w:t xml:space="preserve">Lambrechts </w:t>
        </w:r>
        <w:r w:rsidR="00A92C6D" w:rsidRPr="0096508E">
          <w:rPr>
            <w:rStyle w:val="Hyperlink"/>
            <w:rFonts w:ascii="Arial" w:hAnsi="Arial" w:cs="Arial"/>
            <w:i/>
            <w:color w:val="595959" w:themeColor="text1" w:themeTint="A6"/>
            <w:u w:val="none"/>
          </w:rPr>
          <w:t xml:space="preserve">et al., </w:t>
        </w:r>
        <w:r w:rsidR="00A92C6D" w:rsidRPr="0096508E">
          <w:rPr>
            <w:rStyle w:val="Hyperlink"/>
            <w:rFonts w:ascii="Arial" w:hAnsi="Arial" w:cs="Arial"/>
            <w:iCs/>
            <w:color w:val="595959" w:themeColor="text1" w:themeTint="A6"/>
            <w:u w:val="none"/>
          </w:rPr>
          <w:t>2018</w:t>
        </w:r>
      </w:hyperlink>
      <w:r w:rsidR="00A92C6D" w:rsidRPr="0096508E">
        <w:rPr>
          <w:rFonts w:ascii="Arial" w:hAnsi="Arial" w:cs="Arial"/>
          <w:iCs/>
          <w:color w:val="595959" w:themeColor="text1" w:themeTint="A6"/>
        </w:rPr>
        <w:t>).</w:t>
      </w:r>
      <w:r w:rsidR="0096508E" w:rsidRPr="0096508E">
        <w:rPr>
          <w:rFonts w:ascii="Arial" w:hAnsi="Arial" w:cs="Arial"/>
          <w:iCs/>
          <w:color w:val="595959" w:themeColor="text1" w:themeTint="A6"/>
        </w:rPr>
        <w:t xml:space="preserve"> Single-cell RNA-sequencing analyses </w:t>
      </w:r>
      <w:r w:rsidR="00A92C6D" w:rsidRPr="0096508E">
        <w:rPr>
          <w:rFonts w:ascii="Arial" w:hAnsi="Arial" w:cs="Arial"/>
          <w:iCs/>
          <w:color w:val="595959" w:themeColor="text1" w:themeTint="A6"/>
        </w:rPr>
        <w:t>reveal</w:t>
      </w:r>
      <w:r w:rsidR="0096508E" w:rsidRPr="0096508E">
        <w:rPr>
          <w:rFonts w:ascii="Arial" w:hAnsi="Arial" w:cs="Arial"/>
          <w:iCs/>
          <w:color w:val="595959" w:themeColor="text1" w:themeTint="A6"/>
        </w:rPr>
        <w:t>ed</w:t>
      </w:r>
      <w:r w:rsidR="00A92C6D" w:rsidRPr="0096508E">
        <w:rPr>
          <w:rFonts w:ascii="Arial" w:hAnsi="Arial" w:cs="Arial"/>
          <w:iCs/>
          <w:color w:val="595959" w:themeColor="text1" w:themeTint="A6"/>
        </w:rPr>
        <w:t xml:space="preserve"> novel CAF subsets </w:t>
      </w:r>
      <w:r w:rsidR="00233FE5">
        <w:rPr>
          <w:rFonts w:ascii="Arial" w:hAnsi="Arial" w:cs="Arial"/>
          <w:iCs/>
          <w:color w:val="595959" w:themeColor="text1" w:themeTint="A6"/>
        </w:rPr>
        <w:t>(</w:t>
      </w:r>
      <w:r w:rsidR="0096508E" w:rsidRPr="0096508E">
        <w:rPr>
          <w:rFonts w:ascii="Arial" w:hAnsi="Arial" w:cs="Arial"/>
          <w:iCs/>
          <w:color w:val="595959" w:themeColor="text1" w:themeTint="A6"/>
        </w:rPr>
        <w:t>CAF-A and CAF-B</w:t>
      </w:r>
      <w:r w:rsidR="00233FE5">
        <w:rPr>
          <w:rFonts w:ascii="Arial" w:hAnsi="Arial" w:cs="Arial"/>
          <w:iCs/>
          <w:color w:val="595959" w:themeColor="text1" w:themeTint="A6"/>
        </w:rPr>
        <w:t>).</w:t>
      </w:r>
      <w:r w:rsidR="0096508E" w:rsidRPr="0096508E">
        <w:rPr>
          <w:rFonts w:ascii="Arial" w:hAnsi="Arial" w:cs="Arial"/>
          <w:iCs/>
          <w:color w:val="595959" w:themeColor="text1" w:themeTint="A6"/>
        </w:rPr>
        <w:t xml:space="preserve"> CAF-B cells expressed cytoskeletal genes and markers of activated myofibroblasts, while CAF-A cells expressed genes related to ECM remodelling, including </w:t>
      </w:r>
      <w:r w:rsidR="0096508E">
        <w:rPr>
          <w:rFonts w:ascii="Arial" w:hAnsi="Arial" w:cs="Arial"/>
          <w:iCs/>
          <w:color w:val="595959" w:themeColor="text1" w:themeTint="A6"/>
        </w:rPr>
        <w:t xml:space="preserve">the </w:t>
      </w:r>
      <w:r w:rsidR="0096508E" w:rsidRPr="0096508E">
        <w:rPr>
          <w:rFonts w:ascii="Arial" w:hAnsi="Arial" w:cs="Arial"/>
          <w:iCs/>
          <w:color w:val="595959" w:themeColor="text1" w:themeTint="A6"/>
        </w:rPr>
        <w:t>TGF-β activator </w:t>
      </w:r>
      <w:r w:rsidR="0096508E" w:rsidRPr="0096508E">
        <w:rPr>
          <w:rFonts w:ascii="Arial" w:hAnsi="Arial" w:cs="Arial"/>
          <w:i/>
          <w:iCs/>
          <w:color w:val="595959" w:themeColor="text1" w:themeTint="A6"/>
        </w:rPr>
        <w:t>MMP2</w:t>
      </w:r>
      <w:r w:rsidR="00233FE5">
        <w:rPr>
          <w:rFonts w:ascii="Arial" w:hAnsi="Arial" w:cs="Arial"/>
          <w:i/>
          <w:iCs/>
          <w:color w:val="595959" w:themeColor="text1" w:themeTint="A6"/>
        </w:rPr>
        <w:t xml:space="preserve"> </w:t>
      </w:r>
      <w:r w:rsidR="00233FE5" w:rsidRPr="00233FE5">
        <w:rPr>
          <w:rFonts w:ascii="Arial" w:hAnsi="Arial" w:cs="Arial"/>
          <w:color w:val="595959" w:themeColor="text1" w:themeTint="A6"/>
        </w:rPr>
        <w:t xml:space="preserve">(Li </w:t>
      </w:r>
      <w:r w:rsidR="00233FE5" w:rsidRPr="00233FE5">
        <w:rPr>
          <w:rFonts w:ascii="Arial" w:hAnsi="Arial" w:cs="Arial"/>
          <w:i/>
          <w:iCs/>
          <w:color w:val="595959" w:themeColor="text1" w:themeTint="A6"/>
        </w:rPr>
        <w:t>et al.,</w:t>
      </w:r>
      <w:r w:rsidR="00233FE5" w:rsidRPr="00233FE5">
        <w:rPr>
          <w:rFonts w:ascii="Arial" w:hAnsi="Arial" w:cs="Arial"/>
          <w:color w:val="595959" w:themeColor="text1" w:themeTint="A6"/>
        </w:rPr>
        <w:t xml:space="preserve"> 2017)</w:t>
      </w:r>
      <w:r w:rsidR="0096508E" w:rsidRPr="00233FE5">
        <w:rPr>
          <w:rFonts w:ascii="Arial" w:hAnsi="Arial" w:cs="Arial"/>
          <w:color w:val="595959" w:themeColor="text1" w:themeTint="A6"/>
        </w:rPr>
        <w:t>.</w:t>
      </w:r>
      <w:r w:rsidR="0096508E" w:rsidRPr="0096508E">
        <w:rPr>
          <w:rFonts w:ascii="Arial" w:hAnsi="Arial" w:cs="Arial"/>
          <w:iCs/>
          <w:color w:val="595959" w:themeColor="text1" w:themeTint="A6"/>
        </w:rPr>
        <w:t xml:space="preserve"> </w:t>
      </w:r>
      <w:r w:rsidR="0096508E">
        <w:rPr>
          <w:rFonts w:ascii="Arial" w:hAnsi="Arial" w:cs="Arial"/>
          <w:iCs/>
          <w:color w:val="595959" w:themeColor="text1" w:themeTint="A6"/>
        </w:rPr>
        <w:t xml:space="preserve">Other studies have </w:t>
      </w:r>
      <w:r w:rsidR="00541107">
        <w:rPr>
          <w:rFonts w:ascii="Arial" w:hAnsi="Arial" w:cs="Arial"/>
          <w:iCs/>
          <w:color w:val="595959" w:themeColor="text1" w:themeTint="A6"/>
        </w:rPr>
        <w:t>obsefrved</w:t>
      </w:r>
      <w:r w:rsidR="0096508E">
        <w:rPr>
          <w:rFonts w:ascii="Arial" w:hAnsi="Arial" w:cs="Arial"/>
          <w:iCs/>
          <w:color w:val="595959" w:themeColor="text1" w:themeTint="A6"/>
        </w:rPr>
        <w:t xml:space="preserve"> that </w:t>
      </w:r>
      <w:r w:rsidR="007325CD">
        <w:rPr>
          <w:rFonts w:ascii="Arial" w:hAnsi="Arial" w:cs="Arial"/>
          <w:iCs/>
          <w:color w:val="595959" w:themeColor="text1" w:themeTint="A6"/>
        </w:rPr>
        <w:t>activated fibroblasts express</w:t>
      </w:r>
      <w:r w:rsidR="00233FE5">
        <w:rPr>
          <w:rFonts w:ascii="Arial" w:hAnsi="Arial" w:cs="Arial"/>
          <w:iCs/>
          <w:color w:val="595959" w:themeColor="text1" w:themeTint="A6"/>
        </w:rPr>
        <w:t xml:space="preserve"> the markers</w:t>
      </w:r>
      <w:r w:rsidR="009A7614">
        <w:rPr>
          <w:rFonts w:ascii="Arial" w:hAnsi="Arial" w:cs="Arial"/>
          <w:iCs/>
          <w:color w:val="595959" w:themeColor="text1" w:themeTint="A6"/>
        </w:rPr>
        <w:t>;</w:t>
      </w:r>
      <w:r w:rsidR="007325CD">
        <w:rPr>
          <w:rFonts w:ascii="Arial" w:hAnsi="Arial" w:cs="Arial"/>
          <w:iCs/>
          <w:color w:val="595959" w:themeColor="text1" w:themeTint="A6"/>
        </w:rPr>
        <w:t xml:space="preserve"> </w:t>
      </w:r>
      <w:r w:rsidR="006F7C8B">
        <w:rPr>
          <w:rFonts w:ascii="Arial" w:hAnsi="Arial" w:cs="Arial"/>
          <w:iCs/>
          <w:color w:val="595959" w:themeColor="text1" w:themeTint="A6"/>
        </w:rPr>
        <w:t>fibroblast-specific protein 1 (</w:t>
      </w:r>
      <w:r w:rsidR="007325CD">
        <w:rPr>
          <w:rFonts w:ascii="Arial" w:hAnsi="Arial" w:cs="Arial"/>
          <w:iCs/>
          <w:color w:val="595959" w:themeColor="text1" w:themeTint="A6"/>
        </w:rPr>
        <w:t>FSP-1</w:t>
      </w:r>
      <w:r w:rsidR="006F7C8B">
        <w:rPr>
          <w:rFonts w:ascii="Arial" w:hAnsi="Arial" w:cs="Arial"/>
          <w:iCs/>
          <w:color w:val="595959" w:themeColor="text1" w:themeTint="A6"/>
        </w:rPr>
        <w:t>)</w:t>
      </w:r>
      <w:r w:rsidR="007325CD">
        <w:rPr>
          <w:rFonts w:ascii="Arial" w:hAnsi="Arial" w:cs="Arial"/>
          <w:iCs/>
          <w:color w:val="595959" w:themeColor="text1" w:themeTint="A6"/>
        </w:rPr>
        <w:t xml:space="preserve">, </w:t>
      </w:r>
      <w:r w:rsidR="009A7614">
        <w:rPr>
          <w:rFonts w:ascii="Arial" w:hAnsi="Arial" w:cs="Arial"/>
          <w:iCs/>
          <w:color w:val="595959" w:themeColor="text1" w:themeTint="A6"/>
        </w:rPr>
        <w:t>v</w:t>
      </w:r>
      <w:r w:rsidR="007325CD">
        <w:rPr>
          <w:rFonts w:ascii="Arial" w:hAnsi="Arial" w:cs="Arial"/>
          <w:iCs/>
          <w:color w:val="595959" w:themeColor="text1" w:themeTint="A6"/>
        </w:rPr>
        <w:t xml:space="preserve">imentin, αSMA, FAP and PDGF (Kraman </w:t>
      </w:r>
      <w:r w:rsidR="007325CD" w:rsidRPr="00BE2F15">
        <w:rPr>
          <w:rFonts w:ascii="Arial" w:hAnsi="Arial" w:cs="Arial"/>
          <w:i/>
          <w:iCs/>
          <w:color w:val="595959" w:themeColor="text1" w:themeTint="A6"/>
        </w:rPr>
        <w:t>et al</w:t>
      </w:r>
      <w:r w:rsidR="007325CD">
        <w:rPr>
          <w:rFonts w:ascii="Arial" w:hAnsi="Arial" w:cs="Arial"/>
          <w:iCs/>
          <w:color w:val="595959" w:themeColor="text1" w:themeTint="A6"/>
        </w:rPr>
        <w:t xml:space="preserve">., 2010). FSP-1/S1004A is a reliable marker for detection of quiescent fibroblast </w:t>
      </w:r>
      <w:r w:rsidR="00950334">
        <w:rPr>
          <w:rFonts w:ascii="Arial" w:hAnsi="Arial" w:cs="Arial"/>
          <w:iCs/>
          <w:color w:val="595959" w:themeColor="text1" w:themeTint="A6"/>
        </w:rPr>
        <w:t xml:space="preserve">(Ki67 negative, non-proliferative) </w:t>
      </w:r>
      <w:r w:rsidR="007325CD">
        <w:rPr>
          <w:rFonts w:ascii="Arial" w:hAnsi="Arial" w:cs="Arial"/>
          <w:iCs/>
          <w:color w:val="595959" w:themeColor="text1" w:themeTint="A6"/>
        </w:rPr>
        <w:t>but this is not specific for fibro</w:t>
      </w:r>
      <w:r w:rsidR="007325CD" w:rsidRPr="00C64377">
        <w:rPr>
          <w:rFonts w:ascii="Arial" w:hAnsi="Arial" w:cs="Arial"/>
          <w:iCs/>
          <w:color w:val="595959" w:themeColor="text1" w:themeTint="A6"/>
        </w:rPr>
        <w:t>blast</w:t>
      </w:r>
      <w:r w:rsidR="00C0301B" w:rsidRPr="00C64377">
        <w:rPr>
          <w:rFonts w:ascii="Arial" w:hAnsi="Arial" w:cs="Arial"/>
          <w:iCs/>
          <w:color w:val="595959" w:themeColor="text1" w:themeTint="A6"/>
        </w:rPr>
        <w:t>s</w:t>
      </w:r>
      <w:r w:rsidR="007325CD">
        <w:rPr>
          <w:rFonts w:ascii="Arial" w:hAnsi="Arial" w:cs="Arial"/>
          <w:iCs/>
          <w:color w:val="595959" w:themeColor="text1" w:themeTint="A6"/>
        </w:rPr>
        <w:t xml:space="preserve"> (Strutz </w:t>
      </w:r>
      <w:r w:rsidR="007325CD" w:rsidRPr="007F4654">
        <w:rPr>
          <w:rFonts w:ascii="Arial" w:hAnsi="Arial" w:cs="Arial"/>
          <w:i/>
          <w:iCs/>
          <w:color w:val="595959" w:themeColor="text1" w:themeTint="A6"/>
        </w:rPr>
        <w:t>et al</w:t>
      </w:r>
      <w:r w:rsidR="007325CD">
        <w:rPr>
          <w:rFonts w:ascii="Arial" w:hAnsi="Arial" w:cs="Arial"/>
          <w:iCs/>
          <w:color w:val="595959" w:themeColor="text1" w:themeTint="A6"/>
        </w:rPr>
        <w:t>., 1995). Two murine models of cancer the Rip1Tag2 pancreatic cancer model and the orthotopic 4T1 breast cancer model have been used to study six mesenchymal markers. FSP-1 identified a unique population</w:t>
      </w:r>
      <w:r>
        <w:rPr>
          <w:rFonts w:ascii="Arial" w:hAnsi="Arial" w:cs="Arial"/>
          <w:iCs/>
          <w:color w:val="595959" w:themeColor="text1" w:themeTint="A6"/>
        </w:rPr>
        <w:t xml:space="preserve"> representatively derived from bone marrow cells </w:t>
      </w:r>
      <w:r w:rsidR="007325CD">
        <w:rPr>
          <w:rFonts w:ascii="Arial" w:hAnsi="Arial" w:cs="Arial"/>
          <w:iCs/>
          <w:color w:val="595959" w:themeColor="text1" w:themeTint="A6"/>
        </w:rPr>
        <w:t xml:space="preserve">with minimal overlap with αSMA, PDGFR, and </w:t>
      </w:r>
      <w:r w:rsidR="00F1403F">
        <w:rPr>
          <w:rFonts w:ascii="Arial" w:hAnsi="Arial" w:cs="Arial"/>
          <w:iCs/>
          <w:color w:val="595959" w:themeColor="text1" w:themeTint="A6"/>
        </w:rPr>
        <w:t>neuron-glial antigen 2 (</w:t>
      </w:r>
      <w:r w:rsidR="007325CD">
        <w:rPr>
          <w:rFonts w:ascii="Arial" w:hAnsi="Arial" w:cs="Arial"/>
          <w:iCs/>
          <w:color w:val="595959" w:themeColor="text1" w:themeTint="A6"/>
        </w:rPr>
        <w:t>NG2</w:t>
      </w:r>
      <w:r w:rsidR="00F1403F">
        <w:rPr>
          <w:rFonts w:ascii="Arial" w:hAnsi="Arial" w:cs="Arial"/>
          <w:iCs/>
          <w:color w:val="595959" w:themeColor="text1" w:themeTint="A6"/>
        </w:rPr>
        <w:t>)</w:t>
      </w:r>
      <w:r>
        <w:rPr>
          <w:rFonts w:ascii="Arial" w:hAnsi="Arial" w:cs="Arial"/>
          <w:iCs/>
          <w:color w:val="595959" w:themeColor="text1" w:themeTint="A6"/>
        </w:rPr>
        <w:t xml:space="preserve"> as well as </w:t>
      </w:r>
      <w:r w:rsidRPr="00233FE5">
        <w:rPr>
          <w:rFonts w:ascii="Arial" w:hAnsi="Arial" w:cs="Arial"/>
          <w:iCs/>
          <w:color w:val="595959" w:themeColor="text1" w:themeTint="A6"/>
        </w:rPr>
        <w:t xml:space="preserve">a sub-set of αSMA+ and NG2+ </w:t>
      </w:r>
      <w:r>
        <w:rPr>
          <w:rFonts w:ascii="Arial" w:hAnsi="Arial" w:cs="Arial"/>
          <w:iCs/>
          <w:color w:val="595959" w:themeColor="text1" w:themeTint="A6"/>
        </w:rPr>
        <w:t>fibroblasts found in</w:t>
      </w:r>
      <w:r w:rsidRPr="00233FE5">
        <w:rPr>
          <w:rFonts w:ascii="Arial" w:hAnsi="Arial" w:cs="Arial"/>
          <w:iCs/>
          <w:color w:val="595959" w:themeColor="text1" w:themeTint="A6"/>
        </w:rPr>
        <w:t xml:space="preserve"> surrounding tissues</w:t>
      </w:r>
      <w:r>
        <w:rPr>
          <w:rFonts w:ascii="Arial" w:hAnsi="Arial" w:cs="Arial"/>
          <w:iCs/>
          <w:color w:val="595959" w:themeColor="text1" w:themeTint="A6"/>
        </w:rPr>
        <w:t xml:space="preserve">, </w:t>
      </w:r>
      <w:r w:rsidRPr="00233FE5">
        <w:rPr>
          <w:rFonts w:ascii="Arial" w:hAnsi="Arial" w:cs="Arial"/>
          <w:iCs/>
          <w:color w:val="595959" w:themeColor="text1" w:themeTint="A6"/>
        </w:rPr>
        <w:t xml:space="preserve">primarily from an adipose origin (Kidd </w:t>
      </w:r>
      <w:r w:rsidRPr="00233FE5">
        <w:rPr>
          <w:rFonts w:ascii="Arial" w:hAnsi="Arial" w:cs="Arial"/>
          <w:i/>
          <w:iCs/>
          <w:color w:val="595959" w:themeColor="text1" w:themeTint="A6"/>
        </w:rPr>
        <w:t>et al</w:t>
      </w:r>
      <w:r w:rsidRPr="00233FE5">
        <w:rPr>
          <w:rFonts w:ascii="Arial" w:hAnsi="Arial" w:cs="Arial"/>
          <w:iCs/>
          <w:color w:val="595959" w:themeColor="text1" w:themeTint="A6"/>
        </w:rPr>
        <w:t>., 2012</w:t>
      </w:r>
      <w:r w:rsidR="001A4145">
        <w:rPr>
          <w:rFonts w:ascii="Arial" w:hAnsi="Arial" w:cs="Arial"/>
          <w:iCs/>
          <w:color w:val="595959" w:themeColor="text1" w:themeTint="A6"/>
        </w:rPr>
        <w:t xml:space="preserve">, </w:t>
      </w:r>
      <w:r w:rsidR="007325CD">
        <w:rPr>
          <w:rFonts w:ascii="Arial" w:hAnsi="Arial" w:cs="Arial"/>
          <w:iCs/>
          <w:color w:val="595959" w:themeColor="text1" w:themeTint="A6"/>
        </w:rPr>
        <w:t xml:space="preserve">Sugimoto </w:t>
      </w:r>
      <w:r w:rsidR="007325CD" w:rsidRPr="00A008EF">
        <w:rPr>
          <w:rFonts w:ascii="Arial" w:hAnsi="Arial" w:cs="Arial"/>
          <w:i/>
          <w:iCs/>
          <w:color w:val="595959" w:themeColor="text1" w:themeTint="A6"/>
        </w:rPr>
        <w:t>et al</w:t>
      </w:r>
      <w:r w:rsidR="007325CD">
        <w:rPr>
          <w:rFonts w:ascii="Arial" w:hAnsi="Arial" w:cs="Arial"/>
          <w:iCs/>
          <w:color w:val="595959" w:themeColor="text1" w:themeTint="A6"/>
        </w:rPr>
        <w:t xml:space="preserve">., 2006).  </w:t>
      </w:r>
    </w:p>
    <w:p w14:paraId="357EB248" w14:textId="234DF467" w:rsidR="007325CD" w:rsidRPr="00233FE5" w:rsidRDefault="00233FE5" w:rsidP="001A4145">
      <w:pPr>
        <w:spacing w:before="240" w:line="480" w:lineRule="auto"/>
        <w:jc w:val="both"/>
        <w:rPr>
          <w:rFonts w:ascii="Times" w:hAnsi="Times" w:cs="Times"/>
          <w:color w:val="222222"/>
          <w:spacing w:val="3"/>
          <w:sz w:val="26"/>
          <w:szCs w:val="26"/>
          <w:shd w:val="clear" w:color="auto" w:fill="FFFFFF"/>
        </w:rPr>
      </w:pPr>
      <w:r w:rsidRPr="00A92C6D">
        <w:rPr>
          <w:rFonts w:ascii="Arial" w:hAnsi="Arial" w:cs="Arial"/>
          <w:iCs/>
          <w:color w:val="595959" w:themeColor="text1" w:themeTint="A6"/>
        </w:rPr>
        <w:t>Since some CAF subtypes share transcriptional signatures across multiple cancers, future work should be directed at determining whether they also possess similar function</w:t>
      </w:r>
      <w:r>
        <w:rPr>
          <w:rFonts w:ascii="Arial" w:hAnsi="Arial" w:cs="Arial"/>
          <w:iCs/>
          <w:color w:val="595959" w:themeColor="text1" w:themeTint="A6"/>
        </w:rPr>
        <w:t>al capabilities</w:t>
      </w:r>
      <w:r w:rsidRPr="00A008DC">
        <w:rPr>
          <w:rFonts w:ascii="Arial" w:hAnsi="Arial" w:cs="Arial"/>
          <w:iCs/>
          <w:color w:val="595959" w:themeColor="text1" w:themeTint="A6"/>
        </w:rPr>
        <w:t>.</w:t>
      </w:r>
      <w:r>
        <w:rPr>
          <w:rFonts w:ascii="Arial" w:hAnsi="Arial" w:cs="Arial"/>
          <w:iCs/>
          <w:color w:val="595959" w:themeColor="text1" w:themeTint="A6"/>
        </w:rPr>
        <w:t xml:space="preserve"> </w:t>
      </w:r>
      <w:r w:rsidR="0096508E" w:rsidRPr="00A92C6D">
        <w:rPr>
          <w:rFonts w:ascii="Arial" w:hAnsi="Arial" w:cs="Arial"/>
          <w:iCs/>
          <w:color w:val="595959" w:themeColor="text1" w:themeTint="A6"/>
        </w:rPr>
        <w:t xml:space="preserve">In light of our current knowledge of </w:t>
      </w:r>
      <w:r w:rsidR="00673737">
        <w:rPr>
          <w:rFonts w:ascii="Arial" w:hAnsi="Arial" w:cs="Arial"/>
          <w:iCs/>
          <w:color w:val="595959" w:themeColor="text1" w:themeTint="A6"/>
        </w:rPr>
        <w:t>CAF</w:t>
      </w:r>
      <w:r w:rsidR="0096508E" w:rsidRPr="00A92C6D">
        <w:rPr>
          <w:rFonts w:ascii="Arial" w:hAnsi="Arial" w:cs="Arial"/>
          <w:iCs/>
          <w:color w:val="595959" w:themeColor="text1" w:themeTint="A6"/>
        </w:rPr>
        <w:t xml:space="preserve"> heterogeneity and </w:t>
      </w:r>
      <w:r w:rsidR="00673737">
        <w:rPr>
          <w:rFonts w:ascii="Arial" w:hAnsi="Arial" w:cs="Arial"/>
          <w:iCs/>
          <w:color w:val="595959" w:themeColor="text1" w:themeTint="A6"/>
        </w:rPr>
        <w:t>the presence of CAF subtypes found at</w:t>
      </w:r>
      <w:r w:rsidR="0096508E" w:rsidRPr="00A92C6D">
        <w:rPr>
          <w:rFonts w:ascii="Arial" w:hAnsi="Arial" w:cs="Arial"/>
          <w:iCs/>
          <w:color w:val="595959" w:themeColor="text1" w:themeTint="A6"/>
        </w:rPr>
        <w:t xml:space="preserve"> single-cell resolution</w:t>
      </w:r>
      <w:r w:rsidR="00673737">
        <w:rPr>
          <w:rFonts w:ascii="Arial" w:hAnsi="Arial" w:cs="Arial"/>
          <w:iCs/>
          <w:color w:val="595959" w:themeColor="text1" w:themeTint="A6"/>
        </w:rPr>
        <w:t xml:space="preserve"> it’s essential </w:t>
      </w:r>
      <w:r w:rsidR="0096508E" w:rsidRPr="00A92C6D">
        <w:rPr>
          <w:rFonts w:ascii="Arial" w:hAnsi="Arial" w:cs="Arial"/>
          <w:iCs/>
          <w:color w:val="595959" w:themeColor="text1" w:themeTint="A6"/>
        </w:rPr>
        <w:t>to develop protein</w:t>
      </w:r>
      <w:r w:rsidR="00673737">
        <w:rPr>
          <w:rFonts w:ascii="Arial" w:hAnsi="Arial" w:cs="Arial"/>
          <w:iCs/>
          <w:color w:val="595959" w:themeColor="text1" w:themeTint="A6"/>
        </w:rPr>
        <w:t xml:space="preserve"> markers</w:t>
      </w:r>
      <w:r w:rsidR="0096508E" w:rsidRPr="00A92C6D">
        <w:rPr>
          <w:rFonts w:ascii="Arial" w:hAnsi="Arial" w:cs="Arial"/>
          <w:iCs/>
          <w:color w:val="595959" w:themeColor="text1" w:themeTint="A6"/>
        </w:rPr>
        <w:t xml:space="preserve"> unique to each CAF population, and to compare the stromal representation found at primary tumo</w:t>
      </w:r>
      <w:r w:rsidR="00673737">
        <w:rPr>
          <w:rFonts w:ascii="Arial" w:hAnsi="Arial" w:cs="Arial"/>
          <w:iCs/>
          <w:color w:val="595959" w:themeColor="text1" w:themeTint="A6"/>
        </w:rPr>
        <w:t>u</w:t>
      </w:r>
      <w:r w:rsidR="0096508E" w:rsidRPr="00A92C6D">
        <w:rPr>
          <w:rFonts w:ascii="Arial" w:hAnsi="Arial" w:cs="Arial"/>
          <w:iCs/>
          <w:color w:val="595959" w:themeColor="text1" w:themeTint="A6"/>
        </w:rPr>
        <w:t>rs a</w:t>
      </w:r>
      <w:r w:rsidR="00673737">
        <w:rPr>
          <w:rFonts w:ascii="Arial" w:hAnsi="Arial" w:cs="Arial"/>
          <w:iCs/>
          <w:color w:val="595959" w:themeColor="text1" w:themeTint="A6"/>
        </w:rPr>
        <w:t xml:space="preserve">s well as in </w:t>
      </w:r>
      <w:r w:rsidR="0096508E" w:rsidRPr="00A92C6D">
        <w:rPr>
          <w:rFonts w:ascii="Arial" w:hAnsi="Arial" w:cs="Arial"/>
          <w:iCs/>
          <w:color w:val="595959" w:themeColor="text1" w:themeTint="A6"/>
        </w:rPr>
        <w:t xml:space="preserve">metastases. </w:t>
      </w:r>
    </w:p>
    <w:p w14:paraId="588A478D" w14:textId="54894AA0" w:rsidR="007325CD" w:rsidRPr="000C332A" w:rsidRDefault="007325CD" w:rsidP="009D02AC">
      <w:pPr>
        <w:pStyle w:val="Heading4"/>
        <w:rPr>
          <w:rFonts w:ascii="Arial" w:hAnsi="Arial" w:cs="Arial"/>
          <w:i w:val="0"/>
          <w:iCs w:val="0"/>
          <w:color w:val="595959" w:themeColor="text1" w:themeTint="A6"/>
        </w:rPr>
      </w:pPr>
      <w:bookmarkStart w:id="28" w:name="_Toc34208252"/>
      <w:r w:rsidRPr="000C332A">
        <w:rPr>
          <w:rFonts w:ascii="Arial" w:hAnsi="Arial" w:cs="Arial"/>
          <w:color w:val="595959" w:themeColor="text1" w:themeTint="A6"/>
        </w:rPr>
        <w:lastRenderedPageBreak/>
        <w:t>1.</w:t>
      </w:r>
      <w:r w:rsidR="00910192" w:rsidRPr="000C332A">
        <w:rPr>
          <w:rFonts w:ascii="Arial" w:hAnsi="Arial" w:cs="Arial"/>
          <w:color w:val="595959" w:themeColor="text1" w:themeTint="A6"/>
        </w:rPr>
        <w:t>3</w:t>
      </w:r>
      <w:r w:rsidRPr="000C332A">
        <w:rPr>
          <w:rFonts w:ascii="Arial" w:hAnsi="Arial" w:cs="Arial"/>
          <w:color w:val="595959" w:themeColor="text1" w:themeTint="A6"/>
        </w:rPr>
        <w:t>.</w:t>
      </w:r>
      <w:r w:rsidR="00910192" w:rsidRPr="000C332A">
        <w:rPr>
          <w:rFonts w:ascii="Arial" w:hAnsi="Arial" w:cs="Arial"/>
          <w:color w:val="595959" w:themeColor="text1" w:themeTint="A6"/>
        </w:rPr>
        <w:t>1</w:t>
      </w:r>
      <w:r w:rsidRPr="000C332A">
        <w:rPr>
          <w:rFonts w:ascii="Arial" w:hAnsi="Arial" w:cs="Arial"/>
          <w:color w:val="595959" w:themeColor="text1" w:themeTint="A6"/>
        </w:rPr>
        <w:t>.4 Epigenetic regulation of CAF</w:t>
      </w:r>
      <w:bookmarkEnd w:id="28"/>
    </w:p>
    <w:p w14:paraId="4BE7CC6E" w14:textId="474DC2F7" w:rsidR="007325CD" w:rsidRPr="00F52E8E" w:rsidRDefault="007325CD" w:rsidP="009A7614">
      <w:pPr>
        <w:spacing w:before="240" w:line="480" w:lineRule="auto"/>
        <w:jc w:val="both"/>
        <w:rPr>
          <w:rFonts w:ascii="Arial" w:hAnsi="Arial" w:cs="Arial"/>
          <w:iCs/>
          <w:color w:val="595959" w:themeColor="text1" w:themeTint="A6"/>
        </w:rPr>
      </w:pPr>
      <w:r w:rsidRPr="00A008DC">
        <w:rPr>
          <w:rFonts w:ascii="Arial" w:hAnsi="Arial" w:cs="Arial"/>
          <w:iCs/>
          <w:color w:val="595959" w:themeColor="text1" w:themeTint="A6"/>
        </w:rPr>
        <w:t>Within the tum</w:t>
      </w:r>
      <w:r>
        <w:rPr>
          <w:rFonts w:ascii="Arial" w:hAnsi="Arial" w:cs="Arial"/>
          <w:iCs/>
          <w:color w:val="595959" w:themeColor="text1" w:themeTint="A6"/>
        </w:rPr>
        <w:t xml:space="preserve">our microenvironment the phenotypic characteristics of CAF can be induced by </w:t>
      </w:r>
      <w:r w:rsidRPr="00A008DC">
        <w:rPr>
          <w:rFonts w:ascii="Arial" w:hAnsi="Arial" w:cs="Arial"/>
          <w:iCs/>
          <w:color w:val="595959" w:themeColor="text1" w:themeTint="A6"/>
        </w:rPr>
        <w:t>TGF</w:t>
      </w:r>
      <w:r w:rsidRPr="00A008DC">
        <w:rPr>
          <w:rFonts w:ascii="Arial" w:hAnsi="Arial" w:cs="Arial"/>
          <w:iCs/>
          <w:color w:val="595959" w:themeColor="text1" w:themeTint="A6"/>
        </w:rPr>
        <w:sym w:font="Symbol" w:char="F062"/>
      </w:r>
      <w:r w:rsidRPr="00A008DC">
        <w:rPr>
          <w:rFonts w:ascii="Arial" w:hAnsi="Arial" w:cs="Arial"/>
          <w:iCs/>
          <w:color w:val="595959" w:themeColor="text1" w:themeTint="A6"/>
        </w:rPr>
        <w:t>-1</w:t>
      </w:r>
      <w:r>
        <w:rPr>
          <w:rFonts w:ascii="Arial" w:hAnsi="Arial" w:cs="Arial"/>
          <w:iCs/>
          <w:color w:val="595959" w:themeColor="text1" w:themeTint="A6"/>
        </w:rPr>
        <w:t xml:space="preserve"> but more recent data suggests </w:t>
      </w:r>
      <w:r w:rsidRPr="00A008DC">
        <w:rPr>
          <w:rFonts w:ascii="Arial" w:hAnsi="Arial" w:cs="Arial"/>
          <w:iCs/>
          <w:color w:val="595959" w:themeColor="text1" w:themeTint="A6"/>
        </w:rPr>
        <w:t>epigenetic mechanisms</w:t>
      </w:r>
      <w:r>
        <w:rPr>
          <w:rFonts w:ascii="Arial" w:hAnsi="Arial" w:cs="Arial"/>
          <w:iCs/>
          <w:color w:val="595959" w:themeColor="text1" w:themeTint="A6"/>
        </w:rPr>
        <w:t xml:space="preserve"> regulat</w:t>
      </w:r>
      <w:r w:rsidR="003C77B9">
        <w:rPr>
          <w:rFonts w:ascii="Arial" w:hAnsi="Arial" w:cs="Arial"/>
          <w:iCs/>
          <w:color w:val="595959" w:themeColor="text1" w:themeTint="A6"/>
        </w:rPr>
        <w:t>e</w:t>
      </w:r>
      <w:r w:rsidR="00C06C31">
        <w:rPr>
          <w:rFonts w:ascii="Arial" w:hAnsi="Arial" w:cs="Arial"/>
          <w:iCs/>
          <w:color w:val="595959" w:themeColor="text1" w:themeTint="A6"/>
        </w:rPr>
        <w:t xml:space="preserve"> the irreversible </w:t>
      </w:r>
      <w:r w:rsidR="003C77B9">
        <w:rPr>
          <w:rFonts w:ascii="Arial" w:hAnsi="Arial" w:cs="Arial"/>
          <w:iCs/>
          <w:color w:val="595959" w:themeColor="text1" w:themeTint="A6"/>
        </w:rPr>
        <w:t>activity</w:t>
      </w:r>
      <w:r>
        <w:rPr>
          <w:rFonts w:ascii="Arial" w:hAnsi="Arial" w:cs="Arial"/>
          <w:iCs/>
          <w:color w:val="595959" w:themeColor="text1" w:themeTint="A6"/>
        </w:rPr>
        <w:t xml:space="preserve"> of </w:t>
      </w:r>
      <w:r w:rsidR="003C77B9">
        <w:rPr>
          <w:rFonts w:ascii="Arial" w:hAnsi="Arial" w:cs="Arial"/>
          <w:iCs/>
          <w:color w:val="595959" w:themeColor="text1" w:themeTint="A6"/>
        </w:rPr>
        <w:t xml:space="preserve">the </w:t>
      </w:r>
      <w:r>
        <w:rPr>
          <w:rFonts w:ascii="Arial" w:hAnsi="Arial" w:cs="Arial"/>
          <w:iCs/>
          <w:color w:val="595959" w:themeColor="text1" w:themeTint="A6"/>
        </w:rPr>
        <w:t>CAF phenotype</w:t>
      </w:r>
      <w:r w:rsidR="001F5714">
        <w:rPr>
          <w:rFonts w:ascii="Arial" w:hAnsi="Arial" w:cs="Arial"/>
          <w:iCs/>
          <w:color w:val="595959" w:themeColor="text1" w:themeTint="A6"/>
        </w:rPr>
        <w:t xml:space="preserve"> (</w:t>
      </w:r>
      <w:r w:rsidR="00963D08">
        <w:rPr>
          <w:rFonts w:ascii="Arial" w:hAnsi="Arial" w:cs="Arial"/>
          <w:iCs/>
          <w:color w:val="595959" w:themeColor="text1" w:themeTint="A6"/>
        </w:rPr>
        <w:t xml:space="preserve">Li </w:t>
      </w:r>
      <w:r w:rsidR="00963D08" w:rsidRPr="00235FC0">
        <w:rPr>
          <w:rFonts w:ascii="Arial" w:hAnsi="Arial" w:cs="Arial"/>
          <w:i/>
          <w:color w:val="595959" w:themeColor="text1" w:themeTint="A6"/>
        </w:rPr>
        <w:t>et al.,</w:t>
      </w:r>
      <w:r w:rsidR="00963D08">
        <w:rPr>
          <w:rFonts w:ascii="Arial" w:hAnsi="Arial" w:cs="Arial"/>
          <w:iCs/>
          <w:color w:val="595959" w:themeColor="text1" w:themeTint="A6"/>
        </w:rPr>
        <w:t xml:space="preserve"> 2015, Mraze</w:t>
      </w:r>
      <w:r w:rsidR="00235FC0">
        <w:rPr>
          <w:rFonts w:ascii="Arial" w:hAnsi="Arial" w:cs="Arial"/>
          <w:iCs/>
          <w:color w:val="595959" w:themeColor="text1" w:themeTint="A6"/>
        </w:rPr>
        <w:t xml:space="preserve">k </w:t>
      </w:r>
      <w:r w:rsidR="00235FC0" w:rsidRPr="00235FC0">
        <w:rPr>
          <w:rFonts w:ascii="Arial" w:hAnsi="Arial" w:cs="Arial"/>
          <w:i/>
          <w:color w:val="595959" w:themeColor="text1" w:themeTint="A6"/>
        </w:rPr>
        <w:t>et al.,</w:t>
      </w:r>
      <w:r w:rsidR="00235FC0">
        <w:rPr>
          <w:rFonts w:ascii="Arial" w:hAnsi="Arial" w:cs="Arial"/>
          <w:iCs/>
          <w:color w:val="595959" w:themeColor="text1" w:themeTint="A6"/>
        </w:rPr>
        <w:t xml:space="preserve"> 2014</w:t>
      </w:r>
      <w:r w:rsidR="00D1226B">
        <w:rPr>
          <w:rFonts w:ascii="Arial" w:hAnsi="Arial" w:cs="Arial"/>
          <w:iCs/>
          <w:color w:val="595959" w:themeColor="text1" w:themeTint="A6"/>
        </w:rPr>
        <w:t>, Kalluri, 2016</w:t>
      </w:r>
      <w:r w:rsidR="00235FC0">
        <w:rPr>
          <w:rFonts w:ascii="Arial" w:hAnsi="Arial" w:cs="Arial"/>
          <w:iCs/>
          <w:color w:val="595959" w:themeColor="text1" w:themeTint="A6"/>
        </w:rPr>
        <w:t>)</w:t>
      </w:r>
      <w:r>
        <w:rPr>
          <w:rFonts w:ascii="Arial" w:hAnsi="Arial" w:cs="Arial"/>
          <w:iCs/>
          <w:color w:val="595959" w:themeColor="text1" w:themeTint="A6"/>
        </w:rPr>
        <w:t xml:space="preserve">. </w:t>
      </w:r>
      <w:r w:rsidRPr="00495779">
        <w:rPr>
          <w:rFonts w:ascii="Arial" w:hAnsi="Arial" w:cs="Arial"/>
          <w:iCs/>
          <w:color w:val="595959" w:themeColor="text1" w:themeTint="A6"/>
        </w:rPr>
        <w:t xml:space="preserve">Leukaemia inhibitory factor (LIF) has been known to enhance and mediate the pro-invasive activation of stromal fibroblasts (Albrengues </w:t>
      </w:r>
      <w:r w:rsidRPr="00495779">
        <w:rPr>
          <w:rFonts w:ascii="Arial" w:hAnsi="Arial" w:cs="Arial"/>
          <w:i/>
          <w:iCs/>
          <w:color w:val="595959" w:themeColor="text1" w:themeTint="A6"/>
        </w:rPr>
        <w:t>et al</w:t>
      </w:r>
      <w:r w:rsidRPr="00495779">
        <w:rPr>
          <w:rFonts w:ascii="Arial" w:hAnsi="Arial" w:cs="Arial"/>
          <w:iCs/>
          <w:color w:val="595959" w:themeColor="text1" w:themeTint="A6"/>
        </w:rPr>
        <w:t>., 2014). TGFβ produces this stability by activating LIF production which med</w:t>
      </w:r>
      <w:r>
        <w:rPr>
          <w:rFonts w:ascii="Arial" w:hAnsi="Arial" w:cs="Arial"/>
          <w:iCs/>
          <w:color w:val="595959" w:themeColor="text1" w:themeTint="A6"/>
        </w:rPr>
        <w:t>iates actomyosin contractility</w:t>
      </w:r>
      <w:r w:rsidRPr="00495779">
        <w:rPr>
          <w:rFonts w:ascii="Arial" w:hAnsi="Arial" w:cs="Arial"/>
          <w:iCs/>
          <w:color w:val="595959" w:themeColor="text1" w:themeTint="A6"/>
        </w:rPr>
        <w:t xml:space="preserve"> and ECM remodelling; both processes increase carcinoma invasion </w:t>
      </w:r>
      <w:r w:rsidRPr="00495779">
        <w:rPr>
          <w:rFonts w:ascii="Arial" w:hAnsi="Arial" w:cs="Arial"/>
          <w:i/>
          <w:iCs/>
          <w:color w:val="595959" w:themeColor="text1" w:themeTint="A6"/>
        </w:rPr>
        <w:t>in vitro</w:t>
      </w:r>
      <w:r w:rsidRPr="00495779">
        <w:rPr>
          <w:rFonts w:ascii="Arial" w:hAnsi="Arial" w:cs="Arial"/>
          <w:iCs/>
          <w:color w:val="595959" w:themeColor="text1" w:themeTint="A6"/>
        </w:rPr>
        <w:t xml:space="preserve"> and </w:t>
      </w:r>
      <w:r w:rsidRPr="00495779">
        <w:rPr>
          <w:rFonts w:ascii="Arial" w:hAnsi="Arial" w:cs="Arial"/>
          <w:i/>
          <w:iCs/>
          <w:color w:val="595959" w:themeColor="text1" w:themeTint="A6"/>
        </w:rPr>
        <w:t>in vivo</w:t>
      </w:r>
      <w:r w:rsidRPr="00495779">
        <w:rPr>
          <w:rFonts w:ascii="Arial" w:hAnsi="Arial" w:cs="Arial"/>
          <w:iCs/>
          <w:color w:val="595959" w:themeColor="text1" w:themeTint="A6"/>
        </w:rPr>
        <w:t>. Collagen fibre organisation and upregulation have been noted in carcinomas with high LIF expression. This process is the result of complex signalling through the JAK/STAT pathway and specific JAK inhibitors</w:t>
      </w:r>
      <w:r w:rsidR="009A7614">
        <w:rPr>
          <w:rFonts w:ascii="Arial" w:hAnsi="Arial" w:cs="Arial"/>
          <w:iCs/>
          <w:color w:val="595959" w:themeColor="text1" w:themeTint="A6"/>
        </w:rPr>
        <w:t xml:space="preserve"> for example</w:t>
      </w:r>
      <w:r w:rsidRPr="00495779">
        <w:rPr>
          <w:rFonts w:ascii="Arial" w:hAnsi="Arial" w:cs="Arial"/>
          <w:iCs/>
          <w:color w:val="595959" w:themeColor="text1" w:themeTint="A6"/>
        </w:rPr>
        <w:t xml:space="preserve"> Ruxolitinib </w:t>
      </w:r>
      <w:r w:rsidR="009A7614">
        <w:rPr>
          <w:rFonts w:ascii="Arial" w:hAnsi="Arial" w:cs="Arial"/>
          <w:iCs/>
          <w:color w:val="595959" w:themeColor="text1" w:themeTint="A6"/>
        </w:rPr>
        <w:t xml:space="preserve">has been observed to </w:t>
      </w:r>
      <w:r w:rsidRPr="00495779">
        <w:rPr>
          <w:rFonts w:ascii="Arial" w:hAnsi="Arial" w:cs="Arial"/>
          <w:iCs/>
          <w:color w:val="595959" w:themeColor="text1" w:themeTint="A6"/>
        </w:rPr>
        <w:t>counteract the effect of LIF-mediated pro-invasion</w:t>
      </w:r>
      <w:r w:rsidR="001A4145">
        <w:rPr>
          <w:rFonts w:ascii="Arial" w:hAnsi="Arial" w:cs="Arial"/>
          <w:iCs/>
          <w:color w:val="595959" w:themeColor="text1" w:themeTint="A6"/>
        </w:rPr>
        <w:t xml:space="preserve"> </w:t>
      </w:r>
      <w:r w:rsidR="001A4145" w:rsidRPr="00495779">
        <w:rPr>
          <w:rFonts w:ascii="Arial" w:hAnsi="Arial" w:cs="Arial"/>
          <w:iCs/>
          <w:color w:val="595959" w:themeColor="text1" w:themeTint="A6"/>
        </w:rPr>
        <w:t xml:space="preserve">(Albrengues </w:t>
      </w:r>
      <w:r w:rsidR="001A4145" w:rsidRPr="00495779">
        <w:rPr>
          <w:rFonts w:ascii="Arial" w:hAnsi="Arial" w:cs="Arial"/>
          <w:i/>
          <w:iCs/>
          <w:color w:val="595959" w:themeColor="text1" w:themeTint="A6"/>
        </w:rPr>
        <w:t>et al</w:t>
      </w:r>
      <w:r w:rsidR="001A4145">
        <w:rPr>
          <w:rFonts w:ascii="Arial" w:hAnsi="Arial" w:cs="Arial"/>
          <w:iCs/>
          <w:color w:val="595959" w:themeColor="text1" w:themeTint="A6"/>
        </w:rPr>
        <w:t>., 2014)</w:t>
      </w:r>
      <w:r w:rsidRPr="00495779">
        <w:rPr>
          <w:rFonts w:ascii="Arial" w:hAnsi="Arial" w:cs="Arial"/>
          <w:iCs/>
          <w:color w:val="595959" w:themeColor="text1" w:themeTint="A6"/>
        </w:rPr>
        <w:t>.</w:t>
      </w:r>
      <w:r w:rsidRPr="00A008DC">
        <w:rPr>
          <w:rFonts w:ascii="Arial" w:hAnsi="Arial" w:cs="Arial"/>
          <w:iCs/>
          <w:color w:val="595959" w:themeColor="text1" w:themeTint="A6"/>
          <w:sz w:val="24"/>
          <w:szCs w:val="24"/>
        </w:rPr>
        <w:t xml:space="preserve"> </w:t>
      </w:r>
      <w:r w:rsidRPr="0070552A">
        <w:rPr>
          <w:rFonts w:ascii="Arial" w:hAnsi="Arial" w:cs="Arial"/>
          <w:iCs/>
          <w:color w:val="595959" w:themeColor="text1" w:themeTint="A6"/>
        </w:rPr>
        <w:t xml:space="preserve">The long-term implications of exogenous recombinant </w:t>
      </w:r>
      <w:r>
        <w:rPr>
          <w:rFonts w:ascii="Arial" w:hAnsi="Arial" w:cs="Arial"/>
          <w:iCs/>
          <w:color w:val="595959" w:themeColor="text1" w:themeTint="A6"/>
        </w:rPr>
        <w:t xml:space="preserve">LIF treatment has yet to be established in pro-invasive OSCC CAF but </w:t>
      </w:r>
      <w:r w:rsidR="009A7614">
        <w:rPr>
          <w:rFonts w:ascii="Arial" w:hAnsi="Arial" w:cs="Arial"/>
          <w:iCs/>
          <w:color w:val="595959" w:themeColor="text1" w:themeTint="A6"/>
        </w:rPr>
        <w:t>c</w:t>
      </w:r>
      <w:r>
        <w:rPr>
          <w:rFonts w:ascii="Arial" w:hAnsi="Arial" w:cs="Arial"/>
          <w:iCs/>
          <w:color w:val="595959" w:themeColor="text1" w:themeTint="A6"/>
        </w:rPr>
        <w:t>ould be use</w:t>
      </w:r>
      <w:r w:rsidR="009A7614">
        <w:rPr>
          <w:rFonts w:ascii="Arial" w:hAnsi="Arial" w:cs="Arial"/>
          <w:iCs/>
          <w:color w:val="595959" w:themeColor="text1" w:themeTint="A6"/>
        </w:rPr>
        <w:t>ful</w:t>
      </w:r>
      <w:r>
        <w:rPr>
          <w:rFonts w:ascii="Arial" w:hAnsi="Arial" w:cs="Arial"/>
          <w:iCs/>
          <w:color w:val="595959" w:themeColor="text1" w:themeTint="A6"/>
        </w:rPr>
        <w:t xml:space="preserve"> in the understanding of epigenetic signalling mechanisms that provide pro-invasive signalling in long-term viable models of OSCC.  Fibrogenesis in the kidney is also determined by methylated activation of fibroblasts. Hypermethylation of the Ras protein activator like 1 (RASAL1) and subsequent </w:t>
      </w:r>
      <w:r w:rsidR="002B5F9E">
        <w:rPr>
          <w:rFonts w:ascii="Arial" w:hAnsi="Arial" w:cs="Arial"/>
          <w:iCs/>
          <w:color w:val="595959" w:themeColor="text1" w:themeTint="A6"/>
        </w:rPr>
        <w:t>downregulation</w:t>
      </w:r>
      <w:r>
        <w:rPr>
          <w:rFonts w:ascii="Arial" w:hAnsi="Arial" w:cs="Arial"/>
          <w:iCs/>
          <w:color w:val="595959" w:themeColor="text1" w:themeTint="A6"/>
        </w:rPr>
        <w:t xml:space="preserve"> of the protein leads to a </w:t>
      </w:r>
      <w:r w:rsidRPr="00F52E8E">
        <w:rPr>
          <w:rFonts w:ascii="Arial" w:hAnsi="Arial" w:cs="Arial"/>
          <w:i/>
          <w:iCs/>
          <w:color w:val="595959" w:themeColor="text1" w:themeTint="A6"/>
        </w:rPr>
        <w:t xml:space="preserve">de novo </w:t>
      </w:r>
      <w:r>
        <w:rPr>
          <w:rFonts w:ascii="Arial" w:hAnsi="Arial" w:cs="Arial"/>
          <w:iCs/>
          <w:color w:val="595959" w:themeColor="text1" w:themeTint="A6"/>
        </w:rPr>
        <w:t xml:space="preserve">activation of Ras in fibrotically-activated fibroblasts but not fibroblasts </w:t>
      </w:r>
      <w:r w:rsidR="009A7614">
        <w:rPr>
          <w:rFonts w:ascii="Arial" w:hAnsi="Arial" w:cs="Arial"/>
          <w:iCs/>
          <w:color w:val="595959" w:themeColor="text1" w:themeTint="A6"/>
        </w:rPr>
        <w:t xml:space="preserve">isolated </w:t>
      </w:r>
      <w:r>
        <w:rPr>
          <w:rFonts w:ascii="Arial" w:hAnsi="Arial" w:cs="Arial"/>
          <w:iCs/>
          <w:color w:val="595959" w:themeColor="text1" w:themeTint="A6"/>
        </w:rPr>
        <w:t xml:space="preserve">in normal tissue (Betchel </w:t>
      </w:r>
      <w:r w:rsidRPr="00F52E8E">
        <w:rPr>
          <w:rFonts w:ascii="Arial" w:hAnsi="Arial" w:cs="Arial"/>
          <w:i/>
          <w:iCs/>
          <w:color w:val="595959" w:themeColor="text1" w:themeTint="A6"/>
        </w:rPr>
        <w:t>et al.,</w:t>
      </w:r>
      <w:r>
        <w:rPr>
          <w:rFonts w:ascii="Arial" w:hAnsi="Arial" w:cs="Arial"/>
          <w:iCs/>
          <w:color w:val="595959" w:themeColor="text1" w:themeTint="A6"/>
        </w:rPr>
        <w:t xml:space="preserve"> 2010).</w:t>
      </w:r>
    </w:p>
    <w:p w14:paraId="169A7A7F" w14:textId="36027052" w:rsidR="007325CD" w:rsidRDefault="007325CD" w:rsidP="009D02AC">
      <w:pPr>
        <w:pStyle w:val="Heading4"/>
        <w:rPr>
          <w:rFonts w:ascii="Arial" w:hAnsi="Arial" w:cs="Arial"/>
          <w:color w:val="595959" w:themeColor="text1" w:themeTint="A6"/>
        </w:rPr>
      </w:pPr>
      <w:bookmarkStart w:id="29" w:name="_Toc34208253"/>
      <w:r w:rsidRPr="000C332A">
        <w:rPr>
          <w:rFonts w:ascii="Arial" w:hAnsi="Arial" w:cs="Arial"/>
          <w:color w:val="595959" w:themeColor="text1" w:themeTint="A6"/>
        </w:rPr>
        <w:t>1.</w:t>
      </w:r>
      <w:r w:rsidR="00910192" w:rsidRPr="000C332A">
        <w:rPr>
          <w:rFonts w:ascii="Arial" w:hAnsi="Arial" w:cs="Arial"/>
          <w:color w:val="595959" w:themeColor="text1" w:themeTint="A6"/>
        </w:rPr>
        <w:t>3</w:t>
      </w:r>
      <w:r w:rsidRPr="000C332A">
        <w:rPr>
          <w:rFonts w:ascii="Arial" w:hAnsi="Arial" w:cs="Arial"/>
          <w:color w:val="595959" w:themeColor="text1" w:themeTint="A6"/>
        </w:rPr>
        <w:t>.</w:t>
      </w:r>
      <w:r w:rsidR="00910192" w:rsidRPr="000C332A">
        <w:rPr>
          <w:rFonts w:ascii="Arial" w:hAnsi="Arial" w:cs="Arial"/>
          <w:color w:val="595959" w:themeColor="text1" w:themeTint="A6"/>
        </w:rPr>
        <w:t>1</w:t>
      </w:r>
      <w:r w:rsidRPr="000C332A">
        <w:rPr>
          <w:rFonts w:ascii="Arial" w:hAnsi="Arial" w:cs="Arial"/>
          <w:color w:val="595959" w:themeColor="text1" w:themeTint="A6"/>
        </w:rPr>
        <w:t>.5 CAF in tumorigenesis</w:t>
      </w:r>
      <w:bookmarkEnd w:id="29"/>
    </w:p>
    <w:p w14:paraId="169BCED6" w14:textId="77777777" w:rsidR="009D02AC" w:rsidRPr="009D02AC" w:rsidRDefault="009D02AC" w:rsidP="009D02AC"/>
    <w:p w14:paraId="00657ECE" w14:textId="4CCB55CA" w:rsidR="000C332A" w:rsidRPr="00114476" w:rsidRDefault="007325CD" w:rsidP="00114476">
      <w:pPr>
        <w:spacing w:line="480" w:lineRule="auto"/>
        <w:jc w:val="both"/>
        <w:rPr>
          <w:rFonts w:ascii="Arial" w:hAnsi="Arial" w:cs="Arial"/>
          <w:iCs/>
          <w:color w:val="595959" w:themeColor="text1" w:themeTint="A6"/>
        </w:rPr>
      </w:pPr>
      <w:r>
        <w:rPr>
          <w:rFonts w:ascii="Arial" w:hAnsi="Arial" w:cs="Arial"/>
          <w:iCs/>
          <w:color w:val="595959" w:themeColor="text1" w:themeTint="A6"/>
        </w:rPr>
        <w:t>Mechanical stimuli from tumour tissue</w:t>
      </w:r>
      <w:r w:rsidRPr="00A008DC">
        <w:rPr>
          <w:rFonts w:ascii="Arial" w:hAnsi="Arial" w:cs="Arial"/>
          <w:iCs/>
          <w:color w:val="595959" w:themeColor="text1" w:themeTint="A6"/>
        </w:rPr>
        <w:t xml:space="preserve"> remodelling also maintains and actively recruits CAF. Within OSCC the</w:t>
      </w:r>
      <w:r>
        <w:rPr>
          <w:rFonts w:ascii="Arial" w:hAnsi="Arial" w:cs="Arial"/>
          <w:iCs/>
          <w:color w:val="595959" w:themeColor="text1" w:themeTint="A6"/>
        </w:rPr>
        <w:t xml:space="preserve">re </w:t>
      </w:r>
      <w:r w:rsidR="00C9798B">
        <w:rPr>
          <w:rFonts w:ascii="Arial" w:hAnsi="Arial" w:cs="Arial"/>
          <w:iCs/>
          <w:color w:val="595959" w:themeColor="text1" w:themeTint="A6"/>
        </w:rPr>
        <w:t>is a</w:t>
      </w:r>
      <w:r w:rsidRPr="00A008DC">
        <w:rPr>
          <w:rFonts w:ascii="Arial" w:hAnsi="Arial" w:cs="Arial"/>
          <w:iCs/>
          <w:color w:val="595959" w:themeColor="text1" w:themeTint="A6"/>
        </w:rPr>
        <w:t xml:space="preserve"> </w:t>
      </w:r>
      <w:r>
        <w:rPr>
          <w:rFonts w:ascii="Arial" w:hAnsi="Arial" w:cs="Arial"/>
          <w:iCs/>
          <w:color w:val="595959" w:themeColor="text1" w:themeTint="A6"/>
        </w:rPr>
        <w:t xml:space="preserve">distinct </w:t>
      </w:r>
      <w:r w:rsidRPr="00A008DC">
        <w:rPr>
          <w:rFonts w:ascii="Arial" w:hAnsi="Arial" w:cs="Arial"/>
          <w:iCs/>
          <w:color w:val="595959" w:themeColor="text1" w:themeTint="A6"/>
        </w:rPr>
        <w:t xml:space="preserve">chain of events </w:t>
      </w:r>
      <w:r>
        <w:rPr>
          <w:rFonts w:ascii="Arial" w:hAnsi="Arial" w:cs="Arial"/>
          <w:iCs/>
          <w:color w:val="595959" w:themeColor="text1" w:themeTint="A6"/>
        </w:rPr>
        <w:t>that involve</w:t>
      </w:r>
      <w:r w:rsidRPr="00A008DC">
        <w:rPr>
          <w:rFonts w:ascii="Arial" w:hAnsi="Arial" w:cs="Arial"/>
          <w:iCs/>
          <w:color w:val="595959" w:themeColor="text1" w:themeTint="A6"/>
        </w:rPr>
        <w:t xml:space="preserve"> CAF</w:t>
      </w:r>
      <w:r>
        <w:rPr>
          <w:rFonts w:ascii="Arial" w:hAnsi="Arial" w:cs="Arial"/>
          <w:iCs/>
          <w:color w:val="595959" w:themeColor="text1" w:themeTint="A6"/>
        </w:rPr>
        <w:t xml:space="preserve"> differentiation</w:t>
      </w:r>
      <w:r w:rsidR="0062685E">
        <w:rPr>
          <w:rFonts w:ascii="Arial" w:hAnsi="Arial" w:cs="Arial"/>
          <w:iCs/>
          <w:color w:val="595959" w:themeColor="text1" w:themeTint="A6"/>
        </w:rPr>
        <w:t xml:space="preserve">, </w:t>
      </w:r>
      <w:r>
        <w:rPr>
          <w:rFonts w:ascii="Arial" w:hAnsi="Arial" w:cs="Arial"/>
          <w:iCs/>
          <w:color w:val="595959" w:themeColor="text1" w:themeTint="A6"/>
        </w:rPr>
        <w:t xml:space="preserve">cancer progression and elevated </w:t>
      </w:r>
      <w:r w:rsidRPr="00A008DC">
        <w:rPr>
          <w:rFonts w:ascii="Arial" w:hAnsi="Arial" w:cs="Arial"/>
          <w:iCs/>
          <w:color w:val="595959" w:themeColor="text1" w:themeTint="A6"/>
        </w:rPr>
        <w:t>matrix stiffness</w:t>
      </w:r>
      <w:r w:rsidR="001A4145">
        <w:rPr>
          <w:rFonts w:ascii="Arial" w:hAnsi="Arial" w:cs="Arial"/>
          <w:iCs/>
          <w:color w:val="595959" w:themeColor="text1" w:themeTint="A6"/>
        </w:rPr>
        <w:t xml:space="preserve"> (Figure 1.4</w:t>
      </w:r>
      <w:r>
        <w:rPr>
          <w:rFonts w:ascii="Arial" w:hAnsi="Arial" w:cs="Arial"/>
          <w:iCs/>
          <w:color w:val="595959" w:themeColor="text1" w:themeTint="A6"/>
        </w:rPr>
        <w:t>)</w:t>
      </w:r>
      <w:r w:rsidRPr="00A008DC">
        <w:rPr>
          <w:rFonts w:ascii="Arial" w:hAnsi="Arial" w:cs="Arial"/>
          <w:iCs/>
          <w:color w:val="595959" w:themeColor="text1" w:themeTint="A6"/>
        </w:rPr>
        <w:t>.</w:t>
      </w:r>
      <w:r>
        <w:rPr>
          <w:rFonts w:ascii="Arial" w:hAnsi="Arial" w:cs="Arial"/>
          <w:iCs/>
          <w:color w:val="595959" w:themeColor="text1" w:themeTint="A6"/>
        </w:rPr>
        <w:t xml:space="preserve"> </w:t>
      </w:r>
      <w:r>
        <w:rPr>
          <w:rFonts w:ascii="Arial" w:hAnsi="Arial" w:cs="Arial"/>
          <w:i/>
          <w:iCs/>
          <w:color w:val="595959" w:themeColor="text1" w:themeTint="A6"/>
        </w:rPr>
        <w:t>I</w:t>
      </w:r>
      <w:r w:rsidRPr="003C55E7">
        <w:rPr>
          <w:rFonts w:ascii="Arial" w:hAnsi="Arial" w:cs="Arial"/>
          <w:i/>
          <w:iCs/>
          <w:color w:val="595959" w:themeColor="text1" w:themeTint="A6"/>
        </w:rPr>
        <w:t>n vitro</w:t>
      </w:r>
      <w:r>
        <w:rPr>
          <w:rFonts w:ascii="Arial" w:hAnsi="Arial" w:cs="Arial"/>
          <w:iCs/>
          <w:color w:val="595959" w:themeColor="text1" w:themeTint="A6"/>
        </w:rPr>
        <w:t xml:space="preserve"> and transgenic </w:t>
      </w:r>
      <w:r w:rsidRPr="003C55E7">
        <w:rPr>
          <w:rFonts w:ascii="Arial" w:hAnsi="Arial" w:cs="Arial"/>
          <w:i/>
          <w:iCs/>
          <w:color w:val="595959" w:themeColor="text1" w:themeTint="A6"/>
        </w:rPr>
        <w:t>in vivo</w:t>
      </w:r>
      <w:r>
        <w:rPr>
          <w:rFonts w:ascii="Arial" w:hAnsi="Arial" w:cs="Arial"/>
          <w:iCs/>
          <w:color w:val="595959" w:themeColor="text1" w:themeTint="A6"/>
        </w:rPr>
        <w:t xml:space="preserve"> analysis confirm</w:t>
      </w:r>
      <w:r w:rsidR="003A0701">
        <w:rPr>
          <w:rFonts w:ascii="Arial" w:hAnsi="Arial" w:cs="Arial"/>
          <w:iCs/>
          <w:color w:val="595959" w:themeColor="text1" w:themeTint="A6"/>
        </w:rPr>
        <w:t>ed that</w:t>
      </w:r>
      <w:r>
        <w:rPr>
          <w:rFonts w:ascii="Arial" w:hAnsi="Arial" w:cs="Arial"/>
          <w:iCs/>
          <w:color w:val="595959" w:themeColor="text1" w:themeTint="A6"/>
        </w:rPr>
        <w:t xml:space="preserve"> CAF in epithelial carcinomas</w:t>
      </w:r>
      <w:r w:rsidR="003D32E8">
        <w:rPr>
          <w:rFonts w:ascii="Arial" w:hAnsi="Arial" w:cs="Arial"/>
          <w:iCs/>
          <w:color w:val="595959" w:themeColor="text1" w:themeTint="A6"/>
        </w:rPr>
        <w:t xml:space="preserve"> exhibited </w:t>
      </w:r>
      <w:r w:rsidR="006E7654">
        <w:rPr>
          <w:rFonts w:ascii="Arial" w:hAnsi="Arial" w:cs="Arial"/>
          <w:iCs/>
          <w:color w:val="595959" w:themeColor="text1" w:themeTint="A6"/>
        </w:rPr>
        <w:t xml:space="preserve">and increased </w:t>
      </w:r>
      <w:r>
        <w:rPr>
          <w:rFonts w:ascii="Arial" w:hAnsi="Arial" w:cs="Arial"/>
          <w:iCs/>
          <w:color w:val="595959" w:themeColor="text1" w:themeTint="A6"/>
        </w:rPr>
        <w:t>proliferati</w:t>
      </w:r>
      <w:r w:rsidR="006E7654">
        <w:rPr>
          <w:rFonts w:ascii="Arial" w:hAnsi="Arial" w:cs="Arial"/>
          <w:iCs/>
          <w:color w:val="595959" w:themeColor="text1" w:themeTint="A6"/>
        </w:rPr>
        <w:t>ve capacity</w:t>
      </w:r>
      <w:r>
        <w:rPr>
          <w:rFonts w:ascii="Arial" w:hAnsi="Arial" w:cs="Arial"/>
          <w:iCs/>
          <w:color w:val="595959" w:themeColor="text1" w:themeTint="A6"/>
        </w:rPr>
        <w:t xml:space="preserve"> and enhanced migratory behaviour (Schor </w:t>
      </w:r>
      <w:r w:rsidRPr="00105092">
        <w:rPr>
          <w:rFonts w:ascii="Arial" w:hAnsi="Arial" w:cs="Arial"/>
          <w:i/>
          <w:iCs/>
          <w:color w:val="595959" w:themeColor="text1" w:themeTint="A6"/>
        </w:rPr>
        <w:t>et al.,</w:t>
      </w:r>
      <w:r>
        <w:rPr>
          <w:rFonts w:ascii="Arial" w:hAnsi="Arial" w:cs="Arial"/>
          <w:iCs/>
          <w:color w:val="595959" w:themeColor="text1" w:themeTint="A6"/>
        </w:rPr>
        <w:t xml:space="preserve"> 2000). Irradiation of fibroblasts transplanted into the fat pads of mice saw an increased incidence of breast tumour in comparison to those non-irradiated fibroblasts (Barcellos-Hoff </w:t>
      </w:r>
      <w:r w:rsidRPr="00105092">
        <w:rPr>
          <w:rFonts w:ascii="Arial" w:hAnsi="Arial" w:cs="Arial"/>
          <w:i/>
          <w:iCs/>
          <w:color w:val="595959" w:themeColor="text1" w:themeTint="A6"/>
        </w:rPr>
        <w:t>et al</w:t>
      </w:r>
      <w:r>
        <w:rPr>
          <w:rFonts w:ascii="Arial" w:hAnsi="Arial" w:cs="Arial"/>
          <w:iCs/>
          <w:color w:val="595959" w:themeColor="text1" w:themeTint="A6"/>
        </w:rPr>
        <w:t xml:space="preserve">., 2000). </w:t>
      </w:r>
      <w:r w:rsidRPr="00A008DC">
        <w:rPr>
          <w:rFonts w:ascii="Arial" w:hAnsi="Arial" w:cs="Arial"/>
          <w:iCs/>
          <w:color w:val="595959" w:themeColor="text1" w:themeTint="A6"/>
        </w:rPr>
        <w:t>As well has having the same mechanical properties as myoFB</w:t>
      </w:r>
      <w:r>
        <w:rPr>
          <w:rFonts w:ascii="Arial" w:hAnsi="Arial" w:cs="Arial"/>
          <w:iCs/>
          <w:color w:val="595959" w:themeColor="text1" w:themeTint="A6"/>
        </w:rPr>
        <w:t xml:space="preserve"> </w:t>
      </w:r>
      <w:r w:rsidRPr="00A008DC">
        <w:rPr>
          <w:rFonts w:ascii="Arial" w:hAnsi="Arial" w:cs="Arial"/>
          <w:iCs/>
          <w:color w:val="595959" w:themeColor="text1" w:themeTint="A6"/>
        </w:rPr>
        <w:t>they produce an abundance of soluble factors</w:t>
      </w:r>
      <w:r>
        <w:rPr>
          <w:rFonts w:ascii="Arial" w:hAnsi="Arial" w:cs="Arial"/>
          <w:iCs/>
          <w:color w:val="595959" w:themeColor="text1" w:themeTint="A6"/>
        </w:rPr>
        <w:t xml:space="preserve"> </w:t>
      </w:r>
      <w:r w:rsidRPr="00A008DC">
        <w:rPr>
          <w:rFonts w:ascii="Arial" w:hAnsi="Arial" w:cs="Arial"/>
          <w:iCs/>
          <w:color w:val="595959" w:themeColor="text1" w:themeTint="A6"/>
        </w:rPr>
        <w:t>and proteins</w:t>
      </w:r>
      <w:r>
        <w:rPr>
          <w:rFonts w:ascii="Arial" w:hAnsi="Arial" w:cs="Arial"/>
          <w:iCs/>
          <w:color w:val="595959" w:themeColor="text1" w:themeTint="A6"/>
        </w:rPr>
        <w:t xml:space="preserve"> due to an </w:t>
      </w:r>
      <w:r>
        <w:rPr>
          <w:rFonts w:ascii="Arial" w:hAnsi="Arial" w:cs="Arial"/>
          <w:iCs/>
          <w:color w:val="595959" w:themeColor="text1" w:themeTint="A6"/>
        </w:rPr>
        <w:lastRenderedPageBreak/>
        <w:t>elevated secretome activity</w:t>
      </w:r>
      <w:r w:rsidRPr="00A008DC">
        <w:rPr>
          <w:rFonts w:ascii="Arial" w:hAnsi="Arial" w:cs="Arial"/>
          <w:iCs/>
          <w:color w:val="595959" w:themeColor="text1" w:themeTint="A6"/>
        </w:rPr>
        <w:t xml:space="preserve"> capable of initiating and developing pathological response in tumorigenesis. </w:t>
      </w:r>
      <w:r>
        <w:rPr>
          <w:rFonts w:ascii="Arial" w:hAnsi="Arial" w:cs="Arial"/>
          <w:iCs/>
          <w:color w:val="595959" w:themeColor="text1" w:themeTint="A6"/>
        </w:rPr>
        <w:t>Such implicated growth factors include</w:t>
      </w:r>
      <w:r w:rsidR="00B73E9E">
        <w:rPr>
          <w:rFonts w:ascii="Arial" w:hAnsi="Arial" w:cs="Arial"/>
          <w:iCs/>
          <w:color w:val="595959" w:themeColor="text1" w:themeTint="A6"/>
        </w:rPr>
        <w:t xml:space="preserve"> fibroblast-growth factor</w:t>
      </w:r>
      <w:r>
        <w:rPr>
          <w:rFonts w:ascii="Arial" w:hAnsi="Arial" w:cs="Arial"/>
          <w:iCs/>
          <w:color w:val="595959" w:themeColor="text1" w:themeTint="A6"/>
        </w:rPr>
        <w:t xml:space="preserve"> </w:t>
      </w:r>
      <w:r w:rsidR="00B73E9E">
        <w:rPr>
          <w:rFonts w:ascii="Arial" w:hAnsi="Arial" w:cs="Arial"/>
          <w:iCs/>
          <w:color w:val="595959" w:themeColor="text1" w:themeTint="A6"/>
        </w:rPr>
        <w:t>(</w:t>
      </w:r>
      <w:r>
        <w:rPr>
          <w:rFonts w:ascii="Arial" w:hAnsi="Arial" w:cs="Arial"/>
          <w:iCs/>
          <w:color w:val="595959" w:themeColor="text1" w:themeTint="A6"/>
        </w:rPr>
        <w:t>FGF</w:t>
      </w:r>
      <w:r w:rsidR="00B73E9E">
        <w:rPr>
          <w:rFonts w:ascii="Arial" w:hAnsi="Arial" w:cs="Arial"/>
          <w:iCs/>
          <w:color w:val="595959" w:themeColor="text1" w:themeTint="A6"/>
        </w:rPr>
        <w:t>)</w:t>
      </w:r>
      <w:r>
        <w:rPr>
          <w:rFonts w:ascii="Arial" w:hAnsi="Arial" w:cs="Arial"/>
          <w:iCs/>
          <w:color w:val="595959" w:themeColor="text1" w:themeTint="A6"/>
        </w:rPr>
        <w:t xml:space="preserve">, </w:t>
      </w:r>
      <w:r w:rsidR="00A91B9F">
        <w:rPr>
          <w:rFonts w:ascii="Arial" w:hAnsi="Arial" w:cs="Arial"/>
          <w:iCs/>
          <w:color w:val="595959" w:themeColor="text1" w:themeTint="A6"/>
        </w:rPr>
        <w:t>insulin-like growth factor (</w:t>
      </w:r>
      <w:r>
        <w:rPr>
          <w:rFonts w:ascii="Arial" w:hAnsi="Arial" w:cs="Arial"/>
          <w:iCs/>
          <w:color w:val="595959" w:themeColor="text1" w:themeTint="A6"/>
        </w:rPr>
        <w:t>IGF</w:t>
      </w:r>
      <w:r w:rsidR="00A91B9F">
        <w:rPr>
          <w:rFonts w:ascii="Arial" w:hAnsi="Arial" w:cs="Arial"/>
          <w:iCs/>
          <w:color w:val="595959" w:themeColor="text1" w:themeTint="A6"/>
        </w:rPr>
        <w:t>)</w:t>
      </w:r>
      <w:r>
        <w:rPr>
          <w:rFonts w:ascii="Arial" w:hAnsi="Arial" w:cs="Arial"/>
          <w:iCs/>
          <w:color w:val="595959" w:themeColor="text1" w:themeTint="A6"/>
        </w:rPr>
        <w:t xml:space="preserve">, </w:t>
      </w:r>
      <w:r w:rsidR="00A91B9F">
        <w:rPr>
          <w:rFonts w:ascii="Arial" w:hAnsi="Arial" w:cs="Arial"/>
          <w:iCs/>
          <w:color w:val="595959" w:themeColor="text1" w:themeTint="A6"/>
        </w:rPr>
        <w:t>epidermal growth factor (</w:t>
      </w:r>
      <w:r>
        <w:rPr>
          <w:rFonts w:ascii="Arial" w:hAnsi="Arial" w:cs="Arial"/>
          <w:iCs/>
          <w:color w:val="595959" w:themeColor="text1" w:themeTint="A6"/>
        </w:rPr>
        <w:t>EGF</w:t>
      </w:r>
      <w:r w:rsidR="00A91B9F">
        <w:rPr>
          <w:rFonts w:ascii="Arial" w:hAnsi="Arial" w:cs="Arial"/>
          <w:iCs/>
          <w:color w:val="595959" w:themeColor="text1" w:themeTint="A6"/>
        </w:rPr>
        <w:t>)</w:t>
      </w:r>
      <w:r>
        <w:rPr>
          <w:rFonts w:ascii="Arial" w:hAnsi="Arial" w:cs="Arial"/>
          <w:iCs/>
          <w:color w:val="595959" w:themeColor="text1" w:themeTint="A6"/>
        </w:rPr>
        <w:t xml:space="preserve">, </w:t>
      </w:r>
      <w:r w:rsidR="00A91B9F">
        <w:rPr>
          <w:rFonts w:ascii="Arial" w:hAnsi="Arial" w:cs="Arial"/>
          <w:iCs/>
          <w:color w:val="595959" w:themeColor="text1" w:themeTint="A6"/>
        </w:rPr>
        <w:t>hepatocyte growth factor (</w:t>
      </w:r>
      <w:r>
        <w:rPr>
          <w:rFonts w:ascii="Arial" w:hAnsi="Arial" w:cs="Arial"/>
          <w:iCs/>
          <w:color w:val="595959" w:themeColor="text1" w:themeTint="A6"/>
        </w:rPr>
        <w:t>HGF</w:t>
      </w:r>
      <w:r w:rsidR="00A91B9F">
        <w:rPr>
          <w:rFonts w:ascii="Arial" w:hAnsi="Arial" w:cs="Arial"/>
          <w:iCs/>
          <w:color w:val="595959" w:themeColor="text1" w:themeTint="A6"/>
        </w:rPr>
        <w:t>)</w:t>
      </w:r>
      <w:r>
        <w:rPr>
          <w:rFonts w:ascii="Arial" w:hAnsi="Arial" w:cs="Arial"/>
          <w:iCs/>
          <w:color w:val="595959" w:themeColor="text1" w:themeTint="A6"/>
        </w:rPr>
        <w:t xml:space="preserve"> and TGFβ. Most cause sustained proliferation and therefore contribute to cancer progression in that way. Yes-associated protein (YAP1) activation in CAF enhance ECM stiffening and cancer cell invasion by regulating the expression of cytoskeletal regulators (Calvo </w:t>
      </w:r>
      <w:r w:rsidRPr="003C55E7">
        <w:rPr>
          <w:rFonts w:ascii="Arial" w:hAnsi="Arial" w:cs="Arial"/>
          <w:i/>
          <w:iCs/>
          <w:color w:val="595959" w:themeColor="text1" w:themeTint="A6"/>
        </w:rPr>
        <w:t>et al.,</w:t>
      </w:r>
      <w:r>
        <w:rPr>
          <w:rFonts w:ascii="Arial" w:hAnsi="Arial" w:cs="Arial"/>
          <w:iCs/>
          <w:color w:val="595959" w:themeColor="text1" w:themeTint="A6"/>
        </w:rPr>
        <w:t xml:space="preserve"> 2013).</w:t>
      </w:r>
    </w:p>
    <w:p w14:paraId="28DF37DF" w14:textId="725AA16F" w:rsidR="000C332A" w:rsidRDefault="007325CD" w:rsidP="009D02AC">
      <w:pPr>
        <w:pStyle w:val="Heading4"/>
        <w:rPr>
          <w:rFonts w:ascii="Arial" w:hAnsi="Arial" w:cs="Arial"/>
          <w:color w:val="595959" w:themeColor="text1" w:themeTint="A6"/>
        </w:rPr>
      </w:pPr>
      <w:bookmarkStart w:id="30" w:name="_Toc34208254"/>
      <w:r w:rsidRPr="000C332A">
        <w:rPr>
          <w:rFonts w:ascii="Arial" w:hAnsi="Arial" w:cs="Arial"/>
          <w:color w:val="595959" w:themeColor="text1" w:themeTint="A6"/>
        </w:rPr>
        <w:t>1.</w:t>
      </w:r>
      <w:r w:rsidR="00910192" w:rsidRPr="000C332A">
        <w:rPr>
          <w:rFonts w:ascii="Arial" w:hAnsi="Arial" w:cs="Arial"/>
          <w:color w:val="595959" w:themeColor="text1" w:themeTint="A6"/>
        </w:rPr>
        <w:t>3</w:t>
      </w:r>
      <w:r w:rsidRPr="000C332A">
        <w:rPr>
          <w:rFonts w:ascii="Arial" w:hAnsi="Arial" w:cs="Arial"/>
          <w:color w:val="595959" w:themeColor="text1" w:themeTint="A6"/>
        </w:rPr>
        <w:t>.</w:t>
      </w:r>
      <w:r w:rsidR="00910192" w:rsidRPr="000C332A">
        <w:rPr>
          <w:rFonts w:ascii="Arial" w:hAnsi="Arial" w:cs="Arial"/>
          <w:color w:val="595959" w:themeColor="text1" w:themeTint="A6"/>
        </w:rPr>
        <w:t>1</w:t>
      </w:r>
      <w:r w:rsidRPr="000C332A">
        <w:rPr>
          <w:rFonts w:ascii="Arial" w:hAnsi="Arial" w:cs="Arial"/>
          <w:color w:val="595959" w:themeColor="text1" w:themeTint="A6"/>
        </w:rPr>
        <w:t>.6 Fibroblast senescence and CAF Phenotype</w:t>
      </w:r>
      <w:bookmarkEnd w:id="30"/>
    </w:p>
    <w:p w14:paraId="19F01A49" w14:textId="77777777" w:rsidR="009D02AC" w:rsidRPr="009D02AC" w:rsidRDefault="009D02AC" w:rsidP="009D02AC"/>
    <w:p w14:paraId="48979FAB" w14:textId="5862EEC2" w:rsidR="007325CD" w:rsidRDefault="007325CD" w:rsidP="001A4145">
      <w:pPr>
        <w:spacing w:line="480" w:lineRule="auto"/>
        <w:jc w:val="both"/>
        <w:rPr>
          <w:rFonts w:ascii="Arial" w:hAnsi="Arial" w:cs="Arial"/>
          <w:iCs/>
          <w:color w:val="595959" w:themeColor="text1" w:themeTint="A6"/>
        </w:rPr>
      </w:pPr>
      <w:r w:rsidRPr="00495779">
        <w:rPr>
          <w:rFonts w:ascii="Arial" w:hAnsi="Arial" w:cs="Arial"/>
          <w:iCs/>
          <w:color w:val="595959" w:themeColor="text1" w:themeTint="A6"/>
        </w:rPr>
        <w:t>Another fibroblast phenotype that can contribute to the CAF population is</w:t>
      </w:r>
      <w:r>
        <w:rPr>
          <w:rFonts w:ascii="Arial" w:hAnsi="Arial" w:cs="Arial"/>
          <w:iCs/>
          <w:color w:val="595959" w:themeColor="text1" w:themeTint="A6"/>
        </w:rPr>
        <w:t xml:space="preserve"> the senescent fibroblast</w:t>
      </w:r>
      <w:r w:rsidRPr="00495779">
        <w:rPr>
          <w:rFonts w:ascii="Arial" w:hAnsi="Arial" w:cs="Arial"/>
          <w:iCs/>
          <w:color w:val="595959" w:themeColor="text1" w:themeTint="A6"/>
        </w:rPr>
        <w:t xml:space="preserve"> (Campisi and Fagagna, 2007). These are cells that are in a</w:t>
      </w:r>
      <w:r>
        <w:rPr>
          <w:rFonts w:ascii="Arial" w:hAnsi="Arial" w:cs="Arial"/>
          <w:iCs/>
          <w:color w:val="595959" w:themeColor="text1" w:themeTint="A6"/>
        </w:rPr>
        <w:t xml:space="preserve"> permanent</w:t>
      </w:r>
      <w:r w:rsidRPr="00495779">
        <w:rPr>
          <w:rFonts w:ascii="Arial" w:hAnsi="Arial" w:cs="Arial"/>
          <w:iCs/>
          <w:color w:val="595959" w:themeColor="text1" w:themeTint="A6"/>
        </w:rPr>
        <w:t xml:space="preserve"> growth arr</w:t>
      </w:r>
      <w:r>
        <w:rPr>
          <w:rFonts w:ascii="Arial" w:hAnsi="Arial" w:cs="Arial"/>
          <w:iCs/>
          <w:color w:val="595959" w:themeColor="text1" w:themeTint="A6"/>
        </w:rPr>
        <w:t>est in</w:t>
      </w:r>
      <w:r w:rsidR="009A7614">
        <w:rPr>
          <w:rFonts w:ascii="Arial" w:hAnsi="Arial" w:cs="Arial"/>
          <w:iCs/>
          <w:color w:val="595959" w:themeColor="text1" w:themeTint="A6"/>
        </w:rPr>
        <w:t xml:space="preserve"> stage</w:t>
      </w:r>
      <w:r>
        <w:rPr>
          <w:rFonts w:ascii="Arial" w:hAnsi="Arial" w:cs="Arial"/>
          <w:iCs/>
          <w:color w:val="595959" w:themeColor="text1" w:themeTint="A6"/>
        </w:rPr>
        <w:t xml:space="preserve"> G0 of the cell cycle, although </w:t>
      </w:r>
      <w:r w:rsidRPr="00495779">
        <w:rPr>
          <w:rFonts w:ascii="Arial" w:hAnsi="Arial" w:cs="Arial"/>
          <w:iCs/>
          <w:color w:val="595959" w:themeColor="text1" w:themeTint="A6"/>
        </w:rPr>
        <w:t>remain</w:t>
      </w:r>
      <w:r>
        <w:rPr>
          <w:rFonts w:ascii="Arial" w:hAnsi="Arial" w:cs="Arial"/>
          <w:iCs/>
          <w:color w:val="595959" w:themeColor="text1" w:themeTint="A6"/>
        </w:rPr>
        <w:t>ing</w:t>
      </w:r>
      <w:r w:rsidRPr="00495779">
        <w:rPr>
          <w:rFonts w:ascii="Arial" w:hAnsi="Arial" w:cs="Arial"/>
          <w:iCs/>
          <w:color w:val="595959" w:themeColor="text1" w:themeTint="A6"/>
        </w:rPr>
        <w:t xml:space="preserve"> metabolically active. They maintain a myoFB-like secretome and are termed senescence associated secretory phenotype </w:t>
      </w:r>
      <w:r w:rsidR="009A7614">
        <w:rPr>
          <w:rFonts w:ascii="Arial" w:hAnsi="Arial" w:cs="Arial"/>
          <w:iCs/>
          <w:color w:val="595959" w:themeColor="text1" w:themeTint="A6"/>
        </w:rPr>
        <w:t>(</w:t>
      </w:r>
      <w:r w:rsidR="009A7614" w:rsidRPr="00495779">
        <w:rPr>
          <w:rFonts w:ascii="Arial" w:hAnsi="Arial" w:cs="Arial"/>
          <w:iCs/>
          <w:color w:val="595959" w:themeColor="text1" w:themeTint="A6"/>
        </w:rPr>
        <w:t>SASP</w:t>
      </w:r>
      <w:r w:rsidR="009A7614">
        <w:rPr>
          <w:rFonts w:ascii="Arial" w:hAnsi="Arial" w:cs="Arial"/>
          <w:iCs/>
          <w:color w:val="595959" w:themeColor="text1" w:themeTint="A6"/>
        </w:rPr>
        <w:t>)</w:t>
      </w:r>
      <w:r w:rsidR="009A7614" w:rsidRPr="00495779">
        <w:rPr>
          <w:rFonts w:ascii="Arial" w:hAnsi="Arial" w:cs="Arial"/>
          <w:iCs/>
          <w:color w:val="595959" w:themeColor="text1" w:themeTint="A6"/>
        </w:rPr>
        <w:t xml:space="preserve"> </w:t>
      </w:r>
      <w:r w:rsidRPr="00495779">
        <w:rPr>
          <w:rFonts w:ascii="Arial" w:hAnsi="Arial" w:cs="Arial"/>
          <w:iCs/>
          <w:color w:val="595959" w:themeColor="text1" w:themeTint="A6"/>
        </w:rPr>
        <w:t xml:space="preserve">and can therefore impact on the surrounding ECM (Coppe </w:t>
      </w:r>
      <w:r w:rsidRPr="00443388">
        <w:rPr>
          <w:rFonts w:ascii="Arial" w:hAnsi="Arial" w:cs="Arial"/>
          <w:i/>
          <w:iCs/>
          <w:color w:val="595959" w:themeColor="text1" w:themeTint="A6"/>
        </w:rPr>
        <w:t>et al</w:t>
      </w:r>
      <w:r w:rsidRPr="00495779">
        <w:rPr>
          <w:rFonts w:ascii="Arial" w:hAnsi="Arial" w:cs="Arial"/>
          <w:iCs/>
          <w:color w:val="595959" w:themeColor="text1" w:themeTint="A6"/>
        </w:rPr>
        <w:t>., 2009</w:t>
      </w:r>
      <w:r w:rsidR="00494F8D">
        <w:rPr>
          <w:rFonts w:ascii="Arial" w:hAnsi="Arial" w:cs="Arial"/>
          <w:iCs/>
          <w:color w:val="595959" w:themeColor="text1" w:themeTint="A6"/>
        </w:rPr>
        <w:t xml:space="preserve"> and Kabir </w:t>
      </w:r>
      <w:r w:rsidR="00494F8D" w:rsidRPr="00494F8D">
        <w:rPr>
          <w:rFonts w:ascii="Arial" w:hAnsi="Arial" w:cs="Arial"/>
          <w:i/>
          <w:color w:val="595959" w:themeColor="text1" w:themeTint="A6"/>
        </w:rPr>
        <w:t xml:space="preserve">et al., </w:t>
      </w:r>
      <w:r w:rsidR="00494F8D">
        <w:rPr>
          <w:rFonts w:ascii="Arial" w:hAnsi="Arial" w:cs="Arial"/>
          <w:iCs/>
          <w:color w:val="595959" w:themeColor="text1" w:themeTint="A6"/>
        </w:rPr>
        <w:t>2016</w:t>
      </w:r>
      <w:r w:rsidRPr="00495779">
        <w:rPr>
          <w:rFonts w:ascii="Arial" w:hAnsi="Arial" w:cs="Arial"/>
          <w:iCs/>
          <w:color w:val="595959" w:themeColor="text1" w:themeTint="A6"/>
        </w:rPr>
        <w:t>). Senescence can be induced by numerous factors</w:t>
      </w:r>
      <w:r w:rsidR="00A409DF">
        <w:rPr>
          <w:rFonts w:ascii="Arial" w:hAnsi="Arial" w:cs="Arial"/>
          <w:iCs/>
          <w:color w:val="595959" w:themeColor="text1" w:themeTint="A6"/>
        </w:rPr>
        <w:t>, such as</w:t>
      </w:r>
      <w:r w:rsidR="00E2721A">
        <w:rPr>
          <w:rFonts w:ascii="Arial" w:hAnsi="Arial" w:cs="Arial"/>
          <w:iCs/>
          <w:color w:val="595959" w:themeColor="text1" w:themeTint="A6"/>
        </w:rPr>
        <w:t xml:space="preserve">, </w:t>
      </w:r>
      <w:r w:rsidRPr="00495779">
        <w:rPr>
          <w:rFonts w:ascii="Arial" w:hAnsi="Arial" w:cs="Arial"/>
          <w:iCs/>
          <w:color w:val="595959" w:themeColor="text1" w:themeTint="A6"/>
        </w:rPr>
        <w:t>chemotherapeutic and DNA damaging agents, ageing, and irradiation exposure. Replicative senescence, wh</w:t>
      </w:r>
      <w:r w:rsidR="001A4145">
        <w:rPr>
          <w:rFonts w:ascii="Arial" w:hAnsi="Arial" w:cs="Arial"/>
          <w:iCs/>
          <w:color w:val="595959" w:themeColor="text1" w:themeTint="A6"/>
        </w:rPr>
        <w:t>ich is caused by numerous cycles</w:t>
      </w:r>
      <w:r w:rsidRPr="00495779">
        <w:rPr>
          <w:rFonts w:ascii="Arial" w:hAnsi="Arial" w:cs="Arial"/>
          <w:iCs/>
          <w:color w:val="595959" w:themeColor="text1" w:themeTint="A6"/>
        </w:rPr>
        <w:t xml:space="preserve"> of cellular division</w:t>
      </w:r>
      <w:r w:rsidR="001C47F7">
        <w:rPr>
          <w:rFonts w:ascii="Arial" w:hAnsi="Arial" w:cs="Arial"/>
          <w:iCs/>
          <w:color w:val="595959" w:themeColor="text1" w:themeTint="A6"/>
        </w:rPr>
        <w:t xml:space="preserve">; </w:t>
      </w:r>
      <w:r>
        <w:rPr>
          <w:rFonts w:ascii="Arial" w:hAnsi="Arial" w:cs="Arial"/>
          <w:iCs/>
          <w:color w:val="595959" w:themeColor="text1" w:themeTint="A6"/>
        </w:rPr>
        <w:t xml:space="preserve">this phenotype </w:t>
      </w:r>
      <w:r w:rsidR="001C47F7">
        <w:rPr>
          <w:rFonts w:ascii="Arial" w:hAnsi="Arial" w:cs="Arial"/>
          <w:iCs/>
          <w:color w:val="595959" w:themeColor="text1" w:themeTint="A6"/>
        </w:rPr>
        <w:t xml:space="preserve">is inducible </w:t>
      </w:r>
      <w:r>
        <w:rPr>
          <w:rFonts w:ascii="Arial" w:hAnsi="Arial" w:cs="Arial"/>
          <w:iCs/>
          <w:color w:val="595959" w:themeColor="text1" w:themeTint="A6"/>
        </w:rPr>
        <w:t>in culture</w:t>
      </w:r>
      <w:r w:rsidRPr="00495779">
        <w:rPr>
          <w:rFonts w:ascii="Arial" w:hAnsi="Arial" w:cs="Arial"/>
          <w:iCs/>
          <w:color w:val="595959" w:themeColor="text1" w:themeTint="A6"/>
        </w:rPr>
        <w:t xml:space="preserve">. The senescent response to stress by CAF may be important in-patient outcomes and useful for diagnostics, so a further understanding may result in important clinical therapies. </w:t>
      </w:r>
      <w:r>
        <w:rPr>
          <w:rFonts w:ascii="Arial" w:hAnsi="Arial" w:cs="Arial"/>
          <w:iCs/>
          <w:color w:val="595959" w:themeColor="text1" w:themeTint="A6"/>
        </w:rPr>
        <w:t xml:space="preserve">CAF from genetically unstable OSCC </w:t>
      </w:r>
      <w:r w:rsidR="00E2721A">
        <w:rPr>
          <w:rFonts w:ascii="Arial" w:hAnsi="Arial" w:cs="Arial"/>
          <w:iCs/>
          <w:color w:val="595959" w:themeColor="text1" w:themeTint="A6"/>
        </w:rPr>
        <w:t>initiated by</w:t>
      </w:r>
      <w:r>
        <w:rPr>
          <w:rFonts w:ascii="Arial" w:hAnsi="Arial" w:cs="Arial"/>
          <w:iCs/>
          <w:color w:val="595959" w:themeColor="text1" w:themeTint="A6"/>
        </w:rPr>
        <w:t xml:space="preserve"> DNA damage by reactive oxidative stress (ROS)</w:t>
      </w:r>
      <w:r w:rsidR="00CC01B4">
        <w:rPr>
          <w:rFonts w:ascii="Arial" w:hAnsi="Arial" w:cs="Arial"/>
          <w:iCs/>
          <w:color w:val="595959" w:themeColor="text1" w:themeTint="A6"/>
        </w:rPr>
        <w:t xml:space="preserve"> </w:t>
      </w:r>
      <w:r>
        <w:rPr>
          <w:rFonts w:ascii="Arial" w:hAnsi="Arial" w:cs="Arial"/>
          <w:iCs/>
          <w:color w:val="595959" w:themeColor="text1" w:themeTint="A6"/>
        </w:rPr>
        <w:t>secrete TGFβ-1 and this combined with MMP</w:t>
      </w:r>
      <w:r w:rsidR="00CC01B4">
        <w:rPr>
          <w:rFonts w:ascii="Arial" w:hAnsi="Arial" w:cs="Arial"/>
          <w:iCs/>
          <w:color w:val="595959" w:themeColor="text1" w:themeTint="A6"/>
        </w:rPr>
        <w:t>-</w:t>
      </w:r>
      <w:r>
        <w:rPr>
          <w:rFonts w:ascii="Arial" w:hAnsi="Arial" w:cs="Arial"/>
          <w:iCs/>
          <w:color w:val="595959" w:themeColor="text1" w:themeTint="A6"/>
        </w:rPr>
        <w:t>2 can induce epithelial to mesenchymal transition (EMT) in tumour cells, caus</w:t>
      </w:r>
      <w:r w:rsidR="002C1A67">
        <w:rPr>
          <w:rFonts w:ascii="Arial" w:hAnsi="Arial" w:cs="Arial"/>
          <w:iCs/>
          <w:color w:val="595959" w:themeColor="text1" w:themeTint="A6"/>
        </w:rPr>
        <w:t>ing</w:t>
      </w:r>
      <w:r>
        <w:rPr>
          <w:rFonts w:ascii="Arial" w:hAnsi="Arial" w:cs="Arial"/>
          <w:iCs/>
          <w:color w:val="595959" w:themeColor="text1" w:themeTint="A6"/>
        </w:rPr>
        <w:t xml:space="preserve"> the loss of adhesive molecules and promot</w:t>
      </w:r>
      <w:r w:rsidR="002C1A67">
        <w:rPr>
          <w:rFonts w:ascii="Arial" w:hAnsi="Arial" w:cs="Arial"/>
          <w:iCs/>
          <w:color w:val="595959" w:themeColor="text1" w:themeTint="A6"/>
        </w:rPr>
        <w:t>ing</w:t>
      </w:r>
      <w:r>
        <w:rPr>
          <w:rFonts w:ascii="Arial" w:hAnsi="Arial" w:cs="Arial"/>
          <w:iCs/>
          <w:color w:val="595959" w:themeColor="text1" w:themeTint="A6"/>
        </w:rPr>
        <w:t xml:space="preserve"> epithelial invasion (Prime </w:t>
      </w:r>
      <w:r w:rsidRPr="00E5586B">
        <w:rPr>
          <w:rFonts w:ascii="Arial" w:hAnsi="Arial" w:cs="Arial"/>
          <w:i/>
          <w:iCs/>
          <w:color w:val="595959" w:themeColor="text1" w:themeTint="A6"/>
        </w:rPr>
        <w:t>et al</w:t>
      </w:r>
      <w:r>
        <w:rPr>
          <w:rFonts w:ascii="Arial" w:hAnsi="Arial" w:cs="Arial"/>
          <w:iCs/>
          <w:color w:val="595959" w:themeColor="text1" w:themeTint="A6"/>
        </w:rPr>
        <w:t>., 2016</w:t>
      </w:r>
      <w:r w:rsidR="00494F8D">
        <w:rPr>
          <w:rFonts w:ascii="Arial" w:hAnsi="Arial" w:cs="Arial"/>
          <w:iCs/>
          <w:color w:val="595959" w:themeColor="text1" w:themeTint="A6"/>
        </w:rPr>
        <w:t>)</w:t>
      </w:r>
      <w:r w:rsidR="001A4145">
        <w:rPr>
          <w:rFonts w:ascii="Arial" w:hAnsi="Arial" w:cs="Arial"/>
          <w:iCs/>
          <w:color w:val="595959" w:themeColor="text1" w:themeTint="A6"/>
        </w:rPr>
        <w:t>.</w:t>
      </w:r>
      <w:r w:rsidR="00494F8D">
        <w:rPr>
          <w:rFonts w:ascii="Arial" w:hAnsi="Arial" w:cs="Arial"/>
          <w:iCs/>
          <w:color w:val="595959" w:themeColor="text1" w:themeTint="A6"/>
        </w:rPr>
        <w:t xml:space="preserve"> Mellone </w:t>
      </w:r>
      <w:r w:rsidR="00494F8D" w:rsidRPr="00494F8D">
        <w:rPr>
          <w:rFonts w:ascii="Arial" w:hAnsi="Arial" w:cs="Arial"/>
          <w:i/>
          <w:color w:val="595959" w:themeColor="text1" w:themeTint="A6"/>
        </w:rPr>
        <w:t>et al.,</w:t>
      </w:r>
      <w:r w:rsidR="00494F8D">
        <w:rPr>
          <w:rFonts w:ascii="Arial" w:hAnsi="Arial" w:cs="Arial"/>
          <w:iCs/>
          <w:color w:val="595959" w:themeColor="text1" w:themeTint="A6"/>
        </w:rPr>
        <w:t xml:space="preserve"> found that </w:t>
      </w:r>
      <w:r w:rsidR="00494F8D" w:rsidRPr="00494F8D">
        <w:rPr>
          <w:rFonts w:ascii="Arial" w:hAnsi="Arial" w:cs="Arial"/>
          <w:iCs/>
          <w:color w:val="595959" w:themeColor="text1" w:themeTint="A6"/>
        </w:rPr>
        <w:t>fibroblasts induced to senesce develop</w:t>
      </w:r>
      <w:r w:rsidR="00494F8D">
        <w:rPr>
          <w:rFonts w:ascii="Arial" w:hAnsi="Arial" w:cs="Arial"/>
          <w:iCs/>
          <w:color w:val="595959" w:themeColor="text1" w:themeTint="A6"/>
        </w:rPr>
        <w:t>ed</w:t>
      </w:r>
      <w:r w:rsidR="00494F8D" w:rsidRPr="00494F8D">
        <w:rPr>
          <w:rFonts w:ascii="Arial" w:hAnsi="Arial" w:cs="Arial"/>
          <w:iCs/>
          <w:color w:val="595959" w:themeColor="text1" w:themeTint="A6"/>
        </w:rPr>
        <w:t xml:space="preserve"> molecular, ultrastructural and contractile features typical of myo</w:t>
      </w:r>
      <w:r w:rsidR="002C1A67">
        <w:rPr>
          <w:rFonts w:ascii="Arial" w:hAnsi="Arial" w:cs="Arial"/>
          <w:iCs/>
          <w:color w:val="595959" w:themeColor="text1" w:themeTint="A6"/>
        </w:rPr>
        <w:t>FB</w:t>
      </w:r>
      <w:r w:rsidR="00494F8D" w:rsidRPr="00494F8D">
        <w:rPr>
          <w:rFonts w:ascii="Arial" w:hAnsi="Arial" w:cs="Arial"/>
          <w:iCs/>
          <w:color w:val="595959" w:themeColor="text1" w:themeTint="A6"/>
        </w:rPr>
        <w:t> </w:t>
      </w:r>
      <w:r w:rsidR="00E55E0B" w:rsidRPr="00494F8D">
        <w:rPr>
          <w:rFonts w:ascii="Arial" w:hAnsi="Arial" w:cs="Arial"/>
          <w:iCs/>
          <w:color w:val="595959" w:themeColor="text1" w:themeTint="A6"/>
        </w:rPr>
        <w:t xml:space="preserve">but not </w:t>
      </w:r>
      <w:r w:rsidR="00E55E0B">
        <w:rPr>
          <w:rFonts w:ascii="Arial" w:hAnsi="Arial" w:cs="Arial"/>
          <w:iCs/>
          <w:color w:val="595959" w:themeColor="text1" w:themeTint="A6"/>
        </w:rPr>
        <w:t xml:space="preserve">all CAF subtypes had </w:t>
      </w:r>
      <w:r w:rsidR="00E55E0B" w:rsidRPr="00494F8D">
        <w:rPr>
          <w:rFonts w:ascii="Arial" w:hAnsi="Arial" w:cs="Arial"/>
          <w:iCs/>
          <w:color w:val="595959" w:themeColor="text1" w:themeTint="A6"/>
        </w:rPr>
        <w:t>th</w:t>
      </w:r>
      <w:r w:rsidR="001A4145">
        <w:rPr>
          <w:rFonts w:ascii="Arial" w:hAnsi="Arial" w:cs="Arial"/>
          <w:iCs/>
          <w:color w:val="595959" w:themeColor="text1" w:themeTint="A6"/>
        </w:rPr>
        <w:t>e ability to generate an organis</w:t>
      </w:r>
      <w:r w:rsidR="00E55E0B" w:rsidRPr="00494F8D">
        <w:rPr>
          <w:rFonts w:ascii="Arial" w:hAnsi="Arial" w:cs="Arial"/>
          <w:iCs/>
          <w:color w:val="595959" w:themeColor="text1" w:themeTint="A6"/>
        </w:rPr>
        <w:t>ed collagenous ECM. </w:t>
      </w:r>
    </w:p>
    <w:p w14:paraId="48EB6EA3" w14:textId="0B0042AD" w:rsidR="004E6A2E" w:rsidRDefault="004E6A2E" w:rsidP="001A4145">
      <w:pPr>
        <w:spacing w:line="480" w:lineRule="auto"/>
        <w:jc w:val="both"/>
        <w:rPr>
          <w:rFonts w:ascii="Arial" w:hAnsi="Arial" w:cs="Arial"/>
          <w:iCs/>
          <w:color w:val="595959" w:themeColor="text1" w:themeTint="A6"/>
        </w:rPr>
      </w:pPr>
    </w:p>
    <w:p w14:paraId="240AAA0F" w14:textId="77777777" w:rsidR="004E6A2E" w:rsidRDefault="004E6A2E" w:rsidP="001A4145">
      <w:pPr>
        <w:spacing w:line="480" w:lineRule="auto"/>
        <w:jc w:val="both"/>
        <w:rPr>
          <w:rFonts w:ascii="Arial" w:hAnsi="Arial" w:cs="Arial"/>
          <w:iCs/>
          <w:color w:val="595959" w:themeColor="text1" w:themeTint="A6"/>
        </w:rPr>
      </w:pPr>
    </w:p>
    <w:p w14:paraId="7BD53863" w14:textId="482CCCEF" w:rsidR="007325CD" w:rsidRDefault="00910192" w:rsidP="009D02AC">
      <w:pPr>
        <w:pStyle w:val="Heading3"/>
        <w:numPr>
          <w:ilvl w:val="2"/>
          <w:numId w:val="4"/>
        </w:numPr>
        <w:rPr>
          <w:rFonts w:ascii="Arial" w:hAnsi="Arial" w:cs="Arial"/>
          <w:i/>
          <w:iCs/>
          <w:color w:val="595959" w:themeColor="text1" w:themeTint="A6"/>
        </w:rPr>
      </w:pPr>
      <w:bookmarkStart w:id="31" w:name="_Toc34208255"/>
      <w:r w:rsidRPr="000C332A">
        <w:rPr>
          <w:rFonts w:ascii="Arial" w:hAnsi="Arial" w:cs="Arial"/>
          <w:i/>
          <w:iCs/>
          <w:color w:val="595959" w:themeColor="text1" w:themeTint="A6"/>
        </w:rPr>
        <w:lastRenderedPageBreak/>
        <w:t>The ECM and s</w:t>
      </w:r>
      <w:r w:rsidR="007325CD" w:rsidRPr="000C332A">
        <w:rPr>
          <w:rFonts w:ascii="Arial" w:hAnsi="Arial" w:cs="Arial"/>
          <w:i/>
          <w:iCs/>
          <w:color w:val="595959" w:themeColor="text1" w:themeTint="A6"/>
        </w:rPr>
        <w:t>ustain</w:t>
      </w:r>
      <w:r w:rsidRPr="000C332A">
        <w:rPr>
          <w:rFonts w:ascii="Arial" w:hAnsi="Arial" w:cs="Arial"/>
          <w:i/>
          <w:iCs/>
          <w:color w:val="595959" w:themeColor="text1" w:themeTint="A6"/>
        </w:rPr>
        <w:t>ing</w:t>
      </w:r>
      <w:r w:rsidR="007325CD" w:rsidRPr="000C332A">
        <w:rPr>
          <w:rFonts w:ascii="Arial" w:hAnsi="Arial" w:cs="Arial"/>
          <w:i/>
          <w:iCs/>
          <w:color w:val="595959" w:themeColor="text1" w:themeTint="A6"/>
        </w:rPr>
        <w:t xml:space="preserve"> proliferative </w:t>
      </w:r>
      <w:r w:rsidRPr="000C332A">
        <w:rPr>
          <w:rFonts w:ascii="Arial" w:hAnsi="Arial" w:cs="Arial"/>
          <w:i/>
          <w:iCs/>
          <w:color w:val="595959" w:themeColor="text1" w:themeTint="A6"/>
        </w:rPr>
        <w:t>s</w:t>
      </w:r>
      <w:r w:rsidR="007325CD" w:rsidRPr="000C332A">
        <w:rPr>
          <w:rFonts w:ascii="Arial" w:hAnsi="Arial" w:cs="Arial"/>
          <w:i/>
          <w:iCs/>
          <w:color w:val="595959" w:themeColor="text1" w:themeTint="A6"/>
        </w:rPr>
        <w:t>ignalling</w:t>
      </w:r>
      <w:bookmarkEnd w:id="31"/>
    </w:p>
    <w:p w14:paraId="7C1EE464" w14:textId="77777777" w:rsidR="009D02AC" w:rsidRPr="009D02AC" w:rsidRDefault="009D02AC" w:rsidP="009D02AC">
      <w:pPr>
        <w:pStyle w:val="ListParagraph"/>
      </w:pPr>
    </w:p>
    <w:p w14:paraId="3DE122EE" w14:textId="3A43F095" w:rsidR="007325CD" w:rsidRDefault="007325CD" w:rsidP="007325CD">
      <w:pPr>
        <w:spacing w:line="480" w:lineRule="auto"/>
        <w:jc w:val="both"/>
        <w:rPr>
          <w:rFonts w:ascii="Arial" w:hAnsi="Arial" w:cs="Arial"/>
          <w:iCs/>
          <w:color w:val="595959" w:themeColor="text1" w:themeTint="A6"/>
        </w:rPr>
      </w:pPr>
      <w:r>
        <w:rPr>
          <w:rFonts w:ascii="Arial" w:hAnsi="Arial" w:cs="Arial"/>
          <w:iCs/>
          <w:color w:val="595959" w:themeColor="text1" w:themeTint="A6"/>
        </w:rPr>
        <w:t>In order for carcinomas to transform and progress</w:t>
      </w:r>
      <w:r w:rsidR="00EF5CF6">
        <w:rPr>
          <w:rFonts w:ascii="Arial" w:hAnsi="Arial" w:cs="Arial"/>
          <w:iCs/>
          <w:color w:val="595959" w:themeColor="text1" w:themeTint="A6"/>
        </w:rPr>
        <w:t xml:space="preserve"> </w:t>
      </w:r>
      <w:r>
        <w:rPr>
          <w:rFonts w:ascii="Arial" w:hAnsi="Arial" w:cs="Arial"/>
          <w:iCs/>
          <w:color w:val="595959" w:themeColor="text1" w:themeTint="A6"/>
        </w:rPr>
        <w:t>tumour cells need to continually proliferate. Proliferation is controlled by the ligation of growth factor receptors that activate and promote intracellular signalling to enhance cell cycle progression. The G1/S cell cycle checkpoint is responsible for this regulatory control. For transition to occur there must be cellular adhesion to the ECM and this facilitates the release of growth factors that activate R</w:t>
      </w:r>
      <w:r w:rsidR="00EF5CF6">
        <w:rPr>
          <w:rFonts w:ascii="Arial" w:hAnsi="Arial" w:cs="Arial"/>
          <w:iCs/>
          <w:color w:val="595959" w:themeColor="text1" w:themeTint="A6"/>
        </w:rPr>
        <w:t>AS</w:t>
      </w:r>
      <w:r>
        <w:rPr>
          <w:rFonts w:ascii="Arial" w:hAnsi="Arial" w:cs="Arial"/>
          <w:iCs/>
          <w:color w:val="595959" w:themeColor="text1" w:themeTint="A6"/>
        </w:rPr>
        <w:t xml:space="preserve">; a key GTPase that acts through </w:t>
      </w:r>
      <w:r w:rsidR="00372DA2">
        <w:rPr>
          <w:rFonts w:ascii="Arial" w:hAnsi="Arial" w:cs="Arial"/>
          <w:iCs/>
          <w:color w:val="595959" w:themeColor="text1" w:themeTint="A6"/>
        </w:rPr>
        <w:t>extracellular-signal related kinase (</w:t>
      </w:r>
      <w:r>
        <w:rPr>
          <w:rFonts w:ascii="Arial" w:hAnsi="Arial" w:cs="Arial"/>
          <w:iCs/>
          <w:color w:val="595959" w:themeColor="text1" w:themeTint="A6"/>
        </w:rPr>
        <w:t>Erk</w:t>
      </w:r>
      <w:r w:rsidR="00372DA2">
        <w:rPr>
          <w:rFonts w:ascii="Arial" w:hAnsi="Arial" w:cs="Arial"/>
          <w:iCs/>
          <w:color w:val="595959" w:themeColor="text1" w:themeTint="A6"/>
        </w:rPr>
        <w:t>)</w:t>
      </w:r>
      <w:r>
        <w:rPr>
          <w:rFonts w:ascii="Arial" w:hAnsi="Arial" w:cs="Arial"/>
          <w:iCs/>
          <w:color w:val="595959" w:themeColor="text1" w:themeTint="A6"/>
        </w:rPr>
        <w:t xml:space="preserve"> signalling and promotes G1/S transition (Xiong </w:t>
      </w:r>
      <w:r w:rsidRPr="00AD29B6">
        <w:rPr>
          <w:rFonts w:ascii="Arial" w:hAnsi="Arial" w:cs="Arial"/>
          <w:i/>
          <w:iCs/>
          <w:color w:val="595959" w:themeColor="text1" w:themeTint="A6"/>
        </w:rPr>
        <w:t>et al</w:t>
      </w:r>
      <w:r>
        <w:rPr>
          <w:rFonts w:ascii="Arial" w:hAnsi="Arial" w:cs="Arial"/>
          <w:iCs/>
          <w:color w:val="595959" w:themeColor="text1" w:themeTint="A6"/>
        </w:rPr>
        <w:t xml:space="preserve">., 2013). Many transformed cells that are considered malignant secrete their own ECM ligands are able to evade proliferative suppression allowing for survival in inhospitable environments. These cancer cells actively secrete their own ECM proteins and are highly metastatic (Naba </w:t>
      </w:r>
      <w:r w:rsidRPr="005936B5">
        <w:rPr>
          <w:rFonts w:ascii="Arial" w:hAnsi="Arial" w:cs="Arial"/>
          <w:i/>
          <w:iCs/>
          <w:color w:val="595959" w:themeColor="text1" w:themeTint="A6"/>
        </w:rPr>
        <w:t>et al</w:t>
      </w:r>
      <w:r>
        <w:rPr>
          <w:rFonts w:ascii="Arial" w:hAnsi="Arial" w:cs="Arial"/>
          <w:iCs/>
          <w:color w:val="595959" w:themeColor="text1" w:themeTint="A6"/>
        </w:rPr>
        <w:t xml:space="preserve">., 2014). Activated Erk signalling also promotes anchorage independence for growth and survival also expresses and syntheses ECM proteins (Pattabriaman </w:t>
      </w:r>
      <w:r w:rsidRPr="005936B5">
        <w:rPr>
          <w:rFonts w:ascii="Arial" w:hAnsi="Arial" w:cs="Arial"/>
          <w:i/>
          <w:iCs/>
          <w:color w:val="595959" w:themeColor="text1" w:themeTint="A6"/>
        </w:rPr>
        <w:t>et al</w:t>
      </w:r>
      <w:r>
        <w:rPr>
          <w:rFonts w:ascii="Arial" w:hAnsi="Arial" w:cs="Arial"/>
          <w:iCs/>
          <w:color w:val="595959" w:themeColor="text1" w:themeTint="A6"/>
        </w:rPr>
        <w:t xml:space="preserve">., 2010). Cells which are able to interact with a stiffened matrix cause phosphorylation of Erk again accelerating the transition through the cell cycle. This indicates a distinctive role of the ECM in maintaining proliferative signalling in cancer progression. </w:t>
      </w:r>
    </w:p>
    <w:p w14:paraId="0105CCC5" w14:textId="522C3049" w:rsidR="007325CD" w:rsidRDefault="00910192" w:rsidP="009D02AC">
      <w:pPr>
        <w:pStyle w:val="Heading3"/>
        <w:numPr>
          <w:ilvl w:val="2"/>
          <w:numId w:val="4"/>
        </w:numPr>
        <w:rPr>
          <w:rFonts w:ascii="Arial" w:hAnsi="Arial" w:cs="Arial"/>
          <w:i/>
          <w:iCs/>
          <w:color w:val="595959" w:themeColor="text1" w:themeTint="A6"/>
        </w:rPr>
      </w:pPr>
      <w:bookmarkStart w:id="32" w:name="_Toc34208256"/>
      <w:r>
        <w:rPr>
          <w:rFonts w:ascii="Arial" w:hAnsi="Arial" w:cs="Arial"/>
          <w:i/>
          <w:iCs/>
          <w:color w:val="595959" w:themeColor="text1" w:themeTint="A6"/>
        </w:rPr>
        <w:t>ECM m</w:t>
      </w:r>
      <w:r w:rsidR="007325CD" w:rsidRPr="00D26F57">
        <w:rPr>
          <w:rFonts w:ascii="Arial" w:hAnsi="Arial" w:cs="Arial"/>
          <w:i/>
          <w:iCs/>
          <w:color w:val="595959" w:themeColor="text1" w:themeTint="A6"/>
        </w:rPr>
        <w:t>ech</w:t>
      </w:r>
      <w:r w:rsidR="007325CD">
        <w:rPr>
          <w:rFonts w:ascii="Arial" w:hAnsi="Arial" w:cs="Arial"/>
          <w:i/>
          <w:iCs/>
          <w:color w:val="595959" w:themeColor="text1" w:themeTint="A6"/>
        </w:rPr>
        <w:t>anical f</w:t>
      </w:r>
      <w:r w:rsidR="007325CD" w:rsidRPr="00D26F57">
        <w:rPr>
          <w:rFonts w:ascii="Arial" w:hAnsi="Arial" w:cs="Arial"/>
          <w:i/>
          <w:iCs/>
          <w:color w:val="595959" w:themeColor="text1" w:themeTint="A6"/>
        </w:rPr>
        <w:t>unction</w:t>
      </w:r>
      <w:r w:rsidR="007325CD">
        <w:rPr>
          <w:rFonts w:ascii="Arial" w:hAnsi="Arial" w:cs="Arial"/>
          <w:i/>
          <w:iCs/>
          <w:color w:val="595959" w:themeColor="text1" w:themeTint="A6"/>
        </w:rPr>
        <w:t xml:space="preserve"> in cancer</w:t>
      </w:r>
      <w:bookmarkEnd w:id="32"/>
    </w:p>
    <w:p w14:paraId="1B602305" w14:textId="77777777" w:rsidR="009D02AC" w:rsidRPr="009D02AC" w:rsidRDefault="009D02AC" w:rsidP="009D02AC">
      <w:pPr>
        <w:pStyle w:val="ListParagraph"/>
      </w:pPr>
    </w:p>
    <w:p w14:paraId="0EBE8498" w14:textId="1CD614BA" w:rsidR="00EA5724" w:rsidRDefault="007325CD" w:rsidP="00CC01B4">
      <w:pPr>
        <w:spacing w:line="480" w:lineRule="auto"/>
        <w:jc w:val="both"/>
        <w:rPr>
          <w:rFonts w:ascii="Arial" w:hAnsi="Arial" w:cs="Arial"/>
          <w:iCs/>
          <w:color w:val="595959" w:themeColor="text1" w:themeTint="A6"/>
        </w:rPr>
      </w:pPr>
      <w:r>
        <w:rPr>
          <w:rFonts w:ascii="Arial" w:hAnsi="Arial" w:cs="Arial"/>
          <w:iCs/>
          <w:color w:val="595959" w:themeColor="text1" w:themeTint="A6"/>
        </w:rPr>
        <w:t>A growing</w:t>
      </w:r>
      <w:r w:rsidRPr="009071B0">
        <w:rPr>
          <w:rFonts w:ascii="Arial" w:hAnsi="Arial" w:cs="Arial"/>
          <w:iCs/>
          <w:color w:val="595959" w:themeColor="text1" w:themeTint="A6"/>
        </w:rPr>
        <w:t xml:space="preserve"> area of research in ECM biology is the contribution of biomechanical properties of the matrix</w:t>
      </w:r>
      <w:r>
        <w:rPr>
          <w:rFonts w:ascii="Arial" w:hAnsi="Arial" w:cs="Arial"/>
          <w:iCs/>
          <w:color w:val="595959" w:themeColor="text1" w:themeTint="A6"/>
        </w:rPr>
        <w:t xml:space="preserve"> in cancer progression</w:t>
      </w:r>
      <w:r w:rsidRPr="009071B0">
        <w:rPr>
          <w:rFonts w:ascii="Arial" w:hAnsi="Arial" w:cs="Arial"/>
          <w:iCs/>
          <w:color w:val="595959" w:themeColor="text1" w:themeTint="A6"/>
        </w:rPr>
        <w:t>. ECM elasticity can range from compliant, to</w:t>
      </w:r>
      <w:r w:rsidRPr="00A008DC">
        <w:rPr>
          <w:rFonts w:ascii="Arial" w:hAnsi="Arial" w:cs="Arial"/>
          <w:iCs/>
          <w:color w:val="595959" w:themeColor="text1" w:themeTint="A6"/>
          <w:sz w:val="24"/>
          <w:szCs w:val="24"/>
        </w:rPr>
        <w:t xml:space="preserve"> </w:t>
      </w:r>
      <w:r w:rsidRPr="00495779">
        <w:rPr>
          <w:rFonts w:ascii="Arial" w:hAnsi="Arial" w:cs="Arial"/>
          <w:iCs/>
          <w:color w:val="595959" w:themeColor="text1" w:themeTint="A6"/>
        </w:rPr>
        <w:t>stiffer to increasingly rigid, and can contribute to the development of disease. The elasticity plays a part in how the cells are capable of responding to external forces</w:t>
      </w:r>
      <w:r>
        <w:rPr>
          <w:rFonts w:ascii="Arial" w:hAnsi="Arial" w:cs="Arial"/>
          <w:iCs/>
          <w:color w:val="595959" w:themeColor="text1" w:themeTint="A6"/>
        </w:rPr>
        <w:t xml:space="preserve"> including hydrostatic pressure, shear stress and compression/tension forces</w:t>
      </w:r>
      <w:r w:rsidRPr="00495779">
        <w:rPr>
          <w:rFonts w:ascii="Arial" w:hAnsi="Arial" w:cs="Arial"/>
          <w:iCs/>
          <w:color w:val="595959" w:themeColor="text1" w:themeTint="A6"/>
        </w:rPr>
        <w:t>, which in turn alters cell behaviour</w:t>
      </w:r>
      <w:r>
        <w:rPr>
          <w:rFonts w:ascii="Arial" w:hAnsi="Arial" w:cs="Arial"/>
          <w:iCs/>
          <w:color w:val="595959" w:themeColor="text1" w:themeTint="A6"/>
        </w:rPr>
        <w:t xml:space="preserve"> and remodels the surrounding microenvironment (Butcher </w:t>
      </w:r>
      <w:r w:rsidRPr="00FD4C10">
        <w:rPr>
          <w:rFonts w:ascii="Arial" w:hAnsi="Arial" w:cs="Arial"/>
          <w:i/>
          <w:iCs/>
          <w:color w:val="595959" w:themeColor="text1" w:themeTint="A6"/>
        </w:rPr>
        <w:t>et al</w:t>
      </w:r>
      <w:r>
        <w:rPr>
          <w:rFonts w:ascii="Arial" w:hAnsi="Arial" w:cs="Arial"/>
          <w:iCs/>
          <w:color w:val="595959" w:themeColor="text1" w:themeTint="A6"/>
        </w:rPr>
        <w:t xml:space="preserve">., 2009). Mechanoreciprocity; a process by which the ECM cells sense forces through mechanoreceptors </w:t>
      </w:r>
      <w:r w:rsidR="00BB6E68">
        <w:rPr>
          <w:rFonts w:ascii="Arial" w:hAnsi="Arial" w:cs="Arial"/>
          <w:iCs/>
          <w:color w:val="595959" w:themeColor="text1" w:themeTint="A6"/>
        </w:rPr>
        <w:t xml:space="preserve">produced </w:t>
      </w:r>
      <w:r>
        <w:rPr>
          <w:rFonts w:ascii="Arial" w:hAnsi="Arial" w:cs="Arial"/>
          <w:iCs/>
          <w:color w:val="595959" w:themeColor="text1" w:themeTint="A6"/>
        </w:rPr>
        <w:t>forces</w:t>
      </w:r>
      <w:r w:rsidR="008E15FE">
        <w:rPr>
          <w:rFonts w:ascii="Arial" w:hAnsi="Arial" w:cs="Arial"/>
          <w:iCs/>
          <w:color w:val="595959" w:themeColor="text1" w:themeTint="A6"/>
        </w:rPr>
        <w:t xml:space="preserve">, </w:t>
      </w:r>
      <w:r>
        <w:rPr>
          <w:rFonts w:ascii="Arial" w:hAnsi="Arial" w:cs="Arial"/>
          <w:iCs/>
          <w:color w:val="595959" w:themeColor="text1" w:themeTint="A6"/>
        </w:rPr>
        <w:t xml:space="preserve">a key process during disease progression. Focal adhesion complex (FAC) </w:t>
      </w:r>
      <w:r w:rsidRPr="00495779">
        <w:rPr>
          <w:rFonts w:ascii="Arial" w:hAnsi="Arial" w:cs="Arial"/>
          <w:iCs/>
          <w:color w:val="595959" w:themeColor="text1" w:themeTint="A6"/>
        </w:rPr>
        <w:t>containing integrins, signalling proteins and various cellular adaptors a</w:t>
      </w:r>
      <w:r>
        <w:rPr>
          <w:rFonts w:ascii="Arial" w:hAnsi="Arial" w:cs="Arial"/>
          <w:iCs/>
          <w:color w:val="595959" w:themeColor="text1" w:themeTint="A6"/>
        </w:rPr>
        <w:t>cts as a mechanosensor provide</w:t>
      </w:r>
      <w:r w:rsidRPr="00495779">
        <w:rPr>
          <w:rFonts w:ascii="Arial" w:hAnsi="Arial" w:cs="Arial"/>
          <w:iCs/>
          <w:color w:val="595959" w:themeColor="text1" w:themeTint="A6"/>
        </w:rPr>
        <w:t xml:space="preserve"> the pathway between the ECM and the acto-myosin cytoskeleton. Forces can directly interfere with components of </w:t>
      </w:r>
      <w:r w:rsidRPr="00495779">
        <w:rPr>
          <w:rFonts w:ascii="Arial" w:hAnsi="Arial" w:cs="Arial"/>
          <w:iCs/>
          <w:color w:val="595959" w:themeColor="text1" w:themeTint="A6"/>
        </w:rPr>
        <w:lastRenderedPageBreak/>
        <w:t xml:space="preserve">FAC (Talin) and cause conformational changes impeding normal functioning (Wang </w:t>
      </w:r>
      <w:r w:rsidRPr="00495779">
        <w:rPr>
          <w:rFonts w:ascii="Arial" w:hAnsi="Arial" w:cs="Arial"/>
          <w:i/>
          <w:iCs/>
          <w:color w:val="595959" w:themeColor="text1" w:themeTint="A6"/>
        </w:rPr>
        <w:t>et al</w:t>
      </w:r>
      <w:r w:rsidRPr="00495779">
        <w:rPr>
          <w:rFonts w:ascii="Arial" w:hAnsi="Arial" w:cs="Arial"/>
          <w:iCs/>
          <w:color w:val="595959" w:themeColor="text1" w:themeTint="A6"/>
        </w:rPr>
        <w:t>., 2011). The dynamic role of the ECM</w:t>
      </w:r>
      <w:r>
        <w:rPr>
          <w:rFonts w:ascii="Arial" w:hAnsi="Arial" w:cs="Arial"/>
          <w:iCs/>
          <w:color w:val="595959" w:themeColor="text1" w:themeTint="A6"/>
        </w:rPr>
        <w:t xml:space="preserve"> and force generation;</w:t>
      </w:r>
      <w:r w:rsidRPr="00495779">
        <w:rPr>
          <w:rFonts w:ascii="Arial" w:hAnsi="Arial" w:cs="Arial"/>
          <w:iCs/>
          <w:color w:val="595959" w:themeColor="text1" w:themeTint="A6"/>
        </w:rPr>
        <w:t xml:space="preserve"> </w:t>
      </w:r>
      <w:r>
        <w:rPr>
          <w:rFonts w:ascii="Arial" w:hAnsi="Arial" w:cs="Arial"/>
          <w:iCs/>
          <w:color w:val="595959" w:themeColor="text1" w:themeTint="A6"/>
        </w:rPr>
        <w:t xml:space="preserve">and in </w:t>
      </w:r>
      <w:r w:rsidRPr="00495779">
        <w:rPr>
          <w:rFonts w:ascii="Arial" w:hAnsi="Arial" w:cs="Arial"/>
          <w:iCs/>
          <w:color w:val="595959" w:themeColor="text1" w:themeTint="A6"/>
        </w:rPr>
        <w:t xml:space="preserve">particular </w:t>
      </w:r>
      <w:r>
        <w:rPr>
          <w:rFonts w:ascii="Arial" w:hAnsi="Arial" w:cs="Arial"/>
          <w:iCs/>
          <w:color w:val="595959" w:themeColor="text1" w:themeTint="A6"/>
        </w:rPr>
        <w:t xml:space="preserve">by </w:t>
      </w:r>
      <w:r w:rsidRPr="00495779">
        <w:rPr>
          <w:rFonts w:ascii="Arial" w:hAnsi="Arial" w:cs="Arial"/>
          <w:iCs/>
          <w:color w:val="595959" w:themeColor="text1" w:themeTint="A6"/>
        </w:rPr>
        <w:t>collagen</w:t>
      </w:r>
      <w:r>
        <w:rPr>
          <w:rFonts w:ascii="Arial" w:hAnsi="Arial" w:cs="Arial"/>
          <w:iCs/>
          <w:color w:val="595959" w:themeColor="text1" w:themeTint="A6"/>
        </w:rPr>
        <w:t>,</w:t>
      </w:r>
      <w:r w:rsidRPr="00495779">
        <w:rPr>
          <w:rFonts w:ascii="Arial" w:hAnsi="Arial" w:cs="Arial"/>
          <w:iCs/>
          <w:color w:val="595959" w:themeColor="text1" w:themeTint="A6"/>
        </w:rPr>
        <w:t xml:space="preserve"> within the tumour microenvironment has been implicated in many solid tumours to promote tumour progression including breast and HNSCC</w:t>
      </w:r>
      <w:r>
        <w:rPr>
          <w:rFonts w:ascii="Arial" w:hAnsi="Arial" w:cs="Arial"/>
          <w:iCs/>
          <w:color w:val="595959" w:themeColor="text1" w:themeTint="A6"/>
        </w:rPr>
        <w:t xml:space="preserve"> (Hu </w:t>
      </w:r>
      <w:r w:rsidRPr="007154B9">
        <w:rPr>
          <w:rFonts w:ascii="Arial" w:hAnsi="Arial" w:cs="Arial"/>
          <w:i/>
          <w:iCs/>
          <w:color w:val="595959" w:themeColor="text1" w:themeTint="A6"/>
        </w:rPr>
        <w:t>et al</w:t>
      </w:r>
      <w:r>
        <w:rPr>
          <w:rFonts w:ascii="Arial" w:hAnsi="Arial" w:cs="Arial"/>
          <w:iCs/>
          <w:color w:val="595959" w:themeColor="text1" w:themeTint="A6"/>
        </w:rPr>
        <w:t>., 2015)</w:t>
      </w:r>
      <w:r w:rsidRPr="00495779">
        <w:rPr>
          <w:rFonts w:ascii="Arial" w:hAnsi="Arial" w:cs="Arial"/>
          <w:iCs/>
          <w:color w:val="595959" w:themeColor="text1" w:themeTint="A6"/>
        </w:rPr>
        <w:t xml:space="preserve">. </w:t>
      </w:r>
    </w:p>
    <w:p w14:paraId="568D5FE8" w14:textId="3807651B" w:rsidR="007325CD" w:rsidRDefault="007325CD" w:rsidP="00CC01B4">
      <w:pPr>
        <w:spacing w:line="480" w:lineRule="auto"/>
        <w:jc w:val="both"/>
        <w:rPr>
          <w:rFonts w:ascii="Arial" w:hAnsi="Arial" w:cs="Arial"/>
          <w:iCs/>
          <w:color w:val="595959" w:themeColor="text1" w:themeTint="A6"/>
        </w:rPr>
      </w:pPr>
      <w:r w:rsidRPr="00495779">
        <w:rPr>
          <w:rFonts w:ascii="Arial" w:hAnsi="Arial" w:cs="Arial"/>
          <w:iCs/>
          <w:color w:val="595959" w:themeColor="text1" w:themeTint="A6"/>
        </w:rPr>
        <w:t>Translation of this understanding has already become of use in clini</w:t>
      </w:r>
      <w:r>
        <w:rPr>
          <w:rFonts w:ascii="Arial" w:hAnsi="Arial" w:cs="Arial"/>
          <w:iCs/>
          <w:color w:val="595959" w:themeColor="text1" w:themeTint="A6"/>
        </w:rPr>
        <w:t xml:space="preserve">cal prognostics in the US. </w:t>
      </w:r>
      <w:r w:rsidR="0008467D">
        <w:rPr>
          <w:rFonts w:ascii="Arial" w:hAnsi="Arial" w:cs="Arial"/>
          <w:iCs/>
          <w:color w:val="595959" w:themeColor="text1" w:themeTint="A6"/>
        </w:rPr>
        <w:t>‘</w:t>
      </w:r>
      <w:r w:rsidRPr="002E6852">
        <w:rPr>
          <w:rStyle w:val="SubtleEmphasis"/>
          <w:rFonts w:ascii="Arial" w:hAnsi="Arial" w:cs="Arial"/>
          <w:color w:val="595959" w:themeColor="text1" w:themeTint="A6"/>
        </w:rPr>
        <w:t>Under new US law,</w:t>
      </w:r>
      <w:r>
        <w:rPr>
          <w:rStyle w:val="SubtleEmphasis"/>
          <w:rFonts w:ascii="Arial" w:hAnsi="Arial" w:cs="Arial"/>
          <w:color w:val="595959" w:themeColor="text1" w:themeTint="A6"/>
        </w:rPr>
        <w:t xml:space="preserve"> radiologists are to inform wome</w:t>
      </w:r>
      <w:r w:rsidRPr="002E6852">
        <w:rPr>
          <w:rStyle w:val="SubtleEmphasis"/>
          <w:rFonts w:ascii="Arial" w:hAnsi="Arial" w:cs="Arial"/>
          <w:color w:val="595959" w:themeColor="text1" w:themeTint="A6"/>
        </w:rPr>
        <w:t>n undergoing routine mammography screening if they appear to have a high mammographic density (measure of the relative ratio of ECM collagen to adipose cell volume), as their nationwide statistics suggests that for those screened the density is a predictor of a 2-6-fold higher risk of breast cancer</w:t>
      </w:r>
      <w:r w:rsidR="005504BD">
        <w:rPr>
          <w:rStyle w:val="SubtleEmphasis"/>
          <w:rFonts w:ascii="Arial" w:hAnsi="Arial" w:cs="Arial"/>
          <w:color w:val="595959" w:themeColor="text1" w:themeTint="A6"/>
        </w:rPr>
        <w:t>’</w:t>
      </w:r>
      <w:r w:rsidRPr="002E6852">
        <w:rPr>
          <w:rStyle w:val="SubtleEmphasis"/>
          <w:rFonts w:ascii="Arial" w:hAnsi="Arial" w:cs="Arial"/>
          <w:color w:val="595959" w:themeColor="text1" w:themeTint="A6"/>
        </w:rPr>
        <w:t xml:space="preserve"> (</w:t>
      </w:r>
      <w:r w:rsidRPr="008312B2">
        <w:rPr>
          <w:rStyle w:val="SubtleEmphasis"/>
          <w:rFonts w:ascii="Arial" w:hAnsi="Arial" w:cs="Arial"/>
          <w:i w:val="0"/>
          <w:color w:val="595959" w:themeColor="text1" w:themeTint="A6"/>
        </w:rPr>
        <w:t xml:space="preserve">Huo </w:t>
      </w:r>
      <w:r w:rsidRPr="002E6852">
        <w:rPr>
          <w:rStyle w:val="SubtleEmphasis"/>
          <w:rFonts w:ascii="Arial" w:hAnsi="Arial" w:cs="Arial"/>
          <w:color w:val="595959" w:themeColor="text1" w:themeTint="A6"/>
        </w:rPr>
        <w:t xml:space="preserve">et al., </w:t>
      </w:r>
      <w:r w:rsidRPr="008312B2">
        <w:rPr>
          <w:rStyle w:val="SubtleEmphasis"/>
          <w:rFonts w:ascii="Arial" w:hAnsi="Arial" w:cs="Arial"/>
          <w:i w:val="0"/>
          <w:color w:val="595959" w:themeColor="text1" w:themeTint="A6"/>
        </w:rPr>
        <w:t>2015</w:t>
      </w:r>
      <w:r w:rsidRPr="002E6852">
        <w:rPr>
          <w:rStyle w:val="SubtleEmphasis"/>
          <w:rFonts w:ascii="Arial" w:hAnsi="Arial" w:cs="Arial"/>
          <w:color w:val="595959" w:themeColor="text1" w:themeTint="A6"/>
        </w:rPr>
        <w:t>).</w:t>
      </w:r>
    </w:p>
    <w:p w14:paraId="08A525EC" w14:textId="1021CD2B" w:rsidR="007325CD" w:rsidRPr="00A008DC" w:rsidRDefault="007325CD" w:rsidP="00CC01B4">
      <w:pPr>
        <w:spacing w:line="480" w:lineRule="auto"/>
        <w:jc w:val="both"/>
        <w:rPr>
          <w:rFonts w:ascii="Arial" w:hAnsi="Arial" w:cs="Arial"/>
          <w:iCs/>
          <w:color w:val="595959" w:themeColor="text1" w:themeTint="A6"/>
        </w:rPr>
      </w:pPr>
      <w:r w:rsidRPr="00495779">
        <w:rPr>
          <w:rFonts w:ascii="Arial" w:hAnsi="Arial" w:cs="Arial"/>
          <w:iCs/>
          <w:color w:val="595959" w:themeColor="text1" w:themeTint="A6"/>
        </w:rPr>
        <w:t>Within the ECM, collagen generates considerable tensile forces that impact dynamically on epithe</w:t>
      </w:r>
      <w:r w:rsidR="001A4145">
        <w:rPr>
          <w:rFonts w:ascii="Arial" w:hAnsi="Arial" w:cs="Arial"/>
          <w:iCs/>
          <w:color w:val="595959" w:themeColor="text1" w:themeTint="A6"/>
        </w:rPr>
        <w:t>lial signalling networks (Figure 1.5)</w:t>
      </w:r>
      <w:r>
        <w:rPr>
          <w:rFonts w:ascii="Arial" w:hAnsi="Arial" w:cs="Arial"/>
          <w:iCs/>
          <w:color w:val="595959" w:themeColor="text1" w:themeTint="A6"/>
        </w:rPr>
        <w:t>.</w:t>
      </w:r>
      <w:r w:rsidRPr="007154B9">
        <w:rPr>
          <w:rFonts w:ascii="Arial" w:hAnsi="Arial" w:cs="Arial"/>
          <w:iCs/>
          <w:color w:val="595959" w:themeColor="text1" w:themeTint="A6"/>
        </w:rPr>
        <w:t xml:space="preserve"> </w:t>
      </w:r>
      <w:r w:rsidRPr="00A008DC">
        <w:rPr>
          <w:rFonts w:ascii="Arial" w:hAnsi="Arial" w:cs="Arial"/>
          <w:iCs/>
          <w:color w:val="595959" w:themeColor="text1" w:themeTint="A6"/>
        </w:rPr>
        <w:t>Fibril-forming collagen type 1 and cartilage collagen type 2 create large structures which interconnect with other cell types leading to a dynamic 3D structure. The molecular structures of these collagens contribute to the tensile strength of ECM-rich tissues. There has been a link between tumour progression and matrix stiffness that has been characterised in breast, prostate,</w:t>
      </w:r>
      <w:r w:rsidR="00F12E0F">
        <w:rPr>
          <w:rFonts w:ascii="Arial" w:hAnsi="Arial" w:cs="Arial"/>
          <w:iCs/>
          <w:color w:val="595959" w:themeColor="text1" w:themeTint="A6"/>
        </w:rPr>
        <w:t xml:space="preserve"> HNSCC,</w:t>
      </w:r>
      <w:r w:rsidRPr="00A008DC">
        <w:rPr>
          <w:rFonts w:ascii="Arial" w:hAnsi="Arial" w:cs="Arial"/>
          <w:iCs/>
          <w:color w:val="595959" w:themeColor="text1" w:themeTint="A6"/>
        </w:rPr>
        <w:t xml:space="preserve"> and lung carcinogenesis</w:t>
      </w:r>
      <w:r w:rsidR="00F12E0F">
        <w:rPr>
          <w:rFonts w:ascii="Arial" w:hAnsi="Arial" w:cs="Arial"/>
          <w:iCs/>
          <w:color w:val="595959" w:themeColor="text1" w:themeTint="A6"/>
        </w:rPr>
        <w:t xml:space="preserve"> (Hanley </w:t>
      </w:r>
      <w:r w:rsidR="00F12E0F" w:rsidRPr="00F12E0F">
        <w:rPr>
          <w:rFonts w:ascii="Arial" w:hAnsi="Arial" w:cs="Arial"/>
          <w:i/>
          <w:color w:val="595959" w:themeColor="text1" w:themeTint="A6"/>
        </w:rPr>
        <w:t>et al.,</w:t>
      </w:r>
      <w:r w:rsidR="00F12E0F">
        <w:rPr>
          <w:rFonts w:ascii="Arial" w:hAnsi="Arial" w:cs="Arial"/>
          <w:iCs/>
          <w:color w:val="595959" w:themeColor="text1" w:themeTint="A6"/>
        </w:rPr>
        <w:t xml:space="preserve"> 201</w:t>
      </w:r>
      <w:r w:rsidR="00B47AD3">
        <w:rPr>
          <w:rFonts w:ascii="Arial" w:hAnsi="Arial" w:cs="Arial"/>
          <w:iCs/>
          <w:color w:val="595959" w:themeColor="text1" w:themeTint="A6"/>
        </w:rPr>
        <w:t>6</w:t>
      </w:r>
      <w:r w:rsidRPr="00A008DC">
        <w:rPr>
          <w:rFonts w:ascii="Arial" w:hAnsi="Arial" w:cs="Arial"/>
          <w:iCs/>
          <w:color w:val="595959" w:themeColor="text1" w:themeTint="A6"/>
        </w:rPr>
        <w:t>. The</w:t>
      </w:r>
      <w:r>
        <w:rPr>
          <w:rFonts w:ascii="Arial" w:hAnsi="Arial" w:cs="Arial"/>
          <w:iCs/>
          <w:color w:val="595959" w:themeColor="text1" w:themeTint="A6"/>
        </w:rPr>
        <w:t xml:space="preserve"> characteristic upregulation of LOX-</w:t>
      </w:r>
      <w:r w:rsidRPr="00A008DC">
        <w:rPr>
          <w:rFonts w:ascii="Arial" w:hAnsi="Arial" w:cs="Arial"/>
          <w:iCs/>
          <w:color w:val="595959" w:themeColor="text1" w:themeTint="A6"/>
        </w:rPr>
        <w:t xml:space="preserve">mediated collagen cross-linking provides the stiffness capabilities by production of focal adhesions due to elevated P13 kinase activity and growth factor signalling (Levental </w:t>
      </w:r>
      <w:r w:rsidRPr="00A008DC">
        <w:rPr>
          <w:rFonts w:ascii="Arial" w:hAnsi="Arial" w:cs="Arial"/>
          <w:i/>
          <w:iCs/>
          <w:color w:val="595959" w:themeColor="text1" w:themeTint="A6"/>
        </w:rPr>
        <w:t>et al.,</w:t>
      </w:r>
      <w:r w:rsidRPr="00A008DC">
        <w:rPr>
          <w:rFonts w:ascii="Arial" w:hAnsi="Arial" w:cs="Arial"/>
          <w:iCs/>
          <w:color w:val="595959" w:themeColor="text1" w:themeTint="A6"/>
        </w:rPr>
        <w:t xml:space="preserve"> 2009). </w:t>
      </w:r>
    </w:p>
    <w:p w14:paraId="4ACFD9F6" w14:textId="01C9D95B" w:rsidR="00114476" w:rsidRDefault="007325CD" w:rsidP="00CC01B4">
      <w:pPr>
        <w:spacing w:line="480" w:lineRule="auto"/>
        <w:jc w:val="both"/>
        <w:rPr>
          <w:rFonts w:ascii="Arial" w:hAnsi="Arial" w:cs="Arial"/>
          <w:iCs/>
          <w:color w:val="595959" w:themeColor="text1" w:themeTint="A6"/>
        </w:rPr>
      </w:pPr>
      <w:r>
        <w:rPr>
          <w:rFonts w:ascii="Arial" w:hAnsi="Arial" w:cs="Arial"/>
          <w:iCs/>
          <w:color w:val="595959" w:themeColor="text1" w:themeTint="A6"/>
        </w:rPr>
        <w:t>Alterations in s</w:t>
      </w:r>
      <w:r w:rsidRPr="00495779">
        <w:rPr>
          <w:rFonts w:ascii="Arial" w:hAnsi="Arial" w:cs="Arial"/>
          <w:iCs/>
          <w:color w:val="595959" w:themeColor="text1" w:themeTint="A6"/>
        </w:rPr>
        <w:t xml:space="preserve">tiffness </w:t>
      </w:r>
      <w:r>
        <w:rPr>
          <w:rFonts w:ascii="Arial" w:hAnsi="Arial" w:cs="Arial"/>
          <w:iCs/>
          <w:color w:val="595959" w:themeColor="text1" w:themeTint="A6"/>
        </w:rPr>
        <w:t>are the result of</w:t>
      </w:r>
      <w:r w:rsidRPr="00495779">
        <w:rPr>
          <w:rFonts w:ascii="Arial" w:hAnsi="Arial" w:cs="Arial"/>
          <w:iCs/>
          <w:color w:val="595959" w:themeColor="text1" w:themeTint="A6"/>
        </w:rPr>
        <w:t xml:space="preserve"> molecular changes that act via signalling pathways. This causes the up regulation of miRNA (miR-18a in breast carcinoma) which activates invasive phenotypes. Expression of miR-18a has inhibitory effects on tumour suppressor proteins like PTEN</w:t>
      </w:r>
      <w:r>
        <w:rPr>
          <w:rFonts w:ascii="Arial" w:hAnsi="Arial" w:cs="Arial"/>
          <w:iCs/>
          <w:color w:val="595959" w:themeColor="text1" w:themeTint="A6"/>
        </w:rPr>
        <w:t>; which directly promotes cell cycle progression and survival</w:t>
      </w:r>
      <w:r w:rsidRPr="00495779">
        <w:rPr>
          <w:rFonts w:ascii="Arial" w:hAnsi="Arial" w:cs="Arial"/>
          <w:iCs/>
          <w:color w:val="595959" w:themeColor="text1" w:themeTint="A6"/>
        </w:rPr>
        <w:t xml:space="preserve"> (Seewaldt, 2014).  </w:t>
      </w:r>
      <w:r w:rsidRPr="00495779">
        <w:rPr>
          <w:rFonts w:ascii="Arial" w:hAnsi="Arial" w:cs="Arial"/>
          <w:i/>
          <w:iCs/>
          <w:color w:val="595959" w:themeColor="text1" w:themeTint="A6"/>
        </w:rPr>
        <w:t xml:space="preserve">In vivo </w:t>
      </w:r>
      <w:r w:rsidRPr="00495779">
        <w:rPr>
          <w:rFonts w:ascii="Arial" w:hAnsi="Arial" w:cs="Arial"/>
          <w:iCs/>
          <w:color w:val="595959" w:themeColor="text1" w:themeTint="A6"/>
        </w:rPr>
        <w:t>mice studies have also implicated a role for the impact of matrix stiffness directly on the behaviour of cancer cells. It’s been shown that cancer cells preferentially invade along a stiffer collagen meshwork into adjacent stromal tissue. This stiffer fibre network is also an established identifier of focal sites indicative of breast cancer cell micro</w:t>
      </w:r>
      <w:r>
        <w:rPr>
          <w:rFonts w:ascii="Arial" w:hAnsi="Arial" w:cs="Arial"/>
          <w:iCs/>
          <w:color w:val="595959" w:themeColor="text1" w:themeTint="A6"/>
        </w:rPr>
        <w:t>-</w:t>
      </w:r>
      <w:r w:rsidRPr="00495779">
        <w:rPr>
          <w:rFonts w:ascii="Arial" w:hAnsi="Arial" w:cs="Arial"/>
          <w:iCs/>
          <w:color w:val="595959" w:themeColor="text1" w:themeTint="A6"/>
        </w:rPr>
        <w:t xml:space="preserve">invasion. </w:t>
      </w:r>
      <w:r w:rsidRPr="00A008DC">
        <w:rPr>
          <w:rFonts w:ascii="Arial" w:hAnsi="Arial" w:cs="Arial"/>
          <w:iCs/>
          <w:color w:val="595959" w:themeColor="text1" w:themeTint="A6"/>
        </w:rPr>
        <w:t xml:space="preserve">This matrix interacts and binds one-another as well as cell receptors which are capable of a diverse </w:t>
      </w:r>
      <w:r w:rsidRPr="00A008DC">
        <w:rPr>
          <w:rFonts w:ascii="Arial" w:hAnsi="Arial" w:cs="Arial"/>
          <w:iCs/>
          <w:color w:val="595959" w:themeColor="text1" w:themeTint="A6"/>
        </w:rPr>
        <w:lastRenderedPageBreak/>
        <w:t>signalling repertoire. Such signalling can influence an array of cellular functions such as pro-</w:t>
      </w:r>
      <w:r w:rsidR="00545CCE">
        <w:rPr>
          <w:rFonts w:ascii="Arial" w:hAnsi="Arial" w:cs="Arial"/>
          <w:iCs/>
          <w:noProof/>
          <w:color w:val="595959" w:themeColor="text1" w:themeTint="A6"/>
          <w:lang w:eastAsia="zh-CN"/>
        </w:rPr>
        <w:drawing>
          <wp:anchor distT="0" distB="0" distL="114300" distR="114300" simplePos="0" relativeHeight="251658246" behindDoc="0" locked="0" layoutInCell="1" allowOverlap="1" wp14:anchorId="2292D8CF" wp14:editId="2417E72A">
            <wp:simplePos x="0" y="0"/>
            <wp:positionH relativeFrom="margin">
              <wp:align>center</wp:align>
            </wp:positionH>
            <wp:positionV relativeFrom="paragraph">
              <wp:posOffset>637400</wp:posOffset>
            </wp:positionV>
            <wp:extent cx="5273675" cy="6505664"/>
            <wp:effectExtent l="0" t="0" r="3175"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7">
                      <a:extLst>
                        <a:ext uri="{28A0092B-C50C-407E-A947-70E740481C1C}">
                          <a14:useLocalDpi xmlns:a14="http://schemas.microsoft.com/office/drawing/2010/main" val="0"/>
                        </a:ext>
                      </a:extLst>
                    </a:blip>
                    <a:srcRect t="15238"/>
                    <a:stretch/>
                  </pic:blipFill>
                  <pic:spPr bwMode="auto">
                    <a:xfrm>
                      <a:off x="0" y="0"/>
                      <a:ext cx="5273675" cy="6505664"/>
                    </a:xfrm>
                    <a:prstGeom prst="rect">
                      <a:avLst/>
                    </a:prstGeom>
                    <a:noFill/>
                    <a:ln>
                      <a:noFill/>
                    </a:ln>
                    <a:extLst>
                      <a:ext uri="{53640926-AAD7-44D8-BBD7-CCE9431645EC}">
                        <a14:shadowObscured xmlns:a14="http://schemas.microsoft.com/office/drawing/2010/main"/>
                      </a:ext>
                    </a:extLst>
                  </pic:spPr>
                </pic:pic>
              </a:graphicData>
            </a:graphic>
          </wp:anchor>
        </w:drawing>
      </w:r>
      <w:r w:rsidRPr="00A008DC">
        <w:rPr>
          <w:rFonts w:ascii="Arial" w:hAnsi="Arial" w:cs="Arial"/>
          <w:iCs/>
          <w:color w:val="595959" w:themeColor="text1" w:themeTint="A6"/>
        </w:rPr>
        <w:t xml:space="preserve">survival queues, proliferation, migration and cellular differentiation. </w:t>
      </w:r>
    </w:p>
    <w:p w14:paraId="373F78F5" w14:textId="47E2E80B" w:rsidR="004100C9" w:rsidRDefault="004100C9" w:rsidP="00CC01B4">
      <w:pPr>
        <w:spacing w:line="480" w:lineRule="auto"/>
        <w:jc w:val="both"/>
        <w:rPr>
          <w:rFonts w:ascii="Arial" w:hAnsi="Arial" w:cs="Arial"/>
          <w:iCs/>
          <w:color w:val="595959" w:themeColor="text1" w:themeTint="A6"/>
        </w:rPr>
      </w:pPr>
    </w:p>
    <w:p w14:paraId="190A9A07" w14:textId="7B62364B" w:rsidR="004100C9" w:rsidRDefault="004100C9" w:rsidP="00CC01B4">
      <w:pPr>
        <w:spacing w:line="480" w:lineRule="auto"/>
        <w:jc w:val="both"/>
        <w:rPr>
          <w:rFonts w:ascii="Arial" w:hAnsi="Arial" w:cs="Arial"/>
          <w:iCs/>
          <w:color w:val="595959" w:themeColor="text1" w:themeTint="A6"/>
        </w:rPr>
      </w:pPr>
    </w:p>
    <w:p w14:paraId="5D54B2B1" w14:textId="1558245E" w:rsidR="004100C9" w:rsidRDefault="004100C9" w:rsidP="00CC01B4">
      <w:pPr>
        <w:spacing w:line="480" w:lineRule="auto"/>
        <w:jc w:val="both"/>
        <w:rPr>
          <w:rFonts w:ascii="Arial" w:hAnsi="Arial" w:cs="Arial"/>
          <w:iCs/>
          <w:color w:val="595959" w:themeColor="text1" w:themeTint="A6"/>
        </w:rPr>
      </w:pPr>
    </w:p>
    <w:p w14:paraId="7177EB7C" w14:textId="2091DCE0" w:rsidR="004100C9" w:rsidRDefault="004100C9" w:rsidP="00CC01B4">
      <w:pPr>
        <w:spacing w:line="480" w:lineRule="auto"/>
        <w:jc w:val="both"/>
        <w:rPr>
          <w:rFonts w:ascii="Arial" w:hAnsi="Arial" w:cs="Arial"/>
          <w:iCs/>
          <w:color w:val="595959" w:themeColor="text1" w:themeTint="A6"/>
        </w:rPr>
      </w:pPr>
    </w:p>
    <w:p w14:paraId="16D33559" w14:textId="3FB2651C" w:rsidR="004100C9" w:rsidRDefault="004100C9" w:rsidP="00CC01B4">
      <w:pPr>
        <w:spacing w:line="480" w:lineRule="auto"/>
        <w:jc w:val="both"/>
        <w:rPr>
          <w:rFonts w:ascii="Arial" w:hAnsi="Arial" w:cs="Arial"/>
          <w:iCs/>
          <w:color w:val="595959" w:themeColor="text1" w:themeTint="A6"/>
        </w:rPr>
      </w:pPr>
    </w:p>
    <w:p w14:paraId="39DDAB7A" w14:textId="08084C07" w:rsidR="004100C9" w:rsidRDefault="004100C9" w:rsidP="00CC01B4">
      <w:pPr>
        <w:spacing w:line="480" w:lineRule="auto"/>
        <w:jc w:val="both"/>
        <w:rPr>
          <w:rFonts w:ascii="Arial" w:hAnsi="Arial" w:cs="Arial"/>
          <w:iCs/>
          <w:color w:val="595959" w:themeColor="text1" w:themeTint="A6"/>
        </w:rPr>
      </w:pPr>
    </w:p>
    <w:p w14:paraId="415960D0" w14:textId="1CE3F537" w:rsidR="004100C9" w:rsidRDefault="004100C9" w:rsidP="00CC01B4">
      <w:pPr>
        <w:spacing w:line="480" w:lineRule="auto"/>
        <w:jc w:val="both"/>
        <w:rPr>
          <w:rFonts w:ascii="Arial" w:hAnsi="Arial" w:cs="Arial"/>
          <w:iCs/>
          <w:color w:val="595959" w:themeColor="text1" w:themeTint="A6"/>
        </w:rPr>
      </w:pPr>
    </w:p>
    <w:p w14:paraId="7042F6CD" w14:textId="5402FCAD" w:rsidR="004100C9" w:rsidRDefault="004100C9" w:rsidP="00CC01B4">
      <w:pPr>
        <w:spacing w:line="480" w:lineRule="auto"/>
        <w:jc w:val="both"/>
        <w:rPr>
          <w:rFonts w:ascii="Arial" w:hAnsi="Arial" w:cs="Arial"/>
          <w:iCs/>
          <w:color w:val="595959" w:themeColor="text1" w:themeTint="A6"/>
        </w:rPr>
      </w:pPr>
    </w:p>
    <w:p w14:paraId="11A44966" w14:textId="66A08BA5" w:rsidR="004100C9" w:rsidRDefault="004100C9" w:rsidP="00CC01B4">
      <w:pPr>
        <w:spacing w:line="480" w:lineRule="auto"/>
        <w:jc w:val="both"/>
        <w:rPr>
          <w:rFonts w:ascii="Arial" w:hAnsi="Arial" w:cs="Arial"/>
          <w:iCs/>
          <w:color w:val="595959" w:themeColor="text1" w:themeTint="A6"/>
        </w:rPr>
      </w:pPr>
    </w:p>
    <w:p w14:paraId="381A1E9F" w14:textId="5D157FE5" w:rsidR="004100C9" w:rsidRDefault="004100C9" w:rsidP="00CC01B4">
      <w:pPr>
        <w:spacing w:line="480" w:lineRule="auto"/>
        <w:jc w:val="both"/>
        <w:rPr>
          <w:rFonts w:ascii="Arial" w:hAnsi="Arial" w:cs="Arial"/>
          <w:iCs/>
          <w:color w:val="595959" w:themeColor="text1" w:themeTint="A6"/>
        </w:rPr>
      </w:pPr>
    </w:p>
    <w:p w14:paraId="1CD84EA2" w14:textId="314D598B" w:rsidR="004100C9" w:rsidRDefault="004100C9" w:rsidP="00CC01B4">
      <w:pPr>
        <w:spacing w:line="480" w:lineRule="auto"/>
        <w:jc w:val="both"/>
        <w:rPr>
          <w:rFonts w:ascii="Arial" w:hAnsi="Arial" w:cs="Arial"/>
          <w:iCs/>
          <w:color w:val="595959" w:themeColor="text1" w:themeTint="A6"/>
        </w:rPr>
      </w:pPr>
    </w:p>
    <w:p w14:paraId="7F710847" w14:textId="2E578361" w:rsidR="004100C9" w:rsidRDefault="004100C9" w:rsidP="00CC01B4">
      <w:pPr>
        <w:spacing w:line="480" w:lineRule="auto"/>
        <w:jc w:val="both"/>
        <w:rPr>
          <w:rFonts w:ascii="Arial" w:hAnsi="Arial" w:cs="Arial"/>
          <w:iCs/>
          <w:color w:val="595959" w:themeColor="text1" w:themeTint="A6"/>
        </w:rPr>
      </w:pPr>
    </w:p>
    <w:p w14:paraId="6E57F62E" w14:textId="5DE91903" w:rsidR="004100C9" w:rsidRDefault="004100C9" w:rsidP="00CC01B4">
      <w:pPr>
        <w:spacing w:line="480" w:lineRule="auto"/>
        <w:jc w:val="both"/>
        <w:rPr>
          <w:rFonts w:ascii="Arial" w:hAnsi="Arial" w:cs="Arial"/>
          <w:iCs/>
          <w:color w:val="595959" w:themeColor="text1" w:themeTint="A6"/>
        </w:rPr>
      </w:pPr>
    </w:p>
    <w:p w14:paraId="7F272869" w14:textId="01E46937" w:rsidR="004100C9" w:rsidRDefault="004100C9" w:rsidP="00CC01B4">
      <w:pPr>
        <w:spacing w:line="480" w:lineRule="auto"/>
        <w:jc w:val="both"/>
        <w:rPr>
          <w:rFonts w:ascii="Arial" w:hAnsi="Arial" w:cs="Arial"/>
          <w:iCs/>
          <w:color w:val="595959" w:themeColor="text1" w:themeTint="A6"/>
        </w:rPr>
      </w:pPr>
    </w:p>
    <w:p w14:paraId="7BE34C6E" w14:textId="3E9D5DF8" w:rsidR="004100C9" w:rsidRDefault="004100C9" w:rsidP="00CC01B4">
      <w:pPr>
        <w:spacing w:line="480" w:lineRule="auto"/>
        <w:jc w:val="both"/>
        <w:rPr>
          <w:rFonts w:ascii="Arial" w:hAnsi="Arial" w:cs="Arial"/>
          <w:iCs/>
          <w:color w:val="595959" w:themeColor="text1" w:themeTint="A6"/>
        </w:rPr>
      </w:pPr>
    </w:p>
    <w:p w14:paraId="1CBB60E8" w14:textId="02DDA1C2" w:rsidR="004100C9" w:rsidRDefault="004100C9" w:rsidP="00CC01B4">
      <w:pPr>
        <w:spacing w:line="480" w:lineRule="auto"/>
        <w:jc w:val="both"/>
        <w:rPr>
          <w:rFonts w:ascii="Arial" w:hAnsi="Arial" w:cs="Arial"/>
          <w:iCs/>
          <w:color w:val="595959" w:themeColor="text1" w:themeTint="A6"/>
        </w:rPr>
      </w:pPr>
      <w:r w:rsidRPr="00A008DC">
        <w:rPr>
          <w:noProof/>
          <w:lang w:eastAsia="zh-CN"/>
        </w:rPr>
        <mc:AlternateContent>
          <mc:Choice Requires="wps">
            <w:drawing>
              <wp:anchor distT="0" distB="0" distL="114300" distR="114300" simplePos="0" relativeHeight="251658247" behindDoc="0" locked="0" layoutInCell="1" allowOverlap="1" wp14:anchorId="2CCB67E3" wp14:editId="6C496867">
                <wp:simplePos x="0" y="0"/>
                <wp:positionH relativeFrom="margin">
                  <wp:align>right</wp:align>
                </wp:positionH>
                <wp:positionV relativeFrom="paragraph">
                  <wp:posOffset>219666</wp:posOffset>
                </wp:positionV>
                <wp:extent cx="5730949" cy="830580"/>
                <wp:effectExtent l="0" t="0" r="0" b="0"/>
                <wp:wrapNone/>
                <wp:docPr id="1581" name="TextBox 1"/>
                <wp:cNvGraphicFramePr/>
                <a:graphic xmlns:a="http://schemas.openxmlformats.org/drawingml/2006/main">
                  <a:graphicData uri="http://schemas.microsoft.com/office/word/2010/wordprocessingShape">
                    <wps:wsp>
                      <wps:cNvSpPr txBox="1"/>
                      <wps:spPr>
                        <a:xfrm>
                          <a:off x="0" y="0"/>
                          <a:ext cx="5730949" cy="830580"/>
                        </a:xfrm>
                        <a:prstGeom prst="rect">
                          <a:avLst/>
                        </a:prstGeom>
                        <a:noFill/>
                      </wps:spPr>
                      <wps:txbx>
                        <w:txbxContent>
                          <w:p w14:paraId="193FBFD9" w14:textId="0094CBEC" w:rsidR="008A47AC" w:rsidRPr="0042100E" w:rsidRDefault="008A47AC" w:rsidP="004100C9">
                            <w:pPr>
                              <w:pStyle w:val="NormalWeb"/>
                              <w:spacing w:after="0" w:line="480" w:lineRule="auto"/>
                              <w:jc w:val="both"/>
                              <w:rPr>
                                <w:rFonts w:ascii="Arial Narrow" w:hAnsi="Arial Narrow" w:cstheme="minorBidi"/>
                                <w:b/>
                                <w:color w:val="595959" w:themeColor="text1" w:themeTint="A6"/>
                                <w:kern w:val="24"/>
                                <w:sz w:val="22"/>
                                <w:szCs w:val="22"/>
                              </w:rPr>
                            </w:pPr>
                            <w:r>
                              <w:rPr>
                                <w:rFonts w:ascii="Arial Narrow" w:hAnsi="Arial Narrow" w:cstheme="minorBidi"/>
                                <w:b/>
                                <w:color w:val="595959" w:themeColor="text1" w:themeTint="A6"/>
                                <w:kern w:val="24"/>
                                <w:sz w:val="22"/>
                                <w:szCs w:val="22"/>
                              </w:rPr>
                              <w:t>Figure 1.5</w:t>
                            </w:r>
                            <w:r w:rsidRPr="0042100E">
                              <w:rPr>
                                <w:rFonts w:ascii="Arial Narrow" w:hAnsi="Arial Narrow" w:cstheme="minorBidi"/>
                                <w:b/>
                                <w:color w:val="595959" w:themeColor="text1" w:themeTint="A6"/>
                                <w:kern w:val="24"/>
                                <w:sz w:val="22"/>
                                <w:szCs w:val="22"/>
                              </w:rPr>
                              <w:t>. Diagram of collagen cross-linkin</w:t>
                            </w:r>
                            <w:r>
                              <w:rPr>
                                <w:rFonts w:ascii="Arial Narrow" w:hAnsi="Arial Narrow" w:cstheme="minorBidi"/>
                                <w:b/>
                                <w:color w:val="595959" w:themeColor="text1" w:themeTint="A6"/>
                                <w:kern w:val="24"/>
                                <w:sz w:val="22"/>
                                <w:szCs w:val="22"/>
                              </w:rPr>
                              <w:t>g and subsequent effects</w:t>
                            </w:r>
                          </w:p>
                          <w:p w14:paraId="3DAF99BC" w14:textId="6299F321" w:rsidR="008A47AC" w:rsidRPr="000C1F32" w:rsidRDefault="008A47AC" w:rsidP="004100C9">
                            <w:pPr>
                              <w:pStyle w:val="NormalWeb"/>
                              <w:spacing w:after="0" w:line="276" w:lineRule="auto"/>
                              <w:jc w:val="both"/>
                              <w:rPr>
                                <w:rFonts w:ascii="Arial Narrow" w:hAnsi="Arial Narrow"/>
                                <w:color w:val="595959" w:themeColor="text1" w:themeTint="A6"/>
                                <w:sz w:val="22"/>
                                <w:szCs w:val="22"/>
                              </w:rPr>
                            </w:pPr>
                            <w:r w:rsidRPr="000C1F32">
                              <w:rPr>
                                <w:rFonts w:ascii="Arial Narrow" w:hAnsi="Arial Narrow" w:cstheme="minorBidi"/>
                                <w:color w:val="595959" w:themeColor="text1" w:themeTint="A6"/>
                                <w:kern w:val="24"/>
                                <w:sz w:val="22"/>
                                <w:szCs w:val="22"/>
                              </w:rPr>
                              <w:t xml:space="preserve">X-linked collagen promotes the clustering of </w:t>
                            </w:r>
                            <w:r w:rsidRPr="000C1F32">
                              <w:rPr>
                                <w:rFonts w:ascii="Arial Narrow" w:hAnsi="Arial Narrow" w:cstheme="minorBidi"/>
                                <w:color w:val="595959" w:themeColor="text1" w:themeTint="A6"/>
                                <w:kern w:val="24"/>
                                <w:sz w:val="22"/>
                                <w:szCs w:val="22"/>
                                <w:lang w:val="el-GR"/>
                              </w:rPr>
                              <w:t>β</w:t>
                            </w:r>
                            <w:r>
                              <w:rPr>
                                <w:rFonts w:ascii="Arial Narrow" w:hAnsi="Arial Narrow" w:cstheme="minorBidi"/>
                                <w:color w:val="595959" w:themeColor="text1" w:themeTint="A6"/>
                                <w:kern w:val="24"/>
                                <w:sz w:val="22"/>
                                <w:szCs w:val="22"/>
                              </w:rPr>
                              <w:t>1-integrin subunits. This in-turn</w:t>
                            </w:r>
                            <w:r w:rsidRPr="000C1F32">
                              <w:rPr>
                                <w:rFonts w:ascii="Arial Narrow" w:hAnsi="Arial Narrow" w:cstheme="minorBidi"/>
                                <w:color w:val="595959" w:themeColor="text1" w:themeTint="A6"/>
                                <w:kern w:val="24"/>
                                <w:sz w:val="22"/>
                                <w:szCs w:val="22"/>
                              </w:rPr>
                              <w:t xml:space="preserve"> provides the necessary activation of signalling cascades known to promote pronounced malignant progression of solid tumours. Resulting in mechanical forces and increased matrix tension. Molecular alterations such as miRNA activation and the reduced gene expression of tumour suppressors such as PTEN/BRCA1 also negatively correlate with pro-invasive and migratory phenotypes.  </w:t>
                            </w:r>
                          </w:p>
                        </w:txbxContent>
                      </wps:txbx>
                      <wps:bodyPr wrap="square" rtlCol="0">
                        <a:spAutoFit/>
                      </wps:bodyPr>
                    </wps:wsp>
                  </a:graphicData>
                </a:graphic>
                <wp14:sizeRelH relativeFrom="margin">
                  <wp14:pctWidth>0</wp14:pctWidth>
                </wp14:sizeRelH>
              </wp:anchor>
            </w:drawing>
          </mc:Choice>
          <mc:Fallback>
            <w:pict>
              <v:shape w14:anchorId="2CCB67E3" id="TextBox 1" o:spid="_x0000_s1032" type="#_x0000_t202" style="position:absolute;left:0;text-align:left;margin-left:400.05pt;margin-top:17.3pt;width:451.25pt;height:65.4pt;z-index:251658247;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" filled="f" stroked="f">
                <v:textbox style="mso-fit-shape-to-text:t">
                  <w:txbxContent>
                    <w:p w14:paraId="193FBFD9" w14:textId="0094CBEC" w:rsidR="008A47AC" w:rsidRPr="0042100E" w:rsidRDefault="008A47AC" w:rsidP="004100C9">
                      <w:pPr>
                        <w:pStyle w:val="NormalWeb"/>
                        <w:spacing w:after="0" w:line="480" w:lineRule="auto"/>
                        <w:jc w:val="both"/>
                        <w:rPr>
                          <w:rFonts w:ascii="Arial Narrow" w:hAnsi="Arial Narrow" w:cstheme="minorBidi"/>
                          <w:b/>
                          <w:color w:val="595959" w:themeColor="text1" w:themeTint="A6"/>
                          <w:kern w:val="24"/>
                          <w:sz w:val="22"/>
                          <w:szCs w:val="22"/>
                        </w:rPr>
                      </w:pPr>
                      <w:r>
                        <w:rPr>
                          <w:rFonts w:ascii="Arial Narrow" w:hAnsi="Arial Narrow" w:cstheme="minorBidi"/>
                          <w:b/>
                          <w:color w:val="595959" w:themeColor="text1" w:themeTint="A6"/>
                          <w:kern w:val="24"/>
                          <w:sz w:val="22"/>
                          <w:szCs w:val="22"/>
                        </w:rPr>
                        <w:t>Figure 1.5</w:t>
                      </w:r>
                      <w:r w:rsidRPr="0042100E">
                        <w:rPr>
                          <w:rFonts w:ascii="Arial Narrow" w:hAnsi="Arial Narrow" w:cstheme="minorBidi"/>
                          <w:b/>
                          <w:color w:val="595959" w:themeColor="text1" w:themeTint="A6"/>
                          <w:kern w:val="24"/>
                          <w:sz w:val="22"/>
                          <w:szCs w:val="22"/>
                        </w:rPr>
                        <w:t>. Diagram of collagen cross-linkin</w:t>
                      </w:r>
                      <w:r>
                        <w:rPr>
                          <w:rFonts w:ascii="Arial Narrow" w:hAnsi="Arial Narrow" w:cstheme="minorBidi"/>
                          <w:b/>
                          <w:color w:val="595959" w:themeColor="text1" w:themeTint="A6"/>
                          <w:kern w:val="24"/>
                          <w:sz w:val="22"/>
                          <w:szCs w:val="22"/>
                        </w:rPr>
                        <w:t>g and subsequent effects</w:t>
                      </w:r>
                    </w:p>
                    <w:p w14:paraId="3DAF99BC" w14:textId="6299F321" w:rsidR="008A47AC" w:rsidRPr="000C1F32" w:rsidRDefault="008A47AC" w:rsidP="004100C9">
                      <w:pPr>
                        <w:pStyle w:val="NormalWeb"/>
                        <w:spacing w:after="0" w:line="276" w:lineRule="auto"/>
                        <w:jc w:val="both"/>
                        <w:rPr>
                          <w:rFonts w:ascii="Arial Narrow" w:hAnsi="Arial Narrow"/>
                          <w:color w:val="595959" w:themeColor="text1" w:themeTint="A6"/>
                          <w:sz w:val="22"/>
                          <w:szCs w:val="22"/>
                        </w:rPr>
                      </w:pPr>
                      <w:r w:rsidRPr="000C1F32">
                        <w:rPr>
                          <w:rFonts w:ascii="Arial Narrow" w:hAnsi="Arial Narrow" w:cstheme="minorBidi"/>
                          <w:color w:val="595959" w:themeColor="text1" w:themeTint="A6"/>
                          <w:kern w:val="24"/>
                          <w:sz w:val="22"/>
                          <w:szCs w:val="22"/>
                        </w:rPr>
                        <w:t xml:space="preserve">X-linked collagen promotes the clustering of </w:t>
                      </w:r>
                      <w:r w:rsidRPr="000C1F32">
                        <w:rPr>
                          <w:rFonts w:ascii="Arial Narrow" w:hAnsi="Arial Narrow" w:cstheme="minorBidi"/>
                          <w:color w:val="595959" w:themeColor="text1" w:themeTint="A6"/>
                          <w:kern w:val="24"/>
                          <w:sz w:val="22"/>
                          <w:szCs w:val="22"/>
                          <w:lang w:val="el-GR"/>
                        </w:rPr>
                        <w:t>β</w:t>
                      </w:r>
                      <w:r>
                        <w:rPr>
                          <w:rFonts w:ascii="Arial Narrow" w:hAnsi="Arial Narrow" w:cstheme="minorBidi"/>
                          <w:color w:val="595959" w:themeColor="text1" w:themeTint="A6"/>
                          <w:kern w:val="24"/>
                          <w:sz w:val="22"/>
                          <w:szCs w:val="22"/>
                        </w:rPr>
                        <w:t>1-integrin subunits. This in-turn</w:t>
                      </w:r>
                      <w:r w:rsidRPr="000C1F32">
                        <w:rPr>
                          <w:rFonts w:ascii="Arial Narrow" w:hAnsi="Arial Narrow" w:cstheme="minorBidi"/>
                          <w:color w:val="595959" w:themeColor="text1" w:themeTint="A6"/>
                          <w:kern w:val="24"/>
                          <w:sz w:val="22"/>
                          <w:szCs w:val="22"/>
                        </w:rPr>
                        <w:t xml:space="preserve"> provides the necessary activation of signalling cascades known to promote pronounced malignant progression of solid tumours. Resulting in mechanical forces and increased matrix tension. Molecular alterations such as miRNA activation and the reduced gene expression of tumour suppressors such as PTEN/BRCA1 also negatively correlate with pro-invasive and migratory phenotypes.  </w:t>
                      </w:r>
                    </w:p>
                  </w:txbxContent>
                </v:textbox>
                <w10:wrap anchorx="margin"/>
              </v:shape>
            </w:pict>
          </mc:Fallback>
        </mc:AlternateContent>
      </w:r>
    </w:p>
    <w:p w14:paraId="4B5B0657" w14:textId="7BD5847B" w:rsidR="001C47F7" w:rsidRDefault="001C47F7" w:rsidP="007325CD">
      <w:pPr>
        <w:spacing w:line="480" w:lineRule="auto"/>
        <w:jc w:val="both"/>
        <w:rPr>
          <w:rFonts w:ascii="Arial" w:hAnsi="Arial" w:cs="Arial"/>
          <w:iCs/>
          <w:color w:val="595959" w:themeColor="text1" w:themeTint="A6"/>
        </w:rPr>
      </w:pPr>
    </w:p>
    <w:p w14:paraId="4948509A" w14:textId="5C1B2901" w:rsidR="005E1901" w:rsidRDefault="005E1901" w:rsidP="007325CD">
      <w:pPr>
        <w:spacing w:line="480" w:lineRule="auto"/>
        <w:jc w:val="both"/>
        <w:rPr>
          <w:rFonts w:ascii="Arial" w:hAnsi="Arial" w:cs="Arial"/>
          <w:i/>
          <w:iCs/>
          <w:color w:val="595959" w:themeColor="text1" w:themeTint="A6"/>
        </w:rPr>
      </w:pPr>
    </w:p>
    <w:p w14:paraId="1900FB02" w14:textId="77777777" w:rsidR="005E1901" w:rsidRDefault="005E1901" w:rsidP="007325CD">
      <w:pPr>
        <w:spacing w:line="480" w:lineRule="auto"/>
        <w:jc w:val="both"/>
        <w:rPr>
          <w:rFonts w:ascii="Arial" w:hAnsi="Arial" w:cs="Arial"/>
          <w:i/>
          <w:iCs/>
          <w:color w:val="595959" w:themeColor="text1" w:themeTint="A6"/>
        </w:rPr>
      </w:pPr>
    </w:p>
    <w:p w14:paraId="38806740" w14:textId="459B756B" w:rsidR="007325CD" w:rsidRDefault="007325CD" w:rsidP="009D02AC">
      <w:pPr>
        <w:pStyle w:val="Heading3"/>
        <w:numPr>
          <w:ilvl w:val="2"/>
          <w:numId w:val="4"/>
        </w:numPr>
        <w:rPr>
          <w:rFonts w:ascii="Arial" w:hAnsi="Arial" w:cs="Arial"/>
          <w:i/>
          <w:iCs/>
          <w:color w:val="595959" w:themeColor="text1" w:themeTint="A6"/>
        </w:rPr>
      </w:pPr>
      <w:bookmarkStart w:id="33" w:name="_Toc34208257"/>
      <w:r w:rsidRPr="00FF7394">
        <w:rPr>
          <w:rFonts w:ascii="Arial" w:hAnsi="Arial" w:cs="Arial"/>
          <w:i/>
          <w:iCs/>
          <w:color w:val="595959" w:themeColor="text1" w:themeTint="A6"/>
        </w:rPr>
        <w:lastRenderedPageBreak/>
        <w:t>Biophysical roles of the ECM</w:t>
      </w:r>
      <w:r>
        <w:rPr>
          <w:rFonts w:ascii="Arial" w:hAnsi="Arial" w:cs="Arial"/>
          <w:i/>
          <w:iCs/>
          <w:color w:val="595959" w:themeColor="text1" w:themeTint="A6"/>
        </w:rPr>
        <w:t xml:space="preserve"> in cancer</w:t>
      </w:r>
      <w:bookmarkEnd w:id="33"/>
    </w:p>
    <w:p w14:paraId="5602D468" w14:textId="77777777" w:rsidR="009D02AC" w:rsidRPr="009D02AC" w:rsidRDefault="009D02AC" w:rsidP="009D02AC">
      <w:pPr>
        <w:pStyle w:val="ListParagraph"/>
      </w:pPr>
    </w:p>
    <w:p w14:paraId="3105C7A3" w14:textId="3B4E6BD6" w:rsidR="007325CD" w:rsidRPr="00FF7394" w:rsidRDefault="007325CD" w:rsidP="00977344">
      <w:pPr>
        <w:spacing w:line="480" w:lineRule="auto"/>
        <w:jc w:val="both"/>
        <w:rPr>
          <w:rFonts w:ascii="Arial" w:hAnsi="Arial" w:cs="Arial"/>
          <w:iCs/>
          <w:color w:val="595959" w:themeColor="text1" w:themeTint="A6"/>
        </w:rPr>
      </w:pPr>
      <w:r w:rsidRPr="00FF7394">
        <w:rPr>
          <w:rFonts w:ascii="Arial" w:hAnsi="Arial" w:cs="Arial"/>
          <w:iCs/>
          <w:color w:val="595959" w:themeColor="text1" w:themeTint="A6"/>
        </w:rPr>
        <w:t xml:space="preserve">Another role the ECM plays in disease progression, are the effects of fluid pressure changes with the tumour microenvironment. Bulk deposition of non-soluble </w:t>
      </w:r>
      <w:r>
        <w:rPr>
          <w:rFonts w:ascii="Arial" w:hAnsi="Arial" w:cs="Arial"/>
          <w:iCs/>
          <w:color w:val="595959" w:themeColor="text1" w:themeTint="A6"/>
        </w:rPr>
        <w:t xml:space="preserve">ECM </w:t>
      </w:r>
      <w:r w:rsidRPr="00FF7394">
        <w:rPr>
          <w:rFonts w:ascii="Arial" w:hAnsi="Arial" w:cs="Arial"/>
          <w:iCs/>
          <w:color w:val="595959" w:themeColor="text1" w:themeTint="A6"/>
        </w:rPr>
        <w:t>proteins during stromal remodelling, such as collagen, results in alterations of tumour stromal fluid flow and increased solid-tumour stress. This mal-perfusion can act as a barrier to chemotherapeutic reagents and result in resistance and inefficiency to certain drug therapies. OSCC’s are notoriously aggressive and metastatic and in-turn have a resistance to treatment options. The desmoplastic response of the ECM is influenced by CAF activity and ECM deposition. Immunohistochemical analysis of pancreatic tumour sections reveal</w:t>
      </w:r>
      <w:r w:rsidR="00EA5724">
        <w:rPr>
          <w:rFonts w:ascii="Arial" w:hAnsi="Arial" w:cs="Arial"/>
          <w:iCs/>
          <w:color w:val="595959" w:themeColor="text1" w:themeTint="A6"/>
        </w:rPr>
        <w:t>ed</w:t>
      </w:r>
      <w:r w:rsidRPr="00FF7394">
        <w:rPr>
          <w:rFonts w:ascii="Arial" w:hAnsi="Arial" w:cs="Arial"/>
          <w:iCs/>
          <w:color w:val="595959" w:themeColor="text1" w:themeTint="A6"/>
        </w:rPr>
        <w:t xml:space="preserve"> staining for the deposition of proteins which are all up-regulated in desmoplastic stroma </w:t>
      </w:r>
      <w:r w:rsidR="00EA5724">
        <w:rPr>
          <w:rFonts w:ascii="Arial" w:hAnsi="Arial" w:cs="Arial"/>
          <w:iCs/>
          <w:color w:val="595959" w:themeColor="text1" w:themeTint="A6"/>
        </w:rPr>
        <w:t>including c</w:t>
      </w:r>
      <w:r w:rsidRPr="00FF7394">
        <w:rPr>
          <w:rFonts w:ascii="Arial" w:hAnsi="Arial" w:cs="Arial"/>
          <w:iCs/>
          <w:color w:val="595959" w:themeColor="text1" w:themeTint="A6"/>
        </w:rPr>
        <w:t xml:space="preserve">ollagen, </w:t>
      </w:r>
      <w:r w:rsidR="00EA5724" w:rsidRPr="00FF7394">
        <w:rPr>
          <w:rFonts w:ascii="Arial" w:hAnsi="Arial" w:cs="Arial"/>
          <w:iCs/>
          <w:color w:val="595959" w:themeColor="text1" w:themeTint="A6"/>
        </w:rPr>
        <w:t>GAGs</w:t>
      </w:r>
      <w:r w:rsidR="00EA5724">
        <w:rPr>
          <w:rFonts w:ascii="Arial" w:hAnsi="Arial" w:cs="Arial"/>
          <w:iCs/>
          <w:color w:val="595959" w:themeColor="text1" w:themeTint="A6"/>
        </w:rPr>
        <w:t>,</w:t>
      </w:r>
      <w:r w:rsidR="00715516">
        <w:rPr>
          <w:rFonts w:ascii="Arial" w:hAnsi="Arial" w:cs="Arial"/>
          <w:iCs/>
          <w:color w:val="595959" w:themeColor="text1" w:themeTint="A6"/>
        </w:rPr>
        <w:t xml:space="preserve"> mucins, h</w:t>
      </w:r>
      <w:r w:rsidRPr="00FF7394">
        <w:rPr>
          <w:rFonts w:ascii="Arial" w:hAnsi="Arial" w:cs="Arial"/>
          <w:iCs/>
          <w:color w:val="595959" w:themeColor="text1" w:themeTint="A6"/>
        </w:rPr>
        <w:t>yaluronic acid binding protein</w:t>
      </w:r>
      <w:r w:rsidR="00EA5724" w:rsidRPr="00EA5724">
        <w:rPr>
          <w:rFonts w:ascii="Arial" w:hAnsi="Arial" w:cs="Arial"/>
          <w:iCs/>
          <w:color w:val="595959" w:themeColor="text1" w:themeTint="A6"/>
        </w:rPr>
        <w:t xml:space="preserve"> </w:t>
      </w:r>
      <w:r w:rsidR="00EA5724">
        <w:rPr>
          <w:rFonts w:ascii="Arial" w:hAnsi="Arial" w:cs="Arial"/>
          <w:iCs/>
          <w:color w:val="595959" w:themeColor="text1" w:themeTint="A6"/>
        </w:rPr>
        <w:t>(</w:t>
      </w:r>
      <w:r w:rsidR="00EA5724" w:rsidRPr="00FF7394">
        <w:rPr>
          <w:rFonts w:ascii="Arial" w:hAnsi="Arial" w:cs="Arial"/>
          <w:iCs/>
          <w:color w:val="595959" w:themeColor="text1" w:themeTint="A6"/>
        </w:rPr>
        <w:t>HABP</w:t>
      </w:r>
      <w:r w:rsidRPr="00FF7394">
        <w:rPr>
          <w:rFonts w:ascii="Arial" w:hAnsi="Arial" w:cs="Arial"/>
          <w:iCs/>
          <w:color w:val="595959" w:themeColor="text1" w:themeTint="A6"/>
        </w:rPr>
        <w:t xml:space="preserve">) and </w:t>
      </w:r>
      <w:r w:rsidR="00EA5724">
        <w:rPr>
          <w:rFonts w:ascii="Arial" w:hAnsi="Arial" w:cs="Arial"/>
          <w:iCs/>
          <w:color w:val="595959" w:themeColor="text1" w:themeTint="A6"/>
        </w:rPr>
        <w:t>hyaluronic acid (</w:t>
      </w:r>
      <w:r w:rsidRPr="00FF7394">
        <w:rPr>
          <w:rFonts w:ascii="Arial" w:hAnsi="Arial" w:cs="Arial"/>
          <w:iCs/>
          <w:color w:val="595959" w:themeColor="text1" w:themeTint="A6"/>
        </w:rPr>
        <w:t>HA</w:t>
      </w:r>
      <w:r w:rsidR="00EA5724">
        <w:rPr>
          <w:rFonts w:ascii="Arial" w:hAnsi="Arial" w:cs="Arial"/>
          <w:iCs/>
          <w:color w:val="595959" w:themeColor="text1" w:themeTint="A6"/>
        </w:rPr>
        <w:t>)</w:t>
      </w:r>
      <w:r w:rsidRPr="00FF7394">
        <w:rPr>
          <w:rFonts w:ascii="Arial" w:hAnsi="Arial" w:cs="Arial"/>
          <w:iCs/>
          <w:color w:val="595959" w:themeColor="text1" w:themeTint="A6"/>
        </w:rPr>
        <w:t xml:space="preserve"> and αSMA stress fibre formation </w:t>
      </w:r>
      <w:r w:rsidR="00EA5724" w:rsidRPr="00FF7394">
        <w:rPr>
          <w:rFonts w:ascii="Arial" w:hAnsi="Arial" w:cs="Arial"/>
          <w:iCs/>
          <w:color w:val="595959" w:themeColor="text1" w:themeTint="A6"/>
        </w:rPr>
        <w:t>(Provenzano and Hingorani, 2013)</w:t>
      </w:r>
      <w:r w:rsidR="00EA5724">
        <w:rPr>
          <w:rFonts w:ascii="Arial" w:hAnsi="Arial" w:cs="Arial"/>
          <w:iCs/>
          <w:color w:val="595959" w:themeColor="text1" w:themeTint="A6"/>
        </w:rPr>
        <w:t>.</w:t>
      </w:r>
    </w:p>
    <w:p w14:paraId="59AB76FB" w14:textId="0DCA75E8" w:rsidR="001C47F7" w:rsidRPr="005758B2" w:rsidRDefault="007325CD" w:rsidP="005758B2">
      <w:pPr>
        <w:spacing w:line="480" w:lineRule="auto"/>
        <w:jc w:val="both"/>
        <w:rPr>
          <w:rFonts w:ascii="Arial" w:hAnsi="Arial" w:cs="Arial"/>
          <w:iCs/>
          <w:color w:val="595959" w:themeColor="text1" w:themeTint="A6"/>
        </w:rPr>
      </w:pPr>
      <w:r w:rsidRPr="00FF7394">
        <w:rPr>
          <w:rFonts w:ascii="Arial" w:hAnsi="Arial" w:cs="Arial"/>
          <w:iCs/>
          <w:color w:val="595959" w:themeColor="text1" w:themeTint="A6"/>
        </w:rPr>
        <w:t>Activated stromal CAF alter the physical structures of developing tumours through this reaction mechanism. Deposition of ECM, which includes dense collage</w:t>
      </w:r>
      <w:r>
        <w:rPr>
          <w:rFonts w:ascii="Arial" w:hAnsi="Arial" w:cs="Arial"/>
          <w:iCs/>
          <w:color w:val="595959" w:themeColor="text1" w:themeTint="A6"/>
        </w:rPr>
        <w:t>n and mucins (fluid-trapping mu</w:t>
      </w:r>
      <w:r w:rsidRPr="00FF7394">
        <w:rPr>
          <w:rFonts w:ascii="Arial" w:hAnsi="Arial" w:cs="Arial"/>
          <w:iCs/>
          <w:color w:val="595959" w:themeColor="text1" w:themeTint="A6"/>
        </w:rPr>
        <w:t>copolysaccahrides) reduce the diffusion of soluble concentration gradient driven molecules, which affects fluid pressure and the convection of flow rates through porous membranes. This is most apparent in the tumour bed, which appears vastly mal-perfuse</w:t>
      </w:r>
      <w:r w:rsidR="00C0301B" w:rsidRPr="00C0301B">
        <w:rPr>
          <w:rFonts w:ascii="Arial" w:hAnsi="Arial" w:cs="Arial"/>
          <w:iCs/>
          <w:color w:val="FF0000"/>
        </w:rPr>
        <w:t>d</w:t>
      </w:r>
      <w:r w:rsidRPr="00C0301B">
        <w:rPr>
          <w:rFonts w:ascii="Arial" w:hAnsi="Arial" w:cs="Arial"/>
          <w:iCs/>
          <w:color w:val="FF0000"/>
        </w:rPr>
        <w:t xml:space="preserve"> </w:t>
      </w:r>
      <w:r w:rsidRPr="00FF7394">
        <w:rPr>
          <w:rFonts w:ascii="Arial" w:hAnsi="Arial" w:cs="Arial"/>
          <w:iCs/>
          <w:color w:val="595959" w:themeColor="text1" w:themeTint="A6"/>
        </w:rPr>
        <w:t>and represents an under-researched area of disease resistance. The role of vascular collapse in OSCC has yet to be investigated to draw specific conclusions, but studies of vascular collapse in other can</w:t>
      </w:r>
      <w:r>
        <w:rPr>
          <w:rFonts w:ascii="Arial" w:hAnsi="Arial" w:cs="Arial"/>
          <w:iCs/>
          <w:color w:val="595959" w:themeColor="text1" w:themeTint="A6"/>
        </w:rPr>
        <w:t>c</w:t>
      </w:r>
      <w:r w:rsidRPr="00FF7394">
        <w:rPr>
          <w:rFonts w:ascii="Arial" w:hAnsi="Arial" w:cs="Arial"/>
          <w:iCs/>
          <w:color w:val="595959" w:themeColor="text1" w:themeTint="A6"/>
        </w:rPr>
        <w:t xml:space="preserve">er-types indicates this could be an influential mechanism for resistance. </w:t>
      </w:r>
      <w:r>
        <w:rPr>
          <w:rFonts w:ascii="Arial" w:hAnsi="Arial" w:cs="Arial"/>
          <w:iCs/>
          <w:color w:val="595959" w:themeColor="text1" w:themeTint="A6"/>
        </w:rPr>
        <w:t>The effects of interstitial fluid pressure</w:t>
      </w:r>
      <w:r w:rsidR="00EA5724">
        <w:rPr>
          <w:rFonts w:ascii="Arial" w:hAnsi="Arial" w:cs="Arial"/>
          <w:iCs/>
          <w:color w:val="595959" w:themeColor="text1" w:themeTint="A6"/>
        </w:rPr>
        <w:t xml:space="preserve"> </w:t>
      </w:r>
      <w:r w:rsidR="00A23E4A">
        <w:rPr>
          <w:rFonts w:ascii="Arial" w:hAnsi="Arial" w:cs="Arial"/>
          <w:iCs/>
          <w:color w:val="595959" w:themeColor="text1" w:themeTint="A6"/>
        </w:rPr>
        <w:t>have</w:t>
      </w:r>
      <w:r w:rsidR="00EA5724">
        <w:rPr>
          <w:rFonts w:ascii="Arial" w:hAnsi="Arial" w:cs="Arial"/>
          <w:iCs/>
          <w:color w:val="595959" w:themeColor="text1" w:themeTint="A6"/>
        </w:rPr>
        <w:t xml:space="preserve"> been shown to</w:t>
      </w:r>
      <w:r>
        <w:rPr>
          <w:rFonts w:ascii="Arial" w:hAnsi="Arial" w:cs="Arial"/>
          <w:iCs/>
          <w:color w:val="595959" w:themeColor="text1" w:themeTint="A6"/>
        </w:rPr>
        <w:t xml:space="preserve"> alter fibroblast response</w:t>
      </w:r>
      <w:r w:rsidR="00EA5724">
        <w:rPr>
          <w:rFonts w:ascii="Arial" w:hAnsi="Arial" w:cs="Arial"/>
          <w:iCs/>
          <w:color w:val="595959" w:themeColor="text1" w:themeTint="A6"/>
        </w:rPr>
        <w:t>s</w:t>
      </w:r>
      <w:r>
        <w:rPr>
          <w:rFonts w:ascii="Arial" w:hAnsi="Arial" w:cs="Arial"/>
          <w:iCs/>
          <w:color w:val="595959" w:themeColor="text1" w:themeTint="A6"/>
        </w:rPr>
        <w:t xml:space="preserve"> to TGFβ and could indicate a mechanism by which mechanical response differs to release of fluid-mediated chemical signals </w:t>
      </w:r>
      <w:r w:rsidRPr="005B0F91">
        <w:rPr>
          <w:rFonts w:ascii="Arial" w:hAnsi="Arial" w:cs="Arial"/>
          <w:i/>
          <w:iCs/>
          <w:color w:val="595959" w:themeColor="text1" w:themeTint="A6"/>
        </w:rPr>
        <w:t>in vivo</w:t>
      </w:r>
      <w:r>
        <w:rPr>
          <w:rFonts w:ascii="Arial" w:hAnsi="Arial" w:cs="Arial"/>
          <w:iCs/>
          <w:color w:val="595959" w:themeColor="text1" w:themeTint="A6"/>
        </w:rPr>
        <w:t xml:space="preserve"> (Nithiananthan </w:t>
      </w:r>
      <w:r w:rsidRPr="00357FD3">
        <w:rPr>
          <w:rFonts w:ascii="Arial" w:hAnsi="Arial" w:cs="Arial"/>
          <w:i/>
          <w:iCs/>
          <w:color w:val="595959" w:themeColor="text1" w:themeTint="A6"/>
        </w:rPr>
        <w:t>et al</w:t>
      </w:r>
      <w:r>
        <w:rPr>
          <w:rFonts w:ascii="Arial" w:hAnsi="Arial" w:cs="Arial"/>
          <w:iCs/>
          <w:color w:val="595959" w:themeColor="text1" w:themeTint="A6"/>
        </w:rPr>
        <w:t>., 201</w:t>
      </w:r>
      <w:r w:rsidR="00AF0236">
        <w:rPr>
          <w:rFonts w:ascii="Arial" w:hAnsi="Arial" w:cs="Arial"/>
          <w:iCs/>
          <w:color w:val="595959" w:themeColor="text1" w:themeTint="A6"/>
        </w:rPr>
        <w:t>7</w:t>
      </w:r>
      <w:r>
        <w:rPr>
          <w:rFonts w:ascii="Arial" w:hAnsi="Arial" w:cs="Arial"/>
          <w:iCs/>
          <w:color w:val="595959" w:themeColor="text1" w:themeTint="A6"/>
        </w:rPr>
        <w:t>).</w:t>
      </w:r>
    </w:p>
    <w:p w14:paraId="276D4118" w14:textId="696048D7" w:rsidR="007325CD" w:rsidRDefault="00910192" w:rsidP="009D02AC">
      <w:pPr>
        <w:pStyle w:val="Heading3"/>
        <w:numPr>
          <w:ilvl w:val="2"/>
          <w:numId w:val="4"/>
        </w:numPr>
        <w:rPr>
          <w:rFonts w:ascii="Arial" w:hAnsi="Arial" w:cs="Arial"/>
          <w:i/>
          <w:iCs/>
          <w:color w:val="595959" w:themeColor="text1" w:themeTint="A6"/>
        </w:rPr>
      </w:pPr>
      <w:bookmarkStart w:id="34" w:name="_Toc34208258"/>
      <w:r>
        <w:rPr>
          <w:rFonts w:ascii="Arial" w:hAnsi="Arial" w:cs="Arial"/>
          <w:i/>
          <w:iCs/>
          <w:color w:val="595959" w:themeColor="text1" w:themeTint="A6"/>
        </w:rPr>
        <w:t>The ECM in r</w:t>
      </w:r>
      <w:r w:rsidR="007325CD">
        <w:rPr>
          <w:rFonts w:ascii="Arial" w:hAnsi="Arial" w:cs="Arial"/>
          <w:i/>
          <w:iCs/>
          <w:color w:val="595959" w:themeColor="text1" w:themeTint="A6"/>
        </w:rPr>
        <w:t>esisting cell death</w:t>
      </w:r>
      <w:bookmarkEnd w:id="34"/>
    </w:p>
    <w:p w14:paraId="6244182C" w14:textId="77777777" w:rsidR="009D02AC" w:rsidRPr="009D02AC" w:rsidRDefault="009D02AC" w:rsidP="009D02AC">
      <w:pPr>
        <w:pStyle w:val="ListParagraph"/>
      </w:pPr>
    </w:p>
    <w:p w14:paraId="2566EB38" w14:textId="4EAA4719" w:rsidR="007325CD" w:rsidRDefault="007325CD" w:rsidP="007325CD">
      <w:pPr>
        <w:spacing w:line="480" w:lineRule="auto"/>
        <w:jc w:val="both"/>
        <w:rPr>
          <w:rFonts w:ascii="Arial" w:hAnsi="Arial" w:cs="Arial"/>
          <w:iCs/>
          <w:color w:val="595959" w:themeColor="text1" w:themeTint="A6"/>
        </w:rPr>
      </w:pPr>
      <w:r>
        <w:rPr>
          <w:rFonts w:ascii="Arial" w:hAnsi="Arial" w:cs="Arial"/>
          <w:iCs/>
          <w:color w:val="595959" w:themeColor="text1" w:themeTint="A6"/>
        </w:rPr>
        <w:t xml:space="preserve">Cell death is often circumvented during malignant transformation and is assisted by the ECM. The cleavage of caspases and release of bound pro-apoptotic proteins e.g. cytochrome C by </w:t>
      </w:r>
      <w:r>
        <w:rPr>
          <w:rFonts w:ascii="Arial" w:hAnsi="Arial" w:cs="Arial"/>
          <w:iCs/>
          <w:color w:val="595959" w:themeColor="text1" w:themeTint="A6"/>
        </w:rPr>
        <w:lastRenderedPageBreak/>
        <w:t xml:space="preserve">mitochondria is tightly regulated by the </w:t>
      </w:r>
      <w:r w:rsidR="00EA5724">
        <w:rPr>
          <w:rFonts w:ascii="Arial" w:hAnsi="Arial" w:cs="Arial"/>
          <w:iCs/>
          <w:color w:val="595959" w:themeColor="text1" w:themeTint="A6"/>
        </w:rPr>
        <w:t>B-cell lymphoma-2 (</w:t>
      </w:r>
      <w:r>
        <w:rPr>
          <w:rFonts w:ascii="Arial" w:hAnsi="Arial" w:cs="Arial"/>
          <w:iCs/>
          <w:color w:val="595959" w:themeColor="text1" w:themeTint="A6"/>
        </w:rPr>
        <w:t>BCL2</w:t>
      </w:r>
      <w:r w:rsidR="00EA5724">
        <w:rPr>
          <w:rFonts w:ascii="Arial" w:hAnsi="Arial" w:cs="Arial"/>
          <w:iCs/>
          <w:color w:val="595959" w:themeColor="text1" w:themeTint="A6"/>
        </w:rPr>
        <w:t>)</w:t>
      </w:r>
      <w:r>
        <w:rPr>
          <w:rFonts w:ascii="Arial" w:hAnsi="Arial" w:cs="Arial"/>
          <w:iCs/>
          <w:color w:val="595959" w:themeColor="text1" w:themeTint="A6"/>
        </w:rPr>
        <w:t xml:space="preserve"> family (Brown and Attardi, 2005). The tumorigenic stroma promotes anchorage-independent survival is a result of an overexpressed </w:t>
      </w:r>
      <w:r w:rsidR="00B91C8D">
        <w:rPr>
          <w:rFonts w:ascii="Arial" w:hAnsi="Arial" w:cs="Arial"/>
          <w:iCs/>
          <w:color w:val="595959" w:themeColor="text1" w:themeTint="A6"/>
        </w:rPr>
        <w:t>tyrosine-</w:t>
      </w:r>
      <w:r>
        <w:rPr>
          <w:rFonts w:ascii="Arial" w:hAnsi="Arial" w:cs="Arial"/>
          <w:iCs/>
          <w:color w:val="595959" w:themeColor="text1" w:themeTint="A6"/>
        </w:rPr>
        <w:t>kinase receptor</w:t>
      </w:r>
      <w:r w:rsidR="00B91C8D">
        <w:rPr>
          <w:rFonts w:ascii="Arial" w:hAnsi="Arial" w:cs="Arial"/>
          <w:iCs/>
          <w:color w:val="595959" w:themeColor="text1" w:themeTint="A6"/>
        </w:rPr>
        <w:t xml:space="preserve"> </w:t>
      </w:r>
      <w:r w:rsidR="00B91C8D" w:rsidRPr="00B91C8D">
        <w:rPr>
          <w:rFonts w:ascii="Arial" w:hAnsi="Arial" w:cs="Arial"/>
          <w:iCs/>
          <w:color w:val="595959" w:themeColor="text1" w:themeTint="A6"/>
        </w:rPr>
        <w:t>erythroblastic oncogene B</w:t>
      </w:r>
      <w:r>
        <w:rPr>
          <w:rFonts w:ascii="Arial" w:hAnsi="Arial" w:cs="Arial"/>
          <w:iCs/>
          <w:color w:val="595959" w:themeColor="text1" w:themeTint="A6"/>
        </w:rPr>
        <w:t xml:space="preserve"> </w:t>
      </w:r>
      <w:r w:rsidR="00B91C8D">
        <w:rPr>
          <w:rFonts w:ascii="Arial" w:hAnsi="Arial" w:cs="Arial"/>
          <w:color w:val="222222"/>
          <w:sz w:val="21"/>
          <w:szCs w:val="21"/>
          <w:shd w:val="clear" w:color="auto" w:fill="FFFFFF"/>
        </w:rPr>
        <w:t>(</w:t>
      </w:r>
      <w:r>
        <w:rPr>
          <w:rFonts w:ascii="Arial" w:hAnsi="Arial" w:cs="Arial"/>
          <w:iCs/>
          <w:color w:val="595959" w:themeColor="text1" w:themeTint="A6"/>
        </w:rPr>
        <w:t>Erbb2</w:t>
      </w:r>
      <w:r w:rsidR="00EA5724">
        <w:rPr>
          <w:rFonts w:ascii="Arial" w:hAnsi="Arial" w:cs="Arial"/>
          <w:iCs/>
          <w:color w:val="595959" w:themeColor="text1" w:themeTint="A6"/>
        </w:rPr>
        <w:t>/HER2</w:t>
      </w:r>
      <w:r w:rsidR="00B91C8D">
        <w:rPr>
          <w:rFonts w:ascii="Arial" w:hAnsi="Arial" w:cs="Arial"/>
          <w:iCs/>
          <w:color w:val="595959" w:themeColor="text1" w:themeTint="A6"/>
        </w:rPr>
        <w:t>)</w:t>
      </w:r>
      <w:r>
        <w:rPr>
          <w:rFonts w:ascii="Arial" w:hAnsi="Arial" w:cs="Arial"/>
          <w:iCs/>
          <w:color w:val="595959" w:themeColor="text1" w:themeTint="A6"/>
        </w:rPr>
        <w:t xml:space="preserve">. Cellular adhesion to the ECM effectively inactivates pro-apoptotic molecules e.g. Bax and induces BCL2 expression in order to promote cell survival (Gilmore </w:t>
      </w:r>
      <w:r w:rsidRPr="00362980">
        <w:rPr>
          <w:rFonts w:ascii="Arial" w:hAnsi="Arial" w:cs="Arial"/>
          <w:i/>
          <w:iCs/>
          <w:color w:val="595959" w:themeColor="text1" w:themeTint="A6"/>
        </w:rPr>
        <w:t>et al</w:t>
      </w:r>
      <w:r>
        <w:rPr>
          <w:rFonts w:ascii="Arial" w:hAnsi="Arial" w:cs="Arial"/>
          <w:iCs/>
          <w:color w:val="595959" w:themeColor="text1" w:themeTint="A6"/>
        </w:rPr>
        <w:t>.,</w:t>
      </w:r>
      <w:r w:rsidR="00B91C8D">
        <w:rPr>
          <w:rFonts w:ascii="Arial" w:hAnsi="Arial" w:cs="Arial"/>
          <w:iCs/>
          <w:color w:val="595959" w:themeColor="text1" w:themeTint="A6"/>
        </w:rPr>
        <w:t xml:space="preserve"> </w:t>
      </w:r>
      <w:r>
        <w:rPr>
          <w:rFonts w:ascii="Arial" w:hAnsi="Arial" w:cs="Arial"/>
          <w:iCs/>
          <w:color w:val="595959" w:themeColor="text1" w:themeTint="A6"/>
        </w:rPr>
        <w:t xml:space="preserve">2000). Anchorage-independent survival is also stimulated by laminin ligation of α6β4 integrin. This results in EGFR activation and stimulates NF-κβ and resists cellular demise in mammary tumour tissue. This ligation also enhances a tumour cell’s capability to resist apoptotic degradation in response to chemotherapeutic intervention (Zahir </w:t>
      </w:r>
      <w:r w:rsidRPr="00D130D8">
        <w:rPr>
          <w:rFonts w:ascii="Arial" w:hAnsi="Arial" w:cs="Arial"/>
          <w:i/>
          <w:iCs/>
          <w:color w:val="595959" w:themeColor="text1" w:themeTint="A6"/>
        </w:rPr>
        <w:t>et al</w:t>
      </w:r>
      <w:r>
        <w:rPr>
          <w:rFonts w:ascii="Arial" w:hAnsi="Arial" w:cs="Arial"/>
          <w:iCs/>
          <w:color w:val="595959" w:themeColor="text1" w:themeTint="A6"/>
        </w:rPr>
        <w:t>., 2003).</w:t>
      </w:r>
    </w:p>
    <w:p w14:paraId="785A9157" w14:textId="5465BA6D" w:rsidR="007325CD" w:rsidRDefault="00910192" w:rsidP="009D02AC">
      <w:pPr>
        <w:pStyle w:val="Heading3"/>
        <w:numPr>
          <w:ilvl w:val="2"/>
          <w:numId w:val="4"/>
        </w:numPr>
        <w:rPr>
          <w:rFonts w:ascii="Arial" w:hAnsi="Arial" w:cs="Arial"/>
          <w:i/>
          <w:iCs/>
          <w:color w:val="595959" w:themeColor="text1" w:themeTint="A6"/>
        </w:rPr>
      </w:pPr>
      <w:bookmarkStart w:id="35" w:name="_Toc34208259"/>
      <w:r>
        <w:rPr>
          <w:rFonts w:ascii="Arial" w:hAnsi="Arial" w:cs="Arial"/>
          <w:i/>
          <w:iCs/>
          <w:color w:val="595959" w:themeColor="text1" w:themeTint="A6"/>
        </w:rPr>
        <w:t>The ECM in</w:t>
      </w:r>
      <w:r w:rsidR="007325CD">
        <w:rPr>
          <w:rFonts w:ascii="Arial" w:hAnsi="Arial" w:cs="Arial"/>
          <w:i/>
          <w:iCs/>
          <w:color w:val="595959" w:themeColor="text1" w:themeTint="A6"/>
        </w:rPr>
        <w:t xml:space="preserve"> </w:t>
      </w:r>
      <w:r>
        <w:rPr>
          <w:rFonts w:ascii="Arial" w:hAnsi="Arial" w:cs="Arial"/>
          <w:i/>
          <w:iCs/>
          <w:color w:val="595959" w:themeColor="text1" w:themeTint="A6"/>
        </w:rPr>
        <w:t>e</w:t>
      </w:r>
      <w:r w:rsidR="007325CD" w:rsidRPr="00143BAF">
        <w:rPr>
          <w:rFonts w:ascii="Arial" w:hAnsi="Arial" w:cs="Arial"/>
          <w:i/>
          <w:iCs/>
          <w:color w:val="595959" w:themeColor="text1" w:themeTint="A6"/>
        </w:rPr>
        <w:t>nabling replicative immortality</w:t>
      </w:r>
      <w:bookmarkEnd w:id="35"/>
    </w:p>
    <w:p w14:paraId="43955EE1" w14:textId="77777777" w:rsidR="009D02AC" w:rsidRPr="009D02AC" w:rsidRDefault="009D02AC" w:rsidP="009D02AC">
      <w:pPr>
        <w:pStyle w:val="ListParagraph"/>
      </w:pPr>
    </w:p>
    <w:p w14:paraId="4586BA2E" w14:textId="21DA7765" w:rsidR="007325CD" w:rsidRPr="00143BAF" w:rsidRDefault="007325CD" w:rsidP="007325CD">
      <w:pPr>
        <w:spacing w:line="480" w:lineRule="auto"/>
        <w:jc w:val="both"/>
        <w:rPr>
          <w:rFonts w:ascii="Arial" w:hAnsi="Arial" w:cs="Arial"/>
          <w:iCs/>
          <w:color w:val="595959" w:themeColor="text1" w:themeTint="A6"/>
        </w:rPr>
      </w:pPr>
      <w:r>
        <w:rPr>
          <w:rFonts w:ascii="Arial" w:hAnsi="Arial" w:cs="Arial"/>
          <w:iCs/>
          <w:color w:val="595959" w:themeColor="text1" w:themeTint="A6"/>
        </w:rPr>
        <w:t xml:space="preserve">Tumours exhibit uncharacteristic growth rates which are largely unrestrained. Normal growth rates are limited due to the relative shortening of telomeres; non-coding nucleotide sequences found at the end of chromosomes. DNA polymerases are unable to replicate the entire strand and so the telomeres at the end of the chromosome shorten progressively during cellular division. In cancer, cells are capable of activating telomerases, subsequently lengthening the telomeres overcoming replicative senescence. The ECM has been shown to be implicated in the replicative behaviour of cells where large deposition of ECM proteins occurs, and tissue stiffness is prominent, there are often elevated levels of telomerase and this is indicative of ECM adhesion having an influence in aiding immortality (Yu </w:t>
      </w:r>
      <w:r w:rsidRPr="00143BAF">
        <w:rPr>
          <w:rFonts w:ascii="Arial" w:hAnsi="Arial" w:cs="Arial"/>
          <w:i/>
          <w:iCs/>
          <w:color w:val="595959" w:themeColor="text1" w:themeTint="A6"/>
        </w:rPr>
        <w:t>et al</w:t>
      </w:r>
      <w:r>
        <w:rPr>
          <w:rFonts w:ascii="Arial" w:hAnsi="Arial" w:cs="Arial"/>
          <w:iCs/>
          <w:color w:val="595959" w:themeColor="text1" w:themeTint="A6"/>
        </w:rPr>
        <w:t xml:space="preserve">., 2009). </w:t>
      </w:r>
    </w:p>
    <w:p w14:paraId="5CA14F0D" w14:textId="409787FF" w:rsidR="007325CD" w:rsidRDefault="00910192" w:rsidP="009D02AC">
      <w:pPr>
        <w:pStyle w:val="Heading3"/>
        <w:numPr>
          <w:ilvl w:val="2"/>
          <w:numId w:val="4"/>
        </w:numPr>
        <w:rPr>
          <w:rFonts w:ascii="Arial" w:hAnsi="Arial" w:cs="Arial"/>
          <w:i/>
          <w:iCs/>
          <w:color w:val="595959" w:themeColor="text1" w:themeTint="A6"/>
        </w:rPr>
      </w:pPr>
      <w:bookmarkStart w:id="36" w:name="_Toc34208260"/>
      <w:r>
        <w:rPr>
          <w:rFonts w:ascii="Arial" w:hAnsi="Arial" w:cs="Arial"/>
          <w:i/>
          <w:iCs/>
          <w:color w:val="595959" w:themeColor="text1" w:themeTint="A6"/>
        </w:rPr>
        <w:t>The ECM and</w:t>
      </w:r>
      <w:r w:rsidR="007325CD">
        <w:rPr>
          <w:rFonts w:ascii="Arial" w:hAnsi="Arial" w:cs="Arial"/>
          <w:i/>
          <w:iCs/>
          <w:color w:val="595959" w:themeColor="text1" w:themeTint="A6"/>
        </w:rPr>
        <w:t xml:space="preserve"> </w:t>
      </w:r>
      <w:r>
        <w:rPr>
          <w:rFonts w:ascii="Arial" w:hAnsi="Arial" w:cs="Arial"/>
          <w:i/>
          <w:iCs/>
          <w:color w:val="595959" w:themeColor="text1" w:themeTint="A6"/>
        </w:rPr>
        <w:t>s</w:t>
      </w:r>
      <w:r w:rsidR="007325CD">
        <w:rPr>
          <w:rFonts w:ascii="Arial" w:hAnsi="Arial" w:cs="Arial"/>
          <w:i/>
          <w:iCs/>
          <w:color w:val="595959" w:themeColor="text1" w:themeTint="A6"/>
        </w:rPr>
        <w:t>ustained angiogenesis</w:t>
      </w:r>
      <w:bookmarkEnd w:id="36"/>
    </w:p>
    <w:p w14:paraId="57B7C899" w14:textId="77777777" w:rsidR="009D02AC" w:rsidRPr="009D02AC" w:rsidRDefault="009D02AC" w:rsidP="009D02AC">
      <w:pPr>
        <w:pStyle w:val="ListParagraph"/>
      </w:pPr>
    </w:p>
    <w:p w14:paraId="3362857B" w14:textId="1B7CC88F" w:rsidR="007325CD" w:rsidRDefault="007325CD" w:rsidP="00CC01B4">
      <w:pPr>
        <w:spacing w:line="480" w:lineRule="auto"/>
        <w:jc w:val="both"/>
        <w:rPr>
          <w:rFonts w:ascii="Arial" w:hAnsi="Arial" w:cs="Arial"/>
          <w:iCs/>
          <w:color w:val="595959" w:themeColor="text1" w:themeTint="A6"/>
        </w:rPr>
      </w:pPr>
      <w:r>
        <w:rPr>
          <w:rFonts w:ascii="Arial" w:hAnsi="Arial" w:cs="Arial"/>
          <w:iCs/>
          <w:color w:val="595959" w:themeColor="text1" w:themeTint="A6"/>
        </w:rPr>
        <w:t xml:space="preserve">Angiogenesis and vessel sprouting </w:t>
      </w:r>
      <w:r w:rsidR="001F025E">
        <w:rPr>
          <w:rFonts w:ascii="Arial" w:hAnsi="Arial" w:cs="Arial"/>
          <w:iCs/>
          <w:color w:val="595959" w:themeColor="text1" w:themeTint="A6"/>
        </w:rPr>
        <w:t xml:space="preserve">are </w:t>
      </w:r>
      <w:r>
        <w:rPr>
          <w:rFonts w:ascii="Arial" w:hAnsi="Arial" w:cs="Arial"/>
          <w:iCs/>
          <w:color w:val="595959" w:themeColor="text1" w:themeTint="A6"/>
        </w:rPr>
        <w:t>common phenomen</w:t>
      </w:r>
      <w:r w:rsidR="001F025E">
        <w:rPr>
          <w:rFonts w:ascii="Arial" w:hAnsi="Arial" w:cs="Arial"/>
          <w:iCs/>
          <w:color w:val="595959" w:themeColor="text1" w:themeTint="A6"/>
        </w:rPr>
        <w:t>a</w:t>
      </w:r>
      <w:r>
        <w:rPr>
          <w:rFonts w:ascii="Arial" w:hAnsi="Arial" w:cs="Arial"/>
          <w:iCs/>
          <w:color w:val="595959" w:themeColor="text1" w:themeTint="A6"/>
        </w:rPr>
        <w:t xml:space="preserve"> in tumour progression and </w:t>
      </w:r>
      <w:r w:rsidR="001F025E">
        <w:rPr>
          <w:rFonts w:ascii="Arial" w:hAnsi="Arial" w:cs="Arial"/>
          <w:iCs/>
          <w:color w:val="595959" w:themeColor="text1" w:themeTint="A6"/>
        </w:rPr>
        <w:t>are</w:t>
      </w:r>
      <w:r>
        <w:rPr>
          <w:rFonts w:ascii="Arial" w:hAnsi="Arial" w:cs="Arial"/>
          <w:iCs/>
          <w:color w:val="595959" w:themeColor="text1" w:themeTint="A6"/>
        </w:rPr>
        <w:t xml:space="preserve"> stimulated by a multitude of growth factors such as </w:t>
      </w:r>
      <w:r w:rsidR="00B91C8D">
        <w:rPr>
          <w:rFonts w:ascii="Arial" w:hAnsi="Arial" w:cs="Arial"/>
          <w:iCs/>
          <w:color w:val="595959" w:themeColor="text1" w:themeTint="A6"/>
        </w:rPr>
        <w:t>vascular endothelial growth factor (</w:t>
      </w:r>
      <w:r>
        <w:rPr>
          <w:rFonts w:ascii="Arial" w:hAnsi="Arial" w:cs="Arial"/>
          <w:iCs/>
          <w:color w:val="595959" w:themeColor="text1" w:themeTint="A6"/>
        </w:rPr>
        <w:t>VEGF</w:t>
      </w:r>
      <w:r w:rsidR="00B91C8D">
        <w:rPr>
          <w:rFonts w:ascii="Arial" w:hAnsi="Arial" w:cs="Arial"/>
          <w:iCs/>
          <w:color w:val="595959" w:themeColor="text1" w:themeTint="A6"/>
        </w:rPr>
        <w:t>)</w:t>
      </w:r>
      <w:r>
        <w:rPr>
          <w:rFonts w:ascii="Arial" w:hAnsi="Arial" w:cs="Arial"/>
          <w:iCs/>
          <w:color w:val="595959" w:themeColor="text1" w:themeTint="A6"/>
        </w:rPr>
        <w:t xml:space="preserve"> and FGF, as well as recruiting endothelial cells and pericytes to allow for vessel assembly (Bergers and Benjamin, 2003). The ECM acts as the primary supplier for this pool of pro-angiogenic growth factors and ensures the survival of these newly recruited endothelial cells (Hynes, 2007). As previously stated</w:t>
      </w:r>
      <w:r w:rsidR="00CC01B4">
        <w:rPr>
          <w:rFonts w:ascii="Arial" w:hAnsi="Arial" w:cs="Arial"/>
          <w:iCs/>
          <w:color w:val="595959" w:themeColor="text1" w:themeTint="A6"/>
        </w:rPr>
        <w:t>,</w:t>
      </w:r>
      <w:r>
        <w:rPr>
          <w:rFonts w:ascii="Arial" w:hAnsi="Arial" w:cs="Arial"/>
          <w:iCs/>
          <w:color w:val="595959" w:themeColor="text1" w:themeTint="A6"/>
        </w:rPr>
        <w:t xml:space="preserve"> a stiffened matrix can cause a multitude of environmental </w:t>
      </w:r>
      <w:r>
        <w:rPr>
          <w:rFonts w:ascii="Arial" w:hAnsi="Arial" w:cs="Arial"/>
          <w:iCs/>
          <w:color w:val="595959" w:themeColor="text1" w:themeTint="A6"/>
        </w:rPr>
        <w:lastRenderedPageBreak/>
        <w:t>changes that dir</w:t>
      </w:r>
      <w:r w:rsidR="005758B2">
        <w:rPr>
          <w:rFonts w:ascii="Arial" w:hAnsi="Arial" w:cs="Arial"/>
          <w:iCs/>
          <w:color w:val="595959" w:themeColor="text1" w:themeTint="A6"/>
        </w:rPr>
        <w:t>ectly aid angiogenesis (Figure 1.</w:t>
      </w:r>
      <w:r>
        <w:rPr>
          <w:rFonts w:ascii="Arial" w:hAnsi="Arial" w:cs="Arial"/>
          <w:iCs/>
          <w:color w:val="595959" w:themeColor="text1" w:themeTint="A6"/>
        </w:rPr>
        <w:t xml:space="preserve">6). It permits endothelial migration by inducing GATA2; transcription factor to upregulate VEGFR2 which in turn promotes cell survival (Montesana, 1983). </w:t>
      </w:r>
    </w:p>
    <w:p w14:paraId="65A79EC4" w14:textId="5ADD6508" w:rsidR="007325CD" w:rsidRDefault="00910192" w:rsidP="009D02AC">
      <w:pPr>
        <w:pStyle w:val="Heading3"/>
        <w:numPr>
          <w:ilvl w:val="2"/>
          <w:numId w:val="4"/>
        </w:numPr>
        <w:rPr>
          <w:rFonts w:ascii="Arial" w:hAnsi="Arial" w:cs="Arial"/>
          <w:i/>
          <w:iCs/>
          <w:color w:val="595959" w:themeColor="text1" w:themeTint="A6"/>
        </w:rPr>
      </w:pPr>
      <w:bookmarkStart w:id="37" w:name="_Toc34208261"/>
      <w:r>
        <w:rPr>
          <w:rFonts w:ascii="Arial" w:hAnsi="Arial" w:cs="Arial"/>
          <w:i/>
          <w:iCs/>
          <w:color w:val="595959" w:themeColor="text1" w:themeTint="A6"/>
        </w:rPr>
        <w:t>The ECM and</w:t>
      </w:r>
      <w:r w:rsidR="007325CD" w:rsidRPr="00850BF7">
        <w:rPr>
          <w:rFonts w:ascii="Arial" w:hAnsi="Arial" w:cs="Arial"/>
          <w:i/>
          <w:iCs/>
          <w:color w:val="595959" w:themeColor="text1" w:themeTint="A6"/>
        </w:rPr>
        <w:t xml:space="preserve"> </w:t>
      </w:r>
      <w:r>
        <w:rPr>
          <w:rFonts w:ascii="Arial" w:hAnsi="Arial" w:cs="Arial"/>
          <w:i/>
          <w:iCs/>
          <w:color w:val="595959" w:themeColor="text1" w:themeTint="A6"/>
        </w:rPr>
        <w:t>e</w:t>
      </w:r>
      <w:r w:rsidR="007325CD" w:rsidRPr="00850BF7">
        <w:rPr>
          <w:rFonts w:ascii="Arial" w:hAnsi="Arial" w:cs="Arial"/>
          <w:i/>
          <w:iCs/>
          <w:color w:val="595959" w:themeColor="text1" w:themeTint="A6"/>
        </w:rPr>
        <w:t>va</w:t>
      </w:r>
      <w:r>
        <w:rPr>
          <w:rFonts w:ascii="Arial" w:hAnsi="Arial" w:cs="Arial"/>
          <w:i/>
          <w:iCs/>
          <w:color w:val="595959" w:themeColor="text1" w:themeTint="A6"/>
        </w:rPr>
        <w:t>sion of</w:t>
      </w:r>
      <w:r w:rsidR="007325CD" w:rsidRPr="00850BF7">
        <w:rPr>
          <w:rFonts w:ascii="Arial" w:hAnsi="Arial" w:cs="Arial"/>
          <w:i/>
          <w:iCs/>
          <w:color w:val="595959" w:themeColor="text1" w:themeTint="A6"/>
        </w:rPr>
        <w:t xml:space="preserve"> growth suppressors</w:t>
      </w:r>
      <w:bookmarkEnd w:id="37"/>
    </w:p>
    <w:p w14:paraId="0FD4340C" w14:textId="77777777" w:rsidR="009D02AC" w:rsidRPr="009D02AC" w:rsidRDefault="009D02AC" w:rsidP="009D02AC">
      <w:pPr>
        <w:pStyle w:val="ListParagraph"/>
      </w:pPr>
    </w:p>
    <w:p w14:paraId="6A82B24C" w14:textId="3528C5D9" w:rsidR="007325CD" w:rsidRDefault="007325CD" w:rsidP="007325CD">
      <w:pPr>
        <w:spacing w:line="480" w:lineRule="auto"/>
        <w:jc w:val="both"/>
        <w:rPr>
          <w:rFonts w:ascii="Arial" w:hAnsi="Arial" w:cs="Arial"/>
          <w:iCs/>
          <w:color w:val="595959" w:themeColor="text1" w:themeTint="A6"/>
        </w:rPr>
      </w:pPr>
      <w:r>
        <w:rPr>
          <w:rFonts w:ascii="Arial" w:hAnsi="Arial" w:cs="Arial"/>
          <w:iCs/>
          <w:color w:val="595959" w:themeColor="text1" w:themeTint="A6"/>
        </w:rPr>
        <w:t xml:space="preserve">Tumour suppressors work by limiting cell cycle progression in G1-S phase of the cell cycle. TGFβ mediated phosphorylation of smad and p53 induces p21 and p27 which </w:t>
      </w:r>
      <w:r w:rsidR="00D12B6E">
        <w:rPr>
          <w:rFonts w:ascii="Arial" w:hAnsi="Arial" w:cs="Arial"/>
          <w:iCs/>
          <w:color w:val="595959" w:themeColor="text1" w:themeTint="A6"/>
        </w:rPr>
        <w:t>subsequentl</w:t>
      </w:r>
      <w:r>
        <w:rPr>
          <w:rFonts w:ascii="Arial" w:hAnsi="Arial" w:cs="Arial"/>
          <w:iCs/>
          <w:color w:val="595959" w:themeColor="text1" w:themeTint="A6"/>
        </w:rPr>
        <w:t>y inhibits cyclin-dependent kinases</w:t>
      </w:r>
      <w:r w:rsidR="001F025E">
        <w:rPr>
          <w:rFonts w:ascii="Arial" w:hAnsi="Arial" w:cs="Arial"/>
          <w:iCs/>
          <w:color w:val="595959" w:themeColor="text1" w:themeTint="A6"/>
        </w:rPr>
        <w:t xml:space="preserve"> (CDK)</w:t>
      </w:r>
      <w:r>
        <w:rPr>
          <w:rFonts w:ascii="Arial" w:hAnsi="Arial" w:cs="Arial"/>
          <w:iCs/>
          <w:color w:val="595959" w:themeColor="text1" w:themeTint="A6"/>
        </w:rPr>
        <w:t xml:space="preserve"> (Massague </w:t>
      </w:r>
      <w:r w:rsidRPr="00695060">
        <w:rPr>
          <w:rFonts w:ascii="Arial" w:hAnsi="Arial" w:cs="Arial"/>
          <w:i/>
          <w:iCs/>
          <w:color w:val="595959" w:themeColor="text1" w:themeTint="A6"/>
        </w:rPr>
        <w:t>et al</w:t>
      </w:r>
      <w:r>
        <w:rPr>
          <w:rFonts w:ascii="Arial" w:hAnsi="Arial" w:cs="Arial"/>
          <w:iCs/>
          <w:color w:val="595959" w:themeColor="text1" w:themeTint="A6"/>
        </w:rPr>
        <w:t xml:space="preserve">., 2012). These are essential for cell cycle progression and therefore suppress cell growth. Where cells ligate to the ECM, this can modify the activity of many tumour suppressor pathways and override this growth suppression mechanism. BRCA1 tumour suppressor function is inhibited by ECM adhesion and this </w:t>
      </w:r>
      <w:r w:rsidR="00D12B6E">
        <w:rPr>
          <w:rFonts w:ascii="Arial" w:hAnsi="Arial" w:cs="Arial"/>
          <w:iCs/>
          <w:color w:val="595959" w:themeColor="text1" w:themeTint="A6"/>
        </w:rPr>
        <w:t>interferes</w:t>
      </w:r>
      <w:r>
        <w:rPr>
          <w:rFonts w:ascii="Arial" w:hAnsi="Arial" w:cs="Arial"/>
          <w:iCs/>
          <w:color w:val="595959" w:themeColor="text1" w:themeTint="A6"/>
        </w:rPr>
        <w:t xml:space="preserve"> with cell cycle regulation (O’Connell and Martin, 2000). The tumour cell- ECM adhesion evades growth suppression pathways to allow malignant transformation. This is indicative of ECM interactions directly ca</w:t>
      </w:r>
      <w:r w:rsidR="005758B2">
        <w:rPr>
          <w:rFonts w:ascii="Arial" w:hAnsi="Arial" w:cs="Arial"/>
          <w:iCs/>
          <w:color w:val="595959" w:themeColor="text1" w:themeTint="A6"/>
        </w:rPr>
        <w:t>us</w:t>
      </w:r>
      <w:r w:rsidR="007C2D20">
        <w:rPr>
          <w:rFonts w:ascii="Arial" w:hAnsi="Arial" w:cs="Arial"/>
          <w:iCs/>
          <w:color w:val="595959" w:themeColor="text1" w:themeTint="A6"/>
        </w:rPr>
        <w:t xml:space="preserve">ing </w:t>
      </w:r>
      <w:r w:rsidR="005758B2">
        <w:rPr>
          <w:rFonts w:ascii="Arial" w:hAnsi="Arial" w:cs="Arial"/>
          <w:iCs/>
          <w:color w:val="595959" w:themeColor="text1" w:themeTint="A6"/>
        </w:rPr>
        <w:t>a growth advantage (Figure</w:t>
      </w:r>
      <w:r>
        <w:rPr>
          <w:rFonts w:ascii="Arial" w:hAnsi="Arial" w:cs="Arial"/>
          <w:iCs/>
          <w:color w:val="595959" w:themeColor="text1" w:themeTint="A6"/>
        </w:rPr>
        <w:t xml:space="preserve"> </w:t>
      </w:r>
      <w:r w:rsidR="005758B2">
        <w:rPr>
          <w:rFonts w:ascii="Arial" w:hAnsi="Arial" w:cs="Arial"/>
          <w:iCs/>
          <w:color w:val="595959" w:themeColor="text1" w:themeTint="A6"/>
        </w:rPr>
        <w:t>1.</w:t>
      </w:r>
      <w:r>
        <w:rPr>
          <w:rFonts w:ascii="Arial" w:hAnsi="Arial" w:cs="Arial"/>
          <w:iCs/>
          <w:color w:val="595959" w:themeColor="text1" w:themeTint="A6"/>
        </w:rPr>
        <w:t>6).</w:t>
      </w:r>
    </w:p>
    <w:p w14:paraId="32FEF96F" w14:textId="468A9CA2" w:rsidR="007325CD" w:rsidRDefault="00910192" w:rsidP="009D02AC">
      <w:pPr>
        <w:pStyle w:val="Heading3"/>
        <w:numPr>
          <w:ilvl w:val="2"/>
          <w:numId w:val="4"/>
        </w:numPr>
        <w:rPr>
          <w:rFonts w:ascii="Arial" w:hAnsi="Arial" w:cs="Arial"/>
          <w:i/>
          <w:iCs/>
          <w:color w:val="595959" w:themeColor="text1" w:themeTint="A6"/>
        </w:rPr>
      </w:pPr>
      <w:bookmarkStart w:id="38" w:name="_Toc34208262"/>
      <w:r>
        <w:rPr>
          <w:rFonts w:ascii="Arial" w:hAnsi="Arial" w:cs="Arial"/>
          <w:i/>
          <w:iCs/>
          <w:color w:val="595959" w:themeColor="text1" w:themeTint="A6"/>
        </w:rPr>
        <w:t>The ECM in a</w:t>
      </w:r>
      <w:r w:rsidR="007325CD" w:rsidRPr="00850BF7">
        <w:rPr>
          <w:rFonts w:ascii="Arial" w:hAnsi="Arial" w:cs="Arial"/>
          <w:i/>
          <w:iCs/>
          <w:color w:val="595959" w:themeColor="text1" w:themeTint="A6"/>
        </w:rPr>
        <w:t>iding invasion and metastasis</w:t>
      </w:r>
      <w:bookmarkEnd w:id="38"/>
      <w:r w:rsidR="007325CD" w:rsidRPr="00850BF7">
        <w:rPr>
          <w:rFonts w:ascii="Arial" w:hAnsi="Arial" w:cs="Arial"/>
          <w:i/>
          <w:iCs/>
          <w:color w:val="595959" w:themeColor="text1" w:themeTint="A6"/>
        </w:rPr>
        <w:t xml:space="preserve"> </w:t>
      </w:r>
    </w:p>
    <w:p w14:paraId="0902ABEF" w14:textId="77777777" w:rsidR="009D02AC" w:rsidRPr="009D02AC" w:rsidRDefault="009D02AC" w:rsidP="009D02AC">
      <w:pPr>
        <w:pStyle w:val="ListParagraph"/>
      </w:pPr>
    </w:p>
    <w:p w14:paraId="0B7A04D3" w14:textId="4A8BC230" w:rsidR="007325CD" w:rsidRDefault="007325CD" w:rsidP="00715516">
      <w:pPr>
        <w:spacing w:line="480" w:lineRule="auto"/>
        <w:jc w:val="both"/>
        <w:rPr>
          <w:rFonts w:ascii="Arial" w:hAnsi="Arial" w:cs="Arial"/>
          <w:iCs/>
          <w:color w:val="595959" w:themeColor="text1" w:themeTint="A6"/>
        </w:rPr>
      </w:pPr>
      <w:r>
        <w:rPr>
          <w:rFonts w:ascii="Arial" w:hAnsi="Arial" w:cs="Arial"/>
          <w:iCs/>
          <w:color w:val="595959" w:themeColor="text1" w:themeTint="A6"/>
        </w:rPr>
        <w:t xml:space="preserve">For malignancy to occur, transformed cells must </w:t>
      </w:r>
      <w:r w:rsidR="00715516">
        <w:rPr>
          <w:rFonts w:ascii="Arial" w:hAnsi="Arial" w:cs="Arial"/>
          <w:iCs/>
          <w:color w:val="595959" w:themeColor="text1" w:themeTint="A6"/>
        </w:rPr>
        <w:t xml:space="preserve">have acquired an invasive phenotype to </w:t>
      </w:r>
      <w:r>
        <w:rPr>
          <w:rFonts w:ascii="Arial" w:hAnsi="Arial" w:cs="Arial"/>
          <w:iCs/>
          <w:color w:val="595959" w:themeColor="text1" w:themeTint="A6"/>
        </w:rPr>
        <w:t>be</w:t>
      </w:r>
      <w:r w:rsidR="00977344">
        <w:rPr>
          <w:rFonts w:ascii="Arial" w:hAnsi="Arial" w:cs="Arial"/>
          <w:iCs/>
          <w:color w:val="595959" w:themeColor="text1" w:themeTint="A6"/>
        </w:rPr>
        <w:t xml:space="preserve"> </w:t>
      </w:r>
      <w:r w:rsidR="00715516">
        <w:rPr>
          <w:rFonts w:ascii="Arial" w:hAnsi="Arial" w:cs="Arial"/>
          <w:iCs/>
          <w:color w:val="595959" w:themeColor="text1" w:themeTint="A6"/>
        </w:rPr>
        <w:t>able to invade</w:t>
      </w:r>
      <w:r>
        <w:rPr>
          <w:rFonts w:ascii="Arial" w:hAnsi="Arial" w:cs="Arial"/>
          <w:iCs/>
          <w:color w:val="595959" w:themeColor="text1" w:themeTint="A6"/>
        </w:rPr>
        <w:t xml:space="preserve"> into the </w:t>
      </w:r>
      <w:r w:rsidR="00715516">
        <w:rPr>
          <w:rFonts w:ascii="Arial" w:hAnsi="Arial" w:cs="Arial"/>
          <w:iCs/>
          <w:color w:val="595959" w:themeColor="text1" w:themeTint="A6"/>
        </w:rPr>
        <w:t xml:space="preserve">underlying </w:t>
      </w:r>
      <w:r>
        <w:rPr>
          <w:rFonts w:ascii="Arial" w:hAnsi="Arial" w:cs="Arial"/>
          <w:iCs/>
          <w:color w:val="595959" w:themeColor="text1" w:themeTint="A6"/>
        </w:rPr>
        <w:t xml:space="preserve">parenchyma. In order for such movement invadopodia; actin protrusions that use integrin-mediated adhesion are able to direct such migration by localising MMP degradation of the matrix (Wang and McNiven, 2012). </w:t>
      </w:r>
      <w:r w:rsidR="008312B2">
        <w:rPr>
          <w:rFonts w:ascii="Arial" w:hAnsi="Arial" w:cs="Arial"/>
          <w:iCs/>
          <w:color w:val="595959" w:themeColor="text1" w:themeTint="A6"/>
        </w:rPr>
        <w:t>Again,</w:t>
      </w:r>
      <w:r>
        <w:rPr>
          <w:rFonts w:ascii="Arial" w:hAnsi="Arial" w:cs="Arial"/>
          <w:iCs/>
          <w:color w:val="595959" w:themeColor="text1" w:themeTint="A6"/>
        </w:rPr>
        <w:t xml:space="preserve"> tumour stiffness enhances this invadopodia formation via an upregulation of focal adhesion assembly which drives cell invasion. From this parenchymal invasion metastasis is dependent on intravasation into the circulatory system (blood and lymph) to eventually extravade into a secondary site to colonise (Figure </w:t>
      </w:r>
      <w:r w:rsidR="005758B2">
        <w:rPr>
          <w:rFonts w:ascii="Arial" w:hAnsi="Arial" w:cs="Arial"/>
          <w:iCs/>
          <w:color w:val="595959" w:themeColor="text1" w:themeTint="A6"/>
        </w:rPr>
        <w:t>1.</w:t>
      </w:r>
      <w:r>
        <w:rPr>
          <w:rFonts w:ascii="Arial" w:hAnsi="Arial" w:cs="Arial"/>
          <w:iCs/>
          <w:color w:val="595959" w:themeColor="text1" w:themeTint="A6"/>
        </w:rPr>
        <w:t>6). This movement is favoured by EMT; a process activated by the release of TGF</w:t>
      </w:r>
      <w:r w:rsidR="00715516">
        <w:rPr>
          <w:rFonts w:ascii="Arial" w:hAnsi="Arial" w:cs="Arial"/>
          <w:iCs/>
          <w:color w:val="595959" w:themeColor="text1" w:themeTint="A6"/>
        </w:rPr>
        <w:t>-</w:t>
      </w:r>
      <w:r>
        <w:rPr>
          <w:rFonts w:ascii="Arial" w:hAnsi="Arial" w:cs="Arial"/>
          <w:iCs/>
          <w:color w:val="595959" w:themeColor="text1" w:themeTint="A6"/>
        </w:rPr>
        <w:t xml:space="preserve">β from the degradation of stroma (Annes </w:t>
      </w:r>
      <w:r w:rsidRPr="0031246D">
        <w:rPr>
          <w:rFonts w:ascii="Arial" w:hAnsi="Arial" w:cs="Arial"/>
          <w:i/>
          <w:iCs/>
          <w:color w:val="595959" w:themeColor="text1" w:themeTint="A6"/>
        </w:rPr>
        <w:t>et al</w:t>
      </w:r>
      <w:r>
        <w:rPr>
          <w:rFonts w:ascii="Arial" w:hAnsi="Arial" w:cs="Arial"/>
          <w:iCs/>
          <w:color w:val="595959" w:themeColor="text1" w:themeTint="A6"/>
        </w:rPr>
        <w:t xml:space="preserve">., 2003). Increased matrix stiffness, which fosters integrin-dependent cell adhesion can directly stimulate cancer cell metastasis and favours this TGFβ-induced EMT pathway (Leight </w:t>
      </w:r>
      <w:r w:rsidRPr="00DD5304">
        <w:rPr>
          <w:rFonts w:ascii="Arial" w:hAnsi="Arial" w:cs="Arial"/>
          <w:i/>
          <w:iCs/>
          <w:color w:val="595959" w:themeColor="text1" w:themeTint="A6"/>
        </w:rPr>
        <w:t>et al</w:t>
      </w:r>
      <w:r>
        <w:rPr>
          <w:rFonts w:ascii="Arial" w:hAnsi="Arial" w:cs="Arial"/>
          <w:iCs/>
          <w:color w:val="595959" w:themeColor="text1" w:themeTint="A6"/>
        </w:rPr>
        <w:t xml:space="preserve">., 2012). </w:t>
      </w:r>
    </w:p>
    <w:p w14:paraId="7D85F646" w14:textId="36B578F1" w:rsidR="005758B2" w:rsidRDefault="005758B2" w:rsidP="00CC01B4">
      <w:pPr>
        <w:spacing w:line="480" w:lineRule="auto"/>
        <w:jc w:val="both"/>
        <w:rPr>
          <w:rFonts w:ascii="Arial" w:hAnsi="Arial" w:cs="Arial"/>
          <w:iCs/>
          <w:color w:val="595959" w:themeColor="text1" w:themeTint="A6"/>
        </w:rPr>
      </w:pPr>
    </w:p>
    <w:p w14:paraId="6AED7FCD" w14:textId="4763E622" w:rsidR="005758B2" w:rsidRDefault="005758B2" w:rsidP="00CC01B4">
      <w:pPr>
        <w:spacing w:line="480" w:lineRule="auto"/>
        <w:jc w:val="both"/>
        <w:rPr>
          <w:rFonts w:ascii="Arial" w:hAnsi="Arial" w:cs="Arial"/>
          <w:iCs/>
          <w:color w:val="595959" w:themeColor="text1" w:themeTint="A6"/>
        </w:rPr>
      </w:pPr>
    </w:p>
    <w:p w14:paraId="039CED49" w14:textId="3647BE1F" w:rsidR="005758B2" w:rsidRDefault="005758B2" w:rsidP="00CC01B4">
      <w:pPr>
        <w:spacing w:line="480" w:lineRule="auto"/>
        <w:jc w:val="both"/>
        <w:rPr>
          <w:rFonts w:ascii="Arial" w:hAnsi="Arial" w:cs="Arial"/>
          <w:iCs/>
          <w:color w:val="595959" w:themeColor="text1" w:themeTint="A6"/>
        </w:rPr>
      </w:pPr>
    </w:p>
    <w:p w14:paraId="7955725E" w14:textId="5E116872" w:rsidR="005758B2" w:rsidRDefault="005758B2" w:rsidP="00CC01B4">
      <w:pPr>
        <w:spacing w:line="480" w:lineRule="auto"/>
        <w:jc w:val="both"/>
        <w:rPr>
          <w:rFonts w:ascii="Arial" w:hAnsi="Arial" w:cs="Arial"/>
          <w:iCs/>
          <w:color w:val="595959" w:themeColor="text1" w:themeTint="A6"/>
        </w:rPr>
      </w:pPr>
    </w:p>
    <w:p w14:paraId="5CE0D79F" w14:textId="6926C409" w:rsidR="005758B2" w:rsidRDefault="005758B2" w:rsidP="00CC01B4">
      <w:pPr>
        <w:spacing w:line="480" w:lineRule="auto"/>
        <w:jc w:val="both"/>
        <w:rPr>
          <w:rFonts w:ascii="Arial" w:hAnsi="Arial" w:cs="Arial"/>
          <w:iCs/>
          <w:color w:val="595959" w:themeColor="text1" w:themeTint="A6"/>
        </w:rPr>
      </w:pPr>
    </w:p>
    <w:p w14:paraId="3EE11CAD" w14:textId="14932ECD" w:rsidR="005758B2" w:rsidRDefault="005758B2" w:rsidP="00CC01B4">
      <w:pPr>
        <w:spacing w:line="480" w:lineRule="auto"/>
        <w:jc w:val="both"/>
        <w:rPr>
          <w:rFonts w:ascii="Arial" w:hAnsi="Arial" w:cs="Arial"/>
          <w:iCs/>
          <w:color w:val="595959" w:themeColor="text1" w:themeTint="A6"/>
        </w:rPr>
      </w:pPr>
      <w:r>
        <w:rPr>
          <w:rFonts w:ascii="Arial" w:hAnsi="Arial" w:cs="Arial"/>
          <w:iCs/>
          <w:noProof/>
          <w:color w:val="595959" w:themeColor="text1" w:themeTint="A6"/>
          <w:lang w:eastAsia="zh-CN"/>
        </w:rPr>
        <w:drawing>
          <wp:anchor distT="0" distB="0" distL="114300" distR="114300" simplePos="0" relativeHeight="251658248" behindDoc="0" locked="0" layoutInCell="1" allowOverlap="1" wp14:anchorId="2DC0D832" wp14:editId="5737385E">
            <wp:simplePos x="0" y="0"/>
            <wp:positionH relativeFrom="margin">
              <wp:posOffset>-1167304</wp:posOffset>
            </wp:positionH>
            <wp:positionV relativeFrom="paragraph">
              <wp:posOffset>379432</wp:posOffset>
            </wp:positionV>
            <wp:extent cx="6879760" cy="4544162"/>
            <wp:effectExtent l="5715" t="0" r="0" b="3175"/>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rot="16200000">
                      <a:off x="0" y="0"/>
                      <a:ext cx="6884161" cy="4547069"/>
                    </a:xfrm>
                    <a:prstGeom prst="rect">
                      <a:avLst/>
                    </a:prstGeom>
                    <a:noFill/>
                  </pic:spPr>
                </pic:pic>
              </a:graphicData>
            </a:graphic>
            <wp14:sizeRelH relativeFrom="margin">
              <wp14:pctWidth>0</wp14:pctWidth>
            </wp14:sizeRelH>
            <wp14:sizeRelV relativeFrom="margin">
              <wp14:pctHeight>0</wp14:pctHeight>
            </wp14:sizeRelV>
          </wp:anchor>
        </w:drawing>
      </w:r>
    </w:p>
    <w:p w14:paraId="2D90812C" w14:textId="20955271" w:rsidR="005758B2" w:rsidRDefault="005758B2" w:rsidP="00CC01B4">
      <w:pPr>
        <w:spacing w:line="480" w:lineRule="auto"/>
        <w:jc w:val="both"/>
        <w:rPr>
          <w:rFonts w:ascii="Arial" w:hAnsi="Arial" w:cs="Arial"/>
          <w:iCs/>
          <w:color w:val="595959" w:themeColor="text1" w:themeTint="A6"/>
        </w:rPr>
      </w:pPr>
    </w:p>
    <w:p w14:paraId="06730053" w14:textId="2DF7C026" w:rsidR="005758B2" w:rsidRDefault="005758B2" w:rsidP="00CC01B4">
      <w:pPr>
        <w:spacing w:line="480" w:lineRule="auto"/>
        <w:jc w:val="both"/>
        <w:rPr>
          <w:rFonts w:ascii="Arial" w:hAnsi="Arial" w:cs="Arial"/>
          <w:iCs/>
          <w:color w:val="595959" w:themeColor="text1" w:themeTint="A6"/>
        </w:rPr>
      </w:pPr>
    </w:p>
    <w:p w14:paraId="2359A4F8" w14:textId="37226597" w:rsidR="005758B2" w:rsidRDefault="005758B2" w:rsidP="00CC01B4">
      <w:pPr>
        <w:spacing w:line="480" w:lineRule="auto"/>
        <w:jc w:val="both"/>
        <w:rPr>
          <w:rFonts w:ascii="Arial" w:hAnsi="Arial" w:cs="Arial"/>
          <w:iCs/>
          <w:color w:val="595959" w:themeColor="text1" w:themeTint="A6"/>
        </w:rPr>
      </w:pPr>
    </w:p>
    <w:p w14:paraId="2EFF5A27" w14:textId="3DA01BF6" w:rsidR="005758B2" w:rsidRDefault="005758B2" w:rsidP="00CC01B4">
      <w:pPr>
        <w:spacing w:line="480" w:lineRule="auto"/>
        <w:jc w:val="both"/>
        <w:rPr>
          <w:rFonts w:ascii="Arial" w:hAnsi="Arial" w:cs="Arial"/>
          <w:iCs/>
          <w:color w:val="595959" w:themeColor="text1" w:themeTint="A6"/>
        </w:rPr>
      </w:pPr>
      <w:r w:rsidRPr="00112219">
        <w:rPr>
          <w:rFonts w:ascii="Arial" w:hAnsi="Arial" w:cs="Arial"/>
          <w:iCs/>
          <w:noProof/>
          <w:color w:val="595959" w:themeColor="text1" w:themeTint="A6"/>
          <w:lang w:eastAsia="zh-CN"/>
        </w:rPr>
        <mc:AlternateContent>
          <mc:Choice Requires="wps">
            <w:drawing>
              <wp:anchor distT="45720" distB="45720" distL="114300" distR="114300" simplePos="0" relativeHeight="251658249" behindDoc="0" locked="0" layoutInCell="1" allowOverlap="1" wp14:anchorId="400D9B23" wp14:editId="7C7A5F36">
                <wp:simplePos x="0" y="0"/>
                <wp:positionH relativeFrom="margin">
                  <wp:align>right</wp:align>
                </wp:positionH>
                <wp:positionV relativeFrom="paragraph">
                  <wp:posOffset>364445</wp:posOffset>
                </wp:positionV>
                <wp:extent cx="8717915" cy="1308085"/>
                <wp:effectExtent l="0" t="9525" r="0" b="0"/>
                <wp:wrapNone/>
                <wp:docPr id="52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8717915" cy="1308085"/>
                        </a:xfrm>
                        <a:prstGeom prst="rect">
                          <a:avLst/>
                        </a:prstGeom>
                        <a:solidFill>
                          <a:srgbClr val="FFFFFF"/>
                        </a:solidFill>
                        <a:ln w="9525">
                          <a:noFill/>
                          <a:miter lim="800000"/>
                          <a:headEnd/>
                          <a:tailEnd/>
                        </a:ln>
                      </wps:spPr>
                      <wps:txbx>
                        <w:txbxContent>
                          <w:p w14:paraId="58E3AF43" w14:textId="2DC9D912" w:rsidR="008A47AC" w:rsidRPr="00FF7394" w:rsidRDefault="008A47AC" w:rsidP="005758B2">
                            <w:pPr>
                              <w:rPr>
                                <w:rFonts w:ascii="Arial Narrow" w:hAnsi="Arial Narrow" w:cs="Arial"/>
                                <w:b/>
                                <w:color w:val="595959" w:themeColor="text1" w:themeTint="A6"/>
                              </w:rPr>
                            </w:pPr>
                            <w:r>
                              <w:rPr>
                                <w:rFonts w:ascii="Arial Narrow" w:hAnsi="Arial Narrow" w:cs="Arial"/>
                                <w:b/>
                                <w:color w:val="595959" w:themeColor="text1" w:themeTint="A6"/>
                              </w:rPr>
                              <w:t>Figure 1.6</w:t>
                            </w:r>
                            <w:r w:rsidRPr="00FF7394">
                              <w:rPr>
                                <w:rFonts w:ascii="Arial Narrow" w:hAnsi="Arial Narrow" w:cs="Arial"/>
                                <w:b/>
                                <w:color w:val="595959" w:themeColor="text1" w:themeTint="A6"/>
                              </w:rPr>
                              <w:t xml:space="preserve"> Schematic showing ECM</w:t>
                            </w:r>
                            <w:r>
                              <w:rPr>
                                <w:rFonts w:ascii="Arial Narrow" w:hAnsi="Arial Narrow" w:cs="Arial"/>
                                <w:b/>
                                <w:color w:val="595959" w:themeColor="text1" w:themeTint="A6"/>
                              </w:rPr>
                              <w:t xml:space="preserve"> impact</w:t>
                            </w:r>
                            <w:r w:rsidRPr="00FF7394">
                              <w:rPr>
                                <w:rFonts w:ascii="Arial Narrow" w:hAnsi="Arial Narrow" w:cs="Arial"/>
                                <w:b/>
                                <w:color w:val="595959" w:themeColor="text1" w:themeTint="A6"/>
                              </w:rPr>
                              <w:t xml:space="preserve"> on the hallmarks of cancer</w:t>
                            </w:r>
                          </w:p>
                          <w:p w14:paraId="31C77588" w14:textId="084A18CF" w:rsidR="008A47AC" w:rsidRPr="00112219" w:rsidRDefault="008A47AC" w:rsidP="005758B2">
                            <w:pPr>
                              <w:jc w:val="both"/>
                              <w:rPr>
                                <w:rFonts w:ascii="Arial Narrow" w:hAnsi="Arial Narrow" w:cs="Arial"/>
                                <w:color w:val="595959" w:themeColor="text1" w:themeTint="A6"/>
                              </w:rPr>
                            </w:pPr>
                            <w:r>
                              <w:rPr>
                                <w:rFonts w:ascii="Arial Narrow" w:hAnsi="Arial Narrow" w:cs="Arial"/>
                                <w:color w:val="595959" w:themeColor="text1" w:themeTint="A6"/>
                              </w:rPr>
                              <w:t xml:space="preserve">During the process of cancer progression, the ECM has the capability to influence each of the hallmarks of cancer (Hanahan and Weinberg, 2000). ECM components are capable of biding and activating intracellular signalling pathways through ERK and P13K allowing sustained growth. Cells develop an insensitivity to growth inhibitors through the inhibition of p15 and p21 caused by FAK signalling. FAK also inhibits p53 and therefore evades apoptotic regulation. EMT and pro-migratory pathways are stimulated by the biophysical capabilities of the cell and is induced by RhoA/Rac signalling as well as TGFβ signalling. Increased collagen deposition and elevated matrix stiffness induces VEGF signalling to promote an angiogenic response. </w:t>
                            </w:r>
                          </w:p>
                          <w:p w14:paraId="4BF4B43A" w14:textId="77777777" w:rsidR="008A47AC" w:rsidRPr="00112219" w:rsidRDefault="008A47AC" w:rsidP="005758B2">
                            <w:pPr>
                              <w:rPr>
                                <w:rFonts w:ascii="Arial" w:hAnsi="Arial" w:cs="Arial"/>
                                <w: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0D9B23" id="_x0000_s1033" type="#_x0000_t202" style="position:absolute;left:0;text-align:left;margin-left:635.25pt;margin-top:28.7pt;width:686.45pt;height:103pt;rotation:-90;z-index:251658249;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" stroked="f">
                <v:textbox>
                  <w:txbxContent>
                    <w:p w14:paraId="58E3AF43" w14:textId="2DC9D912" w:rsidR="008A47AC" w:rsidRPr="00FF7394" w:rsidRDefault="008A47AC" w:rsidP="005758B2">
                      <w:pPr>
                        <w:rPr>
                          <w:rFonts w:ascii="Arial Narrow" w:hAnsi="Arial Narrow" w:cs="Arial"/>
                          <w:b/>
                          <w:color w:val="595959" w:themeColor="text1" w:themeTint="A6"/>
                        </w:rPr>
                      </w:pPr>
                      <w:r>
                        <w:rPr>
                          <w:rFonts w:ascii="Arial Narrow" w:hAnsi="Arial Narrow" w:cs="Arial"/>
                          <w:b/>
                          <w:color w:val="595959" w:themeColor="text1" w:themeTint="A6"/>
                        </w:rPr>
                        <w:t>Figure 1.6</w:t>
                      </w:r>
                      <w:r w:rsidRPr="00FF7394">
                        <w:rPr>
                          <w:rFonts w:ascii="Arial Narrow" w:hAnsi="Arial Narrow" w:cs="Arial"/>
                          <w:b/>
                          <w:color w:val="595959" w:themeColor="text1" w:themeTint="A6"/>
                        </w:rPr>
                        <w:t xml:space="preserve"> Schematic showing ECM</w:t>
                      </w:r>
                      <w:r>
                        <w:rPr>
                          <w:rFonts w:ascii="Arial Narrow" w:hAnsi="Arial Narrow" w:cs="Arial"/>
                          <w:b/>
                          <w:color w:val="595959" w:themeColor="text1" w:themeTint="A6"/>
                        </w:rPr>
                        <w:t xml:space="preserve"> impact</w:t>
                      </w:r>
                      <w:r w:rsidRPr="00FF7394">
                        <w:rPr>
                          <w:rFonts w:ascii="Arial Narrow" w:hAnsi="Arial Narrow" w:cs="Arial"/>
                          <w:b/>
                          <w:color w:val="595959" w:themeColor="text1" w:themeTint="A6"/>
                        </w:rPr>
                        <w:t xml:space="preserve"> on the hallmarks of cancer</w:t>
                      </w:r>
                    </w:p>
                    <w:p w14:paraId="31C77588" w14:textId="084A18CF" w:rsidR="008A47AC" w:rsidRPr="00112219" w:rsidRDefault="008A47AC" w:rsidP="005758B2">
                      <w:pPr>
                        <w:jc w:val="both"/>
                        <w:rPr>
                          <w:rFonts w:ascii="Arial Narrow" w:hAnsi="Arial Narrow" w:cs="Arial"/>
                          <w:color w:val="595959" w:themeColor="text1" w:themeTint="A6"/>
                        </w:rPr>
                      </w:pPr>
                      <w:r>
                        <w:rPr>
                          <w:rFonts w:ascii="Arial Narrow" w:hAnsi="Arial Narrow" w:cs="Arial"/>
                          <w:color w:val="595959" w:themeColor="text1" w:themeTint="A6"/>
                        </w:rPr>
                        <w:t xml:space="preserve">During the process of cancer progression, the ECM has the capability to influence each of the hallmarks of cancer (Hanahan and Weinberg, 2000). ECM components are capable of biding and activating intracellular signalling pathways through ERK and P13K allowing sustained growth. Cells develop an insensitivity to growth inhibitors through the inhibition of p15 and p21 caused by FAK signalling. FAK also inhibits p53 and therefore evades apoptotic regulation. EMT and pro-migratory pathways are stimulated by the biophysical capabilities of the cell and is induced by </w:t>
                      </w:r>
                      <w:proofErr w:type="spellStart"/>
                      <w:r>
                        <w:rPr>
                          <w:rFonts w:ascii="Arial Narrow" w:hAnsi="Arial Narrow" w:cs="Arial"/>
                          <w:color w:val="595959" w:themeColor="text1" w:themeTint="A6"/>
                        </w:rPr>
                        <w:t>RhoA</w:t>
                      </w:r>
                      <w:proofErr w:type="spellEnd"/>
                      <w:r>
                        <w:rPr>
                          <w:rFonts w:ascii="Arial Narrow" w:hAnsi="Arial Narrow" w:cs="Arial"/>
                          <w:color w:val="595959" w:themeColor="text1" w:themeTint="A6"/>
                        </w:rPr>
                        <w:t>/</w:t>
                      </w:r>
                      <w:proofErr w:type="spellStart"/>
                      <w:r>
                        <w:rPr>
                          <w:rFonts w:ascii="Arial Narrow" w:hAnsi="Arial Narrow" w:cs="Arial"/>
                          <w:color w:val="595959" w:themeColor="text1" w:themeTint="A6"/>
                        </w:rPr>
                        <w:t>Rac</w:t>
                      </w:r>
                      <w:proofErr w:type="spellEnd"/>
                      <w:r>
                        <w:rPr>
                          <w:rFonts w:ascii="Arial Narrow" w:hAnsi="Arial Narrow" w:cs="Arial"/>
                          <w:color w:val="595959" w:themeColor="text1" w:themeTint="A6"/>
                        </w:rPr>
                        <w:t xml:space="preserve"> signalling as well as TGFβ signalling. Increased collagen deposition and elevated matrix stiffness induces VEGF signalling to promote an angiogenic response. </w:t>
                      </w:r>
                    </w:p>
                    <w:p w14:paraId="4BF4B43A" w14:textId="77777777" w:rsidR="008A47AC" w:rsidRPr="00112219" w:rsidRDefault="008A47AC" w:rsidP="005758B2">
                      <w:pPr>
                        <w:rPr>
                          <w:rFonts w:ascii="Arial" w:hAnsi="Arial" w:cs="Arial"/>
                          <w:b/>
                        </w:rPr>
                      </w:pPr>
                    </w:p>
                  </w:txbxContent>
                </v:textbox>
                <w10:wrap anchorx="margin"/>
              </v:shape>
            </w:pict>
          </mc:Fallback>
        </mc:AlternateContent>
      </w:r>
    </w:p>
    <w:p w14:paraId="4592FC2C" w14:textId="1747E682" w:rsidR="005758B2" w:rsidRDefault="005758B2" w:rsidP="00CC01B4">
      <w:pPr>
        <w:spacing w:line="480" w:lineRule="auto"/>
        <w:jc w:val="both"/>
        <w:rPr>
          <w:rFonts w:ascii="Arial" w:hAnsi="Arial" w:cs="Arial"/>
          <w:iCs/>
          <w:color w:val="595959" w:themeColor="text1" w:themeTint="A6"/>
        </w:rPr>
      </w:pPr>
    </w:p>
    <w:p w14:paraId="7AA78E24" w14:textId="5736FEE4" w:rsidR="005758B2" w:rsidRDefault="005758B2" w:rsidP="00CC01B4">
      <w:pPr>
        <w:spacing w:line="480" w:lineRule="auto"/>
        <w:jc w:val="both"/>
        <w:rPr>
          <w:rFonts w:ascii="Arial" w:hAnsi="Arial" w:cs="Arial"/>
          <w:iCs/>
          <w:color w:val="595959" w:themeColor="text1" w:themeTint="A6"/>
        </w:rPr>
      </w:pPr>
    </w:p>
    <w:p w14:paraId="20C99814" w14:textId="79A32300" w:rsidR="005758B2" w:rsidRDefault="005758B2" w:rsidP="00CC01B4">
      <w:pPr>
        <w:spacing w:line="480" w:lineRule="auto"/>
        <w:jc w:val="both"/>
        <w:rPr>
          <w:rFonts w:ascii="Arial" w:hAnsi="Arial" w:cs="Arial"/>
          <w:iCs/>
          <w:color w:val="595959" w:themeColor="text1" w:themeTint="A6"/>
        </w:rPr>
      </w:pPr>
    </w:p>
    <w:p w14:paraId="4227D168" w14:textId="46C76367" w:rsidR="005758B2" w:rsidRDefault="005758B2" w:rsidP="00CC01B4">
      <w:pPr>
        <w:spacing w:line="480" w:lineRule="auto"/>
        <w:jc w:val="both"/>
        <w:rPr>
          <w:rFonts w:ascii="Arial" w:hAnsi="Arial" w:cs="Arial"/>
          <w:iCs/>
          <w:color w:val="595959" w:themeColor="text1" w:themeTint="A6"/>
        </w:rPr>
      </w:pPr>
    </w:p>
    <w:p w14:paraId="74603BF6" w14:textId="089280A7" w:rsidR="005758B2" w:rsidRDefault="005758B2" w:rsidP="00CC01B4">
      <w:pPr>
        <w:spacing w:line="480" w:lineRule="auto"/>
        <w:jc w:val="both"/>
        <w:rPr>
          <w:rFonts w:ascii="Arial" w:hAnsi="Arial" w:cs="Arial"/>
          <w:iCs/>
          <w:color w:val="595959" w:themeColor="text1" w:themeTint="A6"/>
        </w:rPr>
      </w:pPr>
    </w:p>
    <w:p w14:paraId="54114470" w14:textId="6F109E9A" w:rsidR="005758B2" w:rsidRDefault="005758B2" w:rsidP="00CC01B4">
      <w:pPr>
        <w:spacing w:line="480" w:lineRule="auto"/>
        <w:jc w:val="both"/>
        <w:rPr>
          <w:rFonts w:ascii="Arial" w:hAnsi="Arial" w:cs="Arial"/>
          <w:iCs/>
          <w:color w:val="595959" w:themeColor="text1" w:themeTint="A6"/>
        </w:rPr>
      </w:pPr>
    </w:p>
    <w:p w14:paraId="5B034490" w14:textId="72A30278" w:rsidR="005758B2" w:rsidRDefault="005758B2" w:rsidP="00CC01B4">
      <w:pPr>
        <w:spacing w:line="480" w:lineRule="auto"/>
        <w:jc w:val="both"/>
        <w:rPr>
          <w:rFonts w:ascii="Arial" w:hAnsi="Arial" w:cs="Arial"/>
          <w:iCs/>
          <w:color w:val="595959" w:themeColor="text1" w:themeTint="A6"/>
        </w:rPr>
      </w:pPr>
    </w:p>
    <w:p w14:paraId="2F64D00E" w14:textId="64280DE4" w:rsidR="005758B2" w:rsidRDefault="005758B2" w:rsidP="00CC01B4">
      <w:pPr>
        <w:spacing w:line="480" w:lineRule="auto"/>
        <w:jc w:val="both"/>
        <w:rPr>
          <w:rFonts w:ascii="Arial" w:hAnsi="Arial" w:cs="Arial"/>
          <w:iCs/>
          <w:color w:val="595959" w:themeColor="text1" w:themeTint="A6"/>
        </w:rPr>
      </w:pPr>
    </w:p>
    <w:p w14:paraId="26CEAEA9" w14:textId="1FCC3AF3" w:rsidR="005758B2" w:rsidRDefault="005758B2" w:rsidP="00CC01B4">
      <w:pPr>
        <w:spacing w:line="480" w:lineRule="auto"/>
        <w:jc w:val="both"/>
        <w:rPr>
          <w:rFonts w:ascii="Arial" w:hAnsi="Arial" w:cs="Arial"/>
          <w:iCs/>
          <w:color w:val="595959" w:themeColor="text1" w:themeTint="A6"/>
        </w:rPr>
      </w:pPr>
    </w:p>
    <w:p w14:paraId="78FE4A80" w14:textId="55AA47ED" w:rsidR="005E1901" w:rsidRDefault="005E1901" w:rsidP="00CC01B4">
      <w:pPr>
        <w:spacing w:line="480" w:lineRule="auto"/>
        <w:jc w:val="both"/>
        <w:rPr>
          <w:rFonts w:ascii="Arial" w:hAnsi="Arial" w:cs="Arial"/>
          <w:iCs/>
          <w:color w:val="595959" w:themeColor="text1" w:themeTint="A6"/>
        </w:rPr>
      </w:pPr>
    </w:p>
    <w:p w14:paraId="009644E4" w14:textId="77777777" w:rsidR="005E1901" w:rsidRDefault="005E1901" w:rsidP="00CC01B4">
      <w:pPr>
        <w:spacing w:line="480" w:lineRule="auto"/>
        <w:jc w:val="both"/>
        <w:rPr>
          <w:rFonts w:ascii="Arial" w:hAnsi="Arial" w:cs="Arial"/>
          <w:iCs/>
          <w:color w:val="595959" w:themeColor="text1" w:themeTint="A6"/>
        </w:rPr>
      </w:pPr>
    </w:p>
    <w:p w14:paraId="6317C7A0" w14:textId="60B1139E" w:rsidR="007325CD" w:rsidRDefault="000B58CD" w:rsidP="009D02AC">
      <w:pPr>
        <w:pStyle w:val="Heading3"/>
        <w:numPr>
          <w:ilvl w:val="2"/>
          <w:numId w:val="4"/>
        </w:numPr>
        <w:rPr>
          <w:rFonts w:ascii="Arial" w:hAnsi="Arial" w:cs="Arial"/>
          <w:i/>
          <w:iCs/>
          <w:color w:val="595959" w:themeColor="text1" w:themeTint="A6"/>
        </w:rPr>
      </w:pPr>
      <w:r>
        <w:rPr>
          <w:rFonts w:ascii="Arial" w:hAnsi="Arial" w:cs="Arial"/>
          <w:i/>
          <w:iCs/>
          <w:color w:val="595959" w:themeColor="text1" w:themeTint="A6"/>
        </w:rPr>
        <w:lastRenderedPageBreak/>
        <w:t xml:space="preserve"> </w:t>
      </w:r>
      <w:bookmarkStart w:id="39" w:name="_Toc34208263"/>
      <w:r w:rsidR="007325CD" w:rsidRPr="00850BF7">
        <w:rPr>
          <w:rFonts w:ascii="Arial" w:hAnsi="Arial" w:cs="Arial"/>
          <w:i/>
          <w:iCs/>
          <w:color w:val="595959" w:themeColor="text1" w:themeTint="A6"/>
        </w:rPr>
        <w:t>ECM impact on the emerging hallmarks; evading immune destruction and deregulating cellular energetics</w:t>
      </w:r>
      <w:bookmarkEnd w:id="39"/>
    </w:p>
    <w:p w14:paraId="4EC41770" w14:textId="77777777" w:rsidR="009D02AC" w:rsidRPr="009D02AC" w:rsidRDefault="009D02AC" w:rsidP="009D02AC">
      <w:pPr>
        <w:pStyle w:val="ListParagraph"/>
      </w:pPr>
    </w:p>
    <w:p w14:paraId="45E4BF99" w14:textId="5307FCA5" w:rsidR="007325CD" w:rsidRDefault="007325CD" w:rsidP="007325CD">
      <w:pPr>
        <w:spacing w:line="480" w:lineRule="auto"/>
        <w:jc w:val="both"/>
        <w:rPr>
          <w:rFonts w:ascii="Arial" w:hAnsi="Arial" w:cs="Arial"/>
          <w:iCs/>
          <w:color w:val="595959" w:themeColor="text1" w:themeTint="A6"/>
        </w:rPr>
      </w:pPr>
      <w:r>
        <w:rPr>
          <w:rFonts w:ascii="Arial" w:hAnsi="Arial" w:cs="Arial"/>
          <w:iCs/>
          <w:color w:val="595959" w:themeColor="text1" w:themeTint="A6"/>
        </w:rPr>
        <w:t xml:space="preserve">Tumour formation is </w:t>
      </w:r>
      <w:r w:rsidRPr="00B611AB">
        <w:rPr>
          <w:rFonts w:ascii="Arial" w:hAnsi="Arial" w:cs="Arial"/>
          <w:iCs/>
          <w:color w:val="595959" w:themeColor="text1" w:themeTint="A6"/>
        </w:rPr>
        <w:t>meticulously prevented by an active immune surveillance fr</w:t>
      </w:r>
      <w:r w:rsidR="00C0301B" w:rsidRPr="00B611AB">
        <w:rPr>
          <w:rFonts w:ascii="Arial" w:hAnsi="Arial" w:cs="Arial"/>
          <w:iCs/>
          <w:color w:val="595959" w:themeColor="text1" w:themeTint="A6"/>
        </w:rPr>
        <w:t>om</w:t>
      </w:r>
      <w:r w:rsidRPr="00B611AB">
        <w:rPr>
          <w:rFonts w:ascii="Arial" w:hAnsi="Arial" w:cs="Arial"/>
          <w:iCs/>
          <w:color w:val="595959" w:themeColor="text1" w:themeTint="A6"/>
        </w:rPr>
        <w:t xml:space="preserve"> the </w:t>
      </w:r>
      <w:r>
        <w:rPr>
          <w:rFonts w:ascii="Arial" w:hAnsi="Arial" w:cs="Arial"/>
          <w:iCs/>
          <w:color w:val="595959" w:themeColor="text1" w:themeTint="A6"/>
        </w:rPr>
        <w:t xml:space="preserve">adaptive immune system. The ECM is capable of compromising this repose by inhibiting T-cell proliferation (cells capable of destroying foreign antigens). This is achieved through type 1 collagen ligation of </w:t>
      </w:r>
      <w:r w:rsidR="00715516">
        <w:rPr>
          <w:rFonts w:ascii="Arial" w:hAnsi="Arial" w:cs="Arial"/>
          <w:iCs/>
          <w:color w:val="595959" w:themeColor="text1" w:themeTint="A6"/>
        </w:rPr>
        <w:t>l</w:t>
      </w:r>
      <w:r w:rsidR="00B91C8D" w:rsidRPr="00B91C8D">
        <w:rPr>
          <w:rFonts w:ascii="Arial" w:hAnsi="Arial" w:cs="Arial"/>
          <w:iCs/>
          <w:color w:val="595959" w:themeColor="text1" w:themeTint="A6"/>
        </w:rPr>
        <w:t>eukocyte-associated immunoglobulin-like receptor 1 (</w:t>
      </w:r>
      <w:r w:rsidRPr="00B91C8D">
        <w:rPr>
          <w:rFonts w:ascii="Arial" w:hAnsi="Arial" w:cs="Arial"/>
          <w:iCs/>
          <w:color w:val="595959" w:themeColor="text1" w:themeTint="A6"/>
        </w:rPr>
        <w:t>LAIR</w:t>
      </w:r>
      <w:r w:rsidR="00B91C8D" w:rsidRPr="00B91C8D">
        <w:rPr>
          <w:rFonts w:ascii="Arial" w:hAnsi="Arial" w:cs="Arial"/>
          <w:iCs/>
          <w:color w:val="595959" w:themeColor="text1" w:themeTint="A6"/>
        </w:rPr>
        <w:t>1</w:t>
      </w:r>
      <w:r w:rsidR="00B91C8D">
        <w:rPr>
          <w:rFonts w:ascii="Arial" w:hAnsi="Arial" w:cs="Arial"/>
          <w:iCs/>
          <w:color w:val="595959" w:themeColor="text1" w:themeTint="A6"/>
        </w:rPr>
        <w:t>)</w:t>
      </w:r>
      <w:r>
        <w:rPr>
          <w:rFonts w:ascii="Arial" w:hAnsi="Arial" w:cs="Arial"/>
          <w:iCs/>
          <w:color w:val="595959" w:themeColor="text1" w:themeTint="A6"/>
        </w:rPr>
        <w:t xml:space="preserve"> receptors and T-cell activation (Meyarrd, 2008). Tumour induced ECM stiffening can impede T-cell activation by impairing CD3 and CD28 and IL-2 production</w:t>
      </w:r>
      <w:r w:rsidR="00B91C8D">
        <w:rPr>
          <w:rFonts w:ascii="Arial" w:hAnsi="Arial" w:cs="Arial"/>
          <w:iCs/>
          <w:color w:val="595959" w:themeColor="text1" w:themeTint="A6"/>
        </w:rPr>
        <w:t>; t</w:t>
      </w:r>
      <w:r>
        <w:rPr>
          <w:rFonts w:ascii="Arial" w:hAnsi="Arial" w:cs="Arial"/>
          <w:iCs/>
          <w:color w:val="595959" w:themeColor="text1" w:themeTint="A6"/>
        </w:rPr>
        <w:t xml:space="preserve">hese are necessary for the correct activation of T-cells (O’Conner </w:t>
      </w:r>
      <w:r w:rsidRPr="00CA1FAB">
        <w:rPr>
          <w:rFonts w:ascii="Arial" w:hAnsi="Arial" w:cs="Arial"/>
          <w:i/>
          <w:iCs/>
          <w:color w:val="595959" w:themeColor="text1" w:themeTint="A6"/>
        </w:rPr>
        <w:t>et al</w:t>
      </w:r>
      <w:r>
        <w:rPr>
          <w:rFonts w:ascii="Arial" w:hAnsi="Arial" w:cs="Arial"/>
          <w:iCs/>
          <w:color w:val="595959" w:themeColor="text1" w:themeTint="A6"/>
        </w:rPr>
        <w:t xml:space="preserve">., 2012). The ECM is of paramount importance in permitting the uptake of nutrients as well as functional ATP. Tumour cells exhibit a form of metabolic reprogramming known as the Warberg effect; where there is a shift toward anaerobic glycolysis. The ECM can directly signal to tumour cells via focal adhesion signalling pathway which activates P13K and increases glycolysis (Vander Heiden </w:t>
      </w:r>
      <w:r w:rsidRPr="00291112">
        <w:rPr>
          <w:rFonts w:ascii="Arial" w:hAnsi="Arial" w:cs="Arial"/>
          <w:i/>
          <w:iCs/>
          <w:color w:val="595959" w:themeColor="text1" w:themeTint="A6"/>
        </w:rPr>
        <w:t>et al</w:t>
      </w:r>
      <w:r>
        <w:rPr>
          <w:rFonts w:ascii="Arial" w:hAnsi="Arial" w:cs="Arial"/>
          <w:iCs/>
          <w:color w:val="595959" w:themeColor="text1" w:themeTint="A6"/>
        </w:rPr>
        <w:t xml:space="preserve">., 2009). Tumours that are associated with stiff matrices show elevated P13K signalling which is suggestive of tissue tension directly regulating tumour metabolism (Elstrom </w:t>
      </w:r>
      <w:r w:rsidRPr="00DB5736">
        <w:rPr>
          <w:rFonts w:ascii="Arial" w:hAnsi="Arial" w:cs="Arial"/>
          <w:i/>
          <w:iCs/>
          <w:color w:val="595959" w:themeColor="text1" w:themeTint="A6"/>
        </w:rPr>
        <w:t>et al</w:t>
      </w:r>
      <w:r>
        <w:rPr>
          <w:rFonts w:ascii="Arial" w:hAnsi="Arial" w:cs="Arial"/>
          <w:iCs/>
          <w:color w:val="595959" w:themeColor="text1" w:themeTint="A6"/>
        </w:rPr>
        <w:t xml:space="preserve">., 2004). </w:t>
      </w:r>
    </w:p>
    <w:p w14:paraId="3E3AA15C" w14:textId="1168C35B" w:rsidR="007325CD" w:rsidRDefault="007325CD" w:rsidP="009D02AC">
      <w:pPr>
        <w:pStyle w:val="Heading3"/>
        <w:numPr>
          <w:ilvl w:val="2"/>
          <w:numId w:val="4"/>
        </w:numPr>
        <w:rPr>
          <w:rFonts w:ascii="Arial" w:hAnsi="Arial" w:cs="Arial"/>
          <w:i/>
          <w:iCs/>
          <w:color w:val="595959" w:themeColor="text1" w:themeTint="A6"/>
        </w:rPr>
      </w:pPr>
      <w:bookmarkStart w:id="40" w:name="_Toc34208264"/>
      <w:r>
        <w:rPr>
          <w:rFonts w:ascii="Arial" w:hAnsi="Arial" w:cs="Arial"/>
          <w:i/>
          <w:iCs/>
          <w:color w:val="595959" w:themeColor="text1" w:themeTint="A6"/>
        </w:rPr>
        <w:t>ECM</w:t>
      </w:r>
      <w:r w:rsidRPr="00D47491">
        <w:rPr>
          <w:rFonts w:ascii="Arial" w:hAnsi="Arial" w:cs="Arial"/>
          <w:i/>
          <w:iCs/>
          <w:color w:val="595959" w:themeColor="text1" w:themeTint="A6"/>
        </w:rPr>
        <w:t xml:space="preserve"> signalling in cancer</w:t>
      </w:r>
      <w:bookmarkEnd w:id="40"/>
    </w:p>
    <w:p w14:paraId="1862627B" w14:textId="77777777" w:rsidR="009D02AC" w:rsidRPr="009D02AC" w:rsidRDefault="009D02AC" w:rsidP="009D02AC">
      <w:pPr>
        <w:pStyle w:val="ListParagraph"/>
      </w:pPr>
    </w:p>
    <w:p w14:paraId="6A4D29A0" w14:textId="515F0EAC" w:rsidR="007325CD" w:rsidRPr="00B611AB" w:rsidRDefault="00E60381" w:rsidP="00CC01B4">
      <w:pPr>
        <w:spacing w:line="480" w:lineRule="auto"/>
        <w:jc w:val="both"/>
        <w:rPr>
          <w:rFonts w:ascii="Arial" w:hAnsi="Arial" w:cs="Arial"/>
          <w:iCs/>
          <w:color w:val="595959" w:themeColor="text1" w:themeTint="A6"/>
        </w:rPr>
      </w:pPr>
      <w:r>
        <w:rPr>
          <w:rFonts w:ascii="Arial" w:hAnsi="Arial" w:cs="Arial"/>
          <w:iCs/>
          <w:color w:val="595959" w:themeColor="text1" w:themeTint="A6"/>
        </w:rPr>
        <w:t>R</w:t>
      </w:r>
      <w:r w:rsidR="007325CD" w:rsidRPr="00495779">
        <w:rPr>
          <w:rFonts w:ascii="Arial" w:hAnsi="Arial" w:cs="Arial"/>
          <w:iCs/>
          <w:color w:val="595959" w:themeColor="text1" w:themeTint="A6"/>
        </w:rPr>
        <w:t>egulation of both the receptor and the cues that result from receptor aberration can propel distinctive functional changes that can influence tumour progression</w:t>
      </w:r>
      <w:r>
        <w:rPr>
          <w:rFonts w:ascii="Arial" w:hAnsi="Arial" w:cs="Arial"/>
          <w:iCs/>
          <w:color w:val="595959" w:themeColor="text1" w:themeTint="A6"/>
        </w:rPr>
        <w:t xml:space="preserve">. This </w:t>
      </w:r>
      <w:r w:rsidR="00B91C8D">
        <w:rPr>
          <w:rFonts w:ascii="Arial" w:hAnsi="Arial" w:cs="Arial"/>
          <w:iCs/>
          <w:color w:val="595959" w:themeColor="text1" w:themeTint="A6"/>
        </w:rPr>
        <w:t xml:space="preserve">altered </w:t>
      </w:r>
      <w:r w:rsidR="007325CD" w:rsidRPr="00495779">
        <w:rPr>
          <w:rFonts w:ascii="Arial" w:hAnsi="Arial" w:cs="Arial"/>
          <w:iCs/>
          <w:color w:val="595959" w:themeColor="text1" w:themeTint="A6"/>
        </w:rPr>
        <w:t xml:space="preserve">signalling into the interior of </w:t>
      </w:r>
      <w:r w:rsidR="007325CD">
        <w:rPr>
          <w:rFonts w:ascii="Arial" w:hAnsi="Arial" w:cs="Arial"/>
          <w:iCs/>
          <w:color w:val="595959" w:themeColor="text1" w:themeTint="A6"/>
        </w:rPr>
        <w:t xml:space="preserve">tissue-specific </w:t>
      </w:r>
      <w:r w:rsidR="007325CD" w:rsidRPr="00495779">
        <w:rPr>
          <w:rFonts w:ascii="Arial" w:hAnsi="Arial" w:cs="Arial"/>
          <w:iCs/>
          <w:color w:val="595959" w:themeColor="text1" w:themeTint="A6"/>
        </w:rPr>
        <w:t xml:space="preserve">cells </w:t>
      </w:r>
      <w:r>
        <w:rPr>
          <w:rFonts w:ascii="Arial" w:hAnsi="Arial" w:cs="Arial"/>
          <w:iCs/>
          <w:color w:val="595959" w:themeColor="text1" w:themeTint="A6"/>
        </w:rPr>
        <w:t xml:space="preserve">can cause loss of </w:t>
      </w:r>
      <w:r w:rsidR="007325CD" w:rsidRPr="00495779">
        <w:rPr>
          <w:rFonts w:ascii="Arial" w:hAnsi="Arial" w:cs="Arial"/>
          <w:iCs/>
          <w:color w:val="595959" w:themeColor="text1" w:themeTint="A6"/>
        </w:rPr>
        <w:t xml:space="preserve">regulatory control of the cytoskeleton, </w:t>
      </w:r>
      <w:r>
        <w:rPr>
          <w:rFonts w:ascii="Arial" w:hAnsi="Arial" w:cs="Arial"/>
          <w:iCs/>
          <w:color w:val="595959" w:themeColor="text1" w:themeTint="A6"/>
        </w:rPr>
        <w:t xml:space="preserve">enhance </w:t>
      </w:r>
      <w:r w:rsidR="007325CD" w:rsidRPr="00495779">
        <w:rPr>
          <w:rFonts w:ascii="Arial" w:hAnsi="Arial" w:cs="Arial"/>
          <w:iCs/>
          <w:color w:val="595959" w:themeColor="text1" w:themeTint="A6"/>
        </w:rPr>
        <w:t>pro-survival</w:t>
      </w:r>
      <w:r>
        <w:rPr>
          <w:rFonts w:ascii="Arial" w:hAnsi="Arial" w:cs="Arial"/>
          <w:iCs/>
          <w:color w:val="595959" w:themeColor="text1" w:themeTint="A6"/>
        </w:rPr>
        <w:t xml:space="preserve"> cues</w:t>
      </w:r>
      <w:r w:rsidR="007325CD" w:rsidRPr="00495779">
        <w:rPr>
          <w:rFonts w:ascii="Arial" w:hAnsi="Arial" w:cs="Arial"/>
          <w:iCs/>
          <w:color w:val="595959" w:themeColor="text1" w:themeTint="A6"/>
        </w:rPr>
        <w:t xml:space="preserve">, </w:t>
      </w:r>
      <w:r>
        <w:rPr>
          <w:rFonts w:ascii="Arial" w:hAnsi="Arial" w:cs="Arial"/>
          <w:iCs/>
          <w:color w:val="595959" w:themeColor="text1" w:themeTint="A6"/>
        </w:rPr>
        <w:t xml:space="preserve">cause </w:t>
      </w:r>
      <w:r w:rsidR="007325CD" w:rsidRPr="00495779">
        <w:rPr>
          <w:rFonts w:ascii="Arial" w:hAnsi="Arial" w:cs="Arial"/>
          <w:iCs/>
          <w:color w:val="595959" w:themeColor="text1" w:themeTint="A6"/>
        </w:rPr>
        <w:t xml:space="preserve">differentiation and </w:t>
      </w:r>
      <w:r>
        <w:rPr>
          <w:rFonts w:ascii="Arial" w:hAnsi="Arial" w:cs="Arial"/>
          <w:iCs/>
          <w:color w:val="595959" w:themeColor="text1" w:themeTint="A6"/>
        </w:rPr>
        <w:t xml:space="preserve">alter </w:t>
      </w:r>
      <w:r w:rsidR="007325CD" w:rsidRPr="00495779">
        <w:rPr>
          <w:rFonts w:ascii="Arial" w:hAnsi="Arial" w:cs="Arial"/>
          <w:iCs/>
          <w:color w:val="595959" w:themeColor="text1" w:themeTint="A6"/>
        </w:rPr>
        <w:t xml:space="preserve">gene expression profiles. CAF in particular have enhanced capabilities to promote tumour angiogenesis, cellular proliferation and suppression of normal anti-tumour processes. These functions make them ideal candidates for anti-cancer targeted therapies. CAF signalling has been associated with an increase in invasive phenotypes (Gaggioli </w:t>
      </w:r>
      <w:r w:rsidR="007325CD" w:rsidRPr="00495779">
        <w:rPr>
          <w:rFonts w:ascii="Arial" w:hAnsi="Arial" w:cs="Arial"/>
          <w:i/>
          <w:iCs/>
          <w:color w:val="595959" w:themeColor="text1" w:themeTint="A6"/>
        </w:rPr>
        <w:t>et al</w:t>
      </w:r>
      <w:r w:rsidR="007325CD" w:rsidRPr="00495779">
        <w:rPr>
          <w:rFonts w:ascii="Arial" w:hAnsi="Arial" w:cs="Arial"/>
          <w:iCs/>
          <w:color w:val="595959" w:themeColor="text1" w:themeTint="A6"/>
        </w:rPr>
        <w:t xml:space="preserve">., 2007). OSCC is often metastatic despite treatment and this is a reflection on the plethora of molecular signals that are pro-invasive e.g. </w:t>
      </w:r>
      <w:r w:rsidR="00191B51">
        <w:rPr>
          <w:rFonts w:ascii="Arial" w:hAnsi="Arial" w:cs="Arial"/>
          <w:iCs/>
          <w:color w:val="595959" w:themeColor="text1" w:themeTint="A6"/>
        </w:rPr>
        <w:t>brain-derived neurotrophic factor (</w:t>
      </w:r>
      <w:r w:rsidR="007325CD" w:rsidRPr="00495779">
        <w:rPr>
          <w:rFonts w:ascii="Arial" w:hAnsi="Arial" w:cs="Arial"/>
          <w:iCs/>
          <w:color w:val="595959" w:themeColor="text1" w:themeTint="A6"/>
        </w:rPr>
        <w:t>BDNF</w:t>
      </w:r>
      <w:r w:rsidR="00191B51">
        <w:rPr>
          <w:rFonts w:ascii="Arial" w:hAnsi="Arial" w:cs="Arial"/>
          <w:iCs/>
          <w:color w:val="595959" w:themeColor="text1" w:themeTint="A6"/>
        </w:rPr>
        <w:t>)</w:t>
      </w:r>
      <w:r w:rsidR="007325CD" w:rsidRPr="00495779">
        <w:rPr>
          <w:rFonts w:ascii="Arial" w:hAnsi="Arial" w:cs="Arial"/>
          <w:iCs/>
          <w:color w:val="595959" w:themeColor="text1" w:themeTint="A6"/>
        </w:rPr>
        <w:t xml:space="preserve">, HGF, IGF, </w:t>
      </w:r>
      <w:r w:rsidR="000E3039">
        <w:rPr>
          <w:rFonts w:ascii="Arial" w:hAnsi="Arial" w:cs="Arial"/>
          <w:iCs/>
          <w:color w:val="595959" w:themeColor="text1" w:themeTint="A6"/>
        </w:rPr>
        <w:t>bone morphogenic protein 4 (</w:t>
      </w:r>
      <w:r w:rsidR="007325CD" w:rsidRPr="00495779">
        <w:rPr>
          <w:rFonts w:ascii="Arial" w:hAnsi="Arial" w:cs="Arial"/>
          <w:iCs/>
          <w:color w:val="595959" w:themeColor="text1" w:themeTint="A6"/>
        </w:rPr>
        <w:t>BMP4</w:t>
      </w:r>
      <w:r w:rsidR="000E3039">
        <w:rPr>
          <w:rFonts w:ascii="Arial" w:hAnsi="Arial" w:cs="Arial"/>
          <w:iCs/>
          <w:color w:val="595959" w:themeColor="text1" w:themeTint="A6"/>
        </w:rPr>
        <w:t>)</w:t>
      </w:r>
      <w:r w:rsidR="007325CD" w:rsidRPr="00495779">
        <w:rPr>
          <w:rFonts w:ascii="Arial" w:hAnsi="Arial" w:cs="Arial"/>
          <w:iCs/>
          <w:color w:val="595959" w:themeColor="text1" w:themeTint="A6"/>
        </w:rPr>
        <w:t xml:space="preserve">, </w:t>
      </w:r>
      <w:r w:rsidR="007325CD" w:rsidRPr="00B611AB">
        <w:rPr>
          <w:rFonts w:ascii="Arial" w:hAnsi="Arial" w:cs="Arial"/>
          <w:iCs/>
          <w:color w:val="595959" w:themeColor="text1" w:themeTint="A6"/>
        </w:rPr>
        <w:lastRenderedPageBreak/>
        <w:t xml:space="preserve">and </w:t>
      </w:r>
      <w:r w:rsidR="00C0301B" w:rsidRPr="00B611AB">
        <w:rPr>
          <w:rFonts w:ascii="Arial" w:hAnsi="Arial" w:cs="Arial"/>
          <w:iCs/>
          <w:color w:val="595959" w:themeColor="text1" w:themeTint="A6"/>
        </w:rPr>
        <w:t>chemokine</w:t>
      </w:r>
      <w:r w:rsidR="00182255" w:rsidRPr="00B611AB">
        <w:rPr>
          <w:rFonts w:ascii="Arial" w:hAnsi="Arial" w:cs="Arial"/>
          <w:iCs/>
          <w:color w:val="595959" w:themeColor="text1" w:themeTint="A6"/>
        </w:rPr>
        <w:t xml:space="preserve"> (C-C motif) ligand 7 (</w:t>
      </w:r>
      <w:r w:rsidR="007325CD" w:rsidRPr="00B611AB">
        <w:rPr>
          <w:rFonts w:ascii="Arial" w:hAnsi="Arial" w:cs="Arial"/>
          <w:iCs/>
          <w:color w:val="595959" w:themeColor="text1" w:themeTint="A6"/>
        </w:rPr>
        <w:t>CCL7</w:t>
      </w:r>
      <w:r w:rsidR="00182255" w:rsidRPr="00B611AB">
        <w:rPr>
          <w:rFonts w:ascii="Arial" w:hAnsi="Arial" w:cs="Arial"/>
          <w:iCs/>
          <w:color w:val="595959" w:themeColor="text1" w:themeTint="A6"/>
        </w:rPr>
        <w:t>)</w:t>
      </w:r>
      <w:r w:rsidR="007325CD" w:rsidRPr="00B611AB">
        <w:rPr>
          <w:rFonts w:ascii="Arial" w:hAnsi="Arial" w:cs="Arial"/>
          <w:iCs/>
          <w:color w:val="595959" w:themeColor="text1" w:themeTint="A6"/>
        </w:rPr>
        <w:t xml:space="preserve">. Proteases are also secreted in the form of MMP which aid invasion by digestion of ECM, allowing metastatic spread. </w:t>
      </w:r>
    </w:p>
    <w:p w14:paraId="6B99F3C1" w14:textId="6024EA94" w:rsidR="009D02AC" w:rsidRPr="00B611AB" w:rsidRDefault="007325CD" w:rsidP="00D80461">
      <w:pPr>
        <w:spacing w:line="480" w:lineRule="auto"/>
        <w:jc w:val="both"/>
        <w:rPr>
          <w:rFonts w:ascii="Arial" w:hAnsi="Arial" w:cs="Arial"/>
          <w:iCs/>
          <w:color w:val="595959" w:themeColor="text1" w:themeTint="A6"/>
        </w:rPr>
      </w:pPr>
      <w:r w:rsidRPr="00B611AB">
        <w:rPr>
          <w:rFonts w:ascii="Arial" w:hAnsi="Arial" w:cs="Arial"/>
          <w:iCs/>
          <w:color w:val="595959" w:themeColor="text1" w:themeTint="A6"/>
        </w:rPr>
        <w:t xml:space="preserve">Cancer cells can provide crosstalk to parenchymal tissues through the release of soluble factors such as TGF-β, IL-1α, and TNFα. The latter factor is responsible for the upregulation of BDNF which in turn promotes EMT a regulator of a migratory and invasive phenotype leading to the initiation of cancer metastasis. This process is characterised by an upregulation of EMT marker such as vimentin and a loss of e-cadherin </w:t>
      </w:r>
      <w:r w:rsidRPr="00B611AB">
        <w:rPr>
          <w:rFonts w:ascii="Arial" w:hAnsi="Arial" w:cs="Arial"/>
          <w:i/>
          <w:iCs/>
          <w:color w:val="595959" w:themeColor="text1" w:themeTint="A6"/>
        </w:rPr>
        <w:t>in vitro</w:t>
      </w:r>
      <w:r w:rsidRPr="00B611AB">
        <w:rPr>
          <w:rFonts w:ascii="Arial" w:hAnsi="Arial" w:cs="Arial"/>
          <w:iCs/>
          <w:color w:val="595959" w:themeColor="text1" w:themeTint="A6"/>
        </w:rPr>
        <w:t>. Further experimental analysis of signalling has ide</w:t>
      </w:r>
      <w:r w:rsidR="00715516" w:rsidRPr="00B611AB">
        <w:rPr>
          <w:rFonts w:ascii="Arial" w:hAnsi="Arial" w:cs="Arial"/>
          <w:iCs/>
          <w:color w:val="595959" w:themeColor="text1" w:themeTint="A6"/>
        </w:rPr>
        <w:t>ntified that the TNFα antibody i</w:t>
      </w:r>
      <w:r w:rsidRPr="00B611AB">
        <w:rPr>
          <w:rFonts w:ascii="Arial" w:hAnsi="Arial" w:cs="Arial"/>
          <w:iCs/>
          <w:color w:val="595959" w:themeColor="text1" w:themeTint="A6"/>
        </w:rPr>
        <w:t>nfiximab can effectively inhibit CAF invasion activated by OSCC cells. It is essential to highlight that these signalling events are mutually re-enforcing between the stromal compartment, in particular CAF, and the cancer cell</w:t>
      </w:r>
      <w:r w:rsidR="00715516" w:rsidRPr="00B611AB">
        <w:rPr>
          <w:rFonts w:ascii="Arial" w:hAnsi="Arial" w:cs="Arial"/>
          <w:iCs/>
          <w:color w:val="595959" w:themeColor="text1" w:themeTint="A6"/>
        </w:rPr>
        <w:t xml:space="preserve">s. </w:t>
      </w:r>
    </w:p>
    <w:p w14:paraId="1378035F" w14:textId="5E43B94E" w:rsidR="006466F7" w:rsidRPr="00B611AB" w:rsidRDefault="00715516" w:rsidP="00715516">
      <w:pPr>
        <w:pStyle w:val="Heading2"/>
        <w:numPr>
          <w:ilvl w:val="1"/>
          <w:numId w:val="4"/>
        </w:numPr>
        <w:rPr>
          <w:rFonts w:ascii="Arial" w:hAnsi="Arial" w:cs="Arial"/>
          <w:color w:val="595959" w:themeColor="text1" w:themeTint="A6"/>
          <w:lang w:val="it-IT"/>
        </w:rPr>
      </w:pPr>
      <w:bookmarkStart w:id="41" w:name="_Toc34208265"/>
      <w:r w:rsidRPr="00B611AB">
        <w:rPr>
          <w:rFonts w:ascii="Arial" w:hAnsi="Arial" w:cs="Arial"/>
          <w:color w:val="595959" w:themeColor="text1" w:themeTint="A6"/>
          <w:lang w:val="it-IT"/>
        </w:rPr>
        <w:t xml:space="preserve">Modelling the </w:t>
      </w:r>
      <w:r w:rsidR="003C6ABC" w:rsidRPr="00B611AB">
        <w:rPr>
          <w:rFonts w:ascii="Arial" w:hAnsi="Arial" w:cs="Arial"/>
          <w:color w:val="595959" w:themeColor="text1" w:themeTint="A6"/>
          <w:lang w:val="it-IT"/>
        </w:rPr>
        <w:t>oral</w:t>
      </w:r>
      <w:r w:rsidR="00DF4A75" w:rsidRPr="00B611AB">
        <w:rPr>
          <w:rFonts w:ascii="Arial" w:hAnsi="Arial" w:cs="Arial"/>
          <w:color w:val="595959" w:themeColor="text1" w:themeTint="A6"/>
          <w:lang w:val="it-IT"/>
        </w:rPr>
        <w:t xml:space="preserve"> stroma </w:t>
      </w:r>
      <w:r w:rsidRPr="00B611AB">
        <w:rPr>
          <w:rFonts w:ascii="Arial" w:hAnsi="Arial" w:cs="Arial"/>
          <w:i/>
          <w:iCs/>
          <w:color w:val="595959" w:themeColor="text1" w:themeTint="A6"/>
          <w:lang w:val="it-IT"/>
        </w:rPr>
        <w:t>in vitro</w:t>
      </w:r>
      <w:bookmarkEnd w:id="41"/>
      <w:r w:rsidRPr="00B611AB">
        <w:rPr>
          <w:rFonts w:ascii="Arial" w:hAnsi="Arial" w:cs="Arial"/>
          <w:color w:val="595959" w:themeColor="text1" w:themeTint="A6"/>
          <w:lang w:val="it-IT"/>
        </w:rPr>
        <w:t xml:space="preserve"> </w:t>
      </w:r>
    </w:p>
    <w:p w14:paraId="0C4E7686" w14:textId="77777777" w:rsidR="00715516" w:rsidRPr="00B611AB" w:rsidRDefault="00715516" w:rsidP="00715516">
      <w:pPr>
        <w:pStyle w:val="ListParagraph"/>
        <w:ind w:left="600"/>
        <w:rPr>
          <w:color w:val="595959" w:themeColor="text1" w:themeTint="A6"/>
          <w:lang w:val="it-IT"/>
        </w:rPr>
      </w:pPr>
    </w:p>
    <w:p w14:paraId="528EF02F" w14:textId="657B38E7" w:rsidR="00D80461" w:rsidRPr="00B611AB" w:rsidRDefault="00715516" w:rsidP="00715516">
      <w:pPr>
        <w:spacing w:line="480" w:lineRule="auto"/>
        <w:jc w:val="both"/>
        <w:rPr>
          <w:rFonts w:ascii="Arial" w:hAnsi="Arial" w:cs="Arial"/>
          <w:iCs/>
          <w:color w:val="595959" w:themeColor="text1" w:themeTint="A6"/>
        </w:rPr>
      </w:pPr>
      <w:r w:rsidRPr="00B611AB">
        <w:rPr>
          <w:rFonts w:ascii="Arial" w:hAnsi="Arial" w:cs="Arial"/>
          <w:iCs/>
          <w:color w:val="595959" w:themeColor="text1" w:themeTint="A6"/>
        </w:rPr>
        <w:t xml:space="preserve">Appreciating the dynamic heterogeneity of the tumour microenvironment in OSCC and knowledge of the interactions of both stromal and tumour cells within the ECM is an under-researched area, hindered by a lack of physiologically relevant </w:t>
      </w:r>
      <w:r w:rsidRPr="00B611AB">
        <w:rPr>
          <w:rFonts w:ascii="Arial" w:hAnsi="Arial" w:cs="Arial"/>
          <w:i/>
          <w:iCs/>
          <w:color w:val="595959" w:themeColor="text1" w:themeTint="A6"/>
        </w:rPr>
        <w:t>in vitro</w:t>
      </w:r>
      <w:r w:rsidRPr="00B611AB">
        <w:rPr>
          <w:rFonts w:ascii="Arial" w:hAnsi="Arial" w:cs="Arial"/>
          <w:iCs/>
          <w:color w:val="595959" w:themeColor="text1" w:themeTint="A6"/>
        </w:rPr>
        <w:t xml:space="preserve"> models that capture the complexities of the </w:t>
      </w:r>
      <w:r w:rsidRPr="00B611AB">
        <w:rPr>
          <w:rFonts w:ascii="Arial" w:hAnsi="Arial" w:cs="Arial"/>
          <w:i/>
          <w:color w:val="595959" w:themeColor="text1" w:themeTint="A6"/>
        </w:rPr>
        <w:t>in vivo</w:t>
      </w:r>
      <w:r w:rsidRPr="00B611AB">
        <w:rPr>
          <w:rFonts w:ascii="Arial" w:hAnsi="Arial" w:cs="Arial"/>
          <w:iCs/>
          <w:color w:val="595959" w:themeColor="text1" w:themeTint="A6"/>
        </w:rPr>
        <w:t xml:space="preserve"> situation.</w:t>
      </w:r>
      <w:r w:rsidR="00875D2C" w:rsidRPr="00B611AB">
        <w:rPr>
          <w:rFonts w:ascii="Arial" w:hAnsi="Arial" w:cs="Arial"/>
          <w:iCs/>
          <w:color w:val="595959" w:themeColor="text1" w:themeTint="A6"/>
        </w:rPr>
        <w:t xml:space="preserve"> </w:t>
      </w:r>
      <w:r w:rsidR="009C53B0" w:rsidRPr="00B611AB">
        <w:rPr>
          <w:rFonts w:ascii="Arial" w:hAnsi="Arial" w:cs="Arial"/>
          <w:iCs/>
          <w:color w:val="595959" w:themeColor="text1" w:themeTint="A6"/>
        </w:rPr>
        <w:t>C</w:t>
      </w:r>
      <w:r w:rsidR="00715C6C" w:rsidRPr="00B611AB">
        <w:rPr>
          <w:rFonts w:ascii="Arial" w:hAnsi="Arial" w:cs="Arial"/>
          <w:iCs/>
          <w:color w:val="595959" w:themeColor="text1" w:themeTint="A6"/>
        </w:rPr>
        <w:t xml:space="preserve">urrent techniques have been described </w:t>
      </w:r>
      <w:r w:rsidR="009C6ED4" w:rsidRPr="00B611AB">
        <w:rPr>
          <w:rFonts w:ascii="Arial" w:hAnsi="Arial" w:cs="Arial"/>
          <w:iCs/>
          <w:color w:val="595959" w:themeColor="text1" w:themeTint="A6"/>
        </w:rPr>
        <w:t xml:space="preserve">in the subsequent </w:t>
      </w:r>
      <w:r w:rsidR="00B611AB" w:rsidRPr="00B611AB">
        <w:rPr>
          <w:rFonts w:ascii="Arial" w:hAnsi="Arial" w:cs="Arial"/>
          <w:iCs/>
          <w:color w:val="595959" w:themeColor="text1" w:themeTint="A6"/>
        </w:rPr>
        <w:t>section,</w:t>
      </w:r>
      <w:r w:rsidR="009C6ED4" w:rsidRPr="00B611AB">
        <w:rPr>
          <w:rFonts w:ascii="Arial" w:hAnsi="Arial" w:cs="Arial"/>
          <w:iCs/>
          <w:color w:val="595959" w:themeColor="text1" w:themeTint="A6"/>
        </w:rPr>
        <w:t xml:space="preserve"> highlighting </w:t>
      </w:r>
      <w:r w:rsidR="000D36DE" w:rsidRPr="00B611AB">
        <w:rPr>
          <w:rFonts w:ascii="Arial" w:hAnsi="Arial" w:cs="Arial"/>
          <w:iCs/>
          <w:color w:val="595959" w:themeColor="text1" w:themeTint="A6"/>
        </w:rPr>
        <w:t xml:space="preserve">simplistic 2D systems to more complex 3D tissue constructs. </w:t>
      </w:r>
    </w:p>
    <w:p w14:paraId="07ABAFA7" w14:textId="2E8B9FB4" w:rsidR="006466F7" w:rsidRPr="000B58CD" w:rsidRDefault="006466F7" w:rsidP="00715516">
      <w:pPr>
        <w:pStyle w:val="Heading3"/>
        <w:rPr>
          <w:rFonts w:ascii="Arial" w:hAnsi="Arial" w:cs="Arial"/>
          <w:i/>
          <w:color w:val="595959" w:themeColor="text1" w:themeTint="A6"/>
        </w:rPr>
      </w:pPr>
      <w:bookmarkStart w:id="42" w:name="_Toc34208266"/>
      <w:r w:rsidRPr="000B58CD">
        <w:rPr>
          <w:rFonts w:ascii="Arial" w:hAnsi="Arial" w:cs="Arial"/>
          <w:i/>
          <w:color w:val="595959" w:themeColor="text1" w:themeTint="A6"/>
        </w:rPr>
        <w:t xml:space="preserve">1.4.1 </w:t>
      </w:r>
      <w:r w:rsidR="00715516" w:rsidRPr="000B58CD">
        <w:rPr>
          <w:rFonts w:ascii="Arial" w:hAnsi="Arial" w:cs="Arial"/>
          <w:i/>
          <w:color w:val="595959" w:themeColor="text1" w:themeTint="A6"/>
        </w:rPr>
        <w:t>Monolayer cultures</w:t>
      </w:r>
      <w:bookmarkEnd w:id="42"/>
    </w:p>
    <w:p w14:paraId="6F94DE58" w14:textId="77777777" w:rsidR="00114476" w:rsidRPr="00CE04C7" w:rsidRDefault="00114476" w:rsidP="00114476"/>
    <w:p w14:paraId="3A95B4DD" w14:textId="5DED0173" w:rsidR="005758B2" w:rsidRPr="009674A2" w:rsidRDefault="00D80461" w:rsidP="00715516">
      <w:pPr>
        <w:spacing w:line="480" w:lineRule="auto"/>
        <w:jc w:val="both"/>
        <w:rPr>
          <w:rFonts w:ascii="Arial" w:hAnsi="Arial" w:cs="Arial"/>
          <w:iCs/>
          <w:color w:val="FF0000"/>
        </w:rPr>
      </w:pPr>
      <w:r>
        <w:rPr>
          <w:rFonts w:ascii="Arial" w:hAnsi="Arial" w:cs="Arial"/>
          <w:iCs/>
          <w:color w:val="595959" w:themeColor="text1" w:themeTint="A6"/>
        </w:rPr>
        <w:t xml:space="preserve">Traditionally, standard cell culture applications for studying </w:t>
      </w:r>
      <w:r w:rsidR="006466F7">
        <w:rPr>
          <w:rFonts w:ascii="Arial" w:hAnsi="Arial" w:cs="Arial"/>
          <w:iCs/>
          <w:color w:val="595959" w:themeColor="text1" w:themeTint="A6"/>
        </w:rPr>
        <w:t xml:space="preserve">cancer </w:t>
      </w:r>
      <w:r>
        <w:rPr>
          <w:rFonts w:ascii="Arial" w:hAnsi="Arial" w:cs="Arial"/>
          <w:iCs/>
          <w:color w:val="595959" w:themeColor="text1" w:themeTint="A6"/>
        </w:rPr>
        <w:t xml:space="preserve">in </w:t>
      </w:r>
      <w:r w:rsidR="006F7B13">
        <w:rPr>
          <w:rFonts w:ascii="Arial" w:hAnsi="Arial" w:cs="Arial"/>
          <w:iCs/>
          <w:color w:val="595959" w:themeColor="text1" w:themeTint="A6"/>
        </w:rPr>
        <w:t>two-dimensions</w:t>
      </w:r>
      <w:r w:rsidR="000362E5">
        <w:rPr>
          <w:rFonts w:ascii="Arial" w:hAnsi="Arial" w:cs="Arial"/>
          <w:iCs/>
          <w:color w:val="595959" w:themeColor="text1" w:themeTint="A6"/>
        </w:rPr>
        <w:t xml:space="preserve"> (</w:t>
      </w:r>
      <w:r>
        <w:rPr>
          <w:rFonts w:ascii="Arial" w:hAnsi="Arial" w:cs="Arial"/>
          <w:iCs/>
          <w:color w:val="595959" w:themeColor="text1" w:themeTint="A6"/>
        </w:rPr>
        <w:t>2D</w:t>
      </w:r>
      <w:r w:rsidR="000362E5">
        <w:rPr>
          <w:rFonts w:ascii="Arial" w:hAnsi="Arial" w:cs="Arial"/>
          <w:iCs/>
          <w:color w:val="595959" w:themeColor="text1" w:themeTint="A6"/>
        </w:rPr>
        <w:t>)</w:t>
      </w:r>
      <w:r>
        <w:rPr>
          <w:rFonts w:ascii="Arial" w:hAnsi="Arial" w:cs="Arial"/>
          <w:iCs/>
          <w:color w:val="595959" w:themeColor="text1" w:themeTint="A6"/>
        </w:rPr>
        <w:t xml:space="preserve"> has utilised </w:t>
      </w:r>
      <w:r w:rsidR="006466F7">
        <w:rPr>
          <w:rFonts w:ascii="Arial" w:hAnsi="Arial" w:cs="Arial"/>
          <w:iCs/>
          <w:color w:val="595959" w:themeColor="text1" w:themeTint="A6"/>
        </w:rPr>
        <w:t xml:space="preserve">established cancer </w:t>
      </w:r>
      <w:r w:rsidR="00412338">
        <w:rPr>
          <w:rFonts w:ascii="Arial" w:hAnsi="Arial" w:cs="Arial"/>
          <w:iCs/>
          <w:color w:val="595959" w:themeColor="text1" w:themeTint="A6"/>
        </w:rPr>
        <w:t>cell-</w:t>
      </w:r>
      <w:r w:rsidR="006466F7">
        <w:rPr>
          <w:rFonts w:ascii="Arial" w:hAnsi="Arial" w:cs="Arial"/>
          <w:iCs/>
          <w:color w:val="595959" w:themeColor="text1" w:themeTint="A6"/>
        </w:rPr>
        <w:t xml:space="preserve">lines that have adapted to </w:t>
      </w:r>
      <w:r w:rsidR="006466F7" w:rsidRPr="006466F7">
        <w:rPr>
          <w:rFonts w:ascii="Arial" w:hAnsi="Arial" w:cs="Arial"/>
          <w:i/>
          <w:color w:val="595959" w:themeColor="text1" w:themeTint="A6"/>
        </w:rPr>
        <w:t>in vitro</w:t>
      </w:r>
      <w:r w:rsidR="006466F7">
        <w:rPr>
          <w:rFonts w:ascii="Arial" w:hAnsi="Arial" w:cs="Arial"/>
          <w:iCs/>
          <w:color w:val="595959" w:themeColor="text1" w:themeTint="A6"/>
        </w:rPr>
        <w:t xml:space="preserve"> conditions. This method has been useful in</w:t>
      </w:r>
      <w:r>
        <w:rPr>
          <w:rFonts w:ascii="Arial" w:hAnsi="Arial" w:cs="Arial"/>
          <w:iCs/>
          <w:color w:val="595959" w:themeColor="text1" w:themeTint="A6"/>
        </w:rPr>
        <w:t xml:space="preserve"> </w:t>
      </w:r>
      <w:r w:rsidR="006466F7">
        <w:rPr>
          <w:rFonts w:ascii="Arial" w:hAnsi="Arial" w:cs="Arial"/>
          <w:iCs/>
          <w:color w:val="595959" w:themeColor="text1" w:themeTint="A6"/>
        </w:rPr>
        <w:t xml:space="preserve">our understanding of the basic </w:t>
      </w:r>
      <w:r>
        <w:rPr>
          <w:rFonts w:ascii="Arial" w:hAnsi="Arial" w:cs="Arial"/>
          <w:iCs/>
          <w:color w:val="595959" w:themeColor="text1" w:themeTint="A6"/>
        </w:rPr>
        <w:t>molecular changes</w:t>
      </w:r>
      <w:r w:rsidR="006466F7">
        <w:rPr>
          <w:rFonts w:ascii="Arial" w:hAnsi="Arial" w:cs="Arial"/>
          <w:iCs/>
          <w:color w:val="595959" w:themeColor="text1" w:themeTint="A6"/>
        </w:rPr>
        <w:t xml:space="preserve"> in cancer. For certain cancers, such as </w:t>
      </w:r>
      <w:r w:rsidR="006466F7" w:rsidRPr="006466F7">
        <w:rPr>
          <w:rFonts w:ascii="Arial" w:hAnsi="Arial" w:cs="Arial"/>
          <w:iCs/>
          <w:color w:val="595959" w:themeColor="text1" w:themeTint="A6"/>
        </w:rPr>
        <w:t xml:space="preserve">colorectal cancer (CRC), the analysis of the mutation and gene expression status of </w:t>
      </w:r>
      <w:r w:rsidR="00412338">
        <w:rPr>
          <w:rFonts w:ascii="Arial" w:hAnsi="Arial" w:cs="Arial"/>
          <w:iCs/>
          <w:color w:val="595959" w:themeColor="text1" w:themeTint="A6"/>
        </w:rPr>
        <w:t>over 100 human CRC cell-</w:t>
      </w:r>
      <w:r w:rsidR="006466F7">
        <w:rPr>
          <w:rFonts w:ascii="Arial" w:hAnsi="Arial" w:cs="Arial"/>
          <w:iCs/>
          <w:color w:val="595959" w:themeColor="text1" w:themeTint="A6"/>
        </w:rPr>
        <w:t xml:space="preserve">lines, </w:t>
      </w:r>
      <w:r w:rsidR="006466F7" w:rsidRPr="006466F7">
        <w:rPr>
          <w:rFonts w:ascii="Arial" w:hAnsi="Arial" w:cs="Arial"/>
          <w:iCs/>
          <w:color w:val="595959" w:themeColor="text1" w:themeTint="A6"/>
        </w:rPr>
        <w:t>revealed that the</w:t>
      </w:r>
      <w:r w:rsidR="006466F7">
        <w:rPr>
          <w:rFonts w:ascii="Arial" w:hAnsi="Arial" w:cs="Arial"/>
          <w:iCs/>
          <w:color w:val="595959" w:themeColor="text1" w:themeTint="A6"/>
        </w:rPr>
        <w:t>y contained the</w:t>
      </w:r>
      <w:r w:rsidR="006466F7" w:rsidRPr="006466F7">
        <w:rPr>
          <w:rFonts w:ascii="Arial" w:hAnsi="Arial" w:cs="Arial"/>
          <w:iCs/>
          <w:color w:val="595959" w:themeColor="text1" w:themeTint="A6"/>
        </w:rPr>
        <w:t xml:space="preserve"> </w:t>
      </w:r>
      <w:r w:rsidR="00412338">
        <w:rPr>
          <w:rFonts w:ascii="Arial" w:hAnsi="Arial" w:cs="Arial"/>
          <w:iCs/>
          <w:color w:val="595959" w:themeColor="text1" w:themeTint="A6"/>
        </w:rPr>
        <w:t xml:space="preserve">complete </w:t>
      </w:r>
      <w:r w:rsidR="006466F7" w:rsidRPr="006466F7">
        <w:rPr>
          <w:rFonts w:ascii="Arial" w:hAnsi="Arial" w:cs="Arial"/>
          <w:iCs/>
          <w:color w:val="595959" w:themeColor="text1" w:themeTint="A6"/>
        </w:rPr>
        <w:t xml:space="preserve">variety of molecular and transcriptional subtypes, as previously described in CRCs </w:t>
      </w:r>
      <w:r w:rsidR="006466F7" w:rsidRPr="006466F7">
        <w:rPr>
          <w:rFonts w:ascii="Arial" w:hAnsi="Arial" w:cs="Arial"/>
          <w:i/>
          <w:color w:val="595959" w:themeColor="text1" w:themeTint="A6"/>
        </w:rPr>
        <w:t>in vivo</w:t>
      </w:r>
      <w:r w:rsidR="006466F7" w:rsidRPr="006466F7">
        <w:rPr>
          <w:rFonts w:ascii="Arial" w:hAnsi="Arial" w:cs="Arial"/>
          <w:iCs/>
          <w:color w:val="595959" w:themeColor="text1" w:themeTint="A6"/>
        </w:rPr>
        <w:t xml:space="preserve"> (Marisa </w:t>
      </w:r>
      <w:r w:rsidR="006466F7" w:rsidRPr="006466F7">
        <w:rPr>
          <w:rFonts w:ascii="Arial" w:hAnsi="Arial" w:cs="Arial"/>
          <w:i/>
          <w:color w:val="595959" w:themeColor="text1" w:themeTint="A6"/>
        </w:rPr>
        <w:t>et al.,</w:t>
      </w:r>
      <w:r w:rsidR="00412338">
        <w:rPr>
          <w:rFonts w:ascii="Arial" w:hAnsi="Arial" w:cs="Arial"/>
          <w:iCs/>
          <w:color w:val="595959" w:themeColor="text1" w:themeTint="A6"/>
        </w:rPr>
        <w:t xml:space="preserve"> </w:t>
      </w:r>
      <w:r w:rsidR="00715516">
        <w:rPr>
          <w:rFonts w:ascii="Arial" w:hAnsi="Arial" w:cs="Arial"/>
          <w:iCs/>
          <w:color w:val="595959" w:themeColor="text1" w:themeTint="A6"/>
        </w:rPr>
        <w:t xml:space="preserve">2013, </w:t>
      </w:r>
      <w:r w:rsidR="006466F7" w:rsidRPr="006466F7">
        <w:rPr>
          <w:rFonts w:ascii="Arial" w:hAnsi="Arial" w:cs="Arial"/>
          <w:iCs/>
          <w:color w:val="595959" w:themeColor="text1" w:themeTint="A6"/>
        </w:rPr>
        <w:t xml:space="preserve">Medico </w:t>
      </w:r>
      <w:r w:rsidR="006466F7" w:rsidRPr="006466F7">
        <w:rPr>
          <w:rFonts w:ascii="Arial" w:hAnsi="Arial" w:cs="Arial"/>
          <w:i/>
          <w:color w:val="595959" w:themeColor="text1" w:themeTint="A6"/>
        </w:rPr>
        <w:t>et al.,</w:t>
      </w:r>
      <w:r w:rsidR="00412338">
        <w:rPr>
          <w:rFonts w:ascii="Arial" w:hAnsi="Arial" w:cs="Arial"/>
          <w:iCs/>
          <w:color w:val="595959" w:themeColor="text1" w:themeTint="A6"/>
        </w:rPr>
        <w:t xml:space="preserve"> 2015). </w:t>
      </w:r>
      <w:r w:rsidR="00412338" w:rsidRPr="006466F7">
        <w:rPr>
          <w:rFonts w:ascii="Arial" w:hAnsi="Arial" w:cs="Arial"/>
          <w:iCs/>
          <w:color w:val="595959" w:themeColor="text1" w:themeTint="A6"/>
        </w:rPr>
        <w:t xml:space="preserve">EGFR inhibition </w:t>
      </w:r>
      <w:r w:rsidR="00412338">
        <w:rPr>
          <w:rFonts w:ascii="Arial" w:hAnsi="Arial" w:cs="Arial"/>
          <w:iCs/>
          <w:color w:val="595959" w:themeColor="text1" w:themeTint="A6"/>
        </w:rPr>
        <w:t>of these cell-lines</w:t>
      </w:r>
      <w:r w:rsidR="006466F7" w:rsidRPr="006466F7">
        <w:rPr>
          <w:rFonts w:ascii="Arial" w:hAnsi="Arial" w:cs="Arial"/>
          <w:iCs/>
          <w:color w:val="595959" w:themeColor="text1" w:themeTint="A6"/>
        </w:rPr>
        <w:t xml:space="preserve"> </w:t>
      </w:r>
      <w:r w:rsidR="00412338">
        <w:rPr>
          <w:rFonts w:ascii="Arial" w:hAnsi="Arial" w:cs="Arial"/>
          <w:iCs/>
          <w:color w:val="595959" w:themeColor="text1" w:themeTint="A6"/>
        </w:rPr>
        <w:t xml:space="preserve">also resulted in the range of drug responses </w:t>
      </w:r>
      <w:r w:rsidR="006466F7" w:rsidRPr="006466F7">
        <w:rPr>
          <w:rFonts w:ascii="Arial" w:hAnsi="Arial" w:cs="Arial"/>
          <w:iCs/>
          <w:color w:val="595959" w:themeColor="text1" w:themeTint="A6"/>
        </w:rPr>
        <w:t>from sensitivity to resistance</w:t>
      </w:r>
      <w:r w:rsidR="003474A8">
        <w:rPr>
          <w:rFonts w:ascii="Arial" w:hAnsi="Arial" w:cs="Arial"/>
          <w:iCs/>
          <w:color w:val="595959" w:themeColor="text1" w:themeTint="A6"/>
        </w:rPr>
        <w:t xml:space="preserve">, thus evidencing their uses for many </w:t>
      </w:r>
      <w:r w:rsidR="000362E5">
        <w:rPr>
          <w:rFonts w:ascii="Arial" w:hAnsi="Arial" w:cs="Arial"/>
          <w:iCs/>
          <w:color w:val="595959" w:themeColor="text1" w:themeTint="A6"/>
        </w:rPr>
        <w:t xml:space="preserve">CRC </w:t>
      </w:r>
      <w:r w:rsidR="003474A8">
        <w:rPr>
          <w:rFonts w:ascii="Arial" w:hAnsi="Arial" w:cs="Arial"/>
          <w:iCs/>
          <w:color w:val="595959" w:themeColor="text1" w:themeTint="A6"/>
        </w:rPr>
        <w:lastRenderedPageBreak/>
        <w:t>research applications</w:t>
      </w:r>
      <w:r w:rsidR="006466F7" w:rsidRPr="006466F7">
        <w:rPr>
          <w:rFonts w:ascii="Arial" w:hAnsi="Arial" w:cs="Arial"/>
          <w:iCs/>
          <w:color w:val="595959" w:themeColor="text1" w:themeTint="A6"/>
        </w:rPr>
        <w:t xml:space="preserve">. </w:t>
      </w:r>
      <w:r w:rsidR="000362E5">
        <w:rPr>
          <w:rFonts w:ascii="Arial" w:hAnsi="Arial" w:cs="Arial"/>
          <w:iCs/>
          <w:color w:val="595959" w:themeColor="text1" w:themeTint="A6"/>
        </w:rPr>
        <w:t xml:space="preserve">It is also possible to evaluate the behaviour (migration and remodelling capabilities) of cell-types in response to released factors by cancer cells. </w:t>
      </w:r>
      <w:r>
        <w:rPr>
          <w:rFonts w:ascii="Arial" w:hAnsi="Arial" w:cs="Arial"/>
          <w:iCs/>
          <w:color w:val="595959" w:themeColor="text1" w:themeTint="A6"/>
        </w:rPr>
        <w:t>The expression of the protease; urokinase plasminogen activator (uPA), which has a distinctive role in ECM r</w:t>
      </w:r>
      <w:r w:rsidR="000362E5">
        <w:rPr>
          <w:rFonts w:ascii="Arial" w:hAnsi="Arial" w:cs="Arial"/>
          <w:iCs/>
          <w:color w:val="595959" w:themeColor="text1" w:themeTint="A6"/>
        </w:rPr>
        <w:t>emodelling is found upregulated</w:t>
      </w:r>
      <w:r>
        <w:rPr>
          <w:rFonts w:ascii="Arial" w:hAnsi="Arial" w:cs="Arial"/>
          <w:iCs/>
          <w:color w:val="595959" w:themeColor="text1" w:themeTint="A6"/>
        </w:rPr>
        <w:t xml:space="preserve"> in a 2D co-culture system of stromal fibroblasts cultured alongside cancer cells (Noskova </w:t>
      </w:r>
      <w:r w:rsidRPr="007C0921">
        <w:rPr>
          <w:rFonts w:ascii="Arial" w:hAnsi="Arial" w:cs="Arial"/>
          <w:i/>
          <w:iCs/>
          <w:color w:val="595959" w:themeColor="text1" w:themeTint="A6"/>
        </w:rPr>
        <w:t>et al.,</w:t>
      </w:r>
      <w:r>
        <w:rPr>
          <w:rFonts w:ascii="Arial" w:hAnsi="Arial" w:cs="Arial"/>
          <w:iCs/>
          <w:color w:val="595959" w:themeColor="text1" w:themeTint="A6"/>
        </w:rPr>
        <w:t xml:space="preserve"> 2009</w:t>
      </w:r>
      <w:r w:rsidRPr="00B611AB">
        <w:rPr>
          <w:rFonts w:ascii="Arial" w:hAnsi="Arial" w:cs="Arial"/>
          <w:iCs/>
          <w:color w:val="595959" w:themeColor="text1" w:themeTint="A6"/>
        </w:rPr>
        <w:t xml:space="preserve">). </w:t>
      </w:r>
      <w:r w:rsidR="00243DA5" w:rsidRPr="00B611AB">
        <w:rPr>
          <w:rFonts w:ascii="Arial" w:hAnsi="Arial" w:cs="Arial"/>
          <w:iCs/>
          <w:color w:val="595959" w:themeColor="text1" w:themeTint="A6"/>
        </w:rPr>
        <w:t xml:space="preserve">These culturing methods </w:t>
      </w:r>
      <w:r w:rsidR="005A63BE" w:rsidRPr="00B611AB">
        <w:rPr>
          <w:rFonts w:ascii="Arial" w:hAnsi="Arial" w:cs="Arial"/>
          <w:iCs/>
          <w:color w:val="595959" w:themeColor="text1" w:themeTint="A6"/>
        </w:rPr>
        <w:t>are suitable</w:t>
      </w:r>
      <w:r w:rsidR="00243DA5" w:rsidRPr="00B611AB">
        <w:rPr>
          <w:rFonts w:ascii="Arial" w:hAnsi="Arial" w:cs="Arial"/>
          <w:iCs/>
          <w:color w:val="595959" w:themeColor="text1" w:themeTint="A6"/>
        </w:rPr>
        <w:t xml:space="preserve"> for </w:t>
      </w:r>
      <w:r w:rsidR="003E493F" w:rsidRPr="00B611AB">
        <w:rPr>
          <w:rFonts w:ascii="Arial" w:hAnsi="Arial" w:cs="Arial"/>
          <w:iCs/>
          <w:color w:val="595959" w:themeColor="text1" w:themeTint="A6"/>
        </w:rPr>
        <w:t>high throughput</w:t>
      </w:r>
      <w:r w:rsidR="00243DA5" w:rsidRPr="00B611AB">
        <w:rPr>
          <w:rFonts w:ascii="Arial" w:hAnsi="Arial" w:cs="Arial"/>
          <w:iCs/>
          <w:color w:val="595959" w:themeColor="text1" w:themeTint="A6"/>
        </w:rPr>
        <w:t xml:space="preserve"> </w:t>
      </w:r>
      <w:r w:rsidR="005A63BE" w:rsidRPr="00B611AB">
        <w:rPr>
          <w:rFonts w:ascii="Arial" w:hAnsi="Arial" w:cs="Arial"/>
          <w:iCs/>
          <w:color w:val="595959" w:themeColor="text1" w:themeTint="A6"/>
        </w:rPr>
        <w:t>screening arrays, offering standardised and reproducible results</w:t>
      </w:r>
      <w:r w:rsidR="00B76E52" w:rsidRPr="00B611AB">
        <w:rPr>
          <w:rFonts w:ascii="Arial" w:hAnsi="Arial" w:cs="Arial"/>
          <w:iCs/>
          <w:color w:val="595959" w:themeColor="text1" w:themeTint="A6"/>
        </w:rPr>
        <w:t>.</w:t>
      </w:r>
      <w:r w:rsidR="003E493F" w:rsidRPr="00B611AB">
        <w:rPr>
          <w:rFonts w:ascii="Arial" w:hAnsi="Arial" w:cs="Arial"/>
          <w:iCs/>
          <w:color w:val="595959" w:themeColor="text1" w:themeTint="A6"/>
        </w:rPr>
        <w:t xml:space="preserve"> </w:t>
      </w:r>
      <w:r w:rsidR="003474A8" w:rsidRPr="00B611AB">
        <w:rPr>
          <w:rFonts w:ascii="Arial" w:hAnsi="Arial" w:cs="Arial"/>
          <w:iCs/>
          <w:color w:val="595959" w:themeColor="text1" w:themeTint="A6"/>
        </w:rPr>
        <w:t>However, cells cultured as monolayers on flat surfaces</w:t>
      </w:r>
      <w:r w:rsidR="00336773" w:rsidRPr="00B611AB">
        <w:rPr>
          <w:rFonts w:ascii="Arial" w:hAnsi="Arial" w:cs="Arial"/>
          <w:iCs/>
          <w:color w:val="595959" w:themeColor="text1" w:themeTint="A6"/>
        </w:rPr>
        <w:t xml:space="preserve"> experience a </w:t>
      </w:r>
      <w:r w:rsidR="00ED2928" w:rsidRPr="00B611AB">
        <w:rPr>
          <w:rFonts w:ascii="Arial" w:hAnsi="Arial" w:cs="Arial"/>
          <w:iCs/>
          <w:color w:val="595959" w:themeColor="text1" w:themeTint="A6"/>
        </w:rPr>
        <w:t xml:space="preserve">decidedly </w:t>
      </w:r>
      <w:r w:rsidR="00336773" w:rsidRPr="00B611AB">
        <w:rPr>
          <w:rFonts w:ascii="Arial" w:hAnsi="Arial" w:cs="Arial"/>
          <w:iCs/>
          <w:color w:val="595959" w:themeColor="text1" w:themeTint="A6"/>
        </w:rPr>
        <w:t>non-physiological environment</w:t>
      </w:r>
      <w:r w:rsidR="005D5943" w:rsidRPr="00B611AB">
        <w:rPr>
          <w:rFonts w:ascii="Arial" w:hAnsi="Arial" w:cs="Arial"/>
          <w:iCs/>
          <w:color w:val="595959" w:themeColor="text1" w:themeTint="A6"/>
        </w:rPr>
        <w:t>, l</w:t>
      </w:r>
      <w:r w:rsidR="00BE254F" w:rsidRPr="00B611AB">
        <w:rPr>
          <w:rFonts w:ascii="Arial" w:hAnsi="Arial" w:cs="Arial"/>
          <w:iCs/>
          <w:color w:val="595959" w:themeColor="text1" w:themeTint="A6"/>
        </w:rPr>
        <w:t>argely due to the</w:t>
      </w:r>
      <w:r w:rsidR="00F267C6" w:rsidRPr="00B611AB">
        <w:rPr>
          <w:rFonts w:ascii="Arial" w:hAnsi="Arial" w:cs="Arial"/>
          <w:iCs/>
          <w:color w:val="595959" w:themeColor="text1" w:themeTint="A6"/>
        </w:rPr>
        <w:t xml:space="preserve"> rigid</w:t>
      </w:r>
      <w:r w:rsidR="00636E6F" w:rsidRPr="00B611AB">
        <w:rPr>
          <w:rFonts w:ascii="Arial" w:hAnsi="Arial" w:cs="Arial"/>
          <w:iCs/>
          <w:color w:val="595959" w:themeColor="text1" w:themeTint="A6"/>
        </w:rPr>
        <w:t xml:space="preserve">ity of the culture surface, </w:t>
      </w:r>
      <w:r w:rsidR="005D5943" w:rsidRPr="00B611AB">
        <w:rPr>
          <w:rFonts w:ascii="Arial" w:hAnsi="Arial" w:cs="Arial"/>
          <w:iCs/>
          <w:color w:val="595959" w:themeColor="text1" w:themeTint="A6"/>
        </w:rPr>
        <w:t xml:space="preserve">and </w:t>
      </w:r>
      <w:r w:rsidR="00636E6F" w:rsidRPr="00B611AB">
        <w:rPr>
          <w:rFonts w:ascii="Arial" w:hAnsi="Arial" w:cs="Arial"/>
          <w:iCs/>
          <w:color w:val="595959" w:themeColor="text1" w:themeTint="A6"/>
        </w:rPr>
        <w:t xml:space="preserve">exposure to a uniform gradient </w:t>
      </w:r>
      <w:r w:rsidR="002A3260" w:rsidRPr="00B611AB">
        <w:rPr>
          <w:rFonts w:ascii="Arial" w:hAnsi="Arial" w:cs="Arial"/>
          <w:iCs/>
          <w:color w:val="595959" w:themeColor="text1" w:themeTint="A6"/>
        </w:rPr>
        <w:t>o</w:t>
      </w:r>
      <w:r w:rsidR="00636E6F" w:rsidRPr="00B611AB">
        <w:rPr>
          <w:rFonts w:ascii="Arial" w:hAnsi="Arial" w:cs="Arial"/>
          <w:iCs/>
          <w:color w:val="595959" w:themeColor="text1" w:themeTint="A6"/>
        </w:rPr>
        <w:t>f nutrients</w:t>
      </w:r>
      <w:r w:rsidR="002A3260" w:rsidRPr="00B611AB">
        <w:rPr>
          <w:rFonts w:ascii="Arial" w:hAnsi="Arial" w:cs="Arial"/>
          <w:iCs/>
          <w:color w:val="595959" w:themeColor="text1" w:themeTint="A6"/>
        </w:rPr>
        <w:t xml:space="preserve">. </w:t>
      </w:r>
      <w:r w:rsidR="00B25838" w:rsidRPr="00B611AB">
        <w:rPr>
          <w:rFonts w:ascii="Arial" w:hAnsi="Arial" w:cs="Arial"/>
          <w:iCs/>
          <w:color w:val="595959" w:themeColor="text1" w:themeTint="A6"/>
        </w:rPr>
        <w:t>Cell lines are also normally g</w:t>
      </w:r>
      <w:r w:rsidR="007D2996" w:rsidRPr="00B611AB">
        <w:rPr>
          <w:rFonts w:ascii="Arial" w:hAnsi="Arial" w:cs="Arial"/>
          <w:iCs/>
          <w:color w:val="595959" w:themeColor="text1" w:themeTint="A6"/>
        </w:rPr>
        <w:t>enerated using aggressive tumours and t</w:t>
      </w:r>
      <w:r w:rsidR="00547BBC" w:rsidRPr="00B611AB">
        <w:rPr>
          <w:rFonts w:ascii="Arial" w:hAnsi="Arial" w:cs="Arial"/>
          <w:iCs/>
          <w:color w:val="595959" w:themeColor="text1" w:themeTint="A6"/>
        </w:rPr>
        <w:t xml:space="preserve">herefore </w:t>
      </w:r>
      <w:r w:rsidR="00634426" w:rsidRPr="00B611AB">
        <w:rPr>
          <w:rFonts w:ascii="Arial" w:hAnsi="Arial" w:cs="Arial"/>
          <w:iCs/>
          <w:color w:val="595959" w:themeColor="text1" w:themeTint="A6"/>
        </w:rPr>
        <w:t>are not representative of the heteroge</w:t>
      </w:r>
      <w:r w:rsidR="007663D2" w:rsidRPr="00B611AB">
        <w:rPr>
          <w:rFonts w:ascii="Arial" w:hAnsi="Arial" w:cs="Arial"/>
          <w:iCs/>
          <w:color w:val="595959" w:themeColor="text1" w:themeTint="A6"/>
        </w:rPr>
        <w:t xml:space="preserve">neity of tumour ECM </w:t>
      </w:r>
      <w:r w:rsidR="009674A2" w:rsidRPr="00B611AB">
        <w:rPr>
          <w:rFonts w:ascii="Arial" w:hAnsi="Arial" w:cs="Arial"/>
          <w:iCs/>
          <w:color w:val="595959" w:themeColor="text1" w:themeTint="A6"/>
        </w:rPr>
        <w:t xml:space="preserve">(Hidalgo </w:t>
      </w:r>
      <w:r w:rsidR="009674A2" w:rsidRPr="00B611AB">
        <w:rPr>
          <w:rFonts w:ascii="Arial" w:hAnsi="Arial" w:cs="Arial"/>
          <w:i/>
          <w:color w:val="595959" w:themeColor="text1" w:themeTint="A6"/>
        </w:rPr>
        <w:t>et al.,</w:t>
      </w:r>
      <w:r w:rsidR="009674A2" w:rsidRPr="00B611AB">
        <w:rPr>
          <w:rFonts w:ascii="Arial" w:hAnsi="Arial" w:cs="Arial"/>
          <w:iCs/>
          <w:color w:val="595959" w:themeColor="text1" w:themeTint="A6"/>
        </w:rPr>
        <w:t xml:space="preserve"> 2015). </w:t>
      </w:r>
      <w:r w:rsidR="002A3260" w:rsidRPr="00B611AB">
        <w:rPr>
          <w:rFonts w:ascii="Arial" w:hAnsi="Arial" w:cs="Arial"/>
          <w:iCs/>
          <w:color w:val="595959" w:themeColor="text1" w:themeTint="A6"/>
        </w:rPr>
        <w:t xml:space="preserve">To </w:t>
      </w:r>
      <w:r w:rsidR="00114476">
        <w:rPr>
          <w:rFonts w:ascii="Arial" w:hAnsi="Arial" w:cs="Arial"/>
          <w:iCs/>
          <w:color w:val="595959" w:themeColor="text1" w:themeTint="A6"/>
        </w:rPr>
        <w:t xml:space="preserve">date, </w:t>
      </w:r>
      <w:r w:rsidR="00192BA6">
        <w:rPr>
          <w:rFonts w:ascii="Arial" w:hAnsi="Arial" w:cs="Arial"/>
          <w:iCs/>
          <w:color w:val="595959" w:themeColor="text1" w:themeTint="A6"/>
        </w:rPr>
        <w:t xml:space="preserve">very </w:t>
      </w:r>
      <w:r w:rsidR="000362E5">
        <w:rPr>
          <w:rFonts w:ascii="Arial" w:hAnsi="Arial" w:cs="Arial"/>
          <w:iCs/>
          <w:color w:val="595959" w:themeColor="text1" w:themeTint="A6"/>
        </w:rPr>
        <w:t xml:space="preserve">few studies have directly and comprehensively </w:t>
      </w:r>
      <w:r w:rsidR="000362E5" w:rsidRPr="000362E5">
        <w:rPr>
          <w:rFonts w:ascii="Arial" w:hAnsi="Arial" w:cs="Arial"/>
          <w:iCs/>
          <w:color w:val="595959" w:themeColor="text1" w:themeTint="A6"/>
        </w:rPr>
        <w:t>compare</w:t>
      </w:r>
      <w:r w:rsidR="000362E5">
        <w:rPr>
          <w:rFonts w:ascii="Arial" w:hAnsi="Arial" w:cs="Arial"/>
          <w:iCs/>
          <w:color w:val="595959" w:themeColor="text1" w:themeTint="A6"/>
        </w:rPr>
        <w:t xml:space="preserve">d </w:t>
      </w:r>
      <w:r w:rsidR="000362E5" w:rsidRPr="000362E5">
        <w:rPr>
          <w:rFonts w:ascii="Arial" w:hAnsi="Arial" w:cs="Arial"/>
          <w:iCs/>
          <w:color w:val="595959" w:themeColor="text1" w:themeTint="A6"/>
        </w:rPr>
        <w:t>signalling pathways in 2D vs 3D culture, in the presence or absence of ECM and/or stromal cells, or upon treatment with inhibitors</w:t>
      </w:r>
      <w:r w:rsidR="000362E5">
        <w:rPr>
          <w:rFonts w:ascii="Arial" w:hAnsi="Arial" w:cs="Arial"/>
          <w:iCs/>
          <w:color w:val="595959" w:themeColor="text1" w:themeTint="A6"/>
        </w:rPr>
        <w:t xml:space="preserve"> (Pickl and Ries, 2009), </w:t>
      </w:r>
      <w:r w:rsidR="000362E5" w:rsidRPr="000362E5">
        <w:rPr>
          <w:rFonts w:ascii="Arial" w:hAnsi="Arial" w:cs="Arial"/>
          <w:iCs/>
          <w:color w:val="595959" w:themeColor="text1" w:themeTint="A6"/>
        </w:rPr>
        <w:t xml:space="preserve">Luca </w:t>
      </w:r>
      <w:r w:rsidR="000362E5">
        <w:rPr>
          <w:rFonts w:ascii="Arial" w:hAnsi="Arial" w:cs="Arial"/>
          <w:i/>
          <w:color w:val="595959" w:themeColor="text1" w:themeTint="A6"/>
        </w:rPr>
        <w:t xml:space="preserve">et al., </w:t>
      </w:r>
      <w:r w:rsidR="000362E5" w:rsidRPr="000362E5">
        <w:rPr>
          <w:rFonts w:ascii="Arial" w:hAnsi="Arial" w:cs="Arial"/>
          <w:iCs/>
          <w:color w:val="595959" w:themeColor="text1" w:themeTint="A6"/>
        </w:rPr>
        <w:t>2013</w:t>
      </w:r>
      <w:r w:rsidR="000362E5">
        <w:rPr>
          <w:rFonts w:ascii="Arial" w:hAnsi="Arial" w:cs="Arial"/>
          <w:iCs/>
          <w:color w:val="595959" w:themeColor="text1" w:themeTint="A6"/>
        </w:rPr>
        <w:t xml:space="preserve"> and </w:t>
      </w:r>
      <w:r w:rsidR="000362E5" w:rsidRPr="000362E5">
        <w:rPr>
          <w:rFonts w:ascii="Arial" w:hAnsi="Arial" w:cs="Arial"/>
          <w:iCs/>
          <w:color w:val="595959" w:themeColor="text1" w:themeTint="A6"/>
        </w:rPr>
        <w:t xml:space="preserve">Ekert </w:t>
      </w:r>
      <w:r w:rsidR="000362E5">
        <w:rPr>
          <w:rFonts w:ascii="Arial" w:hAnsi="Arial" w:cs="Arial"/>
          <w:i/>
          <w:color w:val="595959" w:themeColor="text1" w:themeTint="A6"/>
        </w:rPr>
        <w:t xml:space="preserve">et al., </w:t>
      </w:r>
      <w:r w:rsidR="000362E5">
        <w:rPr>
          <w:rFonts w:ascii="Arial" w:hAnsi="Arial" w:cs="Arial"/>
          <w:iCs/>
          <w:color w:val="595959" w:themeColor="text1" w:themeTint="A6"/>
        </w:rPr>
        <w:t xml:space="preserve">2014). </w:t>
      </w:r>
      <w:r w:rsidR="000362E5" w:rsidRPr="000362E5">
        <w:rPr>
          <w:rFonts w:ascii="Arial" w:hAnsi="Arial" w:cs="Arial"/>
          <w:iCs/>
          <w:color w:val="595959" w:themeColor="text1" w:themeTint="A6"/>
        </w:rPr>
        <w:t xml:space="preserve"> </w:t>
      </w:r>
    </w:p>
    <w:p w14:paraId="79D07A82" w14:textId="63563582" w:rsidR="00D80461" w:rsidRPr="00B611AB" w:rsidRDefault="006466F7" w:rsidP="006F7B13">
      <w:pPr>
        <w:pStyle w:val="Heading3"/>
        <w:rPr>
          <w:rFonts w:ascii="Arial" w:hAnsi="Arial" w:cs="Arial"/>
          <w:i/>
          <w:color w:val="595959" w:themeColor="text1" w:themeTint="A6"/>
          <w:lang w:val="sv-SE"/>
        </w:rPr>
      </w:pPr>
      <w:bookmarkStart w:id="43" w:name="_Toc34208267"/>
      <w:r w:rsidRPr="00B611AB">
        <w:rPr>
          <w:rFonts w:ascii="Arial" w:hAnsi="Arial" w:cs="Arial"/>
          <w:i/>
          <w:color w:val="595959" w:themeColor="text1" w:themeTint="A6"/>
          <w:lang w:val="sv-SE"/>
        </w:rPr>
        <w:t xml:space="preserve">1.4.2 </w:t>
      </w:r>
      <w:r w:rsidR="00412338" w:rsidRPr="00B611AB">
        <w:rPr>
          <w:rFonts w:ascii="Arial" w:hAnsi="Arial" w:cs="Arial"/>
          <w:i/>
          <w:color w:val="595959" w:themeColor="text1" w:themeTint="A6"/>
          <w:lang w:val="sv-SE"/>
        </w:rPr>
        <w:t>Three-dimensional</w:t>
      </w:r>
      <w:r w:rsidR="00D80461" w:rsidRPr="00B611AB">
        <w:rPr>
          <w:rFonts w:ascii="Arial" w:hAnsi="Arial" w:cs="Arial"/>
          <w:i/>
          <w:color w:val="595959" w:themeColor="text1" w:themeTint="A6"/>
          <w:lang w:val="sv-SE"/>
        </w:rPr>
        <w:t xml:space="preserve"> </w:t>
      </w:r>
      <w:r w:rsidR="006F7B13" w:rsidRPr="00B611AB">
        <w:rPr>
          <w:rFonts w:ascii="Arial" w:hAnsi="Arial" w:cs="Arial"/>
          <w:i/>
          <w:color w:val="595959" w:themeColor="text1" w:themeTint="A6"/>
          <w:lang w:val="sv-SE"/>
        </w:rPr>
        <w:t>models</w:t>
      </w:r>
      <w:bookmarkEnd w:id="43"/>
    </w:p>
    <w:p w14:paraId="52C542F0" w14:textId="39F10600" w:rsidR="00943983" w:rsidRPr="00B611AB" w:rsidRDefault="00943983" w:rsidP="00943983">
      <w:pPr>
        <w:rPr>
          <w:color w:val="595959" w:themeColor="text1" w:themeTint="A6"/>
          <w:lang w:val="sv-SE"/>
        </w:rPr>
      </w:pPr>
    </w:p>
    <w:p w14:paraId="6E8008E3" w14:textId="7FFDECBA" w:rsidR="00943983" w:rsidRPr="00B611AB" w:rsidRDefault="00943983" w:rsidP="00943983">
      <w:pPr>
        <w:spacing w:line="480" w:lineRule="auto"/>
        <w:jc w:val="both"/>
        <w:rPr>
          <w:rFonts w:asciiTheme="minorBidi" w:hAnsiTheme="minorBidi"/>
          <w:color w:val="595959" w:themeColor="text1" w:themeTint="A6"/>
        </w:rPr>
      </w:pPr>
      <w:r w:rsidRPr="00B611AB">
        <w:rPr>
          <w:rFonts w:asciiTheme="minorBidi" w:hAnsiTheme="minorBidi"/>
          <w:color w:val="595959" w:themeColor="text1" w:themeTint="A6"/>
        </w:rPr>
        <w:t xml:space="preserve">3D tissue culture models </w:t>
      </w:r>
      <w:r w:rsidR="000B6708" w:rsidRPr="00B611AB">
        <w:rPr>
          <w:rFonts w:asciiTheme="minorBidi" w:hAnsiTheme="minorBidi"/>
          <w:color w:val="595959" w:themeColor="text1" w:themeTint="A6"/>
        </w:rPr>
        <w:t xml:space="preserve">are </w:t>
      </w:r>
      <w:r w:rsidRPr="00B611AB">
        <w:rPr>
          <w:rFonts w:asciiTheme="minorBidi" w:hAnsiTheme="minorBidi"/>
          <w:color w:val="595959" w:themeColor="text1" w:themeTint="A6"/>
        </w:rPr>
        <w:t xml:space="preserve">invaluable </w:t>
      </w:r>
      <w:r w:rsidR="00060414" w:rsidRPr="00B611AB">
        <w:rPr>
          <w:rFonts w:asciiTheme="minorBidi" w:hAnsiTheme="minorBidi"/>
          <w:color w:val="595959" w:themeColor="text1" w:themeTint="A6"/>
        </w:rPr>
        <w:t xml:space="preserve">tools to study </w:t>
      </w:r>
      <w:r w:rsidRPr="00B611AB">
        <w:rPr>
          <w:rFonts w:asciiTheme="minorBidi" w:hAnsiTheme="minorBidi"/>
          <w:color w:val="595959" w:themeColor="text1" w:themeTint="A6"/>
        </w:rPr>
        <w:t>tumour biology</w:t>
      </w:r>
      <w:r w:rsidR="005A53CF" w:rsidRPr="00B611AB">
        <w:rPr>
          <w:rFonts w:asciiTheme="minorBidi" w:hAnsiTheme="minorBidi"/>
          <w:color w:val="595959" w:themeColor="text1" w:themeTint="A6"/>
        </w:rPr>
        <w:t xml:space="preserve"> and are becoming </w:t>
      </w:r>
      <w:r w:rsidRPr="00B611AB">
        <w:rPr>
          <w:rFonts w:asciiTheme="minorBidi" w:hAnsiTheme="minorBidi"/>
          <w:color w:val="595959" w:themeColor="text1" w:themeTint="A6"/>
        </w:rPr>
        <w:t xml:space="preserve">more complex </w:t>
      </w:r>
      <w:r w:rsidR="008E4087" w:rsidRPr="00B611AB">
        <w:rPr>
          <w:rFonts w:asciiTheme="minorBidi" w:hAnsiTheme="minorBidi"/>
          <w:color w:val="595959" w:themeColor="text1" w:themeTint="A6"/>
        </w:rPr>
        <w:t>in design</w:t>
      </w:r>
      <w:r w:rsidRPr="00B611AB">
        <w:rPr>
          <w:rFonts w:asciiTheme="minorBidi" w:hAnsiTheme="minorBidi"/>
          <w:color w:val="595959" w:themeColor="text1" w:themeTint="A6"/>
        </w:rPr>
        <w:t xml:space="preserve">. There are a number of advantages and disadvantages for each model </w:t>
      </w:r>
      <w:r w:rsidR="008E4087" w:rsidRPr="00B611AB">
        <w:rPr>
          <w:rFonts w:asciiTheme="minorBidi" w:hAnsiTheme="minorBidi"/>
          <w:color w:val="595959" w:themeColor="text1" w:themeTint="A6"/>
        </w:rPr>
        <w:t xml:space="preserve">system </w:t>
      </w:r>
      <w:r w:rsidRPr="00B611AB">
        <w:rPr>
          <w:rFonts w:asciiTheme="minorBidi" w:hAnsiTheme="minorBidi"/>
          <w:color w:val="595959" w:themeColor="text1" w:themeTint="A6"/>
        </w:rPr>
        <w:t>which has been described in Table 1.</w:t>
      </w:r>
      <w:r w:rsidR="00125C36" w:rsidRPr="00B611AB">
        <w:rPr>
          <w:rFonts w:asciiTheme="minorBidi" w:hAnsiTheme="minorBidi"/>
          <w:color w:val="595959" w:themeColor="text1" w:themeTint="A6"/>
        </w:rPr>
        <w:t>2</w:t>
      </w:r>
      <w:r w:rsidR="00F62A4F" w:rsidRPr="00B611AB">
        <w:rPr>
          <w:rFonts w:asciiTheme="minorBidi" w:hAnsiTheme="minorBidi"/>
          <w:color w:val="595959" w:themeColor="text1" w:themeTint="A6"/>
        </w:rPr>
        <w:t xml:space="preserve"> </w:t>
      </w:r>
      <w:r w:rsidR="00F62A4F" w:rsidRPr="00B611AB">
        <w:rPr>
          <w:rFonts w:ascii="Arial" w:hAnsi="Arial" w:cs="Arial"/>
          <w:color w:val="595959" w:themeColor="text1" w:themeTint="A6"/>
        </w:rPr>
        <w:t>(Kim 2005, Gill and West 2014, Knight and Przyborski 2015, L</w:t>
      </w:r>
      <w:r w:rsidR="00F62A4F" w:rsidRPr="00B611AB">
        <w:rPr>
          <w:rFonts w:ascii="Arial" w:hAnsi="Arial" w:cs="Arial"/>
          <w:color w:val="595959" w:themeColor="text1" w:themeTint="A6"/>
          <w:lang w:val="en"/>
        </w:rPr>
        <w:t xml:space="preserve">ü </w:t>
      </w:r>
      <w:r w:rsidR="00F62A4F" w:rsidRPr="00B611AB">
        <w:rPr>
          <w:rFonts w:ascii="Arial" w:hAnsi="Arial" w:cs="Arial"/>
          <w:i/>
          <w:iCs/>
          <w:color w:val="595959" w:themeColor="text1" w:themeTint="A6"/>
          <w:lang w:val="en"/>
        </w:rPr>
        <w:t>et al.,</w:t>
      </w:r>
      <w:r w:rsidR="00F62A4F" w:rsidRPr="00B611AB">
        <w:rPr>
          <w:rFonts w:ascii="Arial" w:hAnsi="Arial" w:cs="Arial"/>
          <w:color w:val="595959" w:themeColor="text1" w:themeTint="A6"/>
          <w:lang w:val="en"/>
        </w:rPr>
        <w:t xml:space="preserve"> 2014, Fischbach </w:t>
      </w:r>
      <w:r w:rsidR="00F62A4F" w:rsidRPr="00B611AB">
        <w:rPr>
          <w:rFonts w:ascii="Arial" w:hAnsi="Arial" w:cs="Arial"/>
          <w:i/>
          <w:iCs/>
          <w:color w:val="595959" w:themeColor="text1" w:themeTint="A6"/>
          <w:lang w:val="en"/>
        </w:rPr>
        <w:t>et al.,</w:t>
      </w:r>
      <w:r w:rsidR="00F62A4F" w:rsidRPr="00B611AB">
        <w:rPr>
          <w:rFonts w:ascii="Arial" w:hAnsi="Arial" w:cs="Arial"/>
          <w:color w:val="595959" w:themeColor="text1" w:themeTint="A6"/>
          <w:lang w:val="en"/>
        </w:rPr>
        <w:t xml:space="preserve"> 2007).</w:t>
      </w:r>
    </w:p>
    <w:p w14:paraId="7C84B977" w14:textId="77777777" w:rsidR="00114476" w:rsidRPr="00943983" w:rsidRDefault="00114476" w:rsidP="000B58CD">
      <w:pPr>
        <w:pStyle w:val="Heading4"/>
      </w:pPr>
    </w:p>
    <w:p w14:paraId="7634D7C0" w14:textId="426EB069" w:rsidR="00D80461" w:rsidRPr="005D40F4" w:rsidRDefault="006466F7" w:rsidP="000B58CD">
      <w:pPr>
        <w:pStyle w:val="Heading4"/>
        <w:rPr>
          <w:rFonts w:ascii="Arial" w:hAnsi="Arial" w:cs="Arial"/>
          <w:iCs w:val="0"/>
          <w:color w:val="595959" w:themeColor="text1" w:themeTint="A6"/>
          <w:lang w:val="sv-SE"/>
        </w:rPr>
      </w:pPr>
      <w:bookmarkStart w:id="44" w:name="_Toc34208268"/>
      <w:r w:rsidRPr="005D40F4">
        <w:rPr>
          <w:rFonts w:ascii="Arial" w:hAnsi="Arial" w:cs="Arial"/>
          <w:iCs w:val="0"/>
          <w:color w:val="595959" w:themeColor="text1" w:themeTint="A6"/>
          <w:lang w:val="sv-SE"/>
        </w:rPr>
        <w:t xml:space="preserve">1.4.2.1 </w:t>
      </w:r>
      <w:r w:rsidR="00715516" w:rsidRPr="005D40F4">
        <w:rPr>
          <w:rFonts w:ascii="Arial" w:hAnsi="Arial" w:cs="Arial"/>
          <w:color w:val="595959" w:themeColor="text1" w:themeTint="A6"/>
          <w:lang w:val="sv-SE"/>
        </w:rPr>
        <w:t xml:space="preserve">Patient-derived xenograft </w:t>
      </w:r>
      <w:r w:rsidR="00D80461" w:rsidRPr="005D40F4">
        <w:rPr>
          <w:rFonts w:ascii="Arial" w:hAnsi="Arial" w:cs="Arial"/>
          <w:iCs w:val="0"/>
          <w:color w:val="595959" w:themeColor="text1" w:themeTint="A6"/>
          <w:lang w:val="sv-SE"/>
        </w:rPr>
        <w:t>models</w:t>
      </w:r>
      <w:bookmarkEnd w:id="44"/>
      <w:r w:rsidR="00D80461" w:rsidRPr="005D40F4">
        <w:rPr>
          <w:rFonts w:ascii="Arial" w:hAnsi="Arial" w:cs="Arial"/>
          <w:iCs w:val="0"/>
          <w:color w:val="595959" w:themeColor="text1" w:themeTint="A6"/>
          <w:lang w:val="sv-SE"/>
        </w:rPr>
        <w:t xml:space="preserve"> </w:t>
      </w:r>
    </w:p>
    <w:p w14:paraId="4D6EDC0A" w14:textId="77777777" w:rsidR="00114476" w:rsidRPr="005D40F4" w:rsidRDefault="00114476" w:rsidP="00114476">
      <w:pPr>
        <w:rPr>
          <w:lang w:val="sv-SE"/>
        </w:rPr>
      </w:pPr>
    </w:p>
    <w:p w14:paraId="19125D44" w14:textId="33417B76" w:rsidR="00F733F6" w:rsidRDefault="00F02145" w:rsidP="00847896">
      <w:pPr>
        <w:spacing w:line="480" w:lineRule="auto"/>
        <w:jc w:val="both"/>
        <w:rPr>
          <w:rFonts w:ascii="Arial" w:hAnsi="Arial" w:cs="Arial"/>
          <w:iCs/>
          <w:color w:val="FF0000"/>
        </w:rPr>
      </w:pPr>
      <w:r>
        <w:rPr>
          <w:rFonts w:ascii="Arial" w:hAnsi="Arial" w:cs="Arial"/>
          <w:iCs/>
          <w:color w:val="595959" w:themeColor="text1" w:themeTint="A6"/>
        </w:rPr>
        <w:t xml:space="preserve">Patient-derived xenograft (PDX) models </w:t>
      </w:r>
      <w:r w:rsidR="0044452D">
        <w:rPr>
          <w:rFonts w:ascii="Arial" w:hAnsi="Arial" w:cs="Arial"/>
          <w:iCs/>
          <w:color w:val="595959" w:themeColor="text1" w:themeTint="A6"/>
        </w:rPr>
        <w:t xml:space="preserve">are generated </w:t>
      </w:r>
      <w:r w:rsidR="0044452D" w:rsidRPr="0044452D">
        <w:rPr>
          <w:rFonts w:ascii="Arial" w:hAnsi="Arial" w:cs="Arial"/>
          <w:iCs/>
          <w:color w:val="595959" w:themeColor="text1" w:themeTint="A6"/>
        </w:rPr>
        <w:t>by direct implantation of resected patient tumo</w:t>
      </w:r>
      <w:r w:rsidR="00D80461">
        <w:rPr>
          <w:rFonts w:ascii="Arial" w:hAnsi="Arial" w:cs="Arial"/>
          <w:iCs/>
          <w:color w:val="595959" w:themeColor="text1" w:themeTint="A6"/>
        </w:rPr>
        <w:t>u</w:t>
      </w:r>
      <w:r w:rsidR="0044452D" w:rsidRPr="0044452D">
        <w:rPr>
          <w:rFonts w:ascii="Arial" w:hAnsi="Arial" w:cs="Arial"/>
          <w:iCs/>
          <w:color w:val="595959" w:themeColor="text1" w:themeTint="A6"/>
        </w:rPr>
        <w:t xml:space="preserve">rs into immunocompromised mice in the absence of any </w:t>
      </w:r>
      <w:r w:rsidR="0044452D" w:rsidRPr="00D80461">
        <w:rPr>
          <w:rFonts w:ascii="Arial" w:hAnsi="Arial" w:cs="Arial"/>
          <w:i/>
          <w:color w:val="595959" w:themeColor="text1" w:themeTint="A6"/>
        </w:rPr>
        <w:t>in vitro</w:t>
      </w:r>
      <w:r w:rsidR="0044452D" w:rsidRPr="0044452D">
        <w:rPr>
          <w:rFonts w:ascii="Arial" w:hAnsi="Arial" w:cs="Arial"/>
          <w:iCs/>
          <w:color w:val="595959" w:themeColor="text1" w:themeTint="A6"/>
        </w:rPr>
        <w:t xml:space="preserve"> culture </w:t>
      </w:r>
      <w:r w:rsidR="00847896">
        <w:rPr>
          <w:rFonts w:ascii="Arial" w:hAnsi="Arial" w:cs="Arial"/>
          <w:iCs/>
          <w:color w:val="595959" w:themeColor="text1" w:themeTint="A6"/>
        </w:rPr>
        <w:t xml:space="preserve">and </w:t>
      </w:r>
      <w:r w:rsidR="0044452D" w:rsidRPr="0044452D">
        <w:rPr>
          <w:rFonts w:ascii="Arial" w:hAnsi="Arial" w:cs="Arial"/>
          <w:iCs/>
          <w:color w:val="595959" w:themeColor="text1" w:themeTint="A6"/>
        </w:rPr>
        <w:t>have been shown to preserve tumo</w:t>
      </w:r>
      <w:r w:rsidR="00D80461">
        <w:rPr>
          <w:rFonts w:ascii="Arial" w:hAnsi="Arial" w:cs="Arial"/>
          <w:iCs/>
          <w:color w:val="595959" w:themeColor="text1" w:themeTint="A6"/>
        </w:rPr>
        <w:t>u</w:t>
      </w:r>
      <w:r w:rsidR="0044452D" w:rsidRPr="0044452D">
        <w:rPr>
          <w:rFonts w:ascii="Arial" w:hAnsi="Arial" w:cs="Arial"/>
          <w:iCs/>
          <w:color w:val="595959" w:themeColor="text1" w:themeTint="A6"/>
        </w:rPr>
        <w:t xml:space="preserve">r heterogeneity </w:t>
      </w:r>
      <w:r w:rsidR="00D80461">
        <w:rPr>
          <w:rFonts w:ascii="Arial" w:hAnsi="Arial" w:cs="Arial"/>
          <w:iCs/>
          <w:color w:val="595959" w:themeColor="text1" w:themeTint="A6"/>
        </w:rPr>
        <w:t xml:space="preserve">(Fong </w:t>
      </w:r>
      <w:r w:rsidR="00D80461" w:rsidRPr="00D80461">
        <w:rPr>
          <w:rFonts w:ascii="Arial" w:hAnsi="Arial" w:cs="Arial"/>
          <w:i/>
          <w:color w:val="595959" w:themeColor="text1" w:themeTint="A6"/>
        </w:rPr>
        <w:t>et al.,</w:t>
      </w:r>
      <w:r w:rsidR="00D80461">
        <w:rPr>
          <w:rFonts w:ascii="Arial" w:hAnsi="Arial" w:cs="Arial"/>
          <w:iCs/>
          <w:color w:val="595959" w:themeColor="text1" w:themeTint="A6"/>
        </w:rPr>
        <w:t xml:space="preserve"> 2017). </w:t>
      </w:r>
      <w:r w:rsidR="009D7458">
        <w:rPr>
          <w:rFonts w:ascii="Arial" w:hAnsi="Arial" w:cs="Arial"/>
          <w:iCs/>
          <w:color w:val="595959" w:themeColor="text1" w:themeTint="A6"/>
        </w:rPr>
        <w:t xml:space="preserve">Xenograft models </w:t>
      </w:r>
      <w:r w:rsidR="00AB5220">
        <w:rPr>
          <w:rFonts w:ascii="Arial" w:hAnsi="Arial" w:cs="Arial"/>
          <w:iCs/>
          <w:color w:val="595959" w:themeColor="text1" w:themeTint="A6"/>
        </w:rPr>
        <w:t xml:space="preserve">of head and neck cancer have been reported </w:t>
      </w:r>
      <w:r w:rsidR="006F29E7">
        <w:rPr>
          <w:rFonts w:ascii="Arial" w:hAnsi="Arial" w:cs="Arial"/>
          <w:iCs/>
          <w:color w:val="595959" w:themeColor="text1" w:themeTint="A6"/>
        </w:rPr>
        <w:t>since the 1980</w:t>
      </w:r>
      <w:r w:rsidR="00DA5662">
        <w:rPr>
          <w:rFonts w:ascii="Arial" w:hAnsi="Arial" w:cs="Arial"/>
          <w:iCs/>
          <w:color w:val="595959" w:themeColor="text1" w:themeTint="A6"/>
        </w:rPr>
        <w:t>’s.</w:t>
      </w:r>
      <w:r w:rsidR="002079B2">
        <w:rPr>
          <w:rFonts w:ascii="Arial" w:hAnsi="Arial" w:cs="Arial"/>
          <w:iCs/>
          <w:color w:val="595959" w:themeColor="text1" w:themeTint="A6"/>
        </w:rPr>
        <w:t xml:space="preserve"> </w:t>
      </w:r>
      <w:r w:rsidR="006F29E7">
        <w:rPr>
          <w:rFonts w:ascii="Arial" w:hAnsi="Arial" w:cs="Arial"/>
          <w:iCs/>
          <w:color w:val="595959" w:themeColor="text1" w:themeTint="A6"/>
        </w:rPr>
        <w:t xml:space="preserve">Braakhuis </w:t>
      </w:r>
      <w:r w:rsidR="006F29E7" w:rsidRPr="0014339C">
        <w:rPr>
          <w:rFonts w:ascii="Arial" w:hAnsi="Arial" w:cs="Arial"/>
          <w:i/>
          <w:color w:val="595959" w:themeColor="text1" w:themeTint="A6"/>
        </w:rPr>
        <w:t>et al.,</w:t>
      </w:r>
      <w:r w:rsidR="002079B2">
        <w:rPr>
          <w:rFonts w:ascii="Arial" w:hAnsi="Arial" w:cs="Arial"/>
          <w:i/>
          <w:color w:val="595959" w:themeColor="text1" w:themeTint="A6"/>
        </w:rPr>
        <w:t xml:space="preserve"> </w:t>
      </w:r>
      <w:r w:rsidR="00DA5662">
        <w:rPr>
          <w:rFonts w:ascii="Arial" w:hAnsi="Arial" w:cs="Arial"/>
          <w:iCs/>
          <w:color w:val="595959" w:themeColor="text1" w:themeTint="A6"/>
        </w:rPr>
        <w:t xml:space="preserve">observed </w:t>
      </w:r>
      <w:r w:rsidR="008A7E4B">
        <w:rPr>
          <w:rFonts w:ascii="Arial" w:hAnsi="Arial" w:cs="Arial"/>
          <w:iCs/>
          <w:color w:val="595959" w:themeColor="text1" w:themeTint="A6"/>
        </w:rPr>
        <w:t xml:space="preserve">models of </w:t>
      </w:r>
      <w:r w:rsidR="00DA5662">
        <w:rPr>
          <w:rFonts w:ascii="Arial" w:hAnsi="Arial" w:cs="Arial"/>
          <w:iCs/>
          <w:color w:val="595959" w:themeColor="text1" w:themeTint="A6"/>
        </w:rPr>
        <w:t>head and neck cancers</w:t>
      </w:r>
      <w:r w:rsidR="008A7E4B">
        <w:rPr>
          <w:rFonts w:ascii="Arial" w:hAnsi="Arial" w:cs="Arial"/>
          <w:iCs/>
          <w:color w:val="595959" w:themeColor="text1" w:themeTint="A6"/>
        </w:rPr>
        <w:t xml:space="preserve"> </w:t>
      </w:r>
      <w:r w:rsidR="00393756">
        <w:rPr>
          <w:rFonts w:ascii="Arial" w:hAnsi="Arial" w:cs="Arial"/>
          <w:iCs/>
          <w:color w:val="595959" w:themeColor="text1" w:themeTint="A6"/>
        </w:rPr>
        <w:t xml:space="preserve">by the implantation of </w:t>
      </w:r>
      <w:r w:rsidR="00751350">
        <w:rPr>
          <w:rFonts w:ascii="Arial" w:hAnsi="Arial" w:cs="Arial"/>
          <w:iCs/>
          <w:color w:val="595959" w:themeColor="text1" w:themeTint="A6"/>
        </w:rPr>
        <w:t>130 head and cancers from human</w:t>
      </w:r>
      <w:r w:rsidR="008A7E4B">
        <w:rPr>
          <w:rFonts w:ascii="Arial" w:hAnsi="Arial" w:cs="Arial"/>
          <w:iCs/>
          <w:color w:val="595959" w:themeColor="text1" w:themeTint="A6"/>
        </w:rPr>
        <w:t xml:space="preserve"> into nude mice</w:t>
      </w:r>
      <w:r w:rsidR="0014339C">
        <w:rPr>
          <w:rFonts w:ascii="Arial" w:hAnsi="Arial" w:cs="Arial"/>
          <w:iCs/>
          <w:color w:val="595959" w:themeColor="text1" w:themeTint="A6"/>
        </w:rPr>
        <w:t>.</w:t>
      </w:r>
      <w:r w:rsidR="007950F2">
        <w:rPr>
          <w:rFonts w:ascii="Arial" w:hAnsi="Arial" w:cs="Arial"/>
          <w:iCs/>
          <w:color w:val="595959" w:themeColor="text1" w:themeTint="A6"/>
        </w:rPr>
        <w:t xml:space="preserve"> More recently </w:t>
      </w:r>
      <w:r w:rsidR="00972FF9">
        <w:rPr>
          <w:rFonts w:ascii="Arial" w:hAnsi="Arial" w:cs="Arial"/>
          <w:iCs/>
          <w:color w:val="595959" w:themeColor="text1" w:themeTint="A6"/>
        </w:rPr>
        <w:t xml:space="preserve">Myers </w:t>
      </w:r>
      <w:r w:rsidR="00972FF9" w:rsidRPr="00E26ADD">
        <w:rPr>
          <w:rFonts w:ascii="Arial" w:hAnsi="Arial" w:cs="Arial"/>
          <w:i/>
          <w:color w:val="595959" w:themeColor="text1" w:themeTint="A6"/>
        </w:rPr>
        <w:t xml:space="preserve">et al., </w:t>
      </w:r>
      <w:r w:rsidR="00182613">
        <w:rPr>
          <w:rFonts w:ascii="Arial" w:hAnsi="Arial" w:cs="Arial"/>
          <w:iCs/>
          <w:color w:val="595959" w:themeColor="text1" w:themeTint="A6"/>
        </w:rPr>
        <w:t xml:space="preserve">generated models of oral tongue carcinoma </w:t>
      </w:r>
      <w:r w:rsidR="00004A1A">
        <w:rPr>
          <w:rFonts w:ascii="Arial" w:hAnsi="Arial" w:cs="Arial"/>
          <w:iCs/>
          <w:color w:val="595959" w:themeColor="text1" w:themeTint="A6"/>
        </w:rPr>
        <w:t xml:space="preserve">using human </w:t>
      </w:r>
      <w:r w:rsidR="00004A1A">
        <w:rPr>
          <w:rFonts w:ascii="Arial" w:hAnsi="Arial" w:cs="Arial"/>
          <w:iCs/>
          <w:color w:val="595959" w:themeColor="text1" w:themeTint="A6"/>
        </w:rPr>
        <w:lastRenderedPageBreak/>
        <w:t xml:space="preserve">OSCC cell-lines </w:t>
      </w:r>
      <w:r w:rsidR="00412F9A">
        <w:rPr>
          <w:rFonts w:ascii="Arial" w:hAnsi="Arial" w:cs="Arial"/>
          <w:iCs/>
          <w:color w:val="595959" w:themeColor="text1" w:themeTint="A6"/>
        </w:rPr>
        <w:t>implanted into the tongue of</w:t>
      </w:r>
      <w:r w:rsidR="00004A1A">
        <w:rPr>
          <w:rFonts w:ascii="Arial" w:hAnsi="Arial" w:cs="Arial"/>
          <w:iCs/>
          <w:color w:val="595959" w:themeColor="text1" w:themeTint="A6"/>
        </w:rPr>
        <w:t xml:space="preserve"> </w:t>
      </w:r>
      <w:r w:rsidR="00182613">
        <w:rPr>
          <w:rFonts w:ascii="Arial" w:hAnsi="Arial" w:cs="Arial"/>
          <w:iCs/>
          <w:color w:val="595959" w:themeColor="text1" w:themeTint="A6"/>
        </w:rPr>
        <w:t xml:space="preserve">an orthotopic </w:t>
      </w:r>
      <w:r w:rsidR="00E26ADD">
        <w:rPr>
          <w:rFonts w:ascii="Arial" w:hAnsi="Arial" w:cs="Arial"/>
          <w:iCs/>
          <w:color w:val="595959" w:themeColor="text1" w:themeTint="A6"/>
        </w:rPr>
        <w:t>murine model, carcinoma cell-lines</w:t>
      </w:r>
      <w:r w:rsidR="00412F9A">
        <w:rPr>
          <w:rFonts w:ascii="Arial" w:hAnsi="Arial" w:cs="Arial"/>
          <w:iCs/>
          <w:color w:val="595959" w:themeColor="text1" w:themeTint="A6"/>
        </w:rPr>
        <w:t xml:space="preserve">. </w:t>
      </w:r>
      <w:r w:rsidR="00123E99">
        <w:rPr>
          <w:rFonts w:ascii="Arial" w:hAnsi="Arial" w:cs="Arial"/>
          <w:iCs/>
          <w:color w:val="595959" w:themeColor="text1" w:themeTint="A6"/>
        </w:rPr>
        <w:t xml:space="preserve">PDX models have also been established </w:t>
      </w:r>
      <w:r w:rsidR="00B84DCA">
        <w:rPr>
          <w:rFonts w:ascii="Arial" w:hAnsi="Arial" w:cs="Arial"/>
          <w:iCs/>
          <w:color w:val="595959" w:themeColor="text1" w:themeTint="A6"/>
        </w:rPr>
        <w:t>for</w:t>
      </w:r>
      <w:r w:rsidR="00123E99">
        <w:rPr>
          <w:rFonts w:ascii="Arial" w:hAnsi="Arial" w:cs="Arial"/>
          <w:iCs/>
          <w:color w:val="595959" w:themeColor="text1" w:themeTint="A6"/>
        </w:rPr>
        <w:t xml:space="preserve"> other cancers. </w:t>
      </w:r>
      <w:r w:rsidR="00E04FC2">
        <w:rPr>
          <w:rFonts w:ascii="Arial" w:hAnsi="Arial" w:cs="Arial"/>
          <w:iCs/>
          <w:color w:val="595959" w:themeColor="text1" w:themeTint="A6"/>
        </w:rPr>
        <w:t>D</w:t>
      </w:r>
      <w:r w:rsidR="00E04FC2" w:rsidRPr="00E04FC2">
        <w:rPr>
          <w:rFonts w:ascii="Arial" w:hAnsi="Arial" w:cs="Arial"/>
          <w:iCs/>
          <w:color w:val="595959" w:themeColor="text1" w:themeTint="A6"/>
        </w:rPr>
        <w:t xml:space="preserve">irect injection of </w:t>
      </w:r>
      <w:r w:rsidR="00E04FC2">
        <w:rPr>
          <w:rFonts w:ascii="Arial" w:hAnsi="Arial" w:cs="Arial"/>
          <w:iCs/>
          <w:color w:val="595959" w:themeColor="text1" w:themeTint="A6"/>
        </w:rPr>
        <w:t xml:space="preserve">a </w:t>
      </w:r>
      <w:r w:rsidR="00E04FC2" w:rsidRPr="00E04FC2">
        <w:rPr>
          <w:rFonts w:ascii="Arial" w:hAnsi="Arial" w:cs="Arial"/>
          <w:iCs/>
          <w:color w:val="595959" w:themeColor="text1" w:themeTint="A6"/>
        </w:rPr>
        <w:t xml:space="preserve">fresh surgical specimen of </w:t>
      </w:r>
      <w:r w:rsidR="00E04FC2">
        <w:rPr>
          <w:rFonts w:ascii="Arial" w:hAnsi="Arial" w:cs="Arial"/>
          <w:iCs/>
          <w:color w:val="595959" w:themeColor="text1" w:themeTint="A6"/>
        </w:rPr>
        <w:t>medulloblastoma (</w:t>
      </w:r>
      <w:r w:rsidR="00E04FC2" w:rsidRPr="00E04FC2">
        <w:rPr>
          <w:rFonts w:ascii="Arial" w:hAnsi="Arial" w:cs="Arial"/>
          <w:iCs/>
          <w:color w:val="595959" w:themeColor="text1" w:themeTint="A6"/>
        </w:rPr>
        <w:t>MB</w:t>
      </w:r>
      <w:r w:rsidR="00E04FC2">
        <w:rPr>
          <w:rFonts w:ascii="Arial" w:hAnsi="Arial" w:cs="Arial"/>
          <w:iCs/>
          <w:color w:val="595959" w:themeColor="text1" w:themeTint="A6"/>
        </w:rPr>
        <w:t>)</w:t>
      </w:r>
      <w:r w:rsidR="00E04FC2" w:rsidRPr="00E04FC2">
        <w:rPr>
          <w:rFonts w:ascii="Arial" w:hAnsi="Arial" w:cs="Arial"/>
          <w:iCs/>
          <w:color w:val="595959" w:themeColor="text1" w:themeTint="A6"/>
        </w:rPr>
        <w:t xml:space="preserve"> and glioma tissues into </w:t>
      </w:r>
      <w:r w:rsidR="00E04FC2">
        <w:rPr>
          <w:rFonts w:ascii="Arial" w:hAnsi="Arial" w:cs="Arial"/>
          <w:iCs/>
          <w:color w:val="595959" w:themeColor="text1" w:themeTint="A6"/>
        </w:rPr>
        <w:t>immuno</w:t>
      </w:r>
      <w:r w:rsidR="00E04FC2" w:rsidRPr="00E04FC2">
        <w:rPr>
          <w:rFonts w:ascii="Arial" w:hAnsi="Arial" w:cs="Arial"/>
          <w:iCs/>
          <w:color w:val="595959" w:themeColor="text1" w:themeTint="A6"/>
        </w:rPr>
        <w:t xml:space="preserve">-deficient mouse brains </w:t>
      </w:r>
      <w:r w:rsidR="00F766B7">
        <w:rPr>
          <w:rFonts w:ascii="Arial" w:hAnsi="Arial" w:cs="Arial"/>
          <w:iCs/>
          <w:color w:val="595959" w:themeColor="text1" w:themeTint="A6"/>
        </w:rPr>
        <w:t>generated xenograft models</w:t>
      </w:r>
      <w:r w:rsidR="00E04FC2">
        <w:rPr>
          <w:rFonts w:ascii="Arial" w:hAnsi="Arial" w:cs="Arial"/>
          <w:iCs/>
          <w:color w:val="595959" w:themeColor="text1" w:themeTint="A6"/>
        </w:rPr>
        <w:t xml:space="preserve"> that were patient specific, replicated</w:t>
      </w:r>
      <w:r w:rsidR="00E04FC2" w:rsidRPr="00E04FC2">
        <w:rPr>
          <w:rFonts w:ascii="Arial" w:hAnsi="Arial" w:cs="Arial"/>
          <w:iCs/>
          <w:color w:val="595959" w:themeColor="text1" w:themeTint="A6"/>
        </w:rPr>
        <w:t xml:space="preserve"> the histopathologic, immuno</w:t>
      </w:r>
      <w:r w:rsidR="00847896">
        <w:rPr>
          <w:rFonts w:ascii="Arial" w:hAnsi="Arial" w:cs="Arial"/>
          <w:iCs/>
          <w:color w:val="595959" w:themeColor="text1" w:themeTint="A6"/>
        </w:rPr>
        <w:t>-</w:t>
      </w:r>
      <w:r w:rsidR="00E04FC2" w:rsidRPr="00E04FC2">
        <w:rPr>
          <w:rFonts w:ascii="Arial" w:hAnsi="Arial" w:cs="Arial"/>
          <w:iCs/>
          <w:color w:val="595959" w:themeColor="text1" w:themeTint="A6"/>
        </w:rPr>
        <w:t xml:space="preserve">phenotypic, </w:t>
      </w:r>
      <w:r w:rsidR="00E04FC2">
        <w:rPr>
          <w:rFonts w:ascii="Arial" w:hAnsi="Arial" w:cs="Arial"/>
          <w:iCs/>
          <w:color w:val="595959" w:themeColor="text1" w:themeTint="A6"/>
        </w:rPr>
        <w:t xml:space="preserve">metastatic, and major genetic </w:t>
      </w:r>
      <w:r w:rsidR="00E04FC2" w:rsidRPr="00E04FC2">
        <w:rPr>
          <w:rFonts w:ascii="Arial" w:hAnsi="Arial" w:cs="Arial"/>
          <w:iCs/>
          <w:color w:val="595959" w:themeColor="text1" w:themeTint="A6"/>
        </w:rPr>
        <w:t>abnormalities of the original tumo</w:t>
      </w:r>
      <w:r w:rsidR="00E04FC2">
        <w:rPr>
          <w:rFonts w:ascii="Arial" w:hAnsi="Arial" w:cs="Arial"/>
          <w:iCs/>
          <w:color w:val="595959" w:themeColor="text1" w:themeTint="A6"/>
        </w:rPr>
        <w:t>u</w:t>
      </w:r>
      <w:r w:rsidR="00E04FC2" w:rsidRPr="00E04FC2">
        <w:rPr>
          <w:rFonts w:ascii="Arial" w:hAnsi="Arial" w:cs="Arial"/>
          <w:iCs/>
          <w:color w:val="595959" w:themeColor="text1" w:themeTint="A6"/>
        </w:rPr>
        <w:t>rs</w:t>
      </w:r>
      <w:r w:rsidR="00B93546">
        <w:rPr>
          <w:rFonts w:ascii="Arial" w:hAnsi="Arial" w:cs="Arial"/>
          <w:iCs/>
          <w:color w:val="595959" w:themeColor="text1" w:themeTint="A6"/>
        </w:rPr>
        <w:t xml:space="preserve"> (Shu </w:t>
      </w:r>
      <w:r w:rsidR="00B93546" w:rsidRPr="00B93546">
        <w:rPr>
          <w:rFonts w:ascii="Arial" w:hAnsi="Arial" w:cs="Arial"/>
          <w:i/>
          <w:color w:val="595959" w:themeColor="text1" w:themeTint="A6"/>
        </w:rPr>
        <w:t>et al.,</w:t>
      </w:r>
      <w:r w:rsidR="00BD0658">
        <w:rPr>
          <w:rFonts w:ascii="Arial" w:hAnsi="Arial" w:cs="Arial"/>
          <w:iCs/>
          <w:color w:val="595959" w:themeColor="text1" w:themeTint="A6"/>
        </w:rPr>
        <w:t xml:space="preserve"> 200</w:t>
      </w:r>
      <w:r w:rsidR="00B93546">
        <w:rPr>
          <w:rFonts w:ascii="Arial" w:hAnsi="Arial" w:cs="Arial"/>
          <w:iCs/>
          <w:color w:val="595959" w:themeColor="text1" w:themeTint="A6"/>
        </w:rPr>
        <w:t>8)</w:t>
      </w:r>
      <w:r w:rsidR="00E04FC2" w:rsidRPr="00E04FC2">
        <w:rPr>
          <w:rFonts w:ascii="Arial" w:hAnsi="Arial" w:cs="Arial"/>
          <w:iCs/>
          <w:color w:val="595959" w:themeColor="text1" w:themeTint="A6"/>
        </w:rPr>
        <w:t>.</w:t>
      </w:r>
      <w:r w:rsidR="00F766B7">
        <w:rPr>
          <w:rFonts w:ascii="Arial" w:hAnsi="Arial" w:cs="Arial"/>
          <w:iCs/>
          <w:color w:val="595959" w:themeColor="text1" w:themeTint="A6"/>
        </w:rPr>
        <w:t xml:space="preserve"> Alternatively, the effects of </w:t>
      </w:r>
      <w:r w:rsidR="00715516">
        <w:rPr>
          <w:rFonts w:ascii="Arial" w:hAnsi="Arial" w:cs="Arial"/>
          <w:iCs/>
          <w:color w:val="595959" w:themeColor="text1" w:themeTint="A6"/>
        </w:rPr>
        <w:t xml:space="preserve">cancer </w:t>
      </w:r>
      <w:r w:rsidR="00F766B7">
        <w:rPr>
          <w:rFonts w:ascii="Arial" w:hAnsi="Arial" w:cs="Arial"/>
          <w:iCs/>
          <w:color w:val="595959" w:themeColor="text1" w:themeTint="A6"/>
        </w:rPr>
        <w:t>drugs have also been assessed using PDX models. For example, b</w:t>
      </w:r>
      <w:r w:rsidR="00F766B7" w:rsidRPr="00F766B7">
        <w:rPr>
          <w:rFonts w:ascii="Arial" w:hAnsi="Arial" w:cs="Arial"/>
          <w:iCs/>
          <w:color w:val="595959" w:themeColor="text1" w:themeTint="A6"/>
        </w:rPr>
        <w:t>evacizumab</w:t>
      </w:r>
      <w:r w:rsidR="00F766B7">
        <w:rPr>
          <w:rFonts w:ascii="Arial" w:hAnsi="Arial" w:cs="Arial"/>
          <w:iCs/>
          <w:color w:val="595959" w:themeColor="text1" w:themeTint="A6"/>
        </w:rPr>
        <w:t xml:space="preserve"> showed anti-tumour activity</w:t>
      </w:r>
      <w:r w:rsidR="00F766B7" w:rsidRPr="00F766B7">
        <w:rPr>
          <w:rFonts w:ascii="Arial" w:hAnsi="Arial" w:cs="Arial"/>
          <w:iCs/>
          <w:color w:val="595959" w:themeColor="text1" w:themeTint="A6"/>
        </w:rPr>
        <w:t xml:space="preserve"> </w:t>
      </w:r>
      <w:r w:rsidR="00F766B7">
        <w:rPr>
          <w:rFonts w:ascii="Arial" w:hAnsi="Arial" w:cs="Arial"/>
          <w:iCs/>
          <w:color w:val="595959" w:themeColor="text1" w:themeTint="A6"/>
        </w:rPr>
        <w:t>in an OSCC xenograft model by decreasing</w:t>
      </w:r>
      <w:r w:rsidR="00F766B7" w:rsidRPr="00F766B7">
        <w:rPr>
          <w:rFonts w:ascii="Arial" w:hAnsi="Arial" w:cs="Arial"/>
          <w:iCs/>
          <w:color w:val="595959" w:themeColor="text1" w:themeTint="A6"/>
        </w:rPr>
        <w:t xml:space="preserve"> micro</w:t>
      </w:r>
      <w:r w:rsidR="00F766B7">
        <w:rPr>
          <w:rFonts w:ascii="Arial" w:hAnsi="Arial" w:cs="Arial"/>
          <w:iCs/>
          <w:color w:val="595959" w:themeColor="text1" w:themeTint="A6"/>
        </w:rPr>
        <w:t>-</w:t>
      </w:r>
      <w:r w:rsidR="00F766B7" w:rsidRPr="00F766B7">
        <w:rPr>
          <w:rFonts w:ascii="Arial" w:hAnsi="Arial" w:cs="Arial"/>
          <w:iCs/>
          <w:color w:val="595959" w:themeColor="text1" w:themeTint="A6"/>
        </w:rPr>
        <w:t xml:space="preserve">vessel density </w:t>
      </w:r>
      <w:r w:rsidR="00F766B7">
        <w:rPr>
          <w:rFonts w:ascii="Arial" w:hAnsi="Arial" w:cs="Arial"/>
          <w:iCs/>
          <w:color w:val="595959" w:themeColor="text1" w:themeTint="A6"/>
        </w:rPr>
        <w:t xml:space="preserve">that significantly </w:t>
      </w:r>
      <w:r w:rsidR="00F766B7" w:rsidRPr="00F766B7">
        <w:rPr>
          <w:rFonts w:ascii="Arial" w:hAnsi="Arial" w:cs="Arial"/>
          <w:iCs/>
          <w:color w:val="595959" w:themeColor="text1" w:themeTint="A6"/>
        </w:rPr>
        <w:t>inhibited tumo</w:t>
      </w:r>
      <w:r w:rsidR="00F766B7">
        <w:rPr>
          <w:rFonts w:ascii="Arial" w:hAnsi="Arial" w:cs="Arial"/>
          <w:iCs/>
          <w:color w:val="595959" w:themeColor="text1" w:themeTint="A6"/>
        </w:rPr>
        <w:t>u</w:t>
      </w:r>
      <w:r w:rsidR="00F766B7" w:rsidRPr="00F766B7">
        <w:rPr>
          <w:rFonts w:ascii="Arial" w:hAnsi="Arial" w:cs="Arial"/>
          <w:iCs/>
          <w:color w:val="595959" w:themeColor="text1" w:themeTint="A6"/>
        </w:rPr>
        <w:t>r growth in the HSC-3-bearing nude mouse model</w:t>
      </w:r>
      <w:r w:rsidR="00F766B7">
        <w:rPr>
          <w:rFonts w:ascii="Arial" w:hAnsi="Arial" w:cs="Arial"/>
          <w:iCs/>
          <w:color w:val="595959" w:themeColor="text1" w:themeTint="A6"/>
        </w:rPr>
        <w:t xml:space="preserve"> (Yoshida </w:t>
      </w:r>
      <w:r w:rsidR="00F766B7" w:rsidRPr="00F766B7">
        <w:rPr>
          <w:rFonts w:ascii="Arial" w:hAnsi="Arial" w:cs="Arial"/>
          <w:i/>
          <w:color w:val="595959" w:themeColor="text1" w:themeTint="A6"/>
        </w:rPr>
        <w:t xml:space="preserve">et al., </w:t>
      </w:r>
      <w:r w:rsidR="00F766B7">
        <w:rPr>
          <w:rFonts w:ascii="Arial" w:hAnsi="Arial" w:cs="Arial"/>
          <w:iCs/>
          <w:color w:val="595959" w:themeColor="text1" w:themeTint="A6"/>
        </w:rPr>
        <w:t>2018).</w:t>
      </w:r>
      <w:r w:rsidR="00FF51E1" w:rsidRPr="00FF51E1">
        <w:rPr>
          <w:rFonts w:ascii="Arial" w:hAnsi="Arial" w:cs="Arial"/>
          <w:iCs/>
          <w:color w:val="595959" w:themeColor="text1" w:themeTint="A6"/>
        </w:rPr>
        <w:t xml:space="preserve"> </w:t>
      </w:r>
      <w:r w:rsidR="00FF51E1">
        <w:rPr>
          <w:rFonts w:ascii="Arial" w:hAnsi="Arial" w:cs="Arial"/>
          <w:iCs/>
          <w:color w:val="595959" w:themeColor="text1" w:themeTint="A6"/>
        </w:rPr>
        <w:t xml:space="preserve"> PDX cells can also be used in conjunction with other 3D technologies. </w:t>
      </w:r>
      <w:r w:rsidR="00FF51E1" w:rsidRPr="00FF51E1">
        <w:rPr>
          <w:rFonts w:ascii="Arial" w:hAnsi="Arial" w:cs="Arial"/>
          <w:iCs/>
          <w:color w:val="595959" w:themeColor="text1" w:themeTint="A6"/>
        </w:rPr>
        <w:t xml:space="preserve">Fong </w:t>
      </w:r>
      <w:r w:rsidR="00FF51E1" w:rsidRPr="00FF51E1">
        <w:rPr>
          <w:rFonts w:ascii="Arial" w:hAnsi="Arial" w:cs="Arial"/>
          <w:i/>
          <w:color w:val="595959" w:themeColor="text1" w:themeTint="A6"/>
        </w:rPr>
        <w:t>et al.</w:t>
      </w:r>
      <w:r w:rsidR="00FF51E1" w:rsidRPr="00FF51E1">
        <w:rPr>
          <w:rFonts w:ascii="Arial" w:hAnsi="Arial" w:cs="Arial"/>
          <w:iCs/>
          <w:color w:val="595959" w:themeColor="text1" w:themeTint="A6"/>
        </w:rPr>
        <w:t xml:space="preserve"> demonstrated the use of semi</w:t>
      </w:r>
      <w:r w:rsidR="00FF51E1">
        <w:rPr>
          <w:rFonts w:ascii="Arial" w:hAnsi="Arial" w:cs="Arial"/>
          <w:iCs/>
          <w:color w:val="595959" w:themeColor="text1" w:themeTint="A6"/>
        </w:rPr>
        <w:t>-</w:t>
      </w:r>
      <w:r w:rsidR="00FF51E1" w:rsidRPr="00FF51E1">
        <w:rPr>
          <w:rFonts w:ascii="Arial" w:hAnsi="Arial" w:cs="Arial"/>
          <w:iCs/>
          <w:color w:val="595959" w:themeColor="text1" w:themeTint="A6"/>
        </w:rPr>
        <w:t>synthetic hyaluronan hydrogels functionalized with integrin-binding RGD motifs and matrix metalloprotease-sensit</w:t>
      </w:r>
      <w:r w:rsidR="002B0634">
        <w:rPr>
          <w:rFonts w:ascii="Arial" w:hAnsi="Arial" w:cs="Arial"/>
          <w:iCs/>
          <w:color w:val="595959" w:themeColor="text1" w:themeTint="A6"/>
        </w:rPr>
        <w:t xml:space="preserve">ive </w:t>
      </w:r>
      <w:r w:rsidR="002B0634" w:rsidRPr="00B611AB">
        <w:rPr>
          <w:rFonts w:ascii="Arial" w:hAnsi="Arial" w:cs="Arial"/>
          <w:iCs/>
          <w:color w:val="595959" w:themeColor="text1" w:themeTint="A6"/>
        </w:rPr>
        <w:t xml:space="preserve">substrates as a platform that </w:t>
      </w:r>
      <w:r w:rsidR="00FF51E1" w:rsidRPr="00B611AB">
        <w:rPr>
          <w:rFonts w:ascii="Arial" w:hAnsi="Arial" w:cs="Arial"/>
          <w:iCs/>
          <w:color w:val="595959" w:themeColor="text1" w:themeTint="A6"/>
        </w:rPr>
        <w:t>support</w:t>
      </w:r>
      <w:r w:rsidR="002B0634" w:rsidRPr="00B611AB">
        <w:rPr>
          <w:rFonts w:ascii="Arial" w:hAnsi="Arial" w:cs="Arial"/>
          <w:iCs/>
          <w:color w:val="595959" w:themeColor="text1" w:themeTint="A6"/>
        </w:rPr>
        <w:t>ed</w:t>
      </w:r>
      <w:r w:rsidR="00FF51E1" w:rsidRPr="00B611AB">
        <w:rPr>
          <w:rFonts w:ascii="Arial" w:hAnsi="Arial" w:cs="Arial"/>
          <w:iCs/>
          <w:color w:val="595959" w:themeColor="text1" w:themeTint="A6"/>
        </w:rPr>
        <w:t xml:space="preserve"> the co-culture of osteoblastic cells with </w:t>
      </w:r>
      <w:r w:rsidR="002B0634" w:rsidRPr="00B611AB">
        <w:rPr>
          <w:rFonts w:ascii="Arial" w:hAnsi="Arial" w:cs="Arial"/>
          <w:iCs/>
          <w:color w:val="595959" w:themeColor="text1" w:themeTint="A6"/>
        </w:rPr>
        <w:t xml:space="preserve">PDX </w:t>
      </w:r>
      <w:r w:rsidR="00FF51E1" w:rsidRPr="00B611AB">
        <w:rPr>
          <w:rFonts w:ascii="Arial" w:hAnsi="Arial" w:cs="Arial"/>
          <w:iCs/>
          <w:color w:val="595959" w:themeColor="text1" w:themeTint="A6"/>
        </w:rPr>
        <w:t xml:space="preserve">prostate cancer </w:t>
      </w:r>
      <w:r w:rsidR="002B0634" w:rsidRPr="00B611AB">
        <w:rPr>
          <w:rFonts w:ascii="Arial" w:hAnsi="Arial" w:cs="Arial"/>
          <w:iCs/>
          <w:color w:val="595959" w:themeColor="text1" w:themeTint="A6"/>
        </w:rPr>
        <w:t xml:space="preserve">cells which </w:t>
      </w:r>
      <w:r w:rsidR="00FF51E1" w:rsidRPr="00B611AB">
        <w:rPr>
          <w:rFonts w:ascii="Arial" w:hAnsi="Arial" w:cs="Arial"/>
          <w:iCs/>
          <w:color w:val="595959" w:themeColor="text1" w:themeTint="A6"/>
        </w:rPr>
        <w:t>recreate</w:t>
      </w:r>
      <w:r w:rsidR="002B0634" w:rsidRPr="00B611AB">
        <w:rPr>
          <w:rFonts w:ascii="Arial" w:hAnsi="Arial" w:cs="Arial"/>
          <w:iCs/>
          <w:color w:val="595959" w:themeColor="text1" w:themeTint="A6"/>
        </w:rPr>
        <w:t>d</w:t>
      </w:r>
      <w:r w:rsidR="00FF51E1" w:rsidRPr="00B611AB">
        <w:rPr>
          <w:rFonts w:ascii="Arial" w:hAnsi="Arial" w:cs="Arial"/>
          <w:iCs/>
          <w:color w:val="595959" w:themeColor="text1" w:themeTint="A6"/>
        </w:rPr>
        <w:t xml:space="preserve"> the </w:t>
      </w:r>
      <w:r w:rsidR="002B0634" w:rsidRPr="00B611AB">
        <w:rPr>
          <w:rFonts w:ascii="Arial" w:hAnsi="Arial" w:cs="Arial"/>
          <w:iCs/>
          <w:color w:val="595959" w:themeColor="text1" w:themeTint="A6"/>
        </w:rPr>
        <w:t xml:space="preserve">prostate cancer–osteoblast interaction </w:t>
      </w:r>
      <w:r w:rsidR="00FF51E1" w:rsidRPr="00B611AB">
        <w:rPr>
          <w:rFonts w:ascii="Arial" w:hAnsi="Arial" w:cs="Arial"/>
          <w:iCs/>
          <w:color w:val="595959" w:themeColor="text1" w:themeTint="A6"/>
        </w:rPr>
        <w:t xml:space="preserve">in bone metastasis </w:t>
      </w:r>
      <w:r w:rsidR="00FF51E1" w:rsidRPr="00B611AB">
        <w:rPr>
          <w:rFonts w:ascii="Arial" w:hAnsi="Arial" w:cs="Arial"/>
          <w:i/>
          <w:color w:val="595959" w:themeColor="text1" w:themeTint="A6"/>
        </w:rPr>
        <w:t>in vitro.</w:t>
      </w:r>
      <w:r w:rsidR="00F64AEE" w:rsidRPr="00B611AB">
        <w:rPr>
          <w:rFonts w:ascii="Arial" w:hAnsi="Arial" w:cs="Arial"/>
          <w:i/>
          <w:color w:val="595959" w:themeColor="text1" w:themeTint="A6"/>
        </w:rPr>
        <w:t xml:space="preserve"> </w:t>
      </w:r>
      <w:r w:rsidR="000B4A6D" w:rsidRPr="00B611AB">
        <w:rPr>
          <w:rFonts w:ascii="Arial" w:hAnsi="Arial" w:cs="Arial"/>
          <w:iCs/>
          <w:color w:val="595959" w:themeColor="text1" w:themeTint="A6"/>
        </w:rPr>
        <w:t xml:space="preserve">The major </w:t>
      </w:r>
      <w:r w:rsidR="001D4D86" w:rsidRPr="00B611AB">
        <w:rPr>
          <w:rFonts w:ascii="Arial" w:hAnsi="Arial" w:cs="Arial"/>
          <w:iCs/>
          <w:color w:val="595959" w:themeColor="text1" w:themeTint="A6"/>
        </w:rPr>
        <w:t>limitation</w:t>
      </w:r>
      <w:r w:rsidR="002B0258" w:rsidRPr="00B611AB">
        <w:rPr>
          <w:rFonts w:ascii="Arial" w:hAnsi="Arial" w:cs="Arial"/>
          <w:iCs/>
          <w:color w:val="595959" w:themeColor="text1" w:themeTint="A6"/>
        </w:rPr>
        <w:t xml:space="preserve"> in using PDX models to study </w:t>
      </w:r>
      <w:r w:rsidR="00BD4C90" w:rsidRPr="00B611AB">
        <w:rPr>
          <w:rFonts w:ascii="Arial" w:hAnsi="Arial" w:cs="Arial"/>
          <w:iCs/>
          <w:color w:val="595959" w:themeColor="text1" w:themeTint="A6"/>
        </w:rPr>
        <w:t>tumour</w:t>
      </w:r>
      <w:r w:rsidR="000B4A6D" w:rsidRPr="00B611AB">
        <w:rPr>
          <w:rFonts w:ascii="Arial" w:hAnsi="Arial" w:cs="Arial"/>
          <w:iCs/>
          <w:color w:val="595959" w:themeColor="text1" w:themeTint="A6"/>
        </w:rPr>
        <w:t xml:space="preserve">: </w:t>
      </w:r>
      <w:r w:rsidR="00BD4C90" w:rsidRPr="00B611AB">
        <w:rPr>
          <w:rFonts w:ascii="Arial" w:hAnsi="Arial" w:cs="Arial"/>
          <w:iCs/>
          <w:color w:val="595959" w:themeColor="text1" w:themeTint="A6"/>
        </w:rPr>
        <w:t xml:space="preserve">ECM </w:t>
      </w:r>
      <w:r w:rsidR="000B4A6D" w:rsidRPr="00B611AB">
        <w:rPr>
          <w:rFonts w:ascii="Arial" w:hAnsi="Arial" w:cs="Arial"/>
          <w:iCs/>
          <w:color w:val="595959" w:themeColor="text1" w:themeTint="A6"/>
        </w:rPr>
        <w:t xml:space="preserve">interactions </w:t>
      </w:r>
      <w:r w:rsidR="00BD4C90" w:rsidRPr="00B611AB">
        <w:rPr>
          <w:rFonts w:ascii="Arial" w:hAnsi="Arial" w:cs="Arial"/>
          <w:iCs/>
          <w:color w:val="595959" w:themeColor="text1" w:themeTint="A6"/>
        </w:rPr>
        <w:t>is that for the majority of t</w:t>
      </w:r>
      <w:r w:rsidR="001D4D86" w:rsidRPr="00B611AB">
        <w:rPr>
          <w:rFonts w:ascii="Arial" w:hAnsi="Arial" w:cs="Arial"/>
          <w:iCs/>
          <w:color w:val="595959" w:themeColor="text1" w:themeTint="A6"/>
        </w:rPr>
        <w:t xml:space="preserve">he </w:t>
      </w:r>
      <w:r w:rsidR="005F4987" w:rsidRPr="00B611AB">
        <w:rPr>
          <w:rFonts w:ascii="Arial" w:hAnsi="Arial" w:cs="Arial"/>
          <w:iCs/>
          <w:color w:val="595959" w:themeColor="text1" w:themeTint="A6"/>
        </w:rPr>
        <w:t>well-established</w:t>
      </w:r>
      <w:r w:rsidR="002F5D01" w:rsidRPr="00B611AB">
        <w:rPr>
          <w:rFonts w:ascii="Arial" w:hAnsi="Arial" w:cs="Arial"/>
          <w:iCs/>
          <w:color w:val="595959" w:themeColor="text1" w:themeTint="A6"/>
        </w:rPr>
        <w:t xml:space="preserve"> cancer models </w:t>
      </w:r>
      <w:r w:rsidR="00CC1D29" w:rsidRPr="00B611AB">
        <w:rPr>
          <w:rFonts w:ascii="Arial" w:hAnsi="Arial" w:cs="Arial"/>
          <w:iCs/>
          <w:color w:val="595959" w:themeColor="text1" w:themeTint="A6"/>
        </w:rPr>
        <w:t xml:space="preserve">there is a </w:t>
      </w:r>
      <w:r w:rsidR="002F5D01" w:rsidRPr="00B611AB">
        <w:rPr>
          <w:rFonts w:ascii="Arial" w:hAnsi="Arial" w:cs="Arial"/>
          <w:iCs/>
          <w:color w:val="595959" w:themeColor="text1" w:themeTint="A6"/>
        </w:rPr>
        <w:t>substitut</w:t>
      </w:r>
      <w:r w:rsidR="00CC1D29" w:rsidRPr="00B611AB">
        <w:rPr>
          <w:rFonts w:ascii="Arial" w:hAnsi="Arial" w:cs="Arial"/>
          <w:iCs/>
          <w:color w:val="595959" w:themeColor="text1" w:themeTint="A6"/>
        </w:rPr>
        <w:t>ion</w:t>
      </w:r>
      <w:r w:rsidR="002F5D01" w:rsidRPr="00B611AB">
        <w:rPr>
          <w:rFonts w:ascii="Arial" w:hAnsi="Arial" w:cs="Arial"/>
          <w:iCs/>
          <w:color w:val="595959" w:themeColor="text1" w:themeTint="A6"/>
        </w:rPr>
        <w:t xml:space="preserve"> the human stroma </w:t>
      </w:r>
      <w:r w:rsidR="00CC1D29" w:rsidRPr="00B611AB">
        <w:rPr>
          <w:rFonts w:ascii="Arial" w:hAnsi="Arial" w:cs="Arial"/>
          <w:iCs/>
          <w:color w:val="595959" w:themeColor="text1" w:themeTint="A6"/>
        </w:rPr>
        <w:t>by</w:t>
      </w:r>
      <w:r w:rsidR="002F5D01" w:rsidRPr="00B611AB">
        <w:rPr>
          <w:rFonts w:ascii="Arial" w:hAnsi="Arial" w:cs="Arial"/>
          <w:iCs/>
          <w:color w:val="595959" w:themeColor="text1" w:themeTint="A6"/>
        </w:rPr>
        <w:t xml:space="preserve"> murin</w:t>
      </w:r>
      <w:r w:rsidR="007626AF" w:rsidRPr="00B611AB">
        <w:rPr>
          <w:rFonts w:ascii="Arial" w:hAnsi="Arial" w:cs="Arial"/>
          <w:iCs/>
          <w:color w:val="595959" w:themeColor="text1" w:themeTint="A6"/>
        </w:rPr>
        <w:t>e</w:t>
      </w:r>
      <w:r w:rsidR="002F5D01" w:rsidRPr="00B611AB">
        <w:rPr>
          <w:rFonts w:ascii="Arial" w:hAnsi="Arial" w:cs="Arial"/>
          <w:iCs/>
          <w:color w:val="595959" w:themeColor="text1" w:themeTint="A6"/>
        </w:rPr>
        <w:t xml:space="preserve"> stroma</w:t>
      </w:r>
      <w:r w:rsidR="00750773" w:rsidRPr="00B611AB">
        <w:rPr>
          <w:rFonts w:ascii="Arial" w:hAnsi="Arial" w:cs="Arial"/>
          <w:iCs/>
          <w:color w:val="595959" w:themeColor="text1" w:themeTint="A6"/>
        </w:rPr>
        <w:t xml:space="preserve">. </w:t>
      </w:r>
      <w:r w:rsidR="00BD6F48" w:rsidRPr="00B611AB">
        <w:rPr>
          <w:rFonts w:ascii="Arial" w:hAnsi="Arial" w:cs="Arial"/>
          <w:iCs/>
          <w:color w:val="595959" w:themeColor="text1" w:themeTint="A6"/>
        </w:rPr>
        <w:t xml:space="preserve">It has been observed that </w:t>
      </w:r>
      <w:r w:rsidR="0044306A" w:rsidRPr="00B611AB">
        <w:rPr>
          <w:rFonts w:ascii="Arial" w:hAnsi="Arial" w:cs="Arial"/>
          <w:iCs/>
          <w:color w:val="595959" w:themeColor="text1" w:themeTint="A6"/>
        </w:rPr>
        <w:t xml:space="preserve">there is a rapid replacement of the human stroma by the </w:t>
      </w:r>
      <w:r w:rsidR="00FB40F6" w:rsidRPr="00B611AB">
        <w:rPr>
          <w:rFonts w:ascii="Arial" w:hAnsi="Arial" w:cs="Arial"/>
          <w:iCs/>
          <w:color w:val="595959" w:themeColor="text1" w:themeTint="A6"/>
        </w:rPr>
        <w:t>animal’s</w:t>
      </w:r>
      <w:r w:rsidR="0044306A" w:rsidRPr="00B611AB">
        <w:rPr>
          <w:rFonts w:ascii="Arial" w:hAnsi="Arial" w:cs="Arial"/>
          <w:iCs/>
          <w:color w:val="595959" w:themeColor="text1" w:themeTint="A6"/>
        </w:rPr>
        <w:t xml:space="preserve"> own native ECM</w:t>
      </w:r>
      <w:r w:rsidR="00F84F56" w:rsidRPr="00B611AB">
        <w:rPr>
          <w:rFonts w:ascii="Arial" w:hAnsi="Arial" w:cs="Arial"/>
          <w:iCs/>
          <w:color w:val="595959" w:themeColor="text1" w:themeTint="A6"/>
        </w:rPr>
        <w:t xml:space="preserve"> and stromal cells,</w:t>
      </w:r>
      <w:r w:rsidR="00732C0D" w:rsidRPr="00B611AB">
        <w:rPr>
          <w:rFonts w:ascii="Arial" w:hAnsi="Arial" w:cs="Arial"/>
          <w:iCs/>
          <w:color w:val="595959" w:themeColor="text1" w:themeTint="A6"/>
        </w:rPr>
        <w:t xml:space="preserve"> through-out tumour growt</w:t>
      </w:r>
      <w:r w:rsidR="00570FB4" w:rsidRPr="00B611AB">
        <w:rPr>
          <w:rFonts w:ascii="Arial" w:hAnsi="Arial" w:cs="Arial"/>
          <w:iCs/>
          <w:color w:val="595959" w:themeColor="text1" w:themeTint="A6"/>
        </w:rPr>
        <w:t>h</w:t>
      </w:r>
      <w:r w:rsidR="00CB56C5" w:rsidRPr="00B611AB">
        <w:rPr>
          <w:rFonts w:ascii="Arial" w:hAnsi="Arial" w:cs="Arial"/>
          <w:iCs/>
          <w:color w:val="595959" w:themeColor="text1" w:themeTint="A6"/>
        </w:rPr>
        <w:t>,</w:t>
      </w:r>
      <w:r w:rsidR="00570FB4" w:rsidRPr="00B611AB">
        <w:rPr>
          <w:rFonts w:ascii="Arial" w:hAnsi="Arial" w:cs="Arial"/>
          <w:iCs/>
          <w:color w:val="595959" w:themeColor="text1" w:themeTint="A6"/>
        </w:rPr>
        <w:t xml:space="preserve"> </w:t>
      </w:r>
      <w:r w:rsidR="000F4EB8" w:rsidRPr="00B611AB">
        <w:rPr>
          <w:rFonts w:ascii="Arial" w:hAnsi="Arial" w:cs="Arial"/>
          <w:iCs/>
          <w:color w:val="595959" w:themeColor="text1" w:themeTint="A6"/>
        </w:rPr>
        <w:t xml:space="preserve">thereby limiting the interpretation </w:t>
      </w:r>
      <w:r w:rsidR="00EB79C5" w:rsidRPr="00B611AB">
        <w:rPr>
          <w:rFonts w:ascii="Arial" w:hAnsi="Arial" w:cs="Arial"/>
          <w:iCs/>
          <w:color w:val="595959" w:themeColor="text1" w:themeTint="A6"/>
        </w:rPr>
        <w:t xml:space="preserve">and suitability </w:t>
      </w:r>
      <w:r w:rsidR="00CB56C5" w:rsidRPr="00B611AB">
        <w:rPr>
          <w:rFonts w:ascii="Arial" w:hAnsi="Arial" w:cs="Arial"/>
          <w:iCs/>
          <w:color w:val="595959" w:themeColor="text1" w:themeTint="A6"/>
        </w:rPr>
        <w:t xml:space="preserve">of such models </w:t>
      </w:r>
      <w:r w:rsidR="00973035" w:rsidRPr="00B611AB">
        <w:rPr>
          <w:rFonts w:ascii="Arial" w:hAnsi="Arial" w:cs="Arial"/>
          <w:iCs/>
          <w:color w:val="595959" w:themeColor="text1" w:themeTint="A6"/>
        </w:rPr>
        <w:t xml:space="preserve">to study </w:t>
      </w:r>
      <w:r w:rsidR="00100996" w:rsidRPr="00B611AB">
        <w:rPr>
          <w:rFonts w:ascii="Arial" w:hAnsi="Arial" w:cs="Arial"/>
          <w:iCs/>
          <w:color w:val="595959" w:themeColor="text1" w:themeTint="A6"/>
        </w:rPr>
        <w:t>human native ECM in tumour progression (</w:t>
      </w:r>
      <w:r w:rsidR="00E46A0B" w:rsidRPr="00B611AB">
        <w:rPr>
          <w:rFonts w:ascii="Arial" w:hAnsi="Arial" w:cs="Arial"/>
          <w:iCs/>
          <w:color w:val="595959" w:themeColor="text1" w:themeTint="A6"/>
        </w:rPr>
        <w:t xml:space="preserve">Junttila </w:t>
      </w:r>
      <w:r w:rsidR="00E46A0B" w:rsidRPr="00B611AB">
        <w:rPr>
          <w:rFonts w:ascii="Arial" w:hAnsi="Arial" w:cs="Arial"/>
          <w:i/>
          <w:color w:val="595959" w:themeColor="text1" w:themeTint="A6"/>
        </w:rPr>
        <w:t xml:space="preserve">et al., </w:t>
      </w:r>
      <w:r w:rsidR="00E46A0B" w:rsidRPr="00B611AB">
        <w:rPr>
          <w:rFonts w:ascii="Arial" w:hAnsi="Arial" w:cs="Arial"/>
          <w:iCs/>
          <w:color w:val="595959" w:themeColor="text1" w:themeTint="A6"/>
        </w:rPr>
        <w:t>201</w:t>
      </w:r>
      <w:r w:rsidR="00B84CE2" w:rsidRPr="00B611AB">
        <w:rPr>
          <w:rFonts w:ascii="Arial" w:hAnsi="Arial" w:cs="Arial"/>
          <w:iCs/>
          <w:color w:val="595959" w:themeColor="text1" w:themeTint="A6"/>
        </w:rPr>
        <w:t>3</w:t>
      </w:r>
      <w:r w:rsidR="00E46A0B" w:rsidRPr="00B611AB">
        <w:rPr>
          <w:rFonts w:ascii="Arial" w:hAnsi="Arial" w:cs="Arial"/>
          <w:iCs/>
          <w:color w:val="595959" w:themeColor="text1" w:themeTint="A6"/>
        </w:rPr>
        <w:t>).</w:t>
      </w:r>
      <w:r w:rsidR="00100996" w:rsidRPr="00B611AB">
        <w:rPr>
          <w:rFonts w:ascii="Arial" w:hAnsi="Arial" w:cs="Arial"/>
          <w:iCs/>
          <w:color w:val="595959" w:themeColor="text1" w:themeTint="A6"/>
        </w:rPr>
        <w:t xml:space="preserve"> </w:t>
      </w:r>
    </w:p>
    <w:p w14:paraId="58DA9B5D" w14:textId="30FC3ECE" w:rsidR="00D80461" w:rsidRDefault="00F766B7" w:rsidP="00114476">
      <w:pPr>
        <w:pStyle w:val="Heading4"/>
        <w:rPr>
          <w:rFonts w:ascii="Arial" w:hAnsi="Arial" w:cs="Arial"/>
          <w:iCs w:val="0"/>
          <w:color w:val="595959" w:themeColor="text1" w:themeTint="A6"/>
        </w:rPr>
      </w:pPr>
      <w:bookmarkStart w:id="45" w:name="_Toc34208269"/>
      <w:r>
        <w:rPr>
          <w:rFonts w:ascii="Arial" w:hAnsi="Arial" w:cs="Arial"/>
          <w:iCs w:val="0"/>
          <w:color w:val="595959" w:themeColor="text1" w:themeTint="A6"/>
        </w:rPr>
        <w:t xml:space="preserve">1.4.2.2 </w:t>
      </w:r>
      <w:r w:rsidR="00D80461" w:rsidRPr="00D80461">
        <w:rPr>
          <w:rFonts w:ascii="Arial" w:hAnsi="Arial" w:cs="Arial"/>
          <w:iCs w:val="0"/>
          <w:color w:val="595959" w:themeColor="text1" w:themeTint="A6"/>
        </w:rPr>
        <w:t>Tumo</w:t>
      </w:r>
      <w:r w:rsidR="00BD0658">
        <w:rPr>
          <w:rFonts w:ascii="Arial" w:hAnsi="Arial" w:cs="Arial"/>
          <w:iCs w:val="0"/>
          <w:color w:val="595959" w:themeColor="text1" w:themeTint="A6"/>
        </w:rPr>
        <w:t>u</w:t>
      </w:r>
      <w:r w:rsidR="00D80461" w:rsidRPr="00D80461">
        <w:rPr>
          <w:rFonts w:ascii="Arial" w:hAnsi="Arial" w:cs="Arial"/>
          <w:iCs w:val="0"/>
          <w:color w:val="595959" w:themeColor="text1" w:themeTint="A6"/>
        </w:rPr>
        <w:t>r Spheroids</w:t>
      </w:r>
      <w:bookmarkEnd w:id="45"/>
    </w:p>
    <w:p w14:paraId="58023023" w14:textId="77777777" w:rsidR="00114476" w:rsidRPr="00114476" w:rsidRDefault="00114476" w:rsidP="00114476"/>
    <w:p w14:paraId="55872702" w14:textId="57E53387" w:rsidR="00D80461" w:rsidRPr="00CB5CE4" w:rsidRDefault="00BD0658" w:rsidP="00CB5CE4">
      <w:pPr>
        <w:spacing w:line="480" w:lineRule="auto"/>
        <w:jc w:val="both"/>
        <w:rPr>
          <w:rFonts w:ascii="Arial" w:hAnsi="Arial" w:cs="Arial"/>
          <w:iCs/>
          <w:color w:val="595959" w:themeColor="text1" w:themeTint="A6"/>
        </w:rPr>
      </w:pPr>
      <w:r w:rsidRPr="00CB5CE4">
        <w:rPr>
          <w:rFonts w:ascii="Arial" w:hAnsi="Arial" w:cs="Arial"/>
          <w:iCs/>
          <w:color w:val="595959" w:themeColor="text1" w:themeTint="A6"/>
        </w:rPr>
        <w:t>Currently, t</w:t>
      </w:r>
      <w:r w:rsidR="00D80461" w:rsidRPr="00CB5CE4">
        <w:rPr>
          <w:rFonts w:ascii="Arial" w:hAnsi="Arial" w:cs="Arial"/>
          <w:iCs/>
          <w:color w:val="595959" w:themeColor="text1" w:themeTint="A6"/>
        </w:rPr>
        <w:t>umo</w:t>
      </w:r>
      <w:r w:rsidR="00F766B7" w:rsidRPr="00CB5CE4">
        <w:rPr>
          <w:rFonts w:ascii="Arial" w:hAnsi="Arial" w:cs="Arial"/>
          <w:iCs/>
          <w:color w:val="595959" w:themeColor="text1" w:themeTint="A6"/>
        </w:rPr>
        <w:t>u</w:t>
      </w:r>
      <w:r w:rsidR="00D80461" w:rsidRPr="00CB5CE4">
        <w:rPr>
          <w:rFonts w:ascii="Arial" w:hAnsi="Arial" w:cs="Arial"/>
          <w:iCs/>
          <w:color w:val="595959" w:themeColor="text1" w:themeTint="A6"/>
        </w:rPr>
        <w:t>r spheroid</w:t>
      </w:r>
      <w:r w:rsidR="00F766B7" w:rsidRPr="00CB5CE4">
        <w:rPr>
          <w:rFonts w:ascii="Arial" w:hAnsi="Arial" w:cs="Arial"/>
          <w:iCs/>
          <w:color w:val="595959" w:themeColor="text1" w:themeTint="A6"/>
        </w:rPr>
        <w:t xml:space="preserve">s are </w:t>
      </w:r>
      <w:r w:rsidR="00D80461" w:rsidRPr="00CB5CE4">
        <w:rPr>
          <w:rFonts w:ascii="Arial" w:hAnsi="Arial" w:cs="Arial"/>
          <w:iCs/>
          <w:color w:val="595959" w:themeColor="text1" w:themeTint="A6"/>
        </w:rPr>
        <w:t>the most common</w:t>
      </w:r>
      <w:r w:rsidR="005C7306" w:rsidRPr="00CB5CE4">
        <w:rPr>
          <w:rFonts w:ascii="Arial" w:hAnsi="Arial" w:cs="Arial"/>
          <w:iCs/>
          <w:color w:val="595959" w:themeColor="text1" w:themeTint="A6"/>
        </w:rPr>
        <w:t>ly employed 3D cancer model, made of c</w:t>
      </w:r>
      <w:r w:rsidR="00D80461" w:rsidRPr="00CB5CE4">
        <w:rPr>
          <w:rFonts w:ascii="Arial" w:hAnsi="Arial" w:cs="Arial"/>
          <w:iCs/>
          <w:color w:val="595959" w:themeColor="text1" w:themeTint="A6"/>
        </w:rPr>
        <w:t>ellular aggregate</w:t>
      </w:r>
      <w:r w:rsidR="005C7306" w:rsidRPr="00CB5CE4">
        <w:rPr>
          <w:rFonts w:ascii="Arial" w:hAnsi="Arial" w:cs="Arial"/>
          <w:iCs/>
          <w:color w:val="595959" w:themeColor="text1" w:themeTint="A6"/>
        </w:rPr>
        <w:t>s that form</w:t>
      </w:r>
      <w:r w:rsidR="00D80461" w:rsidRPr="00CB5CE4">
        <w:rPr>
          <w:rFonts w:ascii="Arial" w:hAnsi="Arial" w:cs="Arial"/>
          <w:iCs/>
          <w:color w:val="595959" w:themeColor="text1" w:themeTint="A6"/>
        </w:rPr>
        <w:t xml:space="preserve"> when non</w:t>
      </w:r>
      <w:r w:rsidR="005C7306" w:rsidRPr="00CB5CE4">
        <w:rPr>
          <w:rFonts w:ascii="Arial" w:hAnsi="Arial" w:cs="Arial"/>
          <w:iCs/>
          <w:color w:val="595959" w:themeColor="text1" w:themeTint="A6"/>
        </w:rPr>
        <w:t>-</w:t>
      </w:r>
      <w:r w:rsidR="00D80461" w:rsidRPr="00CB5CE4">
        <w:rPr>
          <w:rFonts w:ascii="Arial" w:hAnsi="Arial" w:cs="Arial"/>
          <w:iCs/>
          <w:color w:val="595959" w:themeColor="text1" w:themeTint="A6"/>
        </w:rPr>
        <w:t>adherent conditions are us</w:t>
      </w:r>
      <w:r w:rsidR="005C7306" w:rsidRPr="00CB5CE4">
        <w:rPr>
          <w:rFonts w:ascii="Arial" w:hAnsi="Arial" w:cs="Arial"/>
          <w:iCs/>
          <w:color w:val="595959" w:themeColor="text1" w:themeTint="A6"/>
        </w:rPr>
        <w:t>ed</w:t>
      </w:r>
      <w:r w:rsidR="00847896" w:rsidRPr="00CB5CE4">
        <w:rPr>
          <w:rFonts w:ascii="Arial" w:hAnsi="Arial" w:cs="Arial"/>
          <w:iCs/>
          <w:color w:val="595959" w:themeColor="text1" w:themeTint="A6"/>
        </w:rPr>
        <w:t>,</w:t>
      </w:r>
      <w:r w:rsidR="005C7306" w:rsidRPr="00CB5CE4">
        <w:rPr>
          <w:rFonts w:ascii="Arial" w:hAnsi="Arial" w:cs="Arial"/>
          <w:iCs/>
          <w:color w:val="595959" w:themeColor="text1" w:themeTint="A6"/>
        </w:rPr>
        <w:t xml:space="preserve"> to culture transformed cells.</w:t>
      </w:r>
      <w:r w:rsidR="00D80461" w:rsidRPr="00CB5CE4">
        <w:rPr>
          <w:rFonts w:ascii="Arial" w:hAnsi="Arial" w:cs="Arial"/>
          <w:iCs/>
          <w:color w:val="595959" w:themeColor="text1" w:themeTint="A6"/>
        </w:rPr>
        <w:t> </w:t>
      </w:r>
      <w:r w:rsidR="005C7306" w:rsidRPr="00CB5CE4">
        <w:rPr>
          <w:rFonts w:ascii="Arial" w:hAnsi="Arial" w:cs="Arial"/>
          <w:iCs/>
          <w:color w:val="595959" w:themeColor="text1" w:themeTint="A6"/>
        </w:rPr>
        <w:t>S</w:t>
      </w:r>
      <w:r w:rsidR="00D80461" w:rsidRPr="00CB5CE4">
        <w:rPr>
          <w:rFonts w:ascii="Arial" w:hAnsi="Arial" w:cs="Arial"/>
          <w:iCs/>
          <w:color w:val="595959" w:themeColor="text1" w:themeTint="A6"/>
        </w:rPr>
        <w:t xml:space="preserve">pheroids recapitulate the </w:t>
      </w:r>
      <w:r w:rsidR="00D80461" w:rsidRPr="00CB5CE4">
        <w:rPr>
          <w:rFonts w:ascii="Arial" w:hAnsi="Arial" w:cs="Arial"/>
          <w:i/>
          <w:color w:val="595959" w:themeColor="text1" w:themeTint="A6"/>
        </w:rPr>
        <w:t>in vivo</w:t>
      </w:r>
      <w:r w:rsidR="00D80461" w:rsidRPr="00CB5CE4">
        <w:rPr>
          <w:rFonts w:ascii="Arial" w:hAnsi="Arial" w:cs="Arial"/>
          <w:iCs/>
          <w:color w:val="595959" w:themeColor="text1" w:themeTint="A6"/>
        </w:rPr>
        <w:t xml:space="preserve"> tumo</w:t>
      </w:r>
      <w:r w:rsidR="005C7306" w:rsidRPr="00CB5CE4">
        <w:rPr>
          <w:rFonts w:ascii="Arial" w:hAnsi="Arial" w:cs="Arial"/>
          <w:iCs/>
          <w:color w:val="595959" w:themeColor="text1" w:themeTint="A6"/>
        </w:rPr>
        <w:t>u</w:t>
      </w:r>
      <w:r w:rsidR="00D80461" w:rsidRPr="00CB5CE4">
        <w:rPr>
          <w:rFonts w:ascii="Arial" w:hAnsi="Arial" w:cs="Arial"/>
          <w:iCs/>
          <w:color w:val="595959" w:themeColor="text1" w:themeTint="A6"/>
        </w:rPr>
        <w:t>r architecture more closely than 2D monolayer cultures</w:t>
      </w:r>
      <w:r w:rsidR="005C7306" w:rsidRPr="00CB5CE4">
        <w:rPr>
          <w:rFonts w:ascii="Arial" w:hAnsi="Arial" w:cs="Arial"/>
          <w:iCs/>
          <w:color w:val="595959" w:themeColor="text1" w:themeTint="A6"/>
        </w:rPr>
        <w:t xml:space="preserve"> by supporting a 3D cellular architecture and </w:t>
      </w:r>
      <w:r w:rsidR="005C7306" w:rsidRPr="00CB5CE4">
        <w:rPr>
          <w:rFonts w:ascii="Arial" w:hAnsi="Arial" w:cs="Arial"/>
          <w:i/>
          <w:color w:val="595959" w:themeColor="text1" w:themeTint="A6"/>
        </w:rPr>
        <w:t>in vivo</w:t>
      </w:r>
      <w:r w:rsidR="005C7306" w:rsidRPr="00CB5CE4">
        <w:rPr>
          <w:rFonts w:ascii="Arial" w:hAnsi="Arial" w:cs="Arial"/>
          <w:iCs/>
          <w:color w:val="595959" w:themeColor="text1" w:themeTint="A6"/>
        </w:rPr>
        <w:t>–like cell–cell contacts</w:t>
      </w:r>
      <w:r w:rsidR="00D80461" w:rsidRPr="00CB5CE4">
        <w:rPr>
          <w:rFonts w:ascii="Arial" w:hAnsi="Arial" w:cs="Arial"/>
          <w:iCs/>
          <w:color w:val="595959" w:themeColor="text1" w:themeTint="A6"/>
        </w:rPr>
        <w:t>. Indeed, spheroids have been reported to reflect the cell morphology</w:t>
      </w:r>
      <w:r w:rsidRPr="00CB5CE4">
        <w:rPr>
          <w:rFonts w:ascii="Arial" w:hAnsi="Arial" w:cs="Arial"/>
          <w:iCs/>
          <w:color w:val="595959" w:themeColor="text1" w:themeTint="A6"/>
        </w:rPr>
        <w:t xml:space="preserve"> (Colley </w:t>
      </w:r>
      <w:r w:rsidRPr="00CB5CE4">
        <w:rPr>
          <w:rFonts w:ascii="Arial" w:hAnsi="Arial" w:cs="Arial"/>
          <w:i/>
          <w:color w:val="595959" w:themeColor="text1" w:themeTint="A6"/>
        </w:rPr>
        <w:t xml:space="preserve">et al., </w:t>
      </w:r>
      <w:r w:rsidRPr="00CB5CE4">
        <w:rPr>
          <w:rFonts w:ascii="Arial" w:hAnsi="Arial" w:cs="Arial"/>
          <w:iCs/>
          <w:color w:val="595959" w:themeColor="text1" w:themeTint="A6"/>
        </w:rPr>
        <w:t>2011)</w:t>
      </w:r>
      <w:r w:rsidR="00D80461" w:rsidRPr="00CB5CE4">
        <w:rPr>
          <w:rFonts w:ascii="Arial" w:hAnsi="Arial" w:cs="Arial"/>
          <w:iCs/>
          <w:color w:val="595959" w:themeColor="text1" w:themeTint="A6"/>
        </w:rPr>
        <w:t>,</w:t>
      </w:r>
      <w:r w:rsidR="005C7306" w:rsidRPr="00CB5CE4">
        <w:rPr>
          <w:rFonts w:ascii="Arial" w:hAnsi="Arial" w:cs="Arial"/>
          <w:iCs/>
          <w:color w:val="595959" w:themeColor="text1" w:themeTint="A6"/>
          <w:vertAlign w:val="superscript"/>
        </w:rPr>
        <w:t xml:space="preserve"> </w:t>
      </w:r>
      <w:r w:rsidR="00D80461" w:rsidRPr="00CB5CE4">
        <w:rPr>
          <w:rFonts w:ascii="Arial" w:hAnsi="Arial" w:cs="Arial"/>
          <w:iCs/>
          <w:color w:val="595959" w:themeColor="text1" w:themeTint="A6"/>
        </w:rPr>
        <w:t>growth kinetics,</w:t>
      </w:r>
      <w:r w:rsidR="005C7306" w:rsidRPr="00CB5CE4">
        <w:rPr>
          <w:rFonts w:ascii="Arial" w:hAnsi="Arial" w:cs="Arial"/>
          <w:iCs/>
          <w:color w:val="595959" w:themeColor="text1" w:themeTint="A6"/>
        </w:rPr>
        <w:t xml:space="preserve"> </w:t>
      </w:r>
      <w:r w:rsidR="00D80461" w:rsidRPr="00CB5CE4">
        <w:rPr>
          <w:rFonts w:ascii="Arial" w:hAnsi="Arial" w:cs="Arial"/>
          <w:iCs/>
          <w:color w:val="595959" w:themeColor="text1" w:themeTint="A6"/>
        </w:rPr>
        <w:t>signa</w:t>
      </w:r>
      <w:r w:rsidR="005C7306" w:rsidRPr="00CB5CE4">
        <w:rPr>
          <w:rFonts w:ascii="Arial" w:hAnsi="Arial" w:cs="Arial"/>
          <w:iCs/>
          <w:color w:val="595959" w:themeColor="text1" w:themeTint="A6"/>
        </w:rPr>
        <w:t>l</w:t>
      </w:r>
      <w:r w:rsidR="00D80461" w:rsidRPr="00CB5CE4">
        <w:rPr>
          <w:rFonts w:ascii="Arial" w:hAnsi="Arial" w:cs="Arial"/>
          <w:iCs/>
          <w:color w:val="595959" w:themeColor="text1" w:themeTint="A6"/>
        </w:rPr>
        <w:t xml:space="preserve">ling pathways, and drug response of solid </w:t>
      </w:r>
      <w:r w:rsidR="005C7306" w:rsidRPr="00CB5CE4">
        <w:rPr>
          <w:rFonts w:ascii="Arial" w:hAnsi="Arial" w:cs="Arial"/>
          <w:iCs/>
          <w:color w:val="595959" w:themeColor="text1" w:themeTint="A6"/>
        </w:rPr>
        <w:t>tumou</w:t>
      </w:r>
      <w:r w:rsidR="00D80461" w:rsidRPr="00CB5CE4">
        <w:rPr>
          <w:rFonts w:ascii="Arial" w:hAnsi="Arial" w:cs="Arial"/>
          <w:iCs/>
          <w:color w:val="595959" w:themeColor="text1" w:themeTint="A6"/>
        </w:rPr>
        <w:t>rs</w:t>
      </w:r>
      <w:r w:rsidR="005C7306" w:rsidRPr="00CB5CE4">
        <w:rPr>
          <w:rFonts w:ascii="Arial" w:hAnsi="Arial" w:cs="Arial"/>
          <w:iCs/>
          <w:color w:val="595959" w:themeColor="text1" w:themeTint="A6"/>
        </w:rPr>
        <w:t xml:space="preserve"> (Lawlor </w:t>
      </w:r>
      <w:r w:rsidR="005C7306" w:rsidRPr="00CB5CE4">
        <w:rPr>
          <w:rFonts w:ascii="Arial" w:hAnsi="Arial" w:cs="Arial"/>
          <w:i/>
          <w:color w:val="595959" w:themeColor="text1" w:themeTint="A6"/>
        </w:rPr>
        <w:t>et al.,</w:t>
      </w:r>
      <w:r w:rsidR="005C7306" w:rsidRPr="00CB5CE4">
        <w:rPr>
          <w:rFonts w:ascii="Arial" w:hAnsi="Arial" w:cs="Arial"/>
          <w:iCs/>
          <w:color w:val="595959" w:themeColor="text1" w:themeTint="A6"/>
        </w:rPr>
        <w:t xml:space="preserve"> 2002)</w:t>
      </w:r>
      <w:r w:rsidR="00E258C2">
        <w:rPr>
          <w:rFonts w:ascii="Arial" w:hAnsi="Arial" w:cs="Arial"/>
          <w:iCs/>
          <w:color w:val="595959" w:themeColor="text1" w:themeTint="A6"/>
        </w:rPr>
        <w:t xml:space="preserve"> including head and neck cancers</w:t>
      </w:r>
      <w:r w:rsidR="006969B6">
        <w:rPr>
          <w:rFonts w:ascii="Arial" w:hAnsi="Arial" w:cs="Arial"/>
          <w:iCs/>
          <w:color w:val="595959" w:themeColor="text1" w:themeTint="A6"/>
        </w:rPr>
        <w:t>.</w:t>
      </w:r>
      <w:r w:rsidR="00D80461" w:rsidRPr="00CB5CE4">
        <w:rPr>
          <w:rFonts w:ascii="Arial" w:hAnsi="Arial" w:cs="Arial"/>
          <w:iCs/>
          <w:color w:val="595959" w:themeColor="text1" w:themeTint="A6"/>
        </w:rPr>
        <w:t xml:space="preserve"> </w:t>
      </w:r>
      <w:r w:rsidR="008E6FD9" w:rsidRPr="00CB5CE4">
        <w:rPr>
          <w:rFonts w:ascii="Arial" w:hAnsi="Arial" w:cs="Arial"/>
          <w:iCs/>
          <w:color w:val="595959" w:themeColor="text1" w:themeTint="A6"/>
        </w:rPr>
        <w:t xml:space="preserve">Spheroids derived from the murine colon carcinoma cell line </w:t>
      </w:r>
      <w:r w:rsidR="008E6FD9" w:rsidRPr="00CB5CE4">
        <w:rPr>
          <w:rFonts w:ascii="Arial" w:hAnsi="Arial" w:cs="Arial"/>
          <w:iCs/>
          <w:color w:val="595959" w:themeColor="text1" w:themeTint="A6"/>
        </w:rPr>
        <w:lastRenderedPageBreak/>
        <w:t xml:space="preserve">CT26 embedded in a biomimetic collagen I matrix have been utilised to study the effect of contractile forces. Kopanska </w:t>
      </w:r>
      <w:r w:rsidR="008E6FD9" w:rsidRPr="00CB5CE4">
        <w:rPr>
          <w:rFonts w:ascii="Arial" w:hAnsi="Arial" w:cs="Arial"/>
          <w:i/>
          <w:color w:val="595959" w:themeColor="text1" w:themeTint="A6"/>
        </w:rPr>
        <w:t>et al.,</w:t>
      </w:r>
      <w:r w:rsidR="008E6FD9" w:rsidRPr="00CB5CE4">
        <w:rPr>
          <w:rFonts w:ascii="Arial" w:hAnsi="Arial" w:cs="Arial"/>
          <w:iCs/>
          <w:color w:val="595959" w:themeColor="text1" w:themeTint="A6"/>
        </w:rPr>
        <w:t xml:space="preserve"> showed that contractile forces act immediately after seeding and can deform the ECM, generating tensile radial forces within the matrix, and could be </w:t>
      </w:r>
      <w:r w:rsidR="008E6FD9" w:rsidRPr="00B611AB">
        <w:rPr>
          <w:rFonts w:ascii="Arial" w:hAnsi="Arial" w:cs="Arial"/>
          <w:iCs/>
          <w:color w:val="595959" w:themeColor="text1" w:themeTint="A6"/>
        </w:rPr>
        <w:t>relaxed by cutting the collagen indicating that tensile forces in the ECM facilitate invasion. </w:t>
      </w:r>
      <w:r w:rsidR="00420C8F" w:rsidRPr="00B611AB">
        <w:rPr>
          <w:rFonts w:ascii="Arial" w:hAnsi="Arial" w:cs="Arial"/>
          <w:iCs/>
          <w:color w:val="595959" w:themeColor="text1" w:themeTint="A6"/>
        </w:rPr>
        <w:t xml:space="preserve">Cell-matrix remodelling has also been investigated using spheroids (Moss </w:t>
      </w:r>
      <w:r w:rsidR="00420C8F" w:rsidRPr="00B611AB">
        <w:rPr>
          <w:rFonts w:ascii="Arial" w:hAnsi="Arial" w:cs="Arial"/>
          <w:i/>
          <w:color w:val="595959" w:themeColor="text1" w:themeTint="A6"/>
        </w:rPr>
        <w:t>et al.,</w:t>
      </w:r>
      <w:r w:rsidR="00420C8F" w:rsidRPr="00B611AB">
        <w:rPr>
          <w:rFonts w:ascii="Arial" w:hAnsi="Arial" w:cs="Arial"/>
          <w:iCs/>
          <w:color w:val="595959" w:themeColor="text1" w:themeTint="A6"/>
        </w:rPr>
        <w:t xml:space="preserve"> 2009). In one such study t</w:t>
      </w:r>
      <w:r w:rsidR="008E6FD9" w:rsidRPr="00B611AB">
        <w:rPr>
          <w:rFonts w:ascii="Arial" w:hAnsi="Arial" w:cs="Arial"/>
          <w:iCs/>
          <w:color w:val="595959" w:themeColor="text1" w:themeTint="A6"/>
        </w:rPr>
        <w:t>he proliferation of</w:t>
      </w:r>
      <w:r w:rsidR="00420C8F" w:rsidRPr="00B611AB">
        <w:rPr>
          <w:rFonts w:ascii="Arial" w:hAnsi="Arial" w:cs="Arial"/>
          <w:iCs/>
          <w:color w:val="595959" w:themeColor="text1" w:themeTint="A6"/>
        </w:rPr>
        <w:t xml:space="preserve"> epithelial ovarian cancer</w:t>
      </w:r>
      <w:r w:rsidR="008E6FD9" w:rsidRPr="00B611AB">
        <w:rPr>
          <w:rFonts w:ascii="Arial" w:hAnsi="Arial" w:cs="Arial"/>
          <w:iCs/>
          <w:color w:val="595959" w:themeColor="text1" w:themeTint="A6"/>
        </w:rPr>
        <w:t xml:space="preserve"> cells </w:t>
      </w:r>
      <w:r w:rsidR="00420C8F" w:rsidRPr="00B611AB">
        <w:rPr>
          <w:rFonts w:ascii="Arial" w:hAnsi="Arial" w:cs="Arial"/>
          <w:iCs/>
          <w:color w:val="595959" w:themeColor="text1" w:themeTint="A6"/>
        </w:rPr>
        <w:t xml:space="preserve">embedded </w:t>
      </w:r>
      <w:r w:rsidR="008E6FD9" w:rsidRPr="00B611AB">
        <w:rPr>
          <w:rFonts w:ascii="Arial" w:hAnsi="Arial" w:cs="Arial"/>
          <w:iCs/>
          <w:color w:val="595959" w:themeColor="text1" w:themeTint="A6"/>
        </w:rPr>
        <w:t>within MMP-sensitive hydrogels was 50% enhanced</w:t>
      </w:r>
      <w:r w:rsidR="00420C8F" w:rsidRPr="00B611AB">
        <w:rPr>
          <w:rFonts w:ascii="Arial" w:hAnsi="Arial" w:cs="Arial"/>
          <w:iCs/>
          <w:color w:val="595959" w:themeColor="text1" w:themeTint="A6"/>
        </w:rPr>
        <w:t xml:space="preserve"> </w:t>
      </w:r>
      <w:r w:rsidR="008E6FD9" w:rsidRPr="00B611AB">
        <w:rPr>
          <w:rFonts w:ascii="Arial" w:hAnsi="Arial" w:cs="Arial"/>
          <w:iCs/>
          <w:color w:val="595959" w:themeColor="text1" w:themeTint="A6"/>
        </w:rPr>
        <w:t>compare</w:t>
      </w:r>
      <w:r w:rsidR="00420C8F" w:rsidRPr="00B611AB">
        <w:rPr>
          <w:rFonts w:ascii="Arial" w:hAnsi="Arial" w:cs="Arial"/>
          <w:iCs/>
          <w:color w:val="595959" w:themeColor="text1" w:themeTint="A6"/>
        </w:rPr>
        <w:t xml:space="preserve">d to MMP-insensitive hydrogels and </w:t>
      </w:r>
      <w:r w:rsidR="008E6FD9" w:rsidRPr="00B611AB">
        <w:rPr>
          <w:rFonts w:ascii="Arial" w:hAnsi="Arial" w:cs="Arial"/>
          <w:iCs/>
          <w:color w:val="595959" w:themeColor="text1" w:themeTint="A6"/>
        </w:rPr>
        <w:t xml:space="preserve">within MMP-sensitive hydrogels </w:t>
      </w:r>
      <w:r w:rsidR="00420C8F" w:rsidRPr="00B611AB">
        <w:rPr>
          <w:rFonts w:ascii="Arial" w:hAnsi="Arial" w:cs="Arial"/>
          <w:iCs/>
          <w:color w:val="595959" w:themeColor="text1" w:themeTint="A6"/>
        </w:rPr>
        <w:t xml:space="preserve">this </w:t>
      </w:r>
      <w:r w:rsidR="008E6FD9" w:rsidRPr="00B611AB">
        <w:rPr>
          <w:rFonts w:ascii="Arial" w:hAnsi="Arial" w:cs="Arial"/>
          <w:iCs/>
          <w:color w:val="595959" w:themeColor="text1" w:themeTint="A6"/>
        </w:rPr>
        <w:t>was significantly</w:t>
      </w:r>
      <w:r w:rsidR="00420C8F" w:rsidRPr="00B611AB">
        <w:rPr>
          <w:rFonts w:ascii="Arial" w:hAnsi="Arial" w:cs="Arial"/>
          <w:iCs/>
          <w:color w:val="595959" w:themeColor="text1" w:themeTint="A6"/>
        </w:rPr>
        <w:t xml:space="preserve"> reduced through</w:t>
      </w:r>
      <w:r w:rsidR="008E6FD9" w:rsidRPr="00B611AB">
        <w:rPr>
          <w:rFonts w:ascii="Arial" w:hAnsi="Arial" w:cs="Arial"/>
          <w:iCs/>
          <w:color w:val="595959" w:themeColor="text1" w:themeTint="A6"/>
        </w:rPr>
        <w:t xml:space="preserve"> inhibition of MMP activity through a broad-spectrum</w:t>
      </w:r>
      <w:r w:rsidR="00420C8F" w:rsidRPr="00B611AB">
        <w:rPr>
          <w:rFonts w:ascii="Arial" w:hAnsi="Arial" w:cs="Arial"/>
          <w:iCs/>
          <w:color w:val="595959" w:themeColor="text1" w:themeTint="A6"/>
        </w:rPr>
        <w:t xml:space="preserve"> </w:t>
      </w:r>
      <w:r w:rsidR="008E6FD9" w:rsidRPr="00B611AB">
        <w:rPr>
          <w:rFonts w:ascii="Arial" w:hAnsi="Arial" w:cs="Arial"/>
          <w:iCs/>
          <w:color w:val="595959" w:themeColor="text1" w:themeTint="A6"/>
        </w:rPr>
        <w:t>MMP-inhibitor (GM6001</w:t>
      </w:r>
      <w:r w:rsidR="00CB5CE4" w:rsidRPr="00B611AB">
        <w:rPr>
          <w:rFonts w:ascii="Arial" w:hAnsi="Arial" w:cs="Arial"/>
          <w:iCs/>
          <w:color w:val="595959" w:themeColor="text1" w:themeTint="A6"/>
        </w:rPr>
        <w:t xml:space="preserve">) (Loessner </w:t>
      </w:r>
      <w:r w:rsidR="00CB5CE4" w:rsidRPr="00B611AB">
        <w:rPr>
          <w:rFonts w:ascii="Arial" w:hAnsi="Arial" w:cs="Arial"/>
          <w:i/>
          <w:color w:val="595959" w:themeColor="text1" w:themeTint="A6"/>
        </w:rPr>
        <w:t>et al.,</w:t>
      </w:r>
      <w:r w:rsidR="00CB5CE4" w:rsidRPr="00B611AB">
        <w:rPr>
          <w:rFonts w:ascii="Arial" w:hAnsi="Arial" w:cs="Arial"/>
          <w:iCs/>
          <w:color w:val="595959" w:themeColor="text1" w:themeTint="A6"/>
        </w:rPr>
        <w:t xml:space="preserve"> 2010). </w:t>
      </w:r>
      <w:r w:rsidR="001605E2" w:rsidRPr="00B611AB">
        <w:rPr>
          <w:rFonts w:ascii="Arial" w:hAnsi="Arial" w:cs="Arial"/>
          <w:iCs/>
          <w:color w:val="595959" w:themeColor="text1" w:themeTint="A6"/>
        </w:rPr>
        <w:t>Tumour spheroids are advantage</w:t>
      </w:r>
      <w:r w:rsidR="00BB3A64" w:rsidRPr="00B611AB">
        <w:rPr>
          <w:rFonts w:ascii="Arial" w:hAnsi="Arial" w:cs="Arial"/>
          <w:iCs/>
          <w:color w:val="595959" w:themeColor="text1" w:themeTint="A6"/>
        </w:rPr>
        <w:t>ou</w:t>
      </w:r>
      <w:r w:rsidR="001605E2" w:rsidRPr="00B611AB">
        <w:rPr>
          <w:rFonts w:ascii="Arial" w:hAnsi="Arial" w:cs="Arial"/>
          <w:iCs/>
          <w:color w:val="595959" w:themeColor="text1" w:themeTint="A6"/>
        </w:rPr>
        <w:t>s</w:t>
      </w:r>
      <w:r w:rsidR="006C6179" w:rsidRPr="00B611AB">
        <w:rPr>
          <w:rFonts w:ascii="Arial" w:hAnsi="Arial" w:cs="Arial"/>
          <w:iCs/>
          <w:color w:val="595959" w:themeColor="text1" w:themeTint="A6"/>
        </w:rPr>
        <w:t xml:space="preserve"> to study cancer</w:t>
      </w:r>
      <w:r w:rsidR="001605E2" w:rsidRPr="00B611AB">
        <w:rPr>
          <w:rFonts w:ascii="Arial" w:hAnsi="Arial" w:cs="Arial"/>
          <w:iCs/>
          <w:color w:val="595959" w:themeColor="text1" w:themeTint="A6"/>
        </w:rPr>
        <w:t xml:space="preserve"> as they are </w:t>
      </w:r>
      <w:r w:rsidR="004E676A" w:rsidRPr="00B611AB">
        <w:rPr>
          <w:rFonts w:ascii="Arial" w:hAnsi="Arial" w:cs="Arial"/>
          <w:iCs/>
          <w:color w:val="595959" w:themeColor="text1" w:themeTint="A6"/>
        </w:rPr>
        <w:t xml:space="preserve">amenable </w:t>
      </w:r>
      <w:r w:rsidR="006C6179" w:rsidRPr="00B611AB">
        <w:rPr>
          <w:rFonts w:ascii="Arial" w:hAnsi="Arial" w:cs="Arial"/>
          <w:iCs/>
          <w:color w:val="595959" w:themeColor="text1" w:themeTint="A6"/>
        </w:rPr>
        <w:t>to high through-put screening</w:t>
      </w:r>
      <w:r w:rsidR="00DE61EC" w:rsidRPr="00B611AB">
        <w:rPr>
          <w:rFonts w:ascii="Arial" w:hAnsi="Arial" w:cs="Arial"/>
          <w:iCs/>
          <w:color w:val="595959" w:themeColor="text1" w:themeTint="A6"/>
        </w:rPr>
        <w:t xml:space="preserve"> </w:t>
      </w:r>
      <w:r w:rsidR="00FA5E2E" w:rsidRPr="00B611AB">
        <w:rPr>
          <w:rFonts w:ascii="Arial" w:hAnsi="Arial" w:cs="Arial"/>
          <w:iCs/>
          <w:color w:val="595959" w:themeColor="text1" w:themeTint="A6"/>
        </w:rPr>
        <w:t>methodologies</w:t>
      </w:r>
      <w:r w:rsidR="0026737B" w:rsidRPr="00B611AB">
        <w:rPr>
          <w:rFonts w:ascii="Arial" w:hAnsi="Arial" w:cs="Arial"/>
          <w:iCs/>
          <w:color w:val="595959" w:themeColor="text1" w:themeTint="A6"/>
        </w:rPr>
        <w:t xml:space="preserve">, </w:t>
      </w:r>
      <w:r w:rsidR="00C65B7F" w:rsidRPr="00B611AB">
        <w:rPr>
          <w:rFonts w:ascii="Arial" w:hAnsi="Arial" w:cs="Arial"/>
          <w:iCs/>
          <w:color w:val="595959" w:themeColor="text1" w:themeTint="A6"/>
        </w:rPr>
        <w:t>have</w:t>
      </w:r>
      <w:r w:rsidR="00186BAA" w:rsidRPr="00B611AB">
        <w:rPr>
          <w:rFonts w:ascii="Arial" w:hAnsi="Arial" w:cs="Arial"/>
          <w:iCs/>
          <w:color w:val="595959" w:themeColor="text1" w:themeTint="A6"/>
        </w:rPr>
        <w:t xml:space="preserve"> observable tumour: ECM interactions</w:t>
      </w:r>
      <w:r w:rsidR="0026737B" w:rsidRPr="00B611AB">
        <w:rPr>
          <w:rFonts w:ascii="Arial" w:hAnsi="Arial" w:cs="Arial"/>
          <w:iCs/>
          <w:color w:val="595959" w:themeColor="text1" w:themeTint="A6"/>
        </w:rPr>
        <w:t xml:space="preserve">, </w:t>
      </w:r>
      <w:r w:rsidR="00BC12B6" w:rsidRPr="00B611AB">
        <w:rPr>
          <w:rFonts w:ascii="Arial" w:hAnsi="Arial" w:cs="Arial"/>
          <w:iCs/>
          <w:color w:val="595959" w:themeColor="text1" w:themeTint="A6"/>
        </w:rPr>
        <w:t xml:space="preserve">as well as </w:t>
      </w:r>
      <w:r w:rsidR="00186BAA" w:rsidRPr="00B611AB">
        <w:rPr>
          <w:rFonts w:ascii="Arial" w:hAnsi="Arial" w:cs="Arial"/>
          <w:iCs/>
          <w:color w:val="595959" w:themeColor="text1" w:themeTint="A6"/>
        </w:rPr>
        <w:t xml:space="preserve">a relatively simplistic experimental design </w:t>
      </w:r>
      <w:r w:rsidR="008B1A8D" w:rsidRPr="00B611AB">
        <w:rPr>
          <w:rFonts w:ascii="Arial" w:hAnsi="Arial" w:cs="Arial"/>
          <w:iCs/>
          <w:color w:val="595959" w:themeColor="text1" w:themeTint="A6"/>
        </w:rPr>
        <w:t>(</w:t>
      </w:r>
      <w:r w:rsidR="00041F1F" w:rsidRPr="00B611AB">
        <w:rPr>
          <w:rFonts w:ascii="Arial" w:hAnsi="Arial" w:cs="Arial"/>
          <w:iCs/>
          <w:color w:val="595959" w:themeColor="text1" w:themeTint="A6"/>
        </w:rPr>
        <w:t>Kim, 2005</w:t>
      </w:r>
      <w:r w:rsidR="008B1A8D" w:rsidRPr="00B611AB">
        <w:rPr>
          <w:rFonts w:ascii="Arial" w:hAnsi="Arial" w:cs="Arial"/>
          <w:iCs/>
          <w:color w:val="595959" w:themeColor="text1" w:themeTint="A6"/>
        </w:rPr>
        <w:t xml:space="preserve">). </w:t>
      </w:r>
      <w:r w:rsidR="00241F54" w:rsidRPr="00B611AB">
        <w:rPr>
          <w:rFonts w:ascii="Arial" w:hAnsi="Arial" w:cs="Arial"/>
          <w:iCs/>
          <w:color w:val="595959" w:themeColor="text1" w:themeTint="A6"/>
        </w:rPr>
        <w:t xml:space="preserve">The latter can also </w:t>
      </w:r>
      <w:r w:rsidR="00934DA2" w:rsidRPr="00B611AB">
        <w:rPr>
          <w:rFonts w:ascii="Arial" w:hAnsi="Arial" w:cs="Arial"/>
          <w:iCs/>
          <w:color w:val="595959" w:themeColor="text1" w:themeTint="A6"/>
        </w:rPr>
        <w:t>be disadvantageous</w:t>
      </w:r>
      <w:r w:rsidR="005C0BF8" w:rsidRPr="00B611AB">
        <w:rPr>
          <w:rFonts w:ascii="Arial" w:hAnsi="Arial" w:cs="Arial"/>
          <w:iCs/>
          <w:color w:val="595959" w:themeColor="text1" w:themeTint="A6"/>
        </w:rPr>
        <w:t xml:space="preserve">, </w:t>
      </w:r>
      <w:r w:rsidR="00974CAF" w:rsidRPr="00B611AB">
        <w:rPr>
          <w:rFonts w:ascii="Arial" w:hAnsi="Arial" w:cs="Arial"/>
          <w:iCs/>
          <w:color w:val="595959" w:themeColor="text1" w:themeTint="A6"/>
        </w:rPr>
        <w:t xml:space="preserve">as </w:t>
      </w:r>
      <w:r w:rsidR="0073151D" w:rsidRPr="00B611AB">
        <w:rPr>
          <w:rFonts w:ascii="Arial" w:hAnsi="Arial" w:cs="Arial"/>
          <w:iCs/>
          <w:color w:val="595959" w:themeColor="text1" w:themeTint="A6"/>
        </w:rPr>
        <w:t xml:space="preserve">a </w:t>
      </w:r>
      <w:r w:rsidR="005C0BF8" w:rsidRPr="00B611AB">
        <w:rPr>
          <w:rFonts w:ascii="Arial" w:hAnsi="Arial" w:cs="Arial"/>
          <w:iCs/>
          <w:color w:val="595959" w:themeColor="text1" w:themeTint="A6"/>
        </w:rPr>
        <w:t xml:space="preserve">simplistic </w:t>
      </w:r>
      <w:r w:rsidR="0073151D" w:rsidRPr="00B611AB">
        <w:rPr>
          <w:rFonts w:ascii="Arial" w:hAnsi="Arial" w:cs="Arial"/>
          <w:iCs/>
          <w:color w:val="595959" w:themeColor="text1" w:themeTint="A6"/>
        </w:rPr>
        <w:t xml:space="preserve">design and </w:t>
      </w:r>
      <w:r w:rsidR="005C0BF8" w:rsidRPr="00B611AB">
        <w:rPr>
          <w:rFonts w:ascii="Arial" w:hAnsi="Arial" w:cs="Arial"/>
          <w:iCs/>
          <w:color w:val="595959" w:themeColor="text1" w:themeTint="A6"/>
        </w:rPr>
        <w:t>architecture</w:t>
      </w:r>
      <w:r w:rsidR="00C51BBD" w:rsidRPr="00B611AB">
        <w:rPr>
          <w:rFonts w:ascii="Arial" w:hAnsi="Arial" w:cs="Arial"/>
          <w:iCs/>
          <w:color w:val="595959" w:themeColor="text1" w:themeTint="A6"/>
        </w:rPr>
        <w:t xml:space="preserve"> </w:t>
      </w:r>
      <w:r w:rsidR="005C0BF8" w:rsidRPr="00B611AB">
        <w:rPr>
          <w:rFonts w:ascii="Arial" w:hAnsi="Arial" w:cs="Arial"/>
          <w:iCs/>
          <w:color w:val="595959" w:themeColor="text1" w:themeTint="A6"/>
        </w:rPr>
        <w:t>insufficient</w:t>
      </w:r>
      <w:r w:rsidR="00C51BBD" w:rsidRPr="00B611AB">
        <w:rPr>
          <w:rFonts w:ascii="Arial" w:hAnsi="Arial" w:cs="Arial"/>
          <w:iCs/>
          <w:color w:val="595959" w:themeColor="text1" w:themeTint="A6"/>
        </w:rPr>
        <w:t xml:space="preserve">ly captures </w:t>
      </w:r>
      <w:r w:rsidR="006578D3" w:rsidRPr="00B611AB">
        <w:rPr>
          <w:rFonts w:ascii="Arial" w:hAnsi="Arial" w:cs="Arial"/>
          <w:iCs/>
          <w:color w:val="595959" w:themeColor="text1" w:themeTint="A6"/>
        </w:rPr>
        <w:t xml:space="preserve">ECM </w:t>
      </w:r>
      <w:r w:rsidR="00694588" w:rsidRPr="00B611AB">
        <w:rPr>
          <w:rFonts w:ascii="Arial" w:hAnsi="Arial" w:cs="Arial"/>
          <w:iCs/>
          <w:color w:val="595959" w:themeColor="text1" w:themeTint="A6"/>
        </w:rPr>
        <w:t>dynamics</w:t>
      </w:r>
      <w:r w:rsidR="006578D3" w:rsidRPr="00B611AB">
        <w:rPr>
          <w:rFonts w:ascii="Arial" w:hAnsi="Arial" w:cs="Arial"/>
          <w:iCs/>
          <w:color w:val="595959" w:themeColor="text1" w:themeTint="A6"/>
        </w:rPr>
        <w:t xml:space="preserve">. </w:t>
      </w:r>
      <w:r w:rsidR="00F03BBA" w:rsidRPr="00B611AB">
        <w:rPr>
          <w:rFonts w:ascii="Arial" w:hAnsi="Arial" w:cs="Arial"/>
          <w:iCs/>
          <w:color w:val="595959" w:themeColor="text1" w:themeTint="A6"/>
        </w:rPr>
        <w:t>The</w:t>
      </w:r>
      <w:r w:rsidR="001132C8" w:rsidRPr="00B611AB">
        <w:rPr>
          <w:rFonts w:ascii="Arial" w:hAnsi="Arial" w:cs="Arial"/>
          <w:iCs/>
          <w:color w:val="595959" w:themeColor="text1" w:themeTint="A6"/>
        </w:rPr>
        <w:t>se systems</w:t>
      </w:r>
      <w:r w:rsidR="00B83225" w:rsidRPr="00B611AB">
        <w:rPr>
          <w:rFonts w:ascii="Arial" w:hAnsi="Arial" w:cs="Arial"/>
          <w:iCs/>
          <w:color w:val="595959" w:themeColor="text1" w:themeTint="A6"/>
        </w:rPr>
        <w:t xml:space="preserve"> have inefficient diffusion gradients</w:t>
      </w:r>
      <w:r w:rsidR="00AD6E08" w:rsidRPr="00B611AB">
        <w:rPr>
          <w:rFonts w:ascii="Arial" w:hAnsi="Arial" w:cs="Arial"/>
          <w:iCs/>
          <w:color w:val="595959" w:themeColor="text1" w:themeTint="A6"/>
        </w:rPr>
        <w:t xml:space="preserve"> and nutrient transfer</w:t>
      </w:r>
      <w:r w:rsidR="00BF4FD9" w:rsidRPr="00B611AB">
        <w:rPr>
          <w:rFonts w:ascii="Arial" w:hAnsi="Arial" w:cs="Arial"/>
          <w:iCs/>
          <w:color w:val="595959" w:themeColor="text1" w:themeTint="A6"/>
        </w:rPr>
        <w:t xml:space="preserve">, and many </w:t>
      </w:r>
      <w:r w:rsidR="00130E6A" w:rsidRPr="00B611AB">
        <w:rPr>
          <w:rFonts w:ascii="Arial" w:hAnsi="Arial" w:cs="Arial"/>
          <w:iCs/>
          <w:color w:val="595959" w:themeColor="text1" w:themeTint="A6"/>
        </w:rPr>
        <w:t>develop</w:t>
      </w:r>
      <w:r w:rsidR="00BF4FD9" w:rsidRPr="00B611AB">
        <w:rPr>
          <w:rFonts w:ascii="Arial" w:hAnsi="Arial" w:cs="Arial"/>
          <w:iCs/>
          <w:color w:val="595959" w:themeColor="text1" w:themeTint="A6"/>
        </w:rPr>
        <w:t xml:space="preserve"> </w:t>
      </w:r>
      <w:r w:rsidR="00B83225" w:rsidRPr="00B611AB">
        <w:rPr>
          <w:rFonts w:ascii="Arial" w:hAnsi="Arial" w:cs="Arial"/>
          <w:iCs/>
          <w:color w:val="595959" w:themeColor="text1" w:themeTint="A6"/>
        </w:rPr>
        <w:t>necrotic core</w:t>
      </w:r>
      <w:r w:rsidR="00BF4FD9" w:rsidRPr="00B611AB">
        <w:rPr>
          <w:rFonts w:ascii="Arial" w:hAnsi="Arial" w:cs="Arial"/>
          <w:iCs/>
          <w:color w:val="595959" w:themeColor="text1" w:themeTint="A6"/>
        </w:rPr>
        <w:t>s</w:t>
      </w:r>
      <w:r w:rsidR="00DA484E" w:rsidRPr="00B611AB">
        <w:rPr>
          <w:rFonts w:ascii="Arial" w:hAnsi="Arial" w:cs="Arial"/>
          <w:iCs/>
          <w:color w:val="595959" w:themeColor="text1" w:themeTint="A6"/>
        </w:rPr>
        <w:t xml:space="preserve"> during culture. </w:t>
      </w:r>
    </w:p>
    <w:p w14:paraId="274426A6" w14:textId="33CDB718" w:rsidR="00D80461" w:rsidRDefault="00BD0658" w:rsidP="00114476">
      <w:pPr>
        <w:pStyle w:val="Heading4"/>
        <w:rPr>
          <w:rFonts w:ascii="Arial" w:hAnsi="Arial" w:cs="Arial"/>
          <w:iCs w:val="0"/>
          <w:color w:val="595959" w:themeColor="text1" w:themeTint="A6"/>
        </w:rPr>
      </w:pPr>
      <w:bookmarkStart w:id="46" w:name="_Toc34208270"/>
      <w:r>
        <w:rPr>
          <w:rFonts w:ascii="Arial" w:hAnsi="Arial" w:cs="Arial"/>
          <w:iCs w:val="0"/>
          <w:color w:val="595959" w:themeColor="text1" w:themeTint="A6"/>
        </w:rPr>
        <w:t xml:space="preserve">1.4.2.3 </w:t>
      </w:r>
      <w:r w:rsidR="00080714">
        <w:rPr>
          <w:rFonts w:ascii="Arial" w:hAnsi="Arial" w:cs="Arial"/>
          <w:iCs w:val="0"/>
          <w:color w:val="595959" w:themeColor="text1" w:themeTint="A6"/>
        </w:rPr>
        <w:t xml:space="preserve">Scaffold-based </w:t>
      </w:r>
      <w:r w:rsidR="00715516">
        <w:rPr>
          <w:rFonts w:ascii="Arial" w:hAnsi="Arial" w:cs="Arial"/>
          <w:iCs w:val="0"/>
          <w:color w:val="595959" w:themeColor="text1" w:themeTint="A6"/>
        </w:rPr>
        <w:t xml:space="preserve">tissue-engineered </w:t>
      </w:r>
      <w:r w:rsidR="00080714">
        <w:rPr>
          <w:rFonts w:ascii="Arial" w:hAnsi="Arial" w:cs="Arial"/>
          <w:iCs w:val="0"/>
          <w:color w:val="595959" w:themeColor="text1" w:themeTint="A6"/>
        </w:rPr>
        <w:t>3D t</w:t>
      </w:r>
      <w:r w:rsidR="00D80461" w:rsidRPr="00D80461">
        <w:rPr>
          <w:rFonts w:ascii="Arial" w:hAnsi="Arial" w:cs="Arial"/>
          <w:iCs w:val="0"/>
          <w:color w:val="595959" w:themeColor="text1" w:themeTint="A6"/>
        </w:rPr>
        <w:t>umo</w:t>
      </w:r>
      <w:r w:rsidR="00105D13">
        <w:rPr>
          <w:rFonts w:ascii="Arial" w:hAnsi="Arial" w:cs="Arial"/>
          <w:iCs w:val="0"/>
          <w:color w:val="595959" w:themeColor="text1" w:themeTint="A6"/>
        </w:rPr>
        <w:t>u</w:t>
      </w:r>
      <w:r w:rsidR="00080714">
        <w:rPr>
          <w:rFonts w:ascii="Arial" w:hAnsi="Arial" w:cs="Arial"/>
          <w:iCs w:val="0"/>
          <w:color w:val="595959" w:themeColor="text1" w:themeTint="A6"/>
        </w:rPr>
        <w:t>r m</w:t>
      </w:r>
      <w:r w:rsidR="00D80461" w:rsidRPr="00D80461">
        <w:rPr>
          <w:rFonts w:ascii="Arial" w:hAnsi="Arial" w:cs="Arial"/>
          <w:iCs w:val="0"/>
          <w:color w:val="595959" w:themeColor="text1" w:themeTint="A6"/>
        </w:rPr>
        <w:t>odels</w:t>
      </w:r>
      <w:bookmarkEnd w:id="46"/>
    </w:p>
    <w:p w14:paraId="2A943CEB" w14:textId="77777777" w:rsidR="00114476" w:rsidRPr="00B611AB" w:rsidRDefault="00114476" w:rsidP="00114476">
      <w:pPr>
        <w:rPr>
          <w:color w:val="595959" w:themeColor="text1" w:themeTint="A6"/>
        </w:rPr>
      </w:pPr>
    </w:p>
    <w:p w14:paraId="033C4EB6" w14:textId="22DD9D17" w:rsidR="00080714" w:rsidRPr="00B611AB" w:rsidRDefault="00080714" w:rsidP="00080714">
      <w:pPr>
        <w:spacing w:line="480" w:lineRule="auto"/>
        <w:jc w:val="both"/>
        <w:rPr>
          <w:rFonts w:ascii="Arial" w:hAnsi="Arial" w:cs="Arial"/>
          <w:iCs/>
          <w:color w:val="595959" w:themeColor="text1" w:themeTint="A6"/>
        </w:rPr>
      </w:pPr>
      <w:r w:rsidRPr="00B611AB">
        <w:rPr>
          <w:rFonts w:ascii="Arial" w:hAnsi="Arial" w:cs="Arial"/>
          <w:iCs/>
          <w:color w:val="595959" w:themeColor="text1" w:themeTint="A6"/>
        </w:rPr>
        <w:t xml:space="preserve">Utilising tissue-engineering techniques, </w:t>
      </w:r>
      <w:r w:rsidR="00514803" w:rsidRPr="00B611AB">
        <w:rPr>
          <w:rFonts w:ascii="Arial" w:hAnsi="Arial" w:cs="Arial"/>
          <w:iCs/>
          <w:color w:val="595959" w:themeColor="text1" w:themeTint="A6"/>
        </w:rPr>
        <w:t xml:space="preserve">more </w:t>
      </w:r>
      <w:r w:rsidRPr="00B611AB">
        <w:rPr>
          <w:rFonts w:ascii="Arial" w:hAnsi="Arial" w:cs="Arial"/>
          <w:iCs/>
          <w:color w:val="595959" w:themeColor="text1" w:themeTint="A6"/>
        </w:rPr>
        <w:t>complex 3D tumour models can be engineered with control over matrix composition, density, stiffness, and spatial positioning of different cell types</w:t>
      </w:r>
      <w:r w:rsidR="00625031" w:rsidRPr="00B611AB">
        <w:rPr>
          <w:rFonts w:ascii="Arial" w:hAnsi="Arial" w:cs="Arial"/>
          <w:iCs/>
          <w:color w:val="595959" w:themeColor="text1" w:themeTint="A6"/>
        </w:rPr>
        <w:t xml:space="preserve">. Thus, creating a more physiological relevant structure </w:t>
      </w:r>
      <w:r w:rsidR="00860B3E" w:rsidRPr="00B611AB">
        <w:rPr>
          <w:rFonts w:ascii="Arial" w:hAnsi="Arial" w:cs="Arial"/>
          <w:iCs/>
          <w:color w:val="595959" w:themeColor="text1" w:themeTint="A6"/>
        </w:rPr>
        <w:t xml:space="preserve">which </w:t>
      </w:r>
      <w:r w:rsidR="00080DDB" w:rsidRPr="00B611AB">
        <w:rPr>
          <w:rFonts w:ascii="Arial" w:hAnsi="Arial" w:cs="Arial"/>
          <w:iCs/>
          <w:color w:val="595959" w:themeColor="text1" w:themeTint="A6"/>
        </w:rPr>
        <w:t xml:space="preserve">enables cells cultured </w:t>
      </w:r>
      <w:r w:rsidR="00080DDB" w:rsidRPr="00B611AB">
        <w:rPr>
          <w:rFonts w:ascii="Arial" w:hAnsi="Arial" w:cs="Arial"/>
          <w:i/>
          <w:color w:val="595959" w:themeColor="text1" w:themeTint="A6"/>
        </w:rPr>
        <w:t xml:space="preserve">in vitro </w:t>
      </w:r>
      <w:r w:rsidR="00C97EF6" w:rsidRPr="00B611AB">
        <w:rPr>
          <w:rFonts w:ascii="Arial" w:hAnsi="Arial" w:cs="Arial"/>
          <w:iCs/>
          <w:color w:val="595959" w:themeColor="text1" w:themeTint="A6"/>
        </w:rPr>
        <w:t xml:space="preserve">to replicate more closely the gene and protein expression </w:t>
      </w:r>
      <w:r w:rsidR="008F5744" w:rsidRPr="00B611AB">
        <w:rPr>
          <w:rFonts w:ascii="Arial" w:hAnsi="Arial" w:cs="Arial"/>
          <w:iCs/>
          <w:color w:val="595959" w:themeColor="text1" w:themeTint="A6"/>
        </w:rPr>
        <w:t xml:space="preserve">observed </w:t>
      </w:r>
      <w:r w:rsidR="008F5744" w:rsidRPr="00B611AB">
        <w:rPr>
          <w:rFonts w:ascii="Arial" w:hAnsi="Arial" w:cs="Arial"/>
          <w:i/>
          <w:color w:val="595959" w:themeColor="text1" w:themeTint="A6"/>
        </w:rPr>
        <w:t xml:space="preserve">in vivo </w:t>
      </w:r>
      <w:r w:rsidR="008F5744" w:rsidRPr="00B611AB">
        <w:rPr>
          <w:rFonts w:ascii="Arial" w:hAnsi="Arial" w:cs="Arial"/>
          <w:iCs/>
          <w:color w:val="595959" w:themeColor="text1" w:themeTint="A6"/>
        </w:rPr>
        <w:t xml:space="preserve">(Lee </w:t>
      </w:r>
      <w:r w:rsidR="008F5744" w:rsidRPr="00B611AB">
        <w:rPr>
          <w:rFonts w:ascii="Arial" w:hAnsi="Arial" w:cs="Arial"/>
          <w:i/>
          <w:color w:val="595959" w:themeColor="text1" w:themeTint="A6"/>
        </w:rPr>
        <w:t>et al.,</w:t>
      </w:r>
      <w:r w:rsidR="008F5744" w:rsidRPr="00B611AB">
        <w:rPr>
          <w:rFonts w:ascii="Arial" w:hAnsi="Arial" w:cs="Arial"/>
          <w:iCs/>
          <w:color w:val="595959" w:themeColor="text1" w:themeTint="A6"/>
        </w:rPr>
        <w:t xml:space="preserve"> 2008, Abbott, 2003). </w:t>
      </w:r>
      <w:r w:rsidR="00D311F4" w:rsidRPr="00B611AB">
        <w:rPr>
          <w:rFonts w:ascii="Arial" w:hAnsi="Arial" w:cs="Arial"/>
          <w:iCs/>
          <w:color w:val="595959" w:themeColor="text1" w:themeTint="A6"/>
        </w:rPr>
        <w:t>As well, European</w:t>
      </w:r>
      <w:r w:rsidR="00C00083" w:rsidRPr="00B611AB">
        <w:rPr>
          <w:rFonts w:ascii="Arial" w:hAnsi="Arial" w:cs="Arial"/>
          <w:iCs/>
          <w:color w:val="595959" w:themeColor="text1" w:themeTint="A6"/>
        </w:rPr>
        <w:t xml:space="preserve"> chemical</w:t>
      </w:r>
      <w:r w:rsidR="00D311F4" w:rsidRPr="00B611AB">
        <w:rPr>
          <w:rFonts w:ascii="Arial" w:hAnsi="Arial" w:cs="Arial"/>
          <w:iCs/>
          <w:color w:val="595959" w:themeColor="text1" w:themeTint="A6"/>
        </w:rPr>
        <w:t xml:space="preserve"> legisla</w:t>
      </w:r>
      <w:r w:rsidR="00B407E5" w:rsidRPr="00B611AB">
        <w:rPr>
          <w:rFonts w:ascii="Arial" w:hAnsi="Arial" w:cs="Arial"/>
          <w:iCs/>
          <w:color w:val="595959" w:themeColor="text1" w:themeTint="A6"/>
        </w:rPr>
        <w:t>tive drivers</w:t>
      </w:r>
      <w:r w:rsidR="00D311F4" w:rsidRPr="00B611AB">
        <w:rPr>
          <w:rFonts w:ascii="Arial" w:hAnsi="Arial" w:cs="Arial"/>
          <w:iCs/>
          <w:color w:val="595959" w:themeColor="text1" w:themeTint="A6"/>
        </w:rPr>
        <w:t xml:space="preserve"> </w:t>
      </w:r>
      <w:r w:rsidR="00F41964" w:rsidRPr="00B611AB">
        <w:rPr>
          <w:rFonts w:ascii="Arial" w:hAnsi="Arial" w:cs="Arial"/>
          <w:iCs/>
          <w:color w:val="595959" w:themeColor="text1" w:themeTint="A6"/>
        </w:rPr>
        <w:t>ha</w:t>
      </w:r>
      <w:r w:rsidR="00B407E5" w:rsidRPr="00B611AB">
        <w:rPr>
          <w:rFonts w:ascii="Arial" w:hAnsi="Arial" w:cs="Arial"/>
          <w:iCs/>
          <w:color w:val="595959" w:themeColor="text1" w:themeTint="A6"/>
        </w:rPr>
        <w:t>ve</w:t>
      </w:r>
      <w:r w:rsidR="00F41964" w:rsidRPr="00B611AB">
        <w:rPr>
          <w:rFonts w:ascii="Arial" w:hAnsi="Arial" w:cs="Arial"/>
          <w:iCs/>
          <w:color w:val="595959" w:themeColor="text1" w:themeTint="A6"/>
        </w:rPr>
        <w:t xml:space="preserve"> identified the requirement for representative </w:t>
      </w:r>
      <w:r w:rsidR="00F41964" w:rsidRPr="00B611AB">
        <w:rPr>
          <w:rFonts w:ascii="Arial" w:hAnsi="Arial" w:cs="Arial"/>
          <w:i/>
          <w:color w:val="595959" w:themeColor="text1" w:themeTint="A6"/>
        </w:rPr>
        <w:t xml:space="preserve">in vitro </w:t>
      </w:r>
      <w:r w:rsidR="00F41964" w:rsidRPr="00B611AB">
        <w:rPr>
          <w:rFonts w:ascii="Arial" w:hAnsi="Arial" w:cs="Arial"/>
          <w:iCs/>
          <w:color w:val="595959" w:themeColor="text1" w:themeTint="A6"/>
        </w:rPr>
        <w:t xml:space="preserve">models </w:t>
      </w:r>
      <w:r w:rsidR="00702832" w:rsidRPr="00B611AB">
        <w:rPr>
          <w:rFonts w:ascii="Arial" w:hAnsi="Arial" w:cs="Arial"/>
          <w:iCs/>
          <w:color w:val="595959" w:themeColor="text1" w:themeTint="A6"/>
        </w:rPr>
        <w:t xml:space="preserve">to reduce </w:t>
      </w:r>
      <w:r w:rsidR="00702832" w:rsidRPr="00B611AB">
        <w:rPr>
          <w:rFonts w:ascii="Arial" w:hAnsi="Arial" w:cs="Arial"/>
          <w:i/>
          <w:color w:val="595959" w:themeColor="text1" w:themeTint="A6"/>
        </w:rPr>
        <w:t>in vivo</w:t>
      </w:r>
      <w:r w:rsidR="00702832" w:rsidRPr="00B611AB">
        <w:rPr>
          <w:rFonts w:ascii="Arial" w:hAnsi="Arial" w:cs="Arial"/>
          <w:iCs/>
          <w:color w:val="595959" w:themeColor="text1" w:themeTint="A6"/>
        </w:rPr>
        <w:t xml:space="preserve"> model experimentation (Lilienblum </w:t>
      </w:r>
      <w:r w:rsidR="00702832" w:rsidRPr="00B611AB">
        <w:rPr>
          <w:rFonts w:ascii="Arial" w:hAnsi="Arial" w:cs="Arial"/>
          <w:i/>
          <w:color w:val="595959" w:themeColor="text1" w:themeTint="A6"/>
        </w:rPr>
        <w:t>et al.,</w:t>
      </w:r>
      <w:r w:rsidR="00702832" w:rsidRPr="00B611AB">
        <w:rPr>
          <w:rFonts w:ascii="Arial" w:hAnsi="Arial" w:cs="Arial"/>
          <w:iCs/>
          <w:color w:val="595959" w:themeColor="text1" w:themeTint="A6"/>
        </w:rPr>
        <w:t xml:space="preserve"> 2008). </w:t>
      </w:r>
    </w:p>
    <w:p w14:paraId="4C27900B" w14:textId="13F1D5A5" w:rsidR="00FF51E1" w:rsidRPr="00B611AB" w:rsidRDefault="00FF51E1" w:rsidP="00114476">
      <w:pPr>
        <w:pStyle w:val="Heading5"/>
        <w:rPr>
          <w:rFonts w:ascii="Arial" w:hAnsi="Arial" w:cs="Arial"/>
          <w:i/>
          <w:color w:val="595959" w:themeColor="text1" w:themeTint="A6"/>
        </w:rPr>
      </w:pPr>
      <w:bookmarkStart w:id="47" w:name="_Toc34208271"/>
      <w:r w:rsidRPr="00B611AB">
        <w:rPr>
          <w:rFonts w:ascii="Arial" w:hAnsi="Arial" w:cs="Arial"/>
          <w:i/>
          <w:color w:val="595959" w:themeColor="text1" w:themeTint="A6"/>
        </w:rPr>
        <w:t>1.4.2.3.1 Natural scaffolds</w:t>
      </w:r>
      <w:bookmarkEnd w:id="47"/>
    </w:p>
    <w:p w14:paraId="3F9DDF5A" w14:textId="77777777" w:rsidR="00114476" w:rsidRPr="00B611AB" w:rsidRDefault="00114476" w:rsidP="00114476">
      <w:pPr>
        <w:rPr>
          <w:color w:val="595959" w:themeColor="text1" w:themeTint="A6"/>
        </w:rPr>
      </w:pPr>
    </w:p>
    <w:p w14:paraId="4D47BBD0" w14:textId="594B742B" w:rsidR="00FF51E1" w:rsidRPr="00B611AB" w:rsidRDefault="00FF51E1" w:rsidP="00715516">
      <w:pPr>
        <w:spacing w:line="480" w:lineRule="auto"/>
        <w:jc w:val="both"/>
        <w:rPr>
          <w:rFonts w:ascii="Arial" w:hAnsi="Arial" w:cs="Arial"/>
          <w:iCs/>
          <w:color w:val="595959" w:themeColor="text1" w:themeTint="A6"/>
        </w:rPr>
      </w:pPr>
      <w:r w:rsidRPr="00B611AB">
        <w:rPr>
          <w:rFonts w:ascii="Arial" w:hAnsi="Arial" w:cs="Arial"/>
          <w:iCs/>
          <w:color w:val="595959" w:themeColor="text1" w:themeTint="A6"/>
        </w:rPr>
        <w:t xml:space="preserve">Typically, </w:t>
      </w:r>
      <w:r w:rsidR="00847896" w:rsidRPr="00B611AB">
        <w:rPr>
          <w:rFonts w:ascii="Arial" w:hAnsi="Arial" w:cs="Arial"/>
          <w:iCs/>
          <w:color w:val="595959" w:themeColor="text1" w:themeTint="A6"/>
        </w:rPr>
        <w:t xml:space="preserve">scaffolds, </w:t>
      </w:r>
      <w:r w:rsidRPr="00B611AB">
        <w:rPr>
          <w:rFonts w:ascii="Arial" w:hAnsi="Arial" w:cs="Arial"/>
          <w:iCs/>
          <w:color w:val="595959" w:themeColor="text1" w:themeTint="A6"/>
        </w:rPr>
        <w:t>when seeded with fibroblasts</w:t>
      </w:r>
      <w:r w:rsidR="00847896" w:rsidRPr="00B611AB">
        <w:rPr>
          <w:rFonts w:ascii="Arial" w:hAnsi="Arial" w:cs="Arial"/>
          <w:iCs/>
          <w:color w:val="595959" w:themeColor="text1" w:themeTint="A6"/>
        </w:rPr>
        <w:t>, form</w:t>
      </w:r>
      <w:r w:rsidRPr="00B611AB">
        <w:rPr>
          <w:rFonts w:ascii="Arial" w:hAnsi="Arial" w:cs="Arial"/>
          <w:iCs/>
          <w:color w:val="595959" w:themeColor="text1" w:themeTint="A6"/>
        </w:rPr>
        <w:t xml:space="preserve"> the basis of the lamina propri</w:t>
      </w:r>
      <w:r w:rsidR="007842E7" w:rsidRPr="00B611AB">
        <w:rPr>
          <w:rFonts w:ascii="Arial" w:hAnsi="Arial" w:cs="Arial"/>
          <w:iCs/>
          <w:color w:val="595959" w:themeColor="text1" w:themeTint="A6"/>
        </w:rPr>
        <w:t>a and</w:t>
      </w:r>
      <w:r w:rsidR="00AA084B" w:rsidRPr="00B611AB">
        <w:rPr>
          <w:rFonts w:ascii="Arial" w:hAnsi="Arial" w:cs="Arial"/>
          <w:iCs/>
          <w:color w:val="595959" w:themeColor="text1" w:themeTint="A6"/>
        </w:rPr>
        <w:t xml:space="preserve"> is composed mainly of collagen</w:t>
      </w:r>
      <w:r w:rsidR="00620A9B" w:rsidRPr="00B611AB">
        <w:rPr>
          <w:rFonts w:ascii="Arial" w:hAnsi="Arial" w:cs="Arial"/>
          <w:iCs/>
          <w:color w:val="595959" w:themeColor="text1" w:themeTint="A6"/>
        </w:rPr>
        <w:t xml:space="preserve"> protein.</w:t>
      </w:r>
      <w:r w:rsidR="00AA084B" w:rsidRPr="00B611AB">
        <w:rPr>
          <w:rFonts w:ascii="Arial" w:hAnsi="Arial" w:cs="Arial"/>
          <w:iCs/>
          <w:color w:val="595959" w:themeColor="text1" w:themeTint="A6"/>
        </w:rPr>
        <w:t xml:space="preserve"> </w:t>
      </w:r>
      <w:r w:rsidR="00620A9B" w:rsidRPr="00B611AB">
        <w:rPr>
          <w:rFonts w:ascii="Arial" w:hAnsi="Arial" w:cs="Arial"/>
          <w:iCs/>
          <w:color w:val="595959" w:themeColor="text1" w:themeTint="A6"/>
        </w:rPr>
        <w:t xml:space="preserve">Therefore, most </w:t>
      </w:r>
      <w:r w:rsidR="003D0B01" w:rsidRPr="00B611AB">
        <w:rPr>
          <w:rFonts w:ascii="Arial" w:hAnsi="Arial" w:cs="Arial"/>
          <w:iCs/>
          <w:color w:val="595959" w:themeColor="text1" w:themeTint="A6"/>
        </w:rPr>
        <w:t xml:space="preserve">commercially or lab-generated </w:t>
      </w:r>
      <w:r w:rsidR="00C11FEF" w:rsidRPr="00B611AB">
        <w:rPr>
          <w:rFonts w:ascii="Arial" w:hAnsi="Arial" w:cs="Arial"/>
          <w:iCs/>
          <w:color w:val="595959" w:themeColor="text1" w:themeTint="A6"/>
        </w:rPr>
        <w:lastRenderedPageBreak/>
        <w:t xml:space="preserve">scaffolds </w:t>
      </w:r>
      <w:r w:rsidR="00F558C1" w:rsidRPr="00B611AB">
        <w:rPr>
          <w:rFonts w:ascii="Arial" w:hAnsi="Arial" w:cs="Arial"/>
          <w:iCs/>
          <w:color w:val="595959" w:themeColor="text1" w:themeTint="A6"/>
        </w:rPr>
        <w:t xml:space="preserve">consist of </w:t>
      </w:r>
      <w:r w:rsidR="00847896" w:rsidRPr="00B611AB">
        <w:rPr>
          <w:rFonts w:ascii="Arial" w:hAnsi="Arial" w:cs="Arial"/>
          <w:iCs/>
          <w:color w:val="595959" w:themeColor="text1" w:themeTint="A6"/>
        </w:rPr>
        <w:t>bovine or rat-</w:t>
      </w:r>
      <w:r w:rsidRPr="00B611AB">
        <w:rPr>
          <w:rFonts w:ascii="Arial" w:hAnsi="Arial" w:cs="Arial"/>
          <w:iCs/>
          <w:color w:val="595959" w:themeColor="text1" w:themeTint="A6"/>
        </w:rPr>
        <w:t xml:space="preserve">tail collagen, usually owing to </w:t>
      </w:r>
      <w:r w:rsidR="003924DA" w:rsidRPr="00B611AB">
        <w:rPr>
          <w:rFonts w:ascii="Arial" w:hAnsi="Arial" w:cs="Arial"/>
          <w:iCs/>
          <w:color w:val="595959" w:themeColor="text1" w:themeTint="A6"/>
        </w:rPr>
        <w:t xml:space="preserve">the </w:t>
      </w:r>
      <w:r w:rsidRPr="00B611AB">
        <w:rPr>
          <w:rFonts w:ascii="Arial" w:hAnsi="Arial" w:cs="Arial"/>
          <w:iCs/>
          <w:color w:val="595959" w:themeColor="text1" w:themeTint="A6"/>
        </w:rPr>
        <w:t>ease</w:t>
      </w:r>
      <w:r w:rsidR="003924DA" w:rsidRPr="00B611AB">
        <w:rPr>
          <w:rFonts w:ascii="Arial" w:hAnsi="Arial" w:cs="Arial"/>
          <w:iCs/>
          <w:color w:val="595959" w:themeColor="text1" w:themeTint="A6"/>
        </w:rPr>
        <w:t xml:space="preserve"> of </w:t>
      </w:r>
      <w:r w:rsidR="000C7EBB" w:rsidRPr="00B611AB">
        <w:rPr>
          <w:rFonts w:ascii="Arial" w:hAnsi="Arial" w:cs="Arial"/>
          <w:iCs/>
          <w:color w:val="595959" w:themeColor="text1" w:themeTint="A6"/>
        </w:rPr>
        <w:t xml:space="preserve">generating it. </w:t>
      </w:r>
      <w:r w:rsidR="00B763DC" w:rsidRPr="00B611AB">
        <w:rPr>
          <w:rFonts w:ascii="Arial" w:hAnsi="Arial" w:cs="Arial"/>
          <w:iCs/>
          <w:color w:val="595959" w:themeColor="text1" w:themeTint="A6"/>
        </w:rPr>
        <w:t xml:space="preserve">Models generated using these techniques are largely composed of </w:t>
      </w:r>
      <w:r w:rsidR="00D10ED1" w:rsidRPr="00B611AB">
        <w:rPr>
          <w:rFonts w:ascii="Arial" w:hAnsi="Arial" w:cs="Arial"/>
          <w:iCs/>
          <w:color w:val="595959" w:themeColor="text1" w:themeTint="A6"/>
        </w:rPr>
        <w:t>an animal-ECM scaffold and this raises concerns regarding the</w:t>
      </w:r>
      <w:r w:rsidRPr="00B611AB">
        <w:rPr>
          <w:rFonts w:ascii="Arial" w:hAnsi="Arial" w:cs="Arial"/>
          <w:iCs/>
          <w:color w:val="595959" w:themeColor="text1" w:themeTint="A6"/>
        </w:rPr>
        <w:t xml:space="preserve"> physiological relevance of the material (Wolf </w:t>
      </w:r>
      <w:r w:rsidRPr="00B611AB">
        <w:rPr>
          <w:rFonts w:ascii="Arial" w:hAnsi="Arial" w:cs="Arial"/>
          <w:i/>
          <w:iCs/>
          <w:color w:val="595959" w:themeColor="text1" w:themeTint="A6"/>
        </w:rPr>
        <w:t>et al.,</w:t>
      </w:r>
      <w:r w:rsidR="00847896" w:rsidRPr="00B611AB">
        <w:rPr>
          <w:rFonts w:ascii="Arial" w:hAnsi="Arial" w:cs="Arial"/>
          <w:iCs/>
          <w:color w:val="595959" w:themeColor="text1" w:themeTint="A6"/>
        </w:rPr>
        <w:t xml:space="preserve"> 2009). One such b</w:t>
      </w:r>
      <w:r w:rsidRPr="00B611AB">
        <w:rPr>
          <w:rFonts w:ascii="Arial" w:hAnsi="Arial" w:cs="Arial"/>
          <w:iCs/>
          <w:color w:val="595959" w:themeColor="text1" w:themeTint="A6"/>
        </w:rPr>
        <w:t xml:space="preserve">iologically derived scaffold systems </w:t>
      </w:r>
      <w:r w:rsidR="00847896" w:rsidRPr="00B611AB">
        <w:rPr>
          <w:rFonts w:ascii="Arial" w:hAnsi="Arial" w:cs="Arial"/>
          <w:iCs/>
          <w:color w:val="595959" w:themeColor="text1" w:themeTint="A6"/>
        </w:rPr>
        <w:t>was generated d</w:t>
      </w:r>
      <w:r w:rsidRPr="00B611AB">
        <w:rPr>
          <w:rFonts w:ascii="Arial" w:hAnsi="Arial" w:cs="Arial"/>
          <w:iCs/>
          <w:color w:val="595959" w:themeColor="text1" w:themeTint="A6"/>
        </w:rPr>
        <w:t xml:space="preserve">uring the culture of </w:t>
      </w:r>
      <w:r w:rsidR="008C4250" w:rsidRPr="00B611AB">
        <w:rPr>
          <w:rFonts w:ascii="Arial" w:hAnsi="Arial" w:cs="Arial"/>
          <w:iCs/>
          <w:color w:val="595959" w:themeColor="text1" w:themeTint="A6"/>
        </w:rPr>
        <w:t xml:space="preserve">murine </w:t>
      </w:r>
      <w:r w:rsidRPr="00B611AB">
        <w:rPr>
          <w:rFonts w:ascii="Arial" w:hAnsi="Arial" w:cs="Arial"/>
          <w:iCs/>
          <w:color w:val="595959" w:themeColor="text1" w:themeTint="A6"/>
        </w:rPr>
        <w:t>Engelbret</w:t>
      </w:r>
      <w:r w:rsidR="00847896" w:rsidRPr="00B611AB">
        <w:rPr>
          <w:rFonts w:ascii="Arial" w:hAnsi="Arial" w:cs="Arial"/>
          <w:iCs/>
          <w:color w:val="595959" w:themeColor="text1" w:themeTint="A6"/>
        </w:rPr>
        <w:t>h-Holm-Swarm (EHS) tumour cells. T</w:t>
      </w:r>
      <w:r w:rsidRPr="00B611AB">
        <w:rPr>
          <w:rFonts w:ascii="Arial" w:hAnsi="Arial" w:cs="Arial"/>
          <w:iCs/>
          <w:color w:val="595959" w:themeColor="text1" w:themeTint="A6"/>
        </w:rPr>
        <w:t>he deposited basement membrane proteins inc</w:t>
      </w:r>
      <w:r w:rsidR="005210F1" w:rsidRPr="00B611AB">
        <w:rPr>
          <w:rFonts w:ascii="Arial" w:hAnsi="Arial" w:cs="Arial"/>
          <w:iCs/>
          <w:color w:val="595959" w:themeColor="text1" w:themeTint="A6"/>
        </w:rPr>
        <w:t>lu</w:t>
      </w:r>
      <w:r w:rsidRPr="00B611AB">
        <w:rPr>
          <w:rFonts w:ascii="Arial" w:hAnsi="Arial" w:cs="Arial"/>
          <w:iCs/>
          <w:color w:val="595959" w:themeColor="text1" w:themeTint="A6"/>
        </w:rPr>
        <w:t>ding laminin, collagen IV and perlecan were collected and a form of that matrix is available commercially as Matrigel</w:t>
      </w:r>
      <w:r w:rsidRPr="00B611AB">
        <w:rPr>
          <w:rFonts w:ascii="Arial" w:hAnsi="Arial" w:cs="Arial"/>
          <w:iCs/>
          <w:color w:val="595959" w:themeColor="text1" w:themeTint="A6"/>
          <w:vertAlign w:val="superscript"/>
        </w:rPr>
        <w:t>®</w:t>
      </w:r>
      <w:r w:rsidRPr="00B611AB">
        <w:rPr>
          <w:rFonts w:ascii="Arial" w:hAnsi="Arial" w:cs="Arial"/>
          <w:iCs/>
          <w:color w:val="595959" w:themeColor="text1" w:themeTint="A6"/>
        </w:rPr>
        <w:t xml:space="preserve"> </w:t>
      </w:r>
      <w:r w:rsidR="00847896" w:rsidRPr="00B611AB">
        <w:rPr>
          <w:rFonts w:ascii="Arial" w:hAnsi="Arial" w:cs="Arial"/>
          <w:iCs/>
          <w:color w:val="595959" w:themeColor="text1" w:themeTint="A6"/>
        </w:rPr>
        <w:t xml:space="preserve">and is now widely used for cancer studies </w:t>
      </w:r>
      <w:r w:rsidRPr="00B611AB">
        <w:rPr>
          <w:rFonts w:ascii="Arial" w:hAnsi="Arial" w:cs="Arial"/>
          <w:iCs/>
          <w:color w:val="595959" w:themeColor="text1" w:themeTint="A6"/>
        </w:rPr>
        <w:t xml:space="preserve">(Kleinman </w:t>
      </w:r>
      <w:r w:rsidRPr="00B611AB">
        <w:rPr>
          <w:rFonts w:ascii="Arial" w:hAnsi="Arial" w:cs="Arial"/>
          <w:i/>
          <w:iCs/>
          <w:color w:val="595959" w:themeColor="text1" w:themeTint="A6"/>
        </w:rPr>
        <w:t>et al.,</w:t>
      </w:r>
      <w:r w:rsidRPr="00B611AB">
        <w:rPr>
          <w:rFonts w:ascii="Arial" w:hAnsi="Arial" w:cs="Arial"/>
          <w:iCs/>
          <w:color w:val="595959" w:themeColor="text1" w:themeTint="A6"/>
        </w:rPr>
        <w:t xml:space="preserve"> 1986, and reviewed extensively </w:t>
      </w:r>
      <w:r w:rsidR="00847896" w:rsidRPr="00B611AB">
        <w:rPr>
          <w:rFonts w:ascii="Arial" w:hAnsi="Arial" w:cs="Arial"/>
          <w:iCs/>
          <w:color w:val="595959" w:themeColor="text1" w:themeTint="A6"/>
        </w:rPr>
        <w:t xml:space="preserve">in Kleinmann and Martin 2005). </w:t>
      </w:r>
      <w:r w:rsidRPr="00B611AB">
        <w:rPr>
          <w:rFonts w:ascii="Arial" w:hAnsi="Arial" w:cs="Arial"/>
          <w:iCs/>
          <w:color w:val="595959" w:themeColor="text1" w:themeTint="A6"/>
        </w:rPr>
        <w:t>Matrigel</w:t>
      </w:r>
      <w:r w:rsidRPr="00B611AB">
        <w:rPr>
          <w:rFonts w:ascii="Arial" w:hAnsi="Arial" w:cs="Arial"/>
          <w:iCs/>
          <w:color w:val="595959" w:themeColor="text1" w:themeTint="A6"/>
          <w:vertAlign w:val="superscript"/>
        </w:rPr>
        <w:t>®</w:t>
      </w:r>
      <w:r w:rsidR="00847896" w:rsidRPr="00B611AB">
        <w:rPr>
          <w:rFonts w:ascii="Arial" w:hAnsi="Arial" w:cs="Arial"/>
          <w:iCs/>
          <w:color w:val="595959" w:themeColor="text1" w:themeTint="A6"/>
        </w:rPr>
        <w:t xml:space="preserve"> </w:t>
      </w:r>
      <w:r w:rsidRPr="00B611AB">
        <w:rPr>
          <w:rFonts w:ascii="Arial" w:hAnsi="Arial" w:cs="Arial"/>
          <w:iCs/>
          <w:color w:val="595959" w:themeColor="text1" w:themeTint="A6"/>
        </w:rPr>
        <w:t>promotes cell-matrix interactions and can affect the behaviours of cancer cell proliferation and migration. A rapid proliferation index was demonstrated in Matrigel</w:t>
      </w:r>
      <w:r w:rsidRPr="00B611AB">
        <w:rPr>
          <w:rFonts w:ascii="Arial" w:hAnsi="Arial" w:cs="Arial"/>
          <w:iCs/>
          <w:color w:val="595959" w:themeColor="text1" w:themeTint="A6"/>
          <w:vertAlign w:val="superscript"/>
        </w:rPr>
        <w:t>®</w:t>
      </w:r>
      <w:r w:rsidRPr="00B611AB">
        <w:rPr>
          <w:rFonts w:ascii="Arial" w:hAnsi="Arial" w:cs="Arial"/>
          <w:iCs/>
          <w:color w:val="595959" w:themeColor="text1" w:themeTint="A6"/>
        </w:rPr>
        <w:t xml:space="preserve"> using human HT1080 fibrosarcoma cells (Kramer </w:t>
      </w:r>
      <w:r w:rsidRPr="00B611AB">
        <w:rPr>
          <w:rFonts w:ascii="Arial" w:hAnsi="Arial" w:cs="Arial"/>
          <w:i/>
          <w:iCs/>
          <w:color w:val="595959" w:themeColor="text1" w:themeTint="A6"/>
        </w:rPr>
        <w:t>et al.</w:t>
      </w:r>
      <w:r w:rsidRPr="00B611AB">
        <w:rPr>
          <w:rFonts w:ascii="Arial" w:hAnsi="Arial" w:cs="Arial"/>
          <w:iCs/>
          <w:color w:val="595959" w:themeColor="text1" w:themeTint="A6"/>
        </w:rPr>
        <w:t xml:space="preserve"> 1986). More recently, cancer cells types of interest </w:t>
      </w:r>
      <w:r w:rsidR="00431F93" w:rsidRPr="00B611AB">
        <w:rPr>
          <w:rFonts w:ascii="Arial" w:hAnsi="Arial" w:cs="Arial"/>
          <w:iCs/>
          <w:color w:val="595959" w:themeColor="text1" w:themeTint="A6"/>
        </w:rPr>
        <w:t>have been</w:t>
      </w:r>
      <w:r w:rsidRPr="00B611AB">
        <w:rPr>
          <w:rFonts w:ascii="Arial" w:hAnsi="Arial" w:cs="Arial"/>
          <w:iCs/>
          <w:color w:val="595959" w:themeColor="text1" w:themeTint="A6"/>
        </w:rPr>
        <w:t xml:space="preserve"> embedded</w:t>
      </w:r>
      <w:r w:rsidR="00672424" w:rsidRPr="00B611AB">
        <w:rPr>
          <w:rFonts w:ascii="Arial" w:hAnsi="Arial" w:cs="Arial"/>
          <w:iCs/>
          <w:color w:val="595959" w:themeColor="text1" w:themeTint="A6"/>
        </w:rPr>
        <w:t xml:space="preserve">, </w:t>
      </w:r>
      <w:r w:rsidRPr="00B611AB">
        <w:rPr>
          <w:rFonts w:ascii="Arial" w:hAnsi="Arial" w:cs="Arial"/>
          <w:iCs/>
          <w:color w:val="595959" w:themeColor="text1" w:themeTint="A6"/>
        </w:rPr>
        <w:t>observ</w:t>
      </w:r>
      <w:r w:rsidR="00672424" w:rsidRPr="00B611AB">
        <w:rPr>
          <w:rFonts w:ascii="Arial" w:hAnsi="Arial" w:cs="Arial"/>
          <w:iCs/>
          <w:color w:val="595959" w:themeColor="text1" w:themeTint="A6"/>
        </w:rPr>
        <w:t>ing</w:t>
      </w:r>
      <w:r w:rsidRPr="00B611AB">
        <w:rPr>
          <w:rFonts w:ascii="Arial" w:hAnsi="Arial" w:cs="Arial"/>
          <w:iCs/>
          <w:color w:val="595959" w:themeColor="text1" w:themeTint="A6"/>
        </w:rPr>
        <w:t xml:space="preserve"> migration in 3D (Hughes </w:t>
      </w:r>
      <w:r w:rsidRPr="00B611AB">
        <w:rPr>
          <w:rFonts w:ascii="Arial" w:hAnsi="Arial" w:cs="Arial"/>
          <w:i/>
          <w:iCs/>
          <w:color w:val="595959" w:themeColor="text1" w:themeTint="A6"/>
        </w:rPr>
        <w:t>et al</w:t>
      </w:r>
      <w:r w:rsidRPr="00B611AB">
        <w:rPr>
          <w:rFonts w:ascii="Arial" w:hAnsi="Arial" w:cs="Arial"/>
          <w:iCs/>
          <w:color w:val="595959" w:themeColor="text1" w:themeTint="A6"/>
        </w:rPr>
        <w:t xml:space="preserve">., 2010) </w:t>
      </w:r>
      <w:r w:rsidR="003413C5" w:rsidRPr="00B611AB">
        <w:rPr>
          <w:rFonts w:ascii="Arial" w:hAnsi="Arial" w:cs="Arial"/>
          <w:iCs/>
          <w:color w:val="595959" w:themeColor="text1" w:themeTint="A6"/>
        </w:rPr>
        <w:t xml:space="preserve">by </w:t>
      </w:r>
      <w:r w:rsidRPr="00B611AB">
        <w:rPr>
          <w:rFonts w:ascii="Arial" w:hAnsi="Arial" w:cs="Arial"/>
          <w:iCs/>
          <w:color w:val="595959" w:themeColor="text1" w:themeTint="A6"/>
        </w:rPr>
        <w:t>combining Matrigel</w:t>
      </w:r>
      <w:r w:rsidRPr="00B611AB">
        <w:rPr>
          <w:rFonts w:ascii="Arial" w:hAnsi="Arial" w:cs="Arial"/>
          <w:iCs/>
          <w:color w:val="595959" w:themeColor="text1" w:themeTint="A6"/>
          <w:vertAlign w:val="superscript"/>
        </w:rPr>
        <w:t>®</w:t>
      </w:r>
      <w:r w:rsidRPr="00B611AB">
        <w:rPr>
          <w:rFonts w:ascii="Arial" w:hAnsi="Arial" w:cs="Arial"/>
          <w:iCs/>
          <w:color w:val="595959" w:themeColor="text1" w:themeTint="A6"/>
        </w:rPr>
        <w:t xml:space="preserve"> with microfluidic devices, the migration phenotypes of H1299 lung adenocarcinoma cells w</w:t>
      </w:r>
      <w:r w:rsidR="0029553B" w:rsidRPr="00B611AB">
        <w:rPr>
          <w:rFonts w:ascii="Arial" w:hAnsi="Arial" w:cs="Arial"/>
          <w:iCs/>
          <w:color w:val="595959" w:themeColor="text1" w:themeTint="A6"/>
        </w:rPr>
        <w:t>ere</w:t>
      </w:r>
      <w:r w:rsidRPr="00B611AB">
        <w:rPr>
          <w:rFonts w:ascii="Arial" w:hAnsi="Arial" w:cs="Arial"/>
          <w:iCs/>
          <w:color w:val="595959" w:themeColor="text1" w:themeTint="A6"/>
        </w:rPr>
        <w:t xml:space="preserve"> assessed in varying invasive microenvironments (Anguiano </w:t>
      </w:r>
      <w:r w:rsidRPr="00B611AB">
        <w:rPr>
          <w:rFonts w:ascii="Arial" w:hAnsi="Arial" w:cs="Arial"/>
          <w:i/>
          <w:iCs/>
          <w:color w:val="595959" w:themeColor="text1" w:themeTint="A6"/>
        </w:rPr>
        <w:t>et al.,</w:t>
      </w:r>
      <w:r w:rsidRPr="00B611AB">
        <w:rPr>
          <w:rFonts w:ascii="Arial" w:hAnsi="Arial" w:cs="Arial"/>
          <w:iCs/>
          <w:color w:val="595959" w:themeColor="text1" w:themeTint="A6"/>
        </w:rPr>
        <w:t xml:space="preserve"> 2017). Other commercially available products include Cultrex</w:t>
      </w:r>
      <w:r w:rsidRPr="00B611AB">
        <w:rPr>
          <w:rFonts w:ascii="Arial" w:hAnsi="Arial" w:cs="Arial"/>
          <w:iCs/>
          <w:color w:val="595959" w:themeColor="text1" w:themeTint="A6"/>
          <w:vertAlign w:val="superscript"/>
        </w:rPr>
        <w:t>®</w:t>
      </w:r>
      <w:r w:rsidRPr="00B611AB">
        <w:rPr>
          <w:rFonts w:ascii="Arial" w:hAnsi="Arial" w:cs="Arial"/>
          <w:iCs/>
          <w:color w:val="595959" w:themeColor="text1" w:themeTint="A6"/>
        </w:rPr>
        <w:t xml:space="preserve"> basement membrane extract </w:t>
      </w:r>
      <w:r w:rsidR="005A3593" w:rsidRPr="00B611AB">
        <w:rPr>
          <w:rFonts w:ascii="Arial" w:hAnsi="Arial" w:cs="Arial"/>
          <w:iCs/>
          <w:color w:val="595959" w:themeColor="text1" w:themeTint="A6"/>
        </w:rPr>
        <w:t xml:space="preserve">containing </w:t>
      </w:r>
      <w:r w:rsidRPr="00B611AB">
        <w:rPr>
          <w:rFonts w:ascii="Arial" w:hAnsi="Arial" w:cs="Arial"/>
          <w:iCs/>
          <w:color w:val="595959" w:themeColor="text1" w:themeTint="A6"/>
        </w:rPr>
        <w:t xml:space="preserve">hyaluronic acid. </w:t>
      </w:r>
    </w:p>
    <w:p w14:paraId="53FCE8DD" w14:textId="6D1C2768" w:rsidR="00FF51E1" w:rsidRDefault="00847896" w:rsidP="009678D6">
      <w:pPr>
        <w:spacing w:line="480" w:lineRule="auto"/>
        <w:jc w:val="both"/>
        <w:rPr>
          <w:rFonts w:ascii="Arial" w:hAnsi="Arial" w:cs="Arial"/>
          <w:iCs/>
          <w:color w:val="595959" w:themeColor="text1" w:themeTint="A6"/>
        </w:rPr>
      </w:pPr>
      <w:r w:rsidRPr="00B611AB">
        <w:rPr>
          <w:rFonts w:ascii="Arial" w:hAnsi="Arial" w:cs="Arial"/>
          <w:iCs/>
          <w:color w:val="595959" w:themeColor="text1" w:themeTint="A6"/>
        </w:rPr>
        <w:t>Other natural scaffolds include h</w:t>
      </w:r>
      <w:r w:rsidR="00FF51E1" w:rsidRPr="00B611AB">
        <w:rPr>
          <w:rFonts w:ascii="Arial" w:hAnsi="Arial" w:cs="Arial"/>
          <w:iCs/>
          <w:color w:val="595959" w:themeColor="text1" w:themeTint="A6"/>
        </w:rPr>
        <w:t xml:space="preserve">ydrogels consisting of either collagen or hyaluronan. An </w:t>
      </w:r>
      <w:r w:rsidR="00FF51E1" w:rsidRPr="00B611AB">
        <w:rPr>
          <w:rFonts w:ascii="Arial" w:hAnsi="Arial" w:cs="Arial"/>
          <w:i/>
          <w:iCs/>
          <w:color w:val="595959" w:themeColor="text1" w:themeTint="A6"/>
        </w:rPr>
        <w:t>in vitro</w:t>
      </w:r>
      <w:r w:rsidR="00FF51E1" w:rsidRPr="00B611AB">
        <w:rPr>
          <w:rFonts w:ascii="Arial" w:hAnsi="Arial" w:cs="Arial"/>
          <w:iCs/>
          <w:color w:val="595959" w:themeColor="text1" w:themeTint="A6"/>
        </w:rPr>
        <w:t xml:space="preserve"> organotypic breast cancer model used a mixed population of cells: epithelial cells (either normal or cancerous), myoepithelial cells, and fibroblasts derived either from normal or tumour stroma (Holliday </w:t>
      </w:r>
      <w:r w:rsidR="00FF51E1" w:rsidRPr="00B611AB">
        <w:rPr>
          <w:rFonts w:ascii="Arial" w:hAnsi="Arial" w:cs="Arial"/>
          <w:i/>
          <w:iCs/>
          <w:color w:val="595959" w:themeColor="text1" w:themeTint="A6"/>
        </w:rPr>
        <w:t>et al.,</w:t>
      </w:r>
      <w:r w:rsidR="00FF51E1" w:rsidRPr="00B611AB">
        <w:rPr>
          <w:rFonts w:ascii="Arial" w:hAnsi="Arial" w:cs="Arial"/>
          <w:iCs/>
          <w:color w:val="595959" w:themeColor="text1" w:themeTint="A6"/>
        </w:rPr>
        <w:t xml:space="preserve"> 2009). Within this hydrogel set up, these cells orientated themselves mimicking </w:t>
      </w:r>
      <w:r w:rsidR="00FF51E1" w:rsidRPr="00B611AB">
        <w:rPr>
          <w:rFonts w:ascii="Arial" w:hAnsi="Arial" w:cs="Arial"/>
          <w:i/>
          <w:iCs/>
          <w:color w:val="595959" w:themeColor="text1" w:themeTint="A6"/>
        </w:rPr>
        <w:t>in-situ</w:t>
      </w:r>
      <w:r w:rsidR="00FF51E1" w:rsidRPr="00B611AB">
        <w:rPr>
          <w:rFonts w:ascii="Arial" w:hAnsi="Arial" w:cs="Arial"/>
          <w:iCs/>
          <w:color w:val="595959" w:themeColor="text1" w:themeTint="A6"/>
        </w:rPr>
        <w:t xml:space="preserve"> tissue. The addition of CAF to this set-up, unlike normal fibroblasts, disrupted the epithelium. This study describing a 3D </w:t>
      </w:r>
      <w:r w:rsidR="00FF51E1" w:rsidRPr="00B611AB">
        <w:rPr>
          <w:rFonts w:ascii="Arial" w:hAnsi="Arial" w:cs="Arial"/>
          <w:i/>
          <w:iCs/>
          <w:color w:val="595959" w:themeColor="text1" w:themeTint="A6"/>
        </w:rPr>
        <w:t>in vitro</w:t>
      </w:r>
      <w:r w:rsidR="00FF51E1" w:rsidRPr="00B611AB">
        <w:rPr>
          <w:rFonts w:ascii="Arial" w:hAnsi="Arial" w:cs="Arial"/>
          <w:iCs/>
          <w:color w:val="595959" w:themeColor="text1" w:themeTint="A6"/>
        </w:rPr>
        <w:t xml:space="preserve"> </w:t>
      </w:r>
      <w:r w:rsidRPr="00B611AB">
        <w:rPr>
          <w:rFonts w:ascii="Arial" w:hAnsi="Arial" w:cs="Arial"/>
          <w:iCs/>
          <w:color w:val="595959" w:themeColor="text1" w:themeTint="A6"/>
        </w:rPr>
        <w:t xml:space="preserve">model, which uses three cell types, </w:t>
      </w:r>
      <w:r w:rsidR="00FF51E1" w:rsidRPr="00B611AB">
        <w:rPr>
          <w:rFonts w:ascii="Arial" w:hAnsi="Arial" w:cs="Arial"/>
          <w:iCs/>
          <w:color w:val="595959" w:themeColor="text1" w:themeTint="A6"/>
        </w:rPr>
        <w:t>demonstrates convincingly the pivotal role of tumour stromal fibroblasts in cancer progression. Hyaluronic acid</w:t>
      </w:r>
      <w:r w:rsidR="009678D6" w:rsidRPr="00B611AB">
        <w:rPr>
          <w:rFonts w:ascii="Arial" w:hAnsi="Arial" w:cs="Arial"/>
          <w:iCs/>
          <w:color w:val="595959" w:themeColor="text1" w:themeTint="A6"/>
        </w:rPr>
        <w:t xml:space="preserve"> (HA) </w:t>
      </w:r>
      <w:r w:rsidR="00FF51E1" w:rsidRPr="00B611AB">
        <w:rPr>
          <w:rFonts w:ascii="Arial" w:hAnsi="Arial" w:cs="Arial"/>
          <w:iCs/>
          <w:color w:val="595959" w:themeColor="text1" w:themeTint="A6"/>
        </w:rPr>
        <w:t>-based hydrogels are another example of a natural scaffold. H</w:t>
      </w:r>
      <w:r w:rsidR="00715516" w:rsidRPr="00B611AB">
        <w:rPr>
          <w:rFonts w:ascii="Arial" w:hAnsi="Arial" w:cs="Arial"/>
          <w:iCs/>
          <w:color w:val="595959" w:themeColor="text1" w:themeTint="A6"/>
        </w:rPr>
        <w:t>A</w:t>
      </w:r>
      <w:r w:rsidR="00FF51E1" w:rsidRPr="00B611AB">
        <w:rPr>
          <w:rFonts w:ascii="Arial" w:hAnsi="Arial" w:cs="Arial"/>
          <w:iCs/>
          <w:color w:val="595959" w:themeColor="text1" w:themeTint="A6"/>
        </w:rPr>
        <w:t xml:space="preserve"> a constituent of both normal ECM but is also found in abu</w:t>
      </w:r>
      <w:r w:rsidR="00715516" w:rsidRPr="00B611AB">
        <w:rPr>
          <w:rFonts w:ascii="Arial" w:hAnsi="Arial" w:cs="Arial"/>
          <w:iCs/>
          <w:color w:val="595959" w:themeColor="text1" w:themeTint="A6"/>
        </w:rPr>
        <w:t>ndance in malignant tumours and has</w:t>
      </w:r>
      <w:r w:rsidR="00FF51E1" w:rsidRPr="00B611AB">
        <w:rPr>
          <w:rFonts w:ascii="Arial" w:hAnsi="Arial" w:cs="Arial"/>
          <w:iCs/>
          <w:color w:val="595959" w:themeColor="text1" w:themeTint="A6"/>
        </w:rPr>
        <w:t xml:space="preserve"> been known to promote cancer cell proliferation (Gurski </w:t>
      </w:r>
      <w:r w:rsidR="00FF51E1" w:rsidRPr="00B611AB">
        <w:rPr>
          <w:rFonts w:ascii="Arial" w:hAnsi="Arial" w:cs="Arial"/>
          <w:i/>
          <w:iCs/>
          <w:color w:val="595959" w:themeColor="text1" w:themeTint="A6"/>
        </w:rPr>
        <w:t>et al.,</w:t>
      </w:r>
      <w:r w:rsidR="00FF51E1" w:rsidRPr="00B611AB">
        <w:rPr>
          <w:rFonts w:ascii="Arial" w:hAnsi="Arial" w:cs="Arial"/>
          <w:iCs/>
          <w:color w:val="595959" w:themeColor="text1" w:themeTint="A6"/>
        </w:rPr>
        <w:t xml:space="preserve"> 2009).  </w:t>
      </w:r>
      <w:r w:rsidR="009879FA" w:rsidRPr="00B611AB">
        <w:rPr>
          <w:rFonts w:ascii="Arial" w:hAnsi="Arial" w:cs="Arial"/>
          <w:iCs/>
          <w:color w:val="595959" w:themeColor="text1" w:themeTint="A6"/>
        </w:rPr>
        <w:t>H</w:t>
      </w:r>
      <w:r w:rsidR="006C44D0" w:rsidRPr="00B611AB">
        <w:rPr>
          <w:rFonts w:ascii="Arial" w:hAnsi="Arial" w:cs="Arial"/>
          <w:iCs/>
          <w:color w:val="595959" w:themeColor="text1" w:themeTint="A6"/>
        </w:rPr>
        <w:t>A</w:t>
      </w:r>
      <w:r w:rsidR="009879FA" w:rsidRPr="00B611AB">
        <w:rPr>
          <w:rFonts w:ascii="Arial" w:hAnsi="Arial" w:cs="Arial"/>
          <w:iCs/>
          <w:color w:val="595959" w:themeColor="text1" w:themeTint="A6"/>
        </w:rPr>
        <w:t>-based hydrog</w:t>
      </w:r>
      <w:r w:rsidR="006C44D0" w:rsidRPr="00B611AB">
        <w:rPr>
          <w:rFonts w:ascii="Arial" w:hAnsi="Arial" w:cs="Arial"/>
          <w:iCs/>
          <w:color w:val="595959" w:themeColor="text1" w:themeTint="A6"/>
        </w:rPr>
        <w:t xml:space="preserve">els </w:t>
      </w:r>
      <w:r w:rsidR="00250A64" w:rsidRPr="00B611AB">
        <w:rPr>
          <w:rFonts w:ascii="Arial" w:hAnsi="Arial" w:cs="Arial"/>
          <w:iCs/>
          <w:color w:val="595959" w:themeColor="text1" w:themeTint="A6"/>
        </w:rPr>
        <w:t>were</w:t>
      </w:r>
      <w:r w:rsidR="00FF51E1" w:rsidRPr="00B611AB">
        <w:rPr>
          <w:rFonts w:ascii="Arial" w:hAnsi="Arial" w:cs="Arial"/>
          <w:iCs/>
          <w:color w:val="595959" w:themeColor="text1" w:themeTint="A6"/>
        </w:rPr>
        <w:t xml:space="preserve"> used </w:t>
      </w:r>
      <w:r w:rsidR="00715516" w:rsidRPr="00B611AB">
        <w:rPr>
          <w:rFonts w:ascii="Arial" w:hAnsi="Arial" w:cs="Arial"/>
          <w:iCs/>
          <w:color w:val="595959" w:themeColor="text1" w:themeTint="A6"/>
        </w:rPr>
        <w:t>to test chemotherapeutics; c</w:t>
      </w:r>
      <w:r w:rsidR="00FF51E1" w:rsidRPr="00B611AB">
        <w:rPr>
          <w:rFonts w:ascii="Arial" w:hAnsi="Arial" w:cs="Arial"/>
          <w:iCs/>
          <w:color w:val="595959" w:themeColor="text1" w:themeTint="A6"/>
        </w:rPr>
        <w:t>amptothecin</w:t>
      </w:r>
      <w:r w:rsidR="00C0301B" w:rsidRPr="00B611AB">
        <w:rPr>
          <w:rFonts w:ascii="Arial" w:hAnsi="Arial" w:cs="Arial"/>
          <w:iCs/>
          <w:color w:val="595959" w:themeColor="text1" w:themeTint="A6"/>
        </w:rPr>
        <w:t>, d</w:t>
      </w:r>
      <w:r w:rsidRPr="00B611AB">
        <w:rPr>
          <w:rFonts w:ascii="Arial" w:hAnsi="Arial" w:cs="Arial"/>
          <w:iCs/>
          <w:color w:val="595959" w:themeColor="text1" w:themeTint="A6"/>
        </w:rPr>
        <w:t xml:space="preserve">ocetaxel and </w:t>
      </w:r>
      <w:r w:rsidR="00C0301B" w:rsidRPr="00B611AB">
        <w:rPr>
          <w:rFonts w:ascii="Arial" w:hAnsi="Arial" w:cs="Arial"/>
          <w:iCs/>
          <w:color w:val="595959" w:themeColor="text1" w:themeTint="A6"/>
        </w:rPr>
        <w:t>r</w:t>
      </w:r>
      <w:r w:rsidRPr="00B611AB">
        <w:rPr>
          <w:rFonts w:ascii="Arial" w:hAnsi="Arial" w:cs="Arial"/>
          <w:iCs/>
          <w:color w:val="595959" w:themeColor="text1" w:themeTint="A6"/>
        </w:rPr>
        <w:t>apamycin, demonstrating</w:t>
      </w:r>
      <w:r w:rsidR="00FF51E1" w:rsidRPr="00B611AB">
        <w:rPr>
          <w:rFonts w:ascii="Arial" w:hAnsi="Arial" w:cs="Arial"/>
          <w:iCs/>
          <w:color w:val="595959" w:themeColor="text1" w:themeTint="A6"/>
        </w:rPr>
        <w:t xml:space="preserve"> the gradient action of these drugs on prostate cancer cells; with the outer cells being affected </w:t>
      </w:r>
      <w:r w:rsidR="00FF51E1" w:rsidRPr="00FF51E1">
        <w:rPr>
          <w:rFonts w:ascii="Arial" w:hAnsi="Arial" w:cs="Arial"/>
          <w:iCs/>
          <w:color w:val="595959" w:themeColor="text1" w:themeTint="A6"/>
        </w:rPr>
        <w:lastRenderedPageBreak/>
        <w:t xml:space="preserve">first, followed by the cells located inside. Evidencing that drugs do not readily penetrate through the cancer cluster, as they do through the hydrogel. The effects of heparin; an inhibitor of hyaluronidases (HAse; hyaluronan degrading enzymes) have also been studied on the invasiveness of 13 human cancer cell lines (David </w:t>
      </w:r>
      <w:r w:rsidR="00FF51E1" w:rsidRPr="00FF51E1">
        <w:rPr>
          <w:rFonts w:ascii="Arial" w:hAnsi="Arial" w:cs="Arial"/>
          <w:i/>
          <w:iCs/>
          <w:color w:val="595959" w:themeColor="text1" w:themeTint="A6"/>
        </w:rPr>
        <w:t>et al.,</w:t>
      </w:r>
      <w:r w:rsidR="00FF51E1" w:rsidRPr="00FF51E1">
        <w:rPr>
          <w:rFonts w:ascii="Arial" w:hAnsi="Arial" w:cs="Arial"/>
          <w:iCs/>
          <w:color w:val="595959" w:themeColor="text1" w:themeTint="A6"/>
        </w:rPr>
        <w:t xml:space="preserve"> 2004). Heparin significantly inhibited invasiveness of HAse-producing cancer cell lines (brain and hepatic metastases), which has indicated the use of heparin for cancer therapeutics. </w:t>
      </w:r>
    </w:p>
    <w:p w14:paraId="4CAF0592" w14:textId="268E5351" w:rsidR="00FF51E1" w:rsidRDefault="002B0634" w:rsidP="00114476">
      <w:pPr>
        <w:pStyle w:val="Heading5"/>
        <w:rPr>
          <w:rFonts w:ascii="Arial" w:hAnsi="Arial" w:cs="Arial"/>
          <w:i/>
          <w:iCs/>
          <w:color w:val="595959" w:themeColor="text1" w:themeTint="A6"/>
        </w:rPr>
      </w:pPr>
      <w:bookmarkStart w:id="48" w:name="_Toc34208272"/>
      <w:r>
        <w:rPr>
          <w:rFonts w:ascii="Arial" w:hAnsi="Arial" w:cs="Arial"/>
          <w:i/>
          <w:iCs/>
          <w:color w:val="595959" w:themeColor="text1" w:themeTint="A6"/>
        </w:rPr>
        <w:t>1.4.2.3.2</w:t>
      </w:r>
      <w:r w:rsidR="00FF51E1" w:rsidRPr="00FF51E1">
        <w:rPr>
          <w:rFonts w:ascii="Arial" w:hAnsi="Arial" w:cs="Arial"/>
          <w:i/>
          <w:iCs/>
          <w:color w:val="595959" w:themeColor="text1" w:themeTint="A6"/>
        </w:rPr>
        <w:t xml:space="preserve"> Cell-derived matrices</w:t>
      </w:r>
      <w:bookmarkEnd w:id="48"/>
    </w:p>
    <w:p w14:paraId="3D1F192D" w14:textId="77777777" w:rsidR="00114476" w:rsidRPr="00114476" w:rsidRDefault="00114476" w:rsidP="00114476"/>
    <w:p w14:paraId="71757D6A" w14:textId="3C0ADC9C" w:rsidR="00FF51E1" w:rsidRPr="00FF51E1" w:rsidRDefault="00FF51E1" w:rsidP="00B202EB">
      <w:pPr>
        <w:spacing w:line="480" w:lineRule="auto"/>
        <w:jc w:val="both"/>
        <w:rPr>
          <w:rFonts w:ascii="Arial" w:hAnsi="Arial" w:cs="Arial"/>
          <w:i/>
          <w:iCs/>
          <w:color w:val="595959" w:themeColor="text1" w:themeTint="A6"/>
        </w:rPr>
      </w:pPr>
      <w:r w:rsidRPr="00FF51E1">
        <w:rPr>
          <w:rFonts w:ascii="Arial" w:hAnsi="Arial" w:cs="Arial"/>
          <w:iCs/>
          <w:color w:val="595959" w:themeColor="text1" w:themeTint="A6"/>
        </w:rPr>
        <w:t>The first report of using cell-derived matrices (CDM) dates</w:t>
      </w:r>
      <w:r w:rsidR="00847896">
        <w:rPr>
          <w:rFonts w:ascii="Arial" w:hAnsi="Arial" w:cs="Arial"/>
          <w:iCs/>
          <w:color w:val="595959" w:themeColor="text1" w:themeTint="A6"/>
        </w:rPr>
        <w:t xml:space="preserve"> back to 1989; in which fibroblasts were </w:t>
      </w:r>
      <w:r w:rsidRPr="00FF51E1">
        <w:rPr>
          <w:rFonts w:ascii="Arial" w:hAnsi="Arial" w:cs="Arial"/>
          <w:iCs/>
          <w:color w:val="595959" w:themeColor="text1" w:themeTint="A6"/>
        </w:rPr>
        <w:t>manipulated to synthesise ECM component</w:t>
      </w:r>
      <w:r w:rsidR="00847896">
        <w:rPr>
          <w:rFonts w:ascii="Arial" w:hAnsi="Arial" w:cs="Arial"/>
          <w:iCs/>
          <w:color w:val="595959" w:themeColor="text1" w:themeTint="A6"/>
        </w:rPr>
        <w:t>s</w:t>
      </w:r>
      <w:r w:rsidRPr="00FF51E1">
        <w:rPr>
          <w:rFonts w:ascii="Arial" w:hAnsi="Arial" w:cs="Arial"/>
          <w:iCs/>
          <w:color w:val="595959" w:themeColor="text1" w:themeTint="A6"/>
        </w:rPr>
        <w:t xml:space="preserve"> </w:t>
      </w:r>
      <w:r w:rsidRPr="00FF51E1">
        <w:rPr>
          <w:rFonts w:ascii="Arial" w:hAnsi="Arial" w:cs="Arial"/>
          <w:i/>
          <w:iCs/>
          <w:color w:val="595959" w:themeColor="text1" w:themeTint="A6"/>
        </w:rPr>
        <w:t>in vitro</w:t>
      </w:r>
      <w:r w:rsidRPr="00FF51E1">
        <w:rPr>
          <w:rFonts w:ascii="Arial" w:hAnsi="Arial" w:cs="Arial"/>
          <w:iCs/>
          <w:color w:val="595959" w:themeColor="text1" w:themeTint="A6"/>
        </w:rPr>
        <w:t xml:space="preserve"> in long-term cultures with the mechanical properties and proteomic composition altered by exogenous application of ascorbic acid and growth factor supplementation (Grinnell </w:t>
      </w:r>
      <w:r w:rsidRPr="00FF51E1">
        <w:rPr>
          <w:rFonts w:ascii="Arial" w:hAnsi="Arial" w:cs="Arial"/>
          <w:i/>
          <w:iCs/>
          <w:color w:val="595959" w:themeColor="text1" w:themeTint="A6"/>
        </w:rPr>
        <w:t>et al.,</w:t>
      </w:r>
      <w:r w:rsidRPr="00FF51E1">
        <w:rPr>
          <w:rFonts w:ascii="Arial" w:hAnsi="Arial" w:cs="Arial"/>
          <w:iCs/>
          <w:color w:val="595959" w:themeColor="text1" w:themeTint="A6"/>
        </w:rPr>
        <w:t xml:space="preserve"> 1989, Throm </w:t>
      </w:r>
      <w:r w:rsidRPr="00FF51E1">
        <w:rPr>
          <w:rFonts w:ascii="Arial" w:hAnsi="Arial" w:cs="Arial"/>
          <w:i/>
          <w:iCs/>
          <w:color w:val="595959" w:themeColor="text1" w:themeTint="A6"/>
        </w:rPr>
        <w:t>et al.,</w:t>
      </w:r>
      <w:r w:rsidRPr="00FF51E1">
        <w:rPr>
          <w:rFonts w:ascii="Arial" w:hAnsi="Arial" w:cs="Arial"/>
          <w:iCs/>
          <w:color w:val="595959" w:themeColor="text1" w:themeTint="A6"/>
        </w:rPr>
        <w:t xml:space="preserve"> 2009).  CDM’s capture many </w:t>
      </w:r>
      <w:r w:rsidRPr="00FF51E1">
        <w:rPr>
          <w:rFonts w:ascii="Arial" w:hAnsi="Arial" w:cs="Arial"/>
          <w:i/>
          <w:iCs/>
          <w:color w:val="595959" w:themeColor="text1" w:themeTint="A6"/>
        </w:rPr>
        <w:t>in vivo</w:t>
      </w:r>
      <w:r w:rsidRPr="00FF51E1">
        <w:rPr>
          <w:rFonts w:ascii="Arial" w:hAnsi="Arial" w:cs="Arial"/>
          <w:iCs/>
          <w:color w:val="595959" w:themeColor="text1" w:themeTint="A6"/>
        </w:rPr>
        <w:t>-like characteristics and have been functionally studied as an inform</w:t>
      </w:r>
      <w:r w:rsidR="00847896">
        <w:rPr>
          <w:rFonts w:ascii="Arial" w:hAnsi="Arial" w:cs="Arial"/>
          <w:iCs/>
          <w:color w:val="595959" w:themeColor="text1" w:themeTint="A6"/>
        </w:rPr>
        <w:t>ative platform for stromal cell:</w:t>
      </w:r>
      <w:r w:rsidR="00847896" w:rsidRPr="00FF51E1">
        <w:rPr>
          <w:rFonts w:ascii="Arial" w:hAnsi="Arial" w:cs="Arial"/>
          <w:iCs/>
          <w:color w:val="595959" w:themeColor="text1" w:themeTint="A6"/>
        </w:rPr>
        <w:t xml:space="preserve"> ECM</w:t>
      </w:r>
      <w:r w:rsidRPr="00FF51E1">
        <w:rPr>
          <w:rFonts w:ascii="Arial" w:hAnsi="Arial" w:cs="Arial"/>
          <w:iCs/>
          <w:color w:val="595959" w:themeColor="text1" w:themeTint="A6"/>
        </w:rPr>
        <w:t xml:space="preserve"> interactions. They act as a de-cellularised matrix scaffolds capable of signalling </w:t>
      </w:r>
      <w:r w:rsidR="004B55C4" w:rsidRPr="00FF51E1">
        <w:rPr>
          <w:rFonts w:ascii="Arial" w:hAnsi="Arial" w:cs="Arial"/>
          <w:iCs/>
          <w:color w:val="595959" w:themeColor="text1" w:themeTint="A6"/>
        </w:rPr>
        <w:t>crosstalk</w:t>
      </w:r>
      <w:r w:rsidRPr="00FF51E1">
        <w:rPr>
          <w:rFonts w:ascii="Arial" w:hAnsi="Arial" w:cs="Arial"/>
          <w:iCs/>
          <w:color w:val="595959" w:themeColor="text1" w:themeTint="A6"/>
        </w:rPr>
        <w:t xml:space="preserve"> and reciproca</w:t>
      </w:r>
      <w:r w:rsidR="00B202EB">
        <w:rPr>
          <w:rFonts w:ascii="Arial" w:hAnsi="Arial" w:cs="Arial"/>
          <w:iCs/>
          <w:color w:val="595959" w:themeColor="text1" w:themeTint="A6"/>
        </w:rPr>
        <w:t>l signalling cascades</w:t>
      </w:r>
      <w:r w:rsidRPr="00FF51E1">
        <w:rPr>
          <w:rFonts w:ascii="Arial" w:hAnsi="Arial" w:cs="Arial"/>
          <w:iCs/>
          <w:color w:val="595959" w:themeColor="text1" w:themeTint="A6"/>
        </w:rPr>
        <w:t>. The</w:t>
      </w:r>
      <w:r w:rsidR="00B202EB">
        <w:rPr>
          <w:rFonts w:ascii="Arial" w:hAnsi="Arial" w:cs="Arial"/>
          <w:iCs/>
          <w:color w:val="595959" w:themeColor="text1" w:themeTint="A6"/>
        </w:rPr>
        <w:t>ir ease of manipulation allows</w:t>
      </w:r>
      <w:r w:rsidRPr="00FF51E1">
        <w:rPr>
          <w:rFonts w:ascii="Arial" w:hAnsi="Arial" w:cs="Arial"/>
          <w:iCs/>
          <w:color w:val="595959" w:themeColor="text1" w:themeTint="A6"/>
        </w:rPr>
        <w:t xml:space="preserve"> them to function as biological assay systems (Hermann </w:t>
      </w:r>
      <w:r w:rsidRPr="00FF51E1">
        <w:rPr>
          <w:rFonts w:ascii="Arial" w:hAnsi="Arial" w:cs="Arial"/>
          <w:i/>
          <w:iCs/>
          <w:color w:val="595959" w:themeColor="text1" w:themeTint="A6"/>
        </w:rPr>
        <w:t>et al</w:t>
      </w:r>
      <w:r w:rsidRPr="00FF51E1">
        <w:rPr>
          <w:rFonts w:ascii="Arial" w:hAnsi="Arial" w:cs="Arial"/>
          <w:iCs/>
          <w:color w:val="595959" w:themeColor="text1" w:themeTint="A6"/>
        </w:rPr>
        <w:t xml:space="preserve">., 2014). The maintenance of cell-adhesion molecules and receptors that are mimics of </w:t>
      </w:r>
      <w:r w:rsidRPr="00FF51E1">
        <w:rPr>
          <w:rFonts w:ascii="Arial" w:hAnsi="Arial" w:cs="Arial"/>
          <w:i/>
          <w:iCs/>
          <w:color w:val="595959" w:themeColor="text1" w:themeTint="A6"/>
        </w:rPr>
        <w:t>in vivo</w:t>
      </w:r>
      <w:r w:rsidRPr="00FF51E1">
        <w:rPr>
          <w:rFonts w:ascii="Arial" w:hAnsi="Arial" w:cs="Arial"/>
          <w:iCs/>
          <w:color w:val="595959" w:themeColor="text1" w:themeTint="A6"/>
        </w:rPr>
        <w:t xml:space="preserve"> composition provide a useful application to study adhesion and migration in a culture setting (Throm </w:t>
      </w:r>
      <w:r w:rsidRPr="00FF51E1">
        <w:rPr>
          <w:rFonts w:ascii="Arial" w:hAnsi="Arial" w:cs="Arial"/>
          <w:i/>
          <w:iCs/>
          <w:color w:val="595959" w:themeColor="text1" w:themeTint="A6"/>
        </w:rPr>
        <w:t>et al</w:t>
      </w:r>
      <w:r w:rsidRPr="00FF51E1">
        <w:rPr>
          <w:rFonts w:ascii="Arial" w:hAnsi="Arial" w:cs="Arial"/>
          <w:iCs/>
          <w:color w:val="595959" w:themeColor="text1" w:themeTint="A6"/>
        </w:rPr>
        <w:t xml:space="preserve">., 2010). </w:t>
      </w:r>
    </w:p>
    <w:p w14:paraId="4359415F" w14:textId="1BB31498" w:rsidR="00FF51E1" w:rsidRPr="00FF51E1" w:rsidRDefault="00FF51E1" w:rsidP="00FF51E1">
      <w:pPr>
        <w:spacing w:line="480" w:lineRule="auto"/>
        <w:jc w:val="both"/>
        <w:rPr>
          <w:rFonts w:ascii="Arial" w:hAnsi="Arial" w:cs="Arial"/>
          <w:iCs/>
          <w:color w:val="595959" w:themeColor="text1" w:themeTint="A6"/>
        </w:rPr>
      </w:pPr>
      <w:r w:rsidRPr="00FF51E1">
        <w:rPr>
          <w:rFonts w:ascii="Arial" w:hAnsi="Arial" w:cs="Arial"/>
          <w:iCs/>
          <w:color w:val="595959" w:themeColor="text1" w:themeTint="A6"/>
        </w:rPr>
        <w:t>An alternative approach is to mimic native</w:t>
      </w:r>
      <w:r w:rsidRPr="00FF51E1">
        <w:rPr>
          <w:rFonts w:ascii="Arial" w:hAnsi="Arial" w:cs="Arial"/>
          <w:i/>
          <w:iCs/>
          <w:color w:val="595959" w:themeColor="text1" w:themeTint="A6"/>
        </w:rPr>
        <w:t xml:space="preserve"> </w:t>
      </w:r>
      <w:r w:rsidRPr="00FF51E1">
        <w:rPr>
          <w:rFonts w:ascii="Arial" w:hAnsi="Arial" w:cs="Arial"/>
          <w:iCs/>
          <w:color w:val="595959" w:themeColor="text1" w:themeTint="A6"/>
        </w:rPr>
        <w:t xml:space="preserve">ECM production by providing culturing conditions for fibroblasts to produce their own ECM equivalent over time. These matrices have been generated by coating surfaces with gelatin (for improved tissue culture plastic binding) allowing fibroblasts to produce ECM over 9 days in culture (Franco-Barraza </w:t>
      </w:r>
      <w:r w:rsidRPr="00FF51E1">
        <w:rPr>
          <w:rFonts w:ascii="Arial" w:hAnsi="Arial" w:cs="Arial"/>
          <w:i/>
          <w:iCs/>
          <w:color w:val="595959" w:themeColor="text1" w:themeTint="A6"/>
        </w:rPr>
        <w:t>et al.,</w:t>
      </w:r>
      <w:r w:rsidRPr="00FF51E1">
        <w:rPr>
          <w:rFonts w:ascii="Arial" w:hAnsi="Arial" w:cs="Arial"/>
          <w:iCs/>
          <w:color w:val="595959" w:themeColor="text1" w:themeTint="A6"/>
        </w:rPr>
        <w:t xml:space="preserve"> 2016). These have been effective as a proof-of-concept for the use as novel platforms for drug activity assessment and drug response (Serebriiskii </w:t>
      </w:r>
      <w:r w:rsidRPr="00FF51E1">
        <w:rPr>
          <w:rFonts w:ascii="Arial" w:hAnsi="Arial" w:cs="Arial"/>
          <w:i/>
          <w:iCs/>
          <w:color w:val="595959" w:themeColor="text1" w:themeTint="A6"/>
        </w:rPr>
        <w:t>et al</w:t>
      </w:r>
      <w:r w:rsidRPr="00FF51E1">
        <w:rPr>
          <w:rFonts w:ascii="Arial" w:hAnsi="Arial" w:cs="Arial"/>
          <w:iCs/>
          <w:color w:val="595959" w:themeColor="text1" w:themeTint="A6"/>
        </w:rPr>
        <w:t xml:space="preserve">., 2008). For example, human tumour cells exhibit altered behavioural traits, such as enhanced proliferation, and respond to drug treatment differently in fibroblast-derived matrices (FB-DM) than in 2D culture systems. PANC-1 (a pancreatic cancer cell line) were treated with high doses of paclitaxel (50-100 nM) on cell </w:t>
      </w:r>
      <w:r w:rsidRPr="00FF51E1">
        <w:rPr>
          <w:rFonts w:ascii="Arial" w:hAnsi="Arial" w:cs="Arial"/>
          <w:iCs/>
          <w:color w:val="595959" w:themeColor="text1" w:themeTint="A6"/>
        </w:rPr>
        <w:lastRenderedPageBreak/>
        <w:t xml:space="preserve">culture plastic and/or on FB-DM. It was found that cells grown on culture plastic underwent apoptosis 3-5-fold higher than those treated on the 3D matrix (Serebriiskii </w:t>
      </w:r>
      <w:r w:rsidRPr="00FF51E1">
        <w:rPr>
          <w:rFonts w:ascii="Arial" w:hAnsi="Arial" w:cs="Arial"/>
          <w:i/>
          <w:iCs/>
          <w:color w:val="595959" w:themeColor="text1" w:themeTint="A6"/>
        </w:rPr>
        <w:t>et al</w:t>
      </w:r>
      <w:r w:rsidRPr="00FF51E1">
        <w:rPr>
          <w:rFonts w:ascii="Arial" w:hAnsi="Arial" w:cs="Arial"/>
          <w:iCs/>
          <w:color w:val="595959" w:themeColor="text1" w:themeTint="A6"/>
        </w:rPr>
        <w:t xml:space="preserve">., 2008). This ECM-driven reduction in apoptosis may be responsible for increased drug resistance, which may mean the approach to treatment options for this cancer may effectively change.  Another alternative mechanism investigating stromal involvement of drug resistance, may account for the synthesis of ECM proteins known to regulate resistance through the activation of β1- integrin pathways. FN1-EDA and Collagen 1 can induce paclitaxel resistance and has been </w:t>
      </w:r>
      <w:r w:rsidRPr="0006224D">
        <w:rPr>
          <w:rFonts w:ascii="Arial" w:hAnsi="Arial" w:cs="Arial"/>
          <w:iCs/>
          <w:color w:val="595959" w:themeColor="text1" w:themeTint="A6"/>
        </w:rPr>
        <w:t xml:space="preserve">verified in 2D. In 3D matrix mimetics, blockade of β1- Integrin by mAB13 reversed the induced paclitaxel resistance. </w:t>
      </w:r>
      <w:r w:rsidR="00C80A89" w:rsidRPr="0006224D">
        <w:rPr>
          <w:rFonts w:ascii="Arial" w:hAnsi="Arial" w:cs="Arial"/>
          <w:iCs/>
          <w:color w:val="595959" w:themeColor="text1" w:themeTint="A6"/>
        </w:rPr>
        <w:t xml:space="preserve">Drug resistance is commonly associated with </w:t>
      </w:r>
      <w:r w:rsidR="00A74C44" w:rsidRPr="0006224D">
        <w:rPr>
          <w:rFonts w:ascii="Arial" w:hAnsi="Arial" w:cs="Arial"/>
          <w:iCs/>
          <w:color w:val="595959" w:themeColor="text1" w:themeTint="A6"/>
        </w:rPr>
        <w:t xml:space="preserve">inefficient stromal regulation </w:t>
      </w:r>
      <w:r w:rsidR="0006224D" w:rsidRPr="0006224D">
        <w:rPr>
          <w:rFonts w:ascii="Arial" w:hAnsi="Arial" w:cs="Arial"/>
          <w:iCs/>
          <w:color w:val="595959" w:themeColor="text1" w:themeTint="A6"/>
        </w:rPr>
        <w:t xml:space="preserve">and it has been observed </w:t>
      </w:r>
      <w:r w:rsidRPr="0006224D">
        <w:rPr>
          <w:rFonts w:ascii="Arial" w:hAnsi="Arial" w:cs="Arial"/>
          <w:iCs/>
          <w:color w:val="595959" w:themeColor="text1" w:themeTint="A6"/>
        </w:rPr>
        <w:t>that cells that respond to mesenchymal stroma for the</w:t>
      </w:r>
      <w:r w:rsidR="00633AB1">
        <w:rPr>
          <w:rFonts w:ascii="Arial" w:hAnsi="Arial" w:cs="Arial"/>
          <w:iCs/>
          <w:color w:val="595959" w:themeColor="text1" w:themeTint="A6"/>
        </w:rPr>
        <w:t xml:space="preserve">ir </w:t>
      </w:r>
      <w:r w:rsidRPr="0006224D">
        <w:rPr>
          <w:rFonts w:ascii="Arial" w:hAnsi="Arial" w:cs="Arial"/>
          <w:iCs/>
          <w:color w:val="595959" w:themeColor="text1" w:themeTint="A6"/>
        </w:rPr>
        <w:t>control of growth</w:t>
      </w:r>
      <w:r w:rsidR="00270433">
        <w:rPr>
          <w:rFonts w:ascii="Arial" w:hAnsi="Arial" w:cs="Arial"/>
          <w:iCs/>
          <w:color w:val="595959" w:themeColor="text1" w:themeTint="A6"/>
        </w:rPr>
        <w:t xml:space="preserve"> and </w:t>
      </w:r>
      <w:r w:rsidRPr="0006224D">
        <w:rPr>
          <w:rFonts w:ascii="Arial" w:hAnsi="Arial" w:cs="Arial"/>
          <w:iCs/>
          <w:color w:val="595959" w:themeColor="text1" w:themeTint="A6"/>
        </w:rPr>
        <w:t>morphology</w:t>
      </w:r>
      <w:r w:rsidR="00270433">
        <w:rPr>
          <w:rFonts w:ascii="Arial" w:hAnsi="Arial" w:cs="Arial"/>
          <w:iCs/>
          <w:color w:val="595959" w:themeColor="text1" w:themeTint="A6"/>
        </w:rPr>
        <w:t>,</w:t>
      </w:r>
      <w:r w:rsidRPr="0006224D">
        <w:rPr>
          <w:rFonts w:ascii="Arial" w:hAnsi="Arial" w:cs="Arial"/>
          <w:iCs/>
          <w:color w:val="595959" w:themeColor="text1" w:themeTint="A6"/>
        </w:rPr>
        <w:t xml:space="preserve"> in general</w:t>
      </w:r>
      <w:r w:rsidR="00270433">
        <w:rPr>
          <w:rFonts w:ascii="Arial" w:hAnsi="Arial" w:cs="Arial"/>
          <w:iCs/>
          <w:color w:val="595959" w:themeColor="text1" w:themeTint="A6"/>
        </w:rPr>
        <w:t>,</w:t>
      </w:r>
      <w:r w:rsidRPr="0006224D">
        <w:rPr>
          <w:rFonts w:ascii="Arial" w:hAnsi="Arial" w:cs="Arial"/>
          <w:iCs/>
          <w:color w:val="595959" w:themeColor="text1" w:themeTint="A6"/>
        </w:rPr>
        <w:t xml:space="preserve"> </w:t>
      </w:r>
      <w:r w:rsidR="00DC11EE">
        <w:rPr>
          <w:rFonts w:ascii="Arial" w:hAnsi="Arial" w:cs="Arial"/>
          <w:iCs/>
          <w:color w:val="595959" w:themeColor="text1" w:themeTint="A6"/>
        </w:rPr>
        <w:t xml:space="preserve">also </w:t>
      </w:r>
      <w:r w:rsidRPr="0006224D">
        <w:rPr>
          <w:rFonts w:ascii="Arial" w:hAnsi="Arial" w:cs="Arial"/>
          <w:iCs/>
          <w:color w:val="595959" w:themeColor="text1" w:themeTint="A6"/>
        </w:rPr>
        <w:t>respond to drug treatments. Th</w:t>
      </w:r>
      <w:r w:rsidR="00DC11EE">
        <w:rPr>
          <w:rFonts w:ascii="Arial" w:hAnsi="Arial" w:cs="Arial"/>
          <w:iCs/>
          <w:color w:val="595959" w:themeColor="text1" w:themeTint="A6"/>
        </w:rPr>
        <w:t xml:space="preserve">is </w:t>
      </w:r>
      <w:r w:rsidRPr="0006224D">
        <w:rPr>
          <w:rFonts w:ascii="Arial" w:hAnsi="Arial" w:cs="Arial"/>
          <w:iCs/>
          <w:color w:val="595959" w:themeColor="text1" w:themeTint="A6"/>
        </w:rPr>
        <w:t>highlight</w:t>
      </w:r>
      <w:r w:rsidR="00DC11EE">
        <w:rPr>
          <w:rFonts w:ascii="Arial" w:hAnsi="Arial" w:cs="Arial"/>
          <w:iCs/>
          <w:color w:val="595959" w:themeColor="text1" w:themeTint="A6"/>
        </w:rPr>
        <w:t>s a potential area</w:t>
      </w:r>
      <w:r w:rsidRPr="0006224D">
        <w:rPr>
          <w:rFonts w:ascii="Arial" w:hAnsi="Arial" w:cs="Arial"/>
          <w:iCs/>
          <w:color w:val="595959" w:themeColor="text1" w:themeTint="A6"/>
        </w:rPr>
        <w:t xml:space="preserve"> </w:t>
      </w:r>
      <w:r w:rsidR="00DC11EE">
        <w:rPr>
          <w:rFonts w:ascii="Arial" w:hAnsi="Arial" w:cs="Arial"/>
          <w:iCs/>
          <w:color w:val="595959" w:themeColor="text1" w:themeTint="A6"/>
        </w:rPr>
        <w:t>of</w:t>
      </w:r>
      <w:r w:rsidRPr="0006224D">
        <w:rPr>
          <w:rFonts w:ascii="Arial" w:hAnsi="Arial" w:cs="Arial"/>
          <w:iCs/>
          <w:color w:val="595959" w:themeColor="text1" w:themeTint="A6"/>
        </w:rPr>
        <w:t xml:space="preserve"> importance of understanding these </w:t>
      </w:r>
      <w:r w:rsidR="008F3D93">
        <w:rPr>
          <w:rFonts w:ascii="Arial" w:hAnsi="Arial" w:cs="Arial"/>
          <w:iCs/>
          <w:color w:val="595959" w:themeColor="text1" w:themeTint="A6"/>
        </w:rPr>
        <w:t xml:space="preserve">tumour resistance and drug </w:t>
      </w:r>
      <w:r w:rsidRPr="0006224D">
        <w:rPr>
          <w:rFonts w:ascii="Arial" w:hAnsi="Arial" w:cs="Arial"/>
          <w:iCs/>
          <w:color w:val="595959" w:themeColor="text1" w:themeTint="A6"/>
        </w:rPr>
        <w:t xml:space="preserve">interactions in 3D. </w:t>
      </w:r>
    </w:p>
    <w:p w14:paraId="522DA8B6" w14:textId="6D15A983" w:rsidR="00FF51E1" w:rsidRPr="00114476" w:rsidRDefault="002B0634" w:rsidP="00114476">
      <w:pPr>
        <w:pStyle w:val="Heading5"/>
        <w:rPr>
          <w:rFonts w:ascii="Arial" w:hAnsi="Arial" w:cs="Arial"/>
          <w:i/>
          <w:iCs/>
          <w:color w:val="595959" w:themeColor="text1" w:themeTint="A6"/>
        </w:rPr>
      </w:pPr>
      <w:bookmarkStart w:id="49" w:name="_Toc34208273"/>
      <w:r w:rsidRPr="00114476">
        <w:rPr>
          <w:rFonts w:ascii="Arial" w:hAnsi="Arial" w:cs="Arial"/>
          <w:i/>
          <w:iCs/>
          <w:color w:val="595959" w:themeColor="text1" w:themeTint="A6"/>
        </w:rPr>
        <w:t>1.4.2.3.3</w:t>
      </w:r>
      <w:r w:rsidR="00FF51E1" w:rsidRPr="00114476">
        <w:rPr>
          <w:rFonts w:ascii="Arial" w:hAnsi="Arial" w:cs="Arial"/>
          <w:i/>
          <w:iCs/>
          <w:color w:val="595959" w:themeColor="text1" w:themeTint="A6"/>
        </w:rPr>
        <w:t xml:space="preserve"> Tissue-derived matrices</w:t>
      </w:r>
      <w:bookmarkEnd w:id="49"/>
      <w:r w:rsidR="00FF51E1" w:rsidRPr="00114476">
        <w:rPr>
          <w:rFonts w:ascii="Arial" w:hAnsi="Arial" w:cs="Arial"/>
          <w:i/>
          <w:iCs/>
          <w:color w:val="595959" w:themeColor="text1" w:themeTint="A6"/>
        </w:rPr>
        <w:t xml:space="preserve"> </w:t>
      </w:r>
    </w:p>
    <w:p w14:paraId="73150272" w14:textId="77777777" w:rsidR="00114476" w:rsidRPr="00114476" w:rsidRDefault="00114476" w:rsidP="00114476"/>
    <w:p w14:paraId="3CAE27BB" w14:textId="40CF8434" w:rsidR="00FF51E1" w:rsidRPr="00FF51E1" w:rsidRDefault="00FF51E1" w:rsidP="00FF51E1">
      <w:pPr>
        <w:spacing w:line="480" w:lineRule="auto"/>
        <w:jc w:val="both"/>
        <w:rPr>
          <w:rFonts w:ascii="Arial" w:hAnsi="Arial" w:cs="Arial"/>
          <w:iCs/>
          <w:color w:val="595959" w:themeColor="text1" w:themeTint="A6"/>
        </w:rPr>
      </w:pPr>
      <w:r w:rsidRPr="00FF51E1">
        <w:rPr>
          <w:rFonts w:ascii="Arial" w:hAnsi="Arial" w:cs="Arial"/>
          <w:iCs/>
          <w:color w:val="595959" w:themeColor="text1" w:themeTint="A6"/>
        </w:rPr>
        <w:t xml:space="preserve">Tissue derived material (TDM) from patient biopsy that has undergone a decellularisation procedure to produce matrix scaffolds and have also been commercialised for tissue engineering modulation. Examples include, heart, blood vessels, lung, small intestine submucosa, skin, kidney, bladder, trachea, adipose tissue, cartilage ligament, and heart valves (Hoshiba </w:t>
      </w:r>
      <w:r w:rsidRPr="00FF51E1">
        <w:rPr>
          <w:rFonts w:ascii="Arial" w:hAnsi="Arial" w:cs="Arial"/>
          <w:i/>
          <w:iCs/>
          <w:color w:val="595959" w:themeColor="text1" w:themeTint="A6"/>
        </w:rPr>
        <w:t>et al</w:t>
      </w:r>
      <w:r w:rsidRPr="00FF51E1">
        <w:rPr>
          <w:rFonts w:ascii="Arial" w:hAnsi="Arial" w:cs="Arial"/>
          <w:iCs/>
          <w:color w:val="595959" w:themeColor="text1" w:themeTint="A6"/>
        </w:rPr>
        <w:t xml:space="preserve">., 2010).  ECM-derived </w:t>
      </w:r>
      <w:r w:rsidRPr="006D5A97">
        <w:rPr>
          <w:rFonts w:ascii="Arial" w:hAnsi="Arial" w:cs="Arial"/>
          <w:iCs/>
          <w:color w:val="595959" w:themeColor="text1" w:themeTint="A6"/>
        </w:rPr>
        <w:t xml:space="preserve">matrices </w:t>
      </w:r>
      <w:r w:rsidR="00C0301B" w:rsidRPr="006D5A97">
        <w:rPr>
          <w:rFonts w:ascii="Arial" w:hAnsi="Arial" w:cs="Arial"/>
          <w:iCs/>
          <w:color w:val="595959" w:themeColor="text1" w:themeTint="A6"/>
        </w:rPr>
        <w:t>are</w:t>
      </w:r>
      <w:r w:rsidRPr="006D5A97">
        <w:rPr>
          <w:rFonts w:ascii="Arial" w:hAnsi="Arial" w:cs="Arial"/>
          <w:iCs/>
          <w:color w:val="595959" w:themeColor="text1" w:themeTint="A6"/>
        </w:rPr>
        <w:t xml:space="preserve"> </w:t>
      </w:r>
      <w:r w:rsidRPr="00FF51E1">
        <w:rPr>
          <w:rFonts w:ascii="Arial" w:hAnsi="Arial" w:cs="Arial"/>
          <w:iCs/>
          <w:color w:val="595959" w:themeColor="text1" w:themeTint="A6"/>
        </w:rPr>
        <w:t xml:space="preserve">adhesive scaffold platforms as well </w:t>
      </w:r>
      <w:r w:rsidRPr="006D5A97">
        <w:rPr>
          <w:rFonts w:ascii="Arial" w:hAnsi="Arial" w:cs="Arial"/>
          <w:iCs/>
          <w:color w:val="595959" w:themeColor="text1" w:themeTint="A6"/>
        </w:rPr>
        <w:t xml:space="preserve">as </w:t>
      </w:r>
      <w:r w:rsidR="00C0301B" w:rsidRPr="006D5A97">
        <w:rPr>
          <w:rFonts w:ascii="Arial" w:hAnsi="Arial" w:cs="Arial"/>
          <w:iCs/>
          <w:color w:val="595959" w:themeColor="text1" w:themeTint="A6"/>
        </w:rPr>
        <w:t xml:space="preserve">having </w:t>
      </w:r>
      <w:r w:rsidRPr="00FF51E1">
        <w:rPr>
          <w:rFonts w:ascii="Arial" w:hAnsi="Arial" w:cs="Arial"/>
          <w:iCs/>
          <w:color w:val="595959" w:themeColor="text1" w:themeTint="A6"/>
        </w:rPr>
        <w:t xml:space="preserve">the capability to exhibit signalling cues; both of which might be manipulated by altering the conditioned media or introducing tumour associated cell-types (Herrmann </w:t>
      </w:r>
      <w:r w:rsidRPr="00FF51E1">
        <w:rPr>
          <w:rFonts w:ascii="Arial" w:hAnsi="Arial" w:cs="Arial"/>
          <w:i/>
          <w:iCs/>
          <w:color w:val="595959" w:themeColor="text1" w:themeTint="A6"/>
        </w:rPr>
        <w:t>et al</w:t>
      </w:r>
      <w:r w:rsidRPr="00FF51E1">
        <w:rPr>
          <w:rFonts w:ascii="Arial" w:hAnsi="Arial" w:cs="Arial"/>
          <w:iCs/>
          <w:color w:val="595959" w:themeColor="text1" w:themeTint="A6"/>
        </w:rPr>
        <w:t xml:space="preserve">., 2014). Using de-epidermised dermis (DED) which is a human equivalent model as well as alternative tissue engineering by adding cells of interest is also been used to study cancer invasion (Colley </w:t>
      </w:r>
      <w:r w:rsidRPr="00FF51E1">
        <w:rPr>
          <w:rFonts w:ascii="Arial" w:hAnsi="Arial" w:cs="Arial"/>
          <w:i/>
          <w:iCs/>
          <w:color w:val="595959" w:themeColor="text1" w:themeTint="A6"/>
        </w:rPr>
        <w:t>et al.,</w:t>
      </w:r>
      <w:r w:rsidRPr="00FF51E1">
        <w:rPr>
          <w:rFonts w:ascii="Arial" w:hAnsi="Arial" w:cs="Arial"/>
          <w:iCs/>
          <w:color w:val="595959" w:themeColor="text1" w:themeTint="A6"/>
        </w:rPr>
        <w:t xml:space="preserve"> 2011). However, these are limited by the non-homogenous disparity in thickness and inadequate native architecture (Wolfe </w:t>
      </w:r>
      <w:r w:rsidRPr="00FF51E1">
        <w:rPr>
          <w:rFonts w:ascii="Arial" w:hAnsi="Arial" w:cs="Arial"/>
          <w:i/>
          <w:iCs/>
          <w:color w:val="595959" w:themeColor="text1" w:themeTint="A6"/>
        </w:rPr>
        <w:t xml:space="preserve">et al., </w:t>
      </w:r>
      <w:r w:rsidRPr="00FF51E1">
        <w:rPr>
          <w:rFonts w:ascii="Arial" w:hAnsi="Arial" w:cs="Arial"/>
          <w:iCs/>
          <w:color w:val="595959" w:themeColor="text1" w:themeTint="A6"/>
        </w:rPr>
        <w:t xml:space="preserve">2009). </w:t>
      </w:r>
    </w:p>
    <w:p w14:paraId="068C3A8E" w14:textId="564823FA" w:rsidR="00FF51E1" w:rsidRPr="00FF51E1" w:rsidRDefault="00FF51E1" w:rsidP="00FF51E1">
      <w:pPr>
        <w:spacing w:line="480" w:lineRule="auto"/>
        <w:jc w:val="both"/>
        <w:rPr>
          <w:rFonts w:ascii="Arial" w:hAnsi="Arial" w:cs="Arial"/>
          <w:iCs/>
          <w:color w:val="595959" w:themeColor="text1" w:themeTint="A6"/>
        </w:rPr>
      </w:pPr>
      <w:r w:rsidRPr="00FF51E1">
        <w:rPr>
          <w:rFonts w:ascii="Arial" w:hAnsi="Arial" w:cs="Arial"/>
          <w:iCs/>
          <w:color w:val="595959" w:themeColor="text1" w:themeTint="A6"/>
        </w:rPr>
        <w:t>Improvements over the mouse Engelbreth-Holm-Swarm (EHS) sarcoma-der</w:t>
      </w:r>
      <w:r w:rsidR="003A4693">
        <w:rPr>
          <w:rFonts w:ascii="Arial" w:hAnsi="Arial" w:cs="Arial"/>
          <w:iCs/>
          <w:color w:val="595959" w:themeColor="text1" w:themeTint="A6"/>
        </w:rPr>
        <w:t>ived products, such as Matrigel</w:t>
      </w:r>
      <w:r w:rsidR="003A4693" w:rsidRPr="00436FB3">
        <w:rPr>
          <w:rFonts w:ascii="Arial" w:hAnsi="Arial" w:cs="Arial"/>
          <w:iCs/>
          <w:color w:val="595959" w:themeColor="text1" w:themeTint="A6"/>
          <w:vertAlign w:val="superscript"/>
        </w:rPr>
        <w:t>®</w:t>
      </w:r>
      <w:r w:rsidRPr="00FF51E1">
        <w:rPr>
          <w:rFonts w:ascii="Arial" w:hAnsi="Arial" w:cs="Arial"/>
          <w:iCs/>
          <w:color w:val="595959" w:themeColor="text1" w:themeTint="A6"/>
        </w:rPr>
        <w:t xml:space="preserve">, are currently sort after due to its non-human origin as well as its molecular </w:t>
      </w:r>
      <w:r w:rsidRPr="006D5A97">
        <w:rPr>
          <w:rFonts w:ascii="Arial" w:hAnsi="Arial" w:cs="Arial"/>
          <w:iCs/>
          <w:color w:val="595959" w:themeColor="text1" w:themeTint="A6"/>
        </w:rPr>
        <w:lastRenderedPageBreak/>
        <w:t xml:space="preserve">composition not accurately simulating human TME. </w:t>
      </w:r>
      <w:r w:rsidRPr="006D5A97">
        <w:rPr>
          <w:rFonts w:ascii="Arial" w:hAnsi="Arial" w:cs="Arial"/>
          <w:i/>
          <w:iCs/>
          <w:color w:val="595959" w:themeColor="text1" w:themeTint="A6"/>
        </w:rPr>
        <w:t>Salo</w:t>
      </w:r>
      <w:r w:rsidRPr="006D5A97">
        <w:rPr>
          <w:rFonts w:ascii="Arial" w:hAnsi="Arial" w:cs="Arial"/>
          <w:iCs/>
          <w:color w:val="595959" w:themeColor="text1" w:themeTint="A6"/>
        </w:rPr>
        <w:t xml:space="preserve"> and her group have pioneered a gelatinous leiomyoma matrix, named Myogel as a human alternative (Salo </w:t>
      </w:r>
      <w:r w:rsidRPr="006D5A97">
        <w:rPr>
          <w:rFonts w:ascii="Arial" w:hAnsi="Arial" w:cs="Arial"/>
          <w:i/>
          <w:iCs/>
          <w:color w:val="595959" w:themeColor="text1" w:themeTint="A6"/>
        </w:rPr>
        <w:t>et al.,</w:t>
      </w:r>
      <w:r w:rsidRPr="006D5A97">
        <w:rPr>
          <w:rFonts w:ascii="Arial" w:hAnsi="Arial" w:cs="Arial"/>
          <w:iCs/>
          <w:color w:val="595959" w:themeColor="text1" w:themeTint="A6"/>
        </w:rPr>
        <w:t xml:space="preserve"> 2015). </w:t>
      </w:r>
      <w:r w:rsidR="00DD00C9" w:rsidRPr="006D5A97">
        <w:rPr>
          <w:rFonts w:ascii="Arial" w:hAnsi="Arial" w:cs="Arial"/>
          <w:iCs/>
          <w:color w:val="595959" w:themeColor="text1" w:themeTint="A6"/>
        </w:rPr>
        <w:t xml:space="preserve">This </w:t>
      </w:r>
      <w:r w:rsidRPr="006D5A97">
        <w:rPr>
          <w:rFonts w:ascii="Arial" w:hAnsi="Arial" w:cs="Arial"/>
          <w:iCs/>
          <w:color w:val="595959" w:themeColor="text1" w:themeTint="A6"/>
        </w:rPr>
        <w:t xml:space="preserve">tissue which </w:t>
      </w:r>
      <w:r w:rsidRPr="00FF51E1">
        <w:rPr>
          <w:rFonts w:ascii="Arial" w:hAnsi="Arial" w:cs="Arial"/>
          <w:iCs/>
          <w:color w:val="595959" w:themeColor="text1" w:themeTint="A6"/>
        </w:rPr>
        <w:t>by nature contains a variety of cell types including endothelial cells, lymphoctyes, macrophages and extracellular matrix components to model the native TME</w:t>
      </w:r>
      <w:r w:rsidR="006163A1">
        <w:rPr>
          <w:rFonts w:ascii="Arial" w:hAnsi="Arial" w:cs="Arial"/>
          <w:iCs/>
          <w:color w:val="595959" w:themeColor="text1" w:themeTint="A6"/>
        </w:rPr>
        <w:t xml:space="preserve"> </w:t>
      </w:r>
      <w:r w:rsidR="00355D12">
        <w:rPr>
          <w:rFonts w:ascii="Arial" w:hAnsi="Arial" w:cs="Arial"/>
          <w:iCs/>
          <w:color w:val="595959" w:themeColor="text1" w:themeTint="A6"/>
        </w:rPr>
        <w:t xml:space="preserve">and </w:t>
      </w:r>
      <w:r w:rsidR="006163A1">
        <w:rPr>
          <w:rFonts w:ascii="Arial" w:hAnsi="Arial" w:cs="Arial"/>
          <w:iCs/>
          <w:color w:val="595959" w:themeColor="text1" w:themeTint="A6"/>
        </w:rPr>
        <w:t xml:space="preserve">are </w:t>
      </w:r>
      <w:r w:rsidR="006163A1" w:rsidRPr="006163A1">
        <w:rPr>
          <w:rFonts w:ascii="Arial" w:hAnsi="Arial" w:cs="Arial"/>
          <w:iCs/>
          <w:color w:val="595959" w:themeColor="text1" w:themeTint="A6"/>
        </w:rPr>
        <w:t>suitable for numerous solid cancer-</w:t>
      </w:r>
      <w:r w:rsidR="006163A1" w:rsidRPr="00215536">
        <w:rPr>
          <w:rFonts w:ascii="Arial" w:hAnsi="Arial" w:cs="Arial"/>
          <w:iCs/>
          <w:color w:val="595959" w:themeColor="text1" w:themeTint="A6"/>
        </w:rPr>
        <w:t xml:space="preserve">related </w:t>
      </w:r>
      <w:r w:rsidR="006163A1" w:rsidRPr="00215536">
        <w:rPr>
          <w:rFonts w:ascii="Arial" w:hAnsi="Arial" w:cs="Arial"/>
          <w:i/>
          <w:color w:val="595959" w:themeColor="text1" w:themeTint="A6"/>
        </w:rPr>
        <w:t>in vitro</w:t>
      </w:r>
      <w:r w:rsidR="006163A1" w:rsidRPr="00215536">
        <w:rPr>
          <w:rFonts w:ascii="Arial" w:hAnsi="Arial" w:cs="Arial"/>
          <w:iCs/>
          <w:color w:val="595959" w:themeColor="text1" w:themeTint="A6"/>
        </w:rPr>
        <w:t xml:space="preserve"> </w:t>
      </w:r>
      <w:r w:rsidR="006163A1" w:rsidRPr="006163A1">
        <w:rPr>
          <w:rFonts w:ascii="Arial" w:hAnsi="Arial" w:cs="Arial"/>
          <w:iCs/>
          <w:color w:val="595959" w:themeColor="text1" w:themeTint="A6"/>
        </w:rPr>
        <w:t>assays (migration, invasion, radiation or drug testing).</w:t>
      </w:r>
    </w:p>
    <w:p w14:paraId="287E3902" w14:textId="72842D2A" w:rsidR="00FF51E1" w:rsidRPr="00D93BD3" w:rsidRDefault="002B0634" w:rsidP="00D93BD3">
      <w:pPr>
        <w:pStyle w:val="Heading5"/>
        <w:rPr>
          <w:rFonts w:ascii="Arial" w:hAnsi="Arial" w:cs="Arial"/>
          <w:i/>
          <w:iCs/>
          <w:color w:val="595959" w:themeColor="text1" w:themeTint="A6"/>
        </w:rPr>
      </w:pPr>
      <w:bookmarkStart w:id="50" w:name="_Toc34208274"/>
      <w:r w:rsidRPr="00D93BD3">
        <w:rPr>
          <w:rFonts w:ascii="Arial" w:hAnsi="Arial" w:cs="Arial"/>
          <w:i/>
          <w:iCs/>
          <w:color w:val="595959" w:themeColor="text1" w:themeTint="A6"/>
        </w:rPr>
        <w:t>1.4.2.</w:t>
      </w:r>
      <w:r w:rsidR="00114476" w:rsidRPr="00D93BD3">
        <w:rPr>
          <w:rFonts w:ascii="Arial" w:hAnsi="Arial" w:cs="Arial"/>
          <w:i/>
          <w:iCs/>
          <w:color w:val="595959" w:themeColor="text1" w:themeTint="A6"/>
        </w:rPr>
        <w:t>3.</w:t>
      </w:r>
      <w:r w:rsidRPr="00D93BD3">
        <w:rPr>
          <w:rFonts w:ascii="Arial" w:hAnsi="Arial" w:cs="Arial"/>
          <w:i/>
          <w:iCs/>
          <w:color w:val="595959" w:themeColor="text1" w:themeTint="A6"/>
        </w:rPr>
        <w:t xml:space="preserve">4 </w:t>
      </w:r>
      <w:r w:rsidR="00FF51E1" w:rsidRPr="00D93BD3">
        <w:rPr>
          <w:rFonts w:ascii="Arial" w:hAnsi="Arial" w:cs="Arial"/>
          <w:i/>
          <w:iCs/>
          <w:color w:val="595959" w:themeColor="text1" w:themeTint="A6"/>
        </w:rPr>
        <w:t>Synthetic scaffolds</w:t>
      </w:r>
      <w:bookmarkEnd w:id="50"/>
    </w:p>
    <w:p w14:paraId="43DEA38C" w14:textId="77777777" w:rsidR="00114476" w:rsidRPr="00114476" w:rsidRDefault="00114476" w:rsidP="00114476"/>
    <w:p w14:paraId="62FEBF7E" w14:textId="4BA61ECC" w:rsidR="001B151E" w:rsidRDefault="003168A5" w:rsidP="001B151E">
      <w:pPr>
        <w:spacing w:line="480" w:lineRule="auto"/>
        <w:jc w:val="both"/>
        <w:rPr>
          <w:rFonts w:ascii="Arial" w:hAnsi="Arial" w:cs="Arial"/>
          <w:iCs/>
          <w:color w:val="595959" w:themeColor="text1" w:themeTint="A6"/>
        </w:rPr>
      </w:pPr>
      <w:r>
        <w:rPr>
          <w:rFonts w:ascii="Arial" w:hAnsi="Arial" w:cs="Arial"/>
          <w:iCs/>
          <w:color w:val="595959" w:themeColor="text1" w:themeTint="A6"/>
        </w:rPr>
        <w:t xml:space="preserve"> S</w:t>
      </w:r>
      <w:r w:rsidR="00FF51E1" w:rsidRPr="00FF51E1">
        <w:rPr>
          <w:rFonts w:ascii="Arial" w:hAnsi="Arial" w:cs="Arial"/>
          <w:iCs/>
          <w:color w:val="595959" w:themeColor="text1" w:themeTint="A6"/>
        </w:rPr>
        <w:t>ynthetic scaffolds</w:t>
      </w:r>
      <w:r>
        <w:rPr>
          <w:rFonts w:ascii="Arial" w:hAnsi="Arial" w:cs="Arial"/>
          <w:iCs/>
          <w:color w:val="595959" w:themeColor="text1" w:themeTint="A6"/>
        </w:rPr>
        <w:t>, the majority of which</w:t>
      </w:r>
      <w:r w:rsidR="00FF51E1" w:rsidRPr="00FF51E1">
        <w:rPr>
          <w:rFonts w:ascii="Arial" w:hAnsi="Arial" w:cs="Arial"/>
          <w:iCs/>
          <w:color w:val="595959" w:themeColor="text1" w:themeTint="A6"/>
        </w:rPr>
        <w:t xml:space="preserve"> </w:t>
      </w:r>
      <w:r>
        <w:rPr>
          <w:rFonts w:ascii="Arial" w:hAnsi="Arial" w:cs="Arial"/>
          <w:iCs/>
          <w:color w:val="595959" w:themeColor="text1" w:themeTint="A6"/>
        </w:rPr>
        <w:t>are polymers</w:t>
      </w:r>
      <w:r w:rsidR="00BF7E4E">
        <w:rPr>
          <w:rFonts w:ascii="Arial" w:hAnsi="Arial" w:cs="Arial"/>
          <w:iCs/>
          <w:color w:val="595959" w:themeColor="text1" w:themeTint="A6"/>
        </w:rPr>
        <w:t xml:space="preserve">, are typically </w:t>
      </w:r>
      <w:r w:rsidR="00FF51E1" w:rsidRPr="00FF51E1">
        <w:rPr>
          <w:rFonts w:ascii="Arial" w:hAnsi="Arial" w:cs="Arial"/>
          <w:iCs/>
          <w:color w:val="595959" w:themeColor="text1" w:themeTint="A6"/>
        </w:rPr>
        <w:t>mechan</w:t>
      </w:r>
      <w:r w:rsidR="00BF7E4E">
        <w:rPr>
          <w:rFonts w:ascii="Arial" w:hAnsi="Arial" w:cs="Arial"/>
          <w:iCs/>
          <w:color w:val="595959" w:themeColor="text1" w:themeTint="A6"/>
        </w:rPr>
        <w:t>ically</w:t>
      </w:r>
      <w:r w:rsidR="00FF51E1" w:rsidRPr="00FF51E1">
        <w:rPr>
          <w:rFonts w:ascii="Arial" w:hAnsi="Arial" w:cs="Arial"/>
          <w:iCs/>
          <w:color w:val="595959" w:themeColor="text1" w:themeTint="A6"/>
        </w:rPr>
        <w:t xml:space="preserve"> stronger than the natural scaffolds </w:t>
      </w:r>
      <w:r w:rsidR="00BF7E4E">
        <w:rPr>
          <w:rFonts w:ascii="Arial" w:hAnsi="Arial" w:cs="Arial"/>
          <w:iCs/>
          <w:color w:val="595959" w:themeColor="text1" w:themeTint="A6"/>
        </w:rPr>
        <w:t xml:space="preserve">with an advantage that their material </w:t>
      </w:r>
      <w:r w:rsidR="00FF51E1" w:rsidRPr="00FF51E1">
        <w:rPr>
          <w:rFonts w:ascii="Arial" w:hAnsi="Arial" w:cs="Arial"/>
          <w:iCs/>
          <w:color w:val="595959" w:themeColor="text1" w:themeTint="A6"/>
        </w:rPr>
        <w:t>properties can</w:t>
      </w:r>
      <w:r w:rsidR="003D0FC9">
        <w:rPr>
          <w:rFonts w:ascii="Arial" w:hAnsi="Arial" w:cs="Arial"/>
          <w:iCs/>
          <w:color w:val="595959" w:themeColor="text1" w:themeTint="A6"/>
        </w:rPr>
        <w:t xml:space="preserve"> </w:t>
      </w:r>
      <w:r w:rsidR="00FF51E1" w:rsidRPr="00FF51E1">
        <w:rPr>
          <w:rFonts w:ascii="Arial" w:hAnsi="Arial" w:cs="Arial"/>
          <w:iCs/>
          <w:color w:val="595959" w:themeColor="text1" w:themeTint="A6"/>
        </w:rPr>
        <w:t>easily</w:t>
      </w:r>
      <w:r w:rsidR="003D0FC9">
        <w:rPr>
          <w:rFonts w:ascii="Arial" w:hAnsi="Arial" w:cs="Arial"/>
          <w:iCs/>
          <w:color w:val="595959" w:themeColor="text1" w:themeTint="A6"/>
        </w:rPr>
        <w:t xml:space="preserve"> be</w:t>
      </w:r>
      <w:r w:rsidR="00FF51E1" w:rsidRPr="00FF51E1">
        <w:rPr>
          <w:rFonts w:ascii="Arial" w:hAnsi="Arial" w:cs="Arial"/>
          <w:iCs/>
          <w:color w:val="595959" w:themeColor="text1" w:themeTint="A6"/>
        </w:rPr>
        <w:t xml:space="preserve"> adjusted by altering pH and temperature during p</w:t>
      </w:r>
      <w:r w:rsidR="003D0FC9">
        <w:rPr>
          <w:rFonts w:ascii="Arial" w:hAnsi="Arial" w:cs="Arial"/>
          <w:iCs/>
          <w:color w:val="595959" w:themeColor="text1" w:themeTint="A6"/>
        </w:rPr>
        <w:t>roduction</w:t>
      </w:r>
      <w:r w:rsidR="00FF51E1" w:rsidRPr="00FF51E1">
        <w:rPr>
          <w:rFonts w:ascii="Arial" w:hAnsi="Arial" w:cs="Arial"/>
          <w:iCs/>
          <w:color w:val="595959" w:themeColor="text1" w:themeTint="A6"/>
        </w:rPr>
        <w:t xml:space="preserve">. </w:t>
      </w:r>
      <w:r w:rsidR="007035AA">
        <w:rPr>
          <w:rFonts w:ascii="Arial" w:hAnsi="Arial" w:cs="Arial"/>
          <w:iCs/>
          <w:color w:val="595959" w:themeColor="text1" w:themeTint="A6"/>
        </w:rPr>
        <w:t>S</w:t>
      </w:r>
      <w:r w:rsidR="001B151E">
        <w:rPr>
          <w:rFonts w:ascii="Arial" w:hAnsi="Arial" w:cs="Arial"/>
          <w:iCs/>
          <w:color w:val="595959" w:themeColor="text1" w:themeTint="A6"/>
        </w:rPr>
        <w:t>ynthetic scaffold technolog</w:t>
      </w:r>
      <w:r w:rsidR="007035AA">
        <w:rPr>
          <w:rFonts w:ascii="Arial" w:hAnsi="Arial" w:cs="Arial"/>
          <w:iCs/>
          <w:color w:val="595959" w:themeColor="text1" w:themeTint="A6"/>
        </w:rPr>
        <w:t>ies</w:t>
      </w:r>
      <w:r w:rsidR="001B151E">
        <w:rPr>
          <w:rFonts w:ascii="Arial" w:hAnsi="Arial" w:cs="Arial"/>
          <w:iCs/>
          <w:color w:val="595959" w:themeColor="text1" w:themeTint="A6"/>
        </w:rPr>
        <w:t xml:space="preserve"> ha</w:t>
      </w:r>
      <w:r w:rsidR="007035AA">
        <w:rPr>
          <w:rFonts w:ascii="Arial" w:hAnsi="Arial" w:cs="Arial"/>
          <w:iCs/>
          <w:color w:val="595959" w:themeColor="text1" w:themeTint="A6"/>
        </w:rPr>
        <w:t>ve</w:t>
      </w:r>
      <w:r w:rsidR="001B151E">
        <w:rPr>
          <w:rFonts w:ascii="Arial" w:hAnsi="Arial" w:cs="Arial"/>
          <w:iCs/>
          <w:color w:val="595959" w:themeColor="text1" w:themeTint="A6"/>
        </w:rPr>
        <w:t xml:space="preserve"> been</w:t>
      </w:r>
      <w:r w:rsidR="00FF51E1" w:rsidRPr="00FF51E1">
        <w:rPr>
          <w:rFonts w:ascii="Arial" w:hAnsi="Arial" w:cs="Arial"/>
          <w:iCs/>
          <w:color w:val="595959" w:themeColor="text1" w:themeTint="A6"/>
        </w:rPr>
        <w:t xml:space="preserve"> used to </w:t>
      </w:r>
      <w:r w:rsidR="007035AA">
        <w:rPr>
          <w:rFonts w:ascii="Arial" w:hAnsi="Arial" w:cs="Arial"/>
          <w:iCs/>
          <w:color w:val="595959" w:themeColor="text1" w:themeTint="A6"/>
        </w:rPr>
        <w:t>investigate</w:t>
      </w:r>
      <w:r w:rsidR="00FF51E1" w:rsidRPr="00FF51E1">
        <w:rPr>
          <w:rFonts w:ascii="Arial" w:hAnsi="Arial" w:cs="Arial"/>
          <w:iCs/>
          <w:color w:val="595959" w:themeColor="text1" w:themeTint="A6"/>
        </w:rPr>
        <w:t xml:space="preserve"> surface modifications and cell bioactivity. Some examples include polylactide (PLA), polyglycolide (PGA), co-polymers (PLGA, PLG) and poly-ethylene glycol (PEG). These have the advantages of being highly reproducible with standardised mechanical and physical properties. PEG hydrogels can be functionalised with peptide sequences to enhance cell-cell and cell-ECM interactions (Villanueva </w:t>
      </w:r>
      <w:r w:rsidR="00FF51E1" w:rsidRPr="00FF51E1">
        <w:rPr>
          <w:rFonts w:ascii="Arial" w:hAnsi="Arial" w:cs="Arial"/>
          <w:i/>
          <w:iCs/>
          <w:color w:val="595959" w:themeColor="text1" w:themeTint="A6"/>
        </w:rPr>
        <w:t>et al.</w:t>
      </w:r>
      <w:r w:rsidR="00FF51E1" w:rsidRPr="00FF51E1">
        <w:rPr>
          <w:rFonts w:ascii="Arial" w:hAnsi="Arial" w:cs="Arial"/>
          <w:iCs/>
          <w:color w:val="595959" w:themeColor="text1" w:themeTint="A6"/>
        </w:rPr>
        <w:t xml:space="preserve"> 2009). PEG hydrogels can also be modified with MMP- or plasmin-sensitive peptide sequences to mimic specific degradability of the ECM (Raeber </w:t>
      </w:r>
      <w:r w:rsidR="00FF51E1" w:rsidRPr="00FF51E1">
        <w:rPr>
          <w:rFonts w:ascii="Arial" w:hAnsi="Arial" w:cs="Arial"/>
          <w:i/>
          <w:iCs/>
          <w:color w:val="595959" w:themeColor="text1" w:themeTint="A6"/>
        </w:rPr>
        <w:t>et al.</w:t>
      </w:r>
      <w:r w:rsidR="00B202EB">
        <w:rPr>
          <w:rFonts w:ascii="Arial" w:hAnsi="Arial" w:cs="Arial"/>
          <w:iCs/>
          <w:color w:val="595959" w:themeColor="text1" w:themeTint="A6"/>
        </w:rPr>
        <w:t xml:space="preserve"> 2005). </w:t>
      </w:r>
    </w:p>
    <w:p w14:paraId="0A257D2E" w14:textId="293710A7" w:rsidR="00FF51E1" w:rsidRDefault="000E502B" w:rsidP="000F35E1">
      <w:pPr>
        <w:spacing w:line="480" w:lineRule="auto"/>
        <w:jc w:val="both"/>
        <w:rPr>
          <w:rFonts w:ascii="Arial" w:hAnsi="Arial" w:cs="Arial"/>
          <w:iCs/>
          <w:color w:val="595959" w:themeColor="text1" w:themeTint="A6"/>
        </w:rPr>
      </w:pPr>
      <w:r>
        <w:rPr>
          <w:rFonts w:ascii="Arial" w:hAnsi="Arial" w:cs="Arial"/>
          <w:iCs/>
          <w:color w:val="595959" w:themeColor="text1" w:themeTint="A6"/>
        </w:rPr>
        <w:t>In order for 3D cell culture to be rapidly adaptable and reproducible, commercially available scaffolds have been generated that allow a</w:t>
      </w:r>
      <w:r w:rsidRPr="000E502B">
        <w:rPr>
          <w:rFonts w:ascii="Arial" w:hAnsi="Arial" w:cs="Arial"/>
          <w:iCs/>
          <w:color w:val="595959" w:themeColor="text1" w:themeTint="A6"/>
        </w:rPr>
        <w:t xml:space="preserve"> 3D geometry </w:t>
      </w:r>
      <w:r w:rsidR="000F35E1">
        <w:rPr>
          <w:rFonts w:ascii="Arial" w:hAnsi="Arial" w:cs="Arial"/>
          <w:iCs/>
          <w:color w:val="595959" w:themeColor="text1" w:themeTint="A6"/>
        </w:rPr>
        <w:t xml:space="preserve">that </w:t>
      </w:r>
      <w:r w:rsidRPr="000E502B">
        <w:rPr>
          <w:rFonts w:ascii="Arial" w:hAnsi="Arial" w:cs="Arial"/>
          <w:iCs/>
          <w:color w:val="595959" w:themeColor="text1" w:themeTint="A6"/>
        </w:rPr>
        <w:t>provid</w:t>
      </w:r>
      <w:r w:rsidR="000F35E1">
        <w:rPr>
          <w:rFonts w:ascii="Arial" w:hAnsi="Arial" w:cs="Arial"/>
          <w:iCs/>
          <w:color w:val="595959" w:themeColor="text1" w:themeTint="A6"/>
        </w:rPr>
        <w:t>es</w:t>
      </w:r>
      <w:r w:rsidR="002F3BF3">
        <w:rPr>
          <w:rFonts w:ascii="Arial" w:hAnsi="Arial" w:cs="Arial"/>
          <w:iCs/>
          <w:color w:val="595959" w:themeColor="text1" w:themeTint="A6"/>
        </w:rPr>
        <w:t xml:space="preserve"> a suitable environment in which </w:t>
      </w:r>
      <w:r w:rsidRPr="000E502B">
        <w:rPr>
          <w:rFonts w:ascii="Arial" w:hAnsi="Arial" w:cs="Arial"/>
          <w:iCs/>
          <w:color w:val="595959" w:themeColor="text1" w:themeTint="A6"/>
        </w:rPr>
        <w:t>cells</w:t>
      </w:r>
      <w:r w:rsidR="002F3BF3">
        <w:rPr>
          <w:rFonts w:ascii="Arial" w:hAnsi="Arial" w:cs="Arial"/>
          <w:iCs/>
          <w:color w:val="595959" w:themeColor="text1" w:themeTint="A6"/>
        </w:rPr>
        <w:t xml:space="preserve"> can</w:t>
      </w:r>
      <w:r w:rsidRPr="000E502B">
        <w:rPr>
          <w:rFonts w:ascii="Arial" w:hAnsi="Arial" w:cs="Arial"/>
          <w:iCs/>
          <w:color w:val="595959" w:themeColor="text1" w:themeTint="A6"/>
        </w:rPr>
        <w:t xml:space="preserve"> grow, differentiate, and function to form close relationships with adjacent cells </w:t>
      </w:r>
      <w:r w:rsidR="002F3BF3">
        <w:rPr>
          <w:rFonts w:ascii="Arial" w:hAnsi="Arial" w:cs="Arial"/>
          <w:iCs/>
          <w:color w:val="595959" w:themeColor="text1" w:themeTint="A6"/>
        </w:rPr>
        <w:t xml:space="preserve">generating </w:t>
      </w:r>
      <w:r w:rsidRPr="000E502B">
        <w:rPr>
          <w:rFonts w:ascii="Arial" w:hAnsi="Arial" w:cs="Arial"/>
          <w:iCs/>
          <w:color w:val="595959" w:themeColor="text1" w:themeTint="A6"/>
        </w:rPr>
        <w:t>the equivalent of</w:t>
      </w:r>
      <w:r w:rsidR="002F3BF3">
        <w:rPr>
          <w:rFonts w:ascii="Arial" w:hAnsi="Arial" w:cs="Arial"/>
          <w:iCs/>
          <w:color w:val="595959" w:themeColor="text1" w:themeTint="A6"/>
        </w:rPr>
        <w:t xml:space="preserve"> </w:t>
      </w:r>
      <w:r w:rsidRPr="000E502B">
        <w:rPr>
          <w:rFonts w:ascii="Arial" w:hAnsi="Arial" w:cs="Arial"/>
          <w:iCs/>
          <w:color w:val="595959" w:themeColor="text1" w:themeTint="A6"/>
        </w:rPr>
        <w:t>thin tissue layer</w:t>
      </w:r>
      <w:r w:rsidR="002F3BF3">
        <w:rPr>
          <w:rFonts w:ascii="Arial" w:hAnsi="Arial" w:cs="Arial"/>
          <w:iCs/>
          <w:color w:val="595959" w:themeColor="text1" w:themeTint="A6"/>
        </w:rPr>
        <w:t>s</w:t>
      </w:r>
      <w:r w:rsidRPr="000E502B">
        <w:rPr>
          <w:rFonts w:ascii="Arial" w:hAnsi="Arial" w:cs="Arial"/>
          <w:iCs/>
          <w:color w:val="595959" w:themeColor="text1" w:themeTint="A6"/>
        </w:rPr>
        <w:t xml:space="preserve"> </w:t>
      </w:r>
      <w:r w:rsidRPr="002F3BF3">
        <w:rPr>
          <w:rFonts w:ascii="Arial" w:hAnsi="Arial" w:cs="Arial"/>
          <w:i/>
          <w:color w:val="595959" w:themeColor="text1" w:themeTint="A6"/>
        </w:rPr>
        <w:t>in vitro</w:t>
      </w:r>
      <w:r w:rsidR="002F3BF3">
        <w:rPr>
          <w:rFonts w:ascii="Arial" w:hAnsi="Arial" w:cs="Arial"/>
          <w:i/>
          <w:color w:val="595959" w:themeColor="text1" w:themeTint="A6"/>
        </w:rPr>
        <w:t xml:space="preserve"> </w:t>
      </w:r>
      <w:r w:rsidR="002F3BF3">
        <w:rPr>
          <w:rFonts w:ascii="Arial" w:hAnsi="Arial" w:cs="Arial"/>
          <w:iCs/>
          <w:color w:val="595959" w:themeColor="text1" w:themeTint="A6"/>
        </w:rPr>
        <w:t xml:space="preserve">(Knight </w:t>
      </w:r>
      <w:r w:rsidR="002F3BF3" w:rsidRPr="002F3BF3">
        <w:rPr>
          <w:rFonts w:ascii="Arial" w:hAnsi="Arial" w:cs="Arial"/>
          <w:i/>
          <w:color w:val="595959" w:themeColor="text1" w:themeTint="A6"/>
        </w:rPr>
        <w:t xml:space="preserve">et al., </w:t>
      </w:r>
      <w:r w:rsidR="002F3BF3">
        <w:rPr>
          <w:rFonts w:ascii="Arial" w:hAnsi="Arial" w:cs="Arial"/>
          <w:iCs/>
          <w:color w:val="595959" w:themeColor="text1" w:themeTint="A6"/>
        </w:rPr>
        <w:t xml:space="preserve">2011). </w:t>
      </w:r>
      <w:r w:rsidR="00A91D4B">
        <w:rPr>
          <w:rFonts w:ascii="Arial" w:hAnsi="Arial" w:cs="Arial"/>
          <w:iCs/>
          <w:color w:val="595959" w:themeColor="text1" w:themeTint="A6"/>
        </w:rPr>
        <w:t xml:space="preserve">The </w:t>
      </w:r>
      <w:r w:rsidR="002F3BF3">
        <w:rPr>
          <w:rFonts w:ascii="Arial" w:hAnsi="Arial" w:cs="Arial"/>
          <w:iCs/>
          <w:color w:val="595959" w:themeColor="text1" w:themeTint="A6"/>
        </w:rPr>
        <w:t>Alvetex</w:t>
      </w:r>
      <w:r w:rsidR="002F3BF3" w:rsidRPr="00B44B67">
        <w:rPr>
          <w:rFonts w:ascii="Arial" w:hAnsi="Arial" w:cs="Arial"/>
          <w:iCs/>
          <w:color w:val="595959" w:themeColor="text1" w:themeTint="A6"/>
          <w:vertAlign w:val="superscript"/>
        </w:rPr>
        <w:t>®</w:t>
      </w:r>
      <w:r w:rsidR="002F3BF3">
        <w:rPr>
          <w:rFonts w:ascii="Arial" w:hAnsi="Arial" w:cs="Arial"/>
          <w:iCs/>
          <w:color w:val="595959" w:themeColor="text1" w:themeTint="A6"/>
        </w:rPr>
        <w:t xml:space="preserve"> scaffold have been </w:t>
      </w:r>
      <w:r w:rsidR="009E2F5E">
        <w:rPr>
          <w:rFonts w:ascii="Arial" w:hAnsi="Arial" w:cs="Arial"/>
          <w:iCs/>
          <w:color w:val="595959" w:themeColor="text1" w:themeTint="A6"/>
        </w:rPr>
        <w:t>utilised</w:t>
      </w:r>
      <w:r w:rsidR="002F3BF3">
        <w:rPr>
          <w:rFonts w:ascii="Arial" w:hAnsi="Arial" w:cs="Arial"/>
          <w:iCs/>
          <w:color w:val="595959" w:themeColor="text1" w:themeTint="A6"/>
        </w:rPr>
        <w:t xml:space="preserve"> to produce</w:t>
      </w:r>
      <w:r w:rsidR="00795F53">
        <w:rPr>
          <w:rFonts w:ascii="Arial" w:hAnsi="Arial" w:cs="Arial"/>
          <w:iCs/>
          <w:color w:val="595959" w:themeColor="text1" w:themeTint="A6"/>
        </w:rPr>
        <w:t xml:space="preserve"> a</w:t>
      </w:r>
      <w:r w:rsidR="002F3BF3">
        <w:rPr>
          <w:rFonts w:ascii="Arial" w:hAnsi="Arial" w:cs="Arial"/>
          <w:iCs/>
          <w:color w:val="595959" w:themeColor="text1" w:themeTint="A6"/>
        </w:rPr>
        <w:t xml:space="preserve"> </w:t>
      </w:r>
      <w:r w:rsidR="002F3BF3" w:rsidRPr="002F3BF3">
        <w:rPr>
          <w:rFonts w:ascii="Arial" w:hAnsi="Arial" w:cs="Arial"/>
          <w:iCs/>
          <w:color w:val="595959" w:themeColor="text1" w:themeTint="A6"/>
        </w:rPr>
        <w:t>fully humani</w:t>
      </w:r>
      <w:r w:rsidR="00AF5D5A">
        <w:rPr>
          <w:rFonts w:ascii="Arial" w:hAnsi="Arial" w:cs="Arial"/>
          <w:iCs/>
          <w:color w:val="595959" w:themeColor="text1" w:themeTint="A6"/>
        </w:rPr>
        <w:t>s</w:t>
      </w:r>
      <w:r w:rsidR="002F3BF3" w:rsidRPr="002F3BF3">
        <w:rPr>
          <w:rFonts w:ascii="Arial" w:hAnsi="Arial" w:cs="Arial"/>
          <w:iCs/>
          <w:color w:val="595959" w:themeColor="text1" w:themeTint="A6"/>
        </w:rPr>
        <w:t>ed 3D skin equivalent comprising a stratified, terminally differentiated epidermis and a dermal compartment consisting of fibroblast-generated extracellular matrix</w:t>
      </w:r>
      <w:r w:rsidR="00AF5D5A">
        <w:rPr>
          <w:rFonts w:ascii="Arial" w:hAnsi="Arial" w:cs="Arial"/>
          <w:iCs/>
          <w:color w:val="595959" w:themeColor="text1" w:themeTint="A6"/>
        </w:rPr>
        <w:t xml:space="preserve"> (Hill </w:t>
      </w:r>
      <w:r w:rsidR="00AF5D5A" w:rsidRPr="00AF5D5A">
        <w:rPr>
          <w:rFonts w:ascii="Arial" w:hAnsi="Arial" w:cs="Arial"/>
          <w:i/>
          <w:color w:val="595959" w:themeColor="text1" w:themeTint="A6"/>
        </w:rPr>
        <w:t>et al.,</w:t>
      </w:r>
      <w:r w:rsidR="00AF5D5A">
        <w:rPr>
          <w:rFonts w:ascii="Arial" w:hAnsi="Arial" w:cs="Arial"/>
          <w:iCs/>
          <w:color w:val="595959" w:themeColor="text1" w:themeTint="A6"/>
        </w:rPr>
        <w:t xml:space="preserve"> 2015). </w:t>
      </w:r>
      <w:r w:rsidR="00795F53">
        <w:rPr>
          <w:rFonts w:ascii="Arial" w:hAnsi="Arial" w:cs="Arial"/>
          <w:iCs/>
          <w:color w:val="595959" w:themeColor="text1" w:themeTint="A6"/>
        </w:rPr>
        <w:t>However, as with other systems</w:t>
      </w:r>
      <w:r w:rsidR="006B4E1A">
        <w:rPr>
          <w:rFonts w:ascii="Arial" w:hAnsi="Arial" w:cs="Arial"/>
          <w:iCs/>
          <w:color w:val="595959" w:themeColor="text1" w:themeTint="A6"/>
        </w:rPr>
        <w:t xml:space="preserve"> there are</w:t>
      </w:r>
      <w:r w:rsidR="00FF51E1" w:rsidRPr="00FF51E1">
        <w:rPr>
          <w:rFonts w:ascii="Arial" w:hAnsi="Arial" w:cs="Arial"/>
          <w:iCs/>
          <w:color w:val="595959" w:themeColor="text1" w:themeTint="A6"/>
        </w:rPr>
        <w:t xml:space="preserve"> limitations </w:t>
      </w:r>
      <w:r w:rsidR="006B4E1A">
        <w:rPr>
          <w:rFonts w:ascii="Arial" w:hAnsi="Arial" w:cs="Arial"/>
          <w:iCs/>
          <w:color w:val="595959" w:themeColor="text1" w:themeTint="A6"/>
        </w:rPr>
        <w:t xml:space="preserve">associated with using </w:t>
      </w:r>
      <w:r w:rsidR="00FF51E1" w:rsidRPr="00FF51E1">
        <w:rPr>
          <w:rFonts w:ascii="Arial" w:hAnsi="Arial" w:cs="Arial"/>
          <w:iCs/>
          <w:color w:val="595959" w:themeColor="text1" w:themeTint="A6"/>
        </w:rPr>
        <w:t>synthetic materials; they have limited bioactivity compared to naturally derived biomaterials</w:t>
      </w:r>
      <w:r w:rsidR="00861A32">
        <w:rPr>
          <w:rFonts w:ascii="Arial" w:hAnsi="Arial" w:cs="Arial"/>
          <w:iCs/>
          <w:color w:val="595959" w:themeColor="text1" w:themeTint="A6"/>
        </w:rPr>
        <w:t xml:space="preserve"> and therefore, do not always naturally support </w:t>
      </w:r>
      <w:r w:rsidR="00861A32">
        <w:rPr>
          <w:rFonts w:ascii="Arial" w:hAnsi="Arial" w:cs="Arial"/>
          <w:iCs/>
          <w:color w:val="595959" w:themeColor="text1" w:themeTint="A6"/>
        </w:rPr>
        <w:lastRenderedPageBreak/>
        <w:t>cellular attachment and proliferation and synthetic scaffolds are often harder to dissociate</w:t>
      </w:r>
      <w:r w:rsidR="002374BE">
        <w:rPr>
          <w:rFonts w:ascii="Arial" w:hAnsi="Arial" w:cs="Arial"/>
          <w:iCs/>
          <w:color w:val="595959" w:themeColor="text1" w:themeTint="A6"/>
        </w:rPr>
        <w:t xml:space="preserve"> to isolate cell populations for further analysis</w:t>
      </w:r>
      <w:r w:rsidR="00FF51E1" w:rsidRPr="00FF51E1">
        <w:rPr>
          <w:rFonts w:ascii="Arial" w:hAnsi="Arial" w:cs="Arial"/>
          <w:iCs/>
          <w:color w:val="595959" w:themeColor="text1" w:themeTint="A6"/>
        </w:rPr>
        <w:t xml:space="preserve"> (Gill and West, 2014</w:t>
      </w:r>
      <w:r w:rsidR="00C77FDB">
        <w:rPr>
          <w:rFonts w:ascii="Arial" w:hAnsi="Arial" w:cs="Arial"/>
          <w:iCs/>
          <w:color w:val="595959" w:themeColor="text1" w:themeTint="A6"/>
        </w:rPr>
        <w:t xml:space="preserve">, </w:t>
      </w:r>
      <w:r w:rsidR="00C77FDB" w:rsidRPr="00FF51E1">
        <w:rPr>
          <w:rFonts w:ascii="Arial" w:hAnsi="Arial" w:cs="Arial"/>
          <w:iCs/>
          <w:color w:val="595959" w:themeColor="text1" w:themeTint="A6"/>
        </w:rPr>
        <w:t xml:space="preserve">Weigel </w:t>
      </w:r>
      <w:r w:rsidR="00C77FDB" w:rsidRPr="00FF51E1">
        <w:rPr>
          <w:rFonts w:ascii="Arial" w:hAnsi="Arial" w:cs="Arial"/>
          <w:i/>
          <w:iCs/>
          <w:color w:val="595959" w:themeColor="text1" w:themeTint="A6"/>
        </w:rPr>
        <w:t xml:space="preserve">et al., </w:t>
      </w:r>
      <w:r w:rsidR="00C77FDB" w:rsidRPr="00FF51E1">
        <w:rPr>
          <w:rFonts w:ascii="Arial" w:hAnsi="Arial" w:cs="Arial"/>
          <w:iCs/>
          <w:color w:val="595959" w:themeColor="text1" w:themeTint="A6"/>
        </w:rPr>
        <w:t>2006</w:t>
      </w:r>
      <w:r w:rsidR="00C77FDB">
        <w:rPr>
          <w:rFonts w:ascii="Arial" w:hAnsi="Arial" w:cs="Arial"/>
          <w:iCs/>
          <w:color w:val="595959" w:themeColor="text1" w:themeTint="A6"/>
        </w:rPr>
        <w:t xml:space="preserve">). </w:t>
      </w:r>
      <w:r w:rsidR="00FF51E1" w:rsidRPr="00FF51E1">
        <w:rPr>
          <w:rFonts w:ascii="Arial" w:hAnsi="Arial" w:cs="Arial"/>
          <w:iCs/>
          <w:color w:val="595959" w:themeColor="text1" w:themeTint="A6"/>
        </w:rPr>
        <w:t xml:space="preserve"> </w:t>
      </w:r>
    </w:p>
    <w:p w14:paraId="018B860F" w14:textId="6B770EEC" w:rsidR="00105D13" w:rsidRPr="00B611AB" w:rsidRDefault="002B0634" w:rsidP="00114476">
      <w:pPr>
        <w:pStyle w:val="Heading3"/>
        <w:rPr>
          <w:rFonts w:ascii="Arial" w:hAnsi="Arial" w:cs="Arial"/>
          <w:iCs/>
          <w:color w:val="595959" w:themeColor="text1" w:themeTint="A6"/>
        </w:rPr>
      </w:pPr>
      <w:bookmarkStart w:id="51" w:name="_Toc34208275"/>
      <w:r w:rsidRPr="00B611AB">
        <w:rPr>
          <w:rFonts w:ascii="Arial" w:hAnsi="Arial" w:cs="Arial"/>
          <w:iCs/>
          <w:color w:val="595959" w:themeColor="text1" w:themeTint="A6"/>
        </w:rPr>
        <w:t xml:space="preserve">1.4.3 </w:t>
      </w:r>
      <w:r w:rsidR="00AB7A63" w:rsidRPr="00B611AB">
        <w:rPr>
          <w:rFonts w:ascii="Arial" w:hAnsi="Arial" w:cs="Arial"/>
          <w:iCs/>
          <w:color w:val="595959" w:themeColor="text1" w:themeTint="A6"/>
        </w:rPr>
        <w:t>Further t</w:t>
      </w:r>
      <w:r w:rsidRPr="00B611AB">
        <w:rPr>
          <w:rFonts w:ascii="Arial" w:hAnsi="Arial" w:cs="Arial"/>
          <w:iCs/>
          <w:color w:val="595959" w:themeColor="text1" w:themeTint="A6"/>
        </w:rPr>
        <w:t>issue-</w:t>
      </w:r>
      <w:r w:rsidR="00105D13" w:rsidRPr="00B611AB">
        <w:rPr>
          <w:rFonts w:ascii="Arial" w:hAnsi="Arial" w:cs="Arial"/>
          <w:iCs/>
          <w:color w:val="595959" w:themeColor="text1" w:themeTint="A6"/>
        </w:rPr>
        <w:t xml:space="preserve">engineered </w:t>
      </w:r>
      <w:r w:rsidR="00105D13" w:rsidRPr="00B611AB">
        <w:rPr>
          <w:rFonts w:ascii="Arial" w:hAnsi="Arial" w:cs="Arial"/>
          <w:i/>
          <w:color w:val="595959" w:themeColor="text1" w:themeTint="A6"/>
        </w:rPr>
        <w:t xml:space="preserve">in vitro </w:t>
      </w:r>
      <w:r w:rsidR="00105D13" w:rsidRPr="00B611AB">
        <w:rPr>
          <w:rFonts w:ascii="Arial" w:hAnsi="Arial" w:cs="Arial"/>
          <w:iCs/>
          <w:color w:val="595959" w:themeColor="text1" w:themeTint="A6"/>
        </w:rPr>
        <w:t>approaches</w:t>
      </w:r>
      <w:r w:rsidRPr="00B611AB">
        <w:rPr>
          <w:rFonts w:ascii="Arial" w:hAnsi="Arial" w:cs="Arial"/>
          <w:iCs/>
          <w:color w:val="595959" w:themeColor="text1" w:themeTint="A6"/>
        </w:rPr>
        <w:t xml:space="preserve"> for modelling oral</w:t>
      </w:r>
      <w:r w:rsidR="00615031" w:rsidRPr="00B611AB">
        <w:rPr>
          <w:rFonts w:ascii="Arial" w:hAnsi="Arial" w:cs="Arial"/>
          <w:iCs/>
          <w:color w:val="595959" w:themeColor="text1" w:themeTint="A6"/>
        </w:rPr>
        <w:t xml:space="preserve"> carcinoma</w:t>
      </w:r>
      <w:bookmarkEnd w:id="51"/>
      <w:r w:rsidRPr="00B611AB">
        <w:rPr>
          <w:rFonts w:ascii="Arial" w:hAnsi="Arial" w:cs="Arial"/>
          <w:iCs/>
          <w:color w:val="595959" w:themeColor="text1" w:themeTint="A6"/>
        </w:rPr>
        <w:t xml:space="preserve"> </w:t>
      </w:r>
    </w:p>
    <w:p w14:paraId="423C761F" w14:textId="77777777" w:rsidR="00114476" w:rsidRPr="00B611AB" w:rsidRDefault="00114476" w:rsidP="00114476">
      <w:pPr>
        <w:rPr>
          <w:color w:val="595959" w:themeColor="text1" w:themeTint="A6"/>
        </w:rPr>
      </w:pPr>
    </w:p>
    <w:p w14:paraId="4B2B0C2A" w14:textId="6C9E59CE" w:rsidR="00486F97" w:rsidRPr="00B611AB" w:rsidRDefault="002D3F39" w:rsidP="002B0634">
      <w:pPr>
        <w:spacing w:line="480" w:lineRule="auto"/>
        <w:jc w:val="both"/>
        <w:rPr>
          <w:rFonts w:ascii="Arial" w:hAnsi="Arial" w:cs="Arial"/>
          <w:iCs/>
          <w:color w:val="595959" w:themeColor="text1" w:themeTint="A6"/>
        </w:rPr>
      </w:pPr>
      <w:r w:rsidRPr="00B611AB">
        <w:rPr>
          <w:rFonts w:ascii="Arial" w:hAnsi="Arial" w:cs="Arial"/>
          <w:iCs/>
          <w:color w:val="595959" w:themeColor="text1" w:themeTint="A6"/>
        </w:rPr>
        <w:t xml:space="preserve">The structure and function of skin </w:t>
      </w:r>
      <w:r w:rsidR="00951DDD" w:rsidRPr="00B611AB">
        <w:rPr>
          <w:rFonts w:ascii="Arial" w:hAnsi="Arial" w:cs="Arial"/>
          <w:iCs/>
          <w:color w:val="595959" w:themeColor="text1" w:themeTint="A6"/>
        </w:rPr>
        <w:t xml:space="preserve">are similar </w:t>
      </w:r>
      <w:r w:rsidR="00413E4B" w:rsidRPr="00B611AB">
        <w:rPr>
          <w:rFonts w:ascii="Arial" w:hAnsi="Arial" w:cs="Arial"/>
          <w:iCs/>
          <w:color w:val="595959" w:themeColor="text1" w:themeTint="A6"/>
        </w:rPr>
        <w:t>to the oral mucosa</w:t>
      </w:r>
      <w:r w:rsidR="006A7412" w:rsidRPr="00B611AB">
        <w:rPr>
          <w:rFonts w:ascii="Arial" w:hAnsi="Arial" w:cs="Arial"/>
          <w:iCs/>
          <w:color w:val="595959" w:themeColor="text1" w:themeTint="A6"/>
        </w:rPr>
        <w:t xml:space="preserve"> </w:t>
      </w:r>
      <w:r w:rsidR="007E02E5" w:rsidRPr="00B611AB">
        <w:rPr>
          <w:rFonts w:ascii="Arial" w:hAnsi="Arial" w:cs="Arial"/>
          <w:iCs/>
          <w:color w:val="595959" w:themeColor="text1" w:themeTint="A6"/>
        </w:rPr>
        <w:t>and</w:t>
      </w:r>
      <w:r w:rsidR="00042731" w:rsidRPr="00B611AB">
        <w:rPr>
          <w:rFonts w:ascii="Arial" w:hAnsi="Arial" w:cs="Arial"/>
          <w:iCs/>
          <w:color w:val="595959" w:themeColor="text1" w:themeTint="A6"/>
        </w:rPr>
        <w:t xml:space="preserve"> </w:t>
      </w:r>
      <w:r w:rsidR="006A7412" w:rsidRPr="00B611AB">
        <w:rPr>
          <w:rFonts w:ascii="Arial" w:hAnsi="Arial" w:cs="Arial"/>
          <w:iCs/>
          <w:color w:val="595959" w:themeColor="text1" w:themeTint="A6"/>
        </w:rPr>
        <w:t>many oral mucosa models</w:t>
      </w:r>
      <w:r w:rsidR="002D7FC1" w:rsidRPr="00B611AB">
        <w:rPr>
          <w:rFonts w:ascii="Arial" w:hAnsi="Arial" w:cs="Arial"/>
          <w:iCs/>
          <w:color w:val="595959" w:themeColor="text1" w:themeTint="A6"/>
        </w:rPr>
        <w:t xml:space="preserve"> are based off</w:t>
      </w:r>
      <w:r w:rsidR="00B00184" w:rsidRPr="00B611AB">
        <w:rPr>
          <w:rFonts w:ascii="Arial" w:hAnsi="Arial" w:cs="Arial"/>
          <w:iCs/>
          <w:color w:val="595959" w:themeColor="text1" w:themeTint="A6"/>
        </w:rPr>
        <w:t xml:space="preserve"> our understanding of </w:t>
      </w:r>
      <w:r w:rsidR="00310FFC" w:rsidRPr="00B611AB">
        <w:rPr>
          <w:rFonts w:ascii="Arial" w:hAnsi="Arial" w:cs="Arial"/>
          <w:iCs/>
          <w:color w:val="595959" w:themeColor="text1" w:themeTint="A6"/>
        </w:rPr>
        <w:t xml:space="preserve">the first </w:t>
      </w:r>
      <w:r w:rsidR="00105D13" w:rsidRPr="00B611AB">
        <w:rPr>
          <w:rFonts w:ascii="Arial" w:hAnsi="Arial" w:cs="Arial"/>
          <w:iCs/>
          <w:color w:val="595959" w:themeColor="text1" w:themeTint="A6"/>
        </w:rPr>
        <w:t xml:space="preserve">organotypic skin model, </w:t>
      </w:r>
      <w:r w:rsidR="004764AA" w:rsidRPr="00B611AB">
        <w:rPr>
          <w:rFonts w:ascii="Arial" w:hAnsi="Arial" w:cs="Arial"/>
          <w:iCs/>
          <w:color w:val="595959" w:themeColor="text1" w:themeTint="A6"/>
        </w:rPr>
        <w:t xml:space="preserve">which </w:t>
      </w:r>
      <w:r w:rsidR="00310FFC" w:rsidRPr="00B611AB">
        <w:rPr>
          <w:rFonts w:ascii="Arial" w:hAnsi="Arial" w:cs="Arial"/>
          <w:iCs/>
          <w:color w:val="595959" w:themeColor="text1" w:themeTint="A6"/>
        </w:rPr>
        <w:t xml:space="preserve">was </w:t>
      </w:r>
      <w:r w:rsidR="00105D13" w:rsidRPr="00B611AB">
        <w:rPr>
          <w:rFonts w:ascii="Arial" w:hAnsi="Arial" w:cs="Arial"/>
          <w:iCs/>
          <w:color w:val="595959" w:themeColor="text1" w:themeTint="A6"/>
        </w:rPr>
        <w:t xml:space="preserve">developed in the early 1980’s (Bell </w:t>
      </w:r>
      <w:r w:rsidR="00105D13" w:rsidRPr="00B611AB">
        <w:rPr>
          <w:rFonts w:ascii="Arial" w:hAnsi="Arial" w:cs="Arial"/>
          <w:i/>
          <w:color w:val="595959" w:themeColor="text1" w:themeTint="A6"/>
        </w:rPr>
        <w:t xml:space="preserve">et al., </w:t>
      </w:r>
      <w:r w:rsidR="00105D13" w:rsidRPr="00B611AB">
        <w:rPr>
          <w:rFonts w:ascii="Arial" w:hAnsi="Arial" w:cs="Arial"/>
          <w:iCs/>
          <w:color w:val="595959" w:themeColor="text1" w:themeTint="A6"/>
        </w:rPr>
        <w:t xml:space="preserve">1981a, Bell </w:t>
      </w:r>
      <w:r w:rsidR="00105D13" w:rsidRPr="00B611AB">
        <w:rPr>
          <w:rFonts w:ascii="Arial" w:hAnsi="Arial" w:cs="Arial"/>
          <w:i/>
          <w:color w:val="595959" w:themeColor="text1" w:themeTint="A6"/>
        </w:rPr>
        <w:t>et al.,</w:t>
      </w:r>
      <w:r w:rsidR="00105D13" w:rsidRPr="00B611AB">
        <w:rPr>
          <w:rFonts w:ascii="Arial" w:hAnsi="Arial" w:cs="Arial"/>
          <w:iCs/>
          <w:color w:val="595959" w:themeColor="text1" w:themeTint="A6"/>
        </w:rPr>
        <w:t xml:space="preserve"> 1981b, Fusenig </w:t>
      </w:r>
      <w:r w:rsidR="00105D13" w:rsidRPr="00B611AB">
        <w:rPr>
          <w:rFonts w:ascii="Arial" w:hAnsi="Arial" w:cs="Arial"/>
          <w:i/>
          <w:color w:val="595959" w:themeColor="text1" w:themeTint="A6"/>
        </w:rPr>
        <w:t>et al.,</w:t>
      </w:r>
      <w:r w:rsidR="00105D13" w:rsidRPr="00B611AB">
        <w:rPr>
          <w:rFonts w:ascii="Arial" w:hAnsi="Arial" w:cs="Arial"/>
          <w:iCs/>
          <w:color w:val="595959" w:themeColor="text1" w:themeTint="A6"/>
        </w:rPr>
        <w:t xml:space="preserve"> 1983)</w:t>
      </w:r>
      <w:r w:rsidR="00310FFC" w:rsidRPr="00B611AB">
        <w:rPr>
          <w:rFonts w:ascii="Arial" w:hAnsi="Arial" w:cs="Arial"/>
          <w:iCs/>
          <w:color w:val="595959" w:themeColor="text1" w:themeTint="A6"/>
        </w:rPr>
        <w:t>.</w:t>
      </w:r>
      <w:r w:rsidR="007E75E7" w:rsidRPr="00B611AB">
        <w:rPr>
          <w:rFonts w:ascii="Arial" w:hAnsi="Arial" w:cs="Arial"/>
          <w:iCs/>
          <w:color w:val="595959" w:themeColor="text1" w:themeTint="A6"/>
        </w:rPr>
        <w:t xml:space="preserve"> </w:t>
      </w:r>
      <w:r w:rsidR="00A474FB" w:rsidRPr="00B611AB">
        <w:rPr>
          <w:rFonts w:ascii="Arial" w:hAnsi="Arial" w:cs="Arial"/>
          <w:iCs/>
          <w:color w:val="595959" w:themeColor="text1" w:themeTint="A6"/>
        </w:rPr>
        <w:t xml:space="preserve">Tissue-engineered oral mucosa (TEOM) models have since been adapted for use in the study of oral carcinogenesis. </w:t>
      </w:r>
      <w:r w:rsidR="007E02E5" w:rsidRPr="00B611AB">
        <w:rPr>
          <w:rFonts w:ascii="Arial" w:hAnsi="Arial" w:cs="Arial"/>
          <w:i/>
          <w:color w:val="595959" w:themeColor="text1" w:themeTint="A6"/>
        </w:rPr>
        <w:t>In vitro</w:t>
      </w:r>
      <w:r w:rsidR="007E02E5" w:rsidRPr="00B611AB">
        <w:rPr>
          <w:rFonts w:ascii="Arial" w:hAnsi="Arial" w:cs="Arial"/>
          <w:iCs/>
          <w:color w:val="595959" w:themeColor="text1" w:themeTint="A6"/>
        </w:rPr>
        <w:t xml:space="preserve"> models of oral carcinogenesis, to recapitulate premalignant, dysplastic and cancerous lesions have previously been developed using both clinically isolated (Gaballah </w:t>
      </w:r>
      <w:r w:rsidR="007E02E5" w:rsidRPr="00B611AB">
        <w:rPr>
          <w:rFonts w:ascii="Arial" w:hAnsi="Arial" w:cs="Arial"/>
          <w:i/>
          <w:iCs/>
          <w:color w:val="595959" w:themeColor="text1" w:themeTint="A6"/>
        </w:rPr>
        <w:t>et al.,</w:t>
      </w:r>
      <w:r w:rsidR="007E02E5" w:rsidRPr="00B611AB">
        <w:rPr>
          <w:rFonts w:ascii="Arial" w:hAnsi="Arial" w:cs="Arial"/>
          <w:iCs/>
          <w:color w:val="595959" w:themeColor="text1" w:themeTint="A6"/>
        </w:rPr>
        <w:t xml:space="preserve"> 2008) and established cell lines (Costea </w:t>
      </w:r>
      <w:r w:rsidR="007E02E5" w:rsidRPr="00B611AB">
        <w:rPr>
          <w:rFonts w:ascii="Arial" w:hAnsi="Arial" w:cs="Arial"/>
          <w:i/>
          <w:iCs/>
          <w:color w:val="595959" w:themeColor="text1" w:themeTint="A6"/>
        </w:rPr>
        <w:t>et al.,</w:t>
      </w:r>
      <w:r w:rsidR="007E02E5" w:rsidRPr="00B611AB">
        <w:rPr>
          <w:rFonts w:ascii="Arial" w:hAnsi="Arial" w:cs="Arial"/>
          <w:iCs/>
          <w:color w:val="595959" w:themeColor="text1" w:themeTint="A6"/>
        </w:rPr>
        <w:t xml:space="preserve"> 2005, Hansson </w:t>
      </w:r>
      <w:r w:rsidR="007E02E5" w:rsidRPr="00B611AB">
        <w:rPr>
          <w:rFonts w:ascii="Arial" w:hAnsi="Arial" w:cs="Arial"/>
          <w:i/>
          <w:iCs/>
          <w:color w:val="595959" w:themeColor="text1" w:themeTint="A6"/>
        </w:rPr>
        <w:t>et al.,</w:t>
      </w:r>
      <w:r w:rsidR="007E02E5" w:rsidRPr="00B611AB">
        <w:rPr>
          <w:rFonts w:ascii="Arial" w:hAnsi="Arial" w:cs="Arial"/>
          <w:iCs/>
          <w:color w:val="595959" w:themeColor="text1" w:themeTint="A6"/>
        </w:rPr>
        <w:t xml:space="preserve"> 2003 and Colley </w:t>
      </w:r>
      <w:r w:rsidR="007E02E5" w:rsidRPr="00B611AB">
        <w:rPr>
          <w:rFonts w:ascii="Arial" w:hAnsi="Arial" w:cs="Arial"/>
          <w:i/>
          <w:iCs/>
          <w:color w:val="595959" w:themeColor="text1" w:themeTint="A6"/>
        </w:rPr>
        <w:t>et al.,</w:t>
      </w:r>
      <w:r w:rsidR="007E02E5" w:rsidRPr="00B611AB">
        <w:rPr>
          <w:rFonts w:ascii="Arial" w:hAnsi="Arial" w:cs="Arial"/>
          <w:iCs/>
          <w:color w:val="595959" w:themeColor="text1" w:themeTint="A6"/>
        </w:rPr>
        <w:t xml:space="preserve"> 2011). These f</w:t>
      </w:r>
      <w:r w:rsidR="00CE6D46" w:rsidRPr="00B611AB">
        <w:rPr>
          <w:rFonts w:ascii="Arial" w:hAnsi="Arial" w:cs="Arial"/>
          <w:iCs/>
          <w:color w:val="595959" w:themeColor="text1" w:themeTint="A6"/>
        </w:rPr>
        <w:t xml:space="preserve">ull-thickness oral mucosa tissue-engineering </w:t>
      </w:r>
      <w:r w:rsidR="00105D13" w:rsidRPr="00B611AB">
        <w:rPr>
          <w:rFonts w:ascii="Arial" w:hAnsi="Arial" w:cs="Arial"/>
          <w:iCs/>
          <w:color w:val="595959" w:themeColor="text1" w:themeTint="A6"/>
        </w:rPr>
        <w:t>techniques are based on the co-culture of</w:t>
      </w:r>
      <w:r w:rsidR="008F0213" w:rsidRPr="00B611AB">
        <w:rPr>
          <w:rFonts w:ascii="Arial" w:hAnsi="Arial" w:cs="Arial"/>
          <w:iCs/>
          <w:color w:val="595959" w:themeColor="text1" w:themeTint="A6"/>
        </w:rPr>
        <w:t xml:space="preserve"> </w:t>
      </w:r>
      <w:r w:rsidR="00105D13" w:rsidRPr="00B611AB">
        <w:rPr>
          <w:rFonts w:ascii="Arial" w:hAnsi="Arial" w:cs="Arial"/>
          <w:iCs/>
          <w:color w:val="595959" w:themeColor="text1" w:themeTint="A6"/>
        </w:rPr>
        <w:t xml:space="preserve">oral </w:t>
      </w:r>
      <w:r w:rsidR="00A474FB" w:rsidRPr="00B611AB">
        <w:rPr>
          <w:rFonts w:ascii="Arial" w:hAnsi="Arial" w:cs="Arial"/>
          <w:iCs/>
          <w:color w:val="595959" w:themeColor="text1" w:themeTint="A6"/>
        </w:rPr>
        <w:t xml:space="preserve">and dysplastic </w:t>
      </w:r>
      <w:r w:rsidR="00105D13" w:rsidRPr="00B611AB">
        <w:rPr>
          <w:rFonts w:ascii="Arial" w:hAnsi="Arial" w:cs="Arial"/>
          <w:iCs/>
          <w:color w:val="595959" w:themeColor="text1" w:themeTint="A6"/>
        </w:rPr>
        <w:t>keratinocytes</w:t>
      </w:r>
      <w:r w:rsidR="00A474FB" w:rsidRPr="00B611AB">
        <w:rPr>
          <w:rFonts w:ascii="Arial" w:hAnsi="Arial" w:cs="Arial"/>
          <w:iCs/>
          <w:color w:val="595959" w:themeColor="text1" w:themeTint="A6"/>
        </w:rPr>
        <w:t xml:space="preserve"> </w:t>
      </w:r>
      <w:r w:rsidR="00EE2CD4" w:rsidRPr="00B611AB">
        <w:rPr>
          <w:rFonts w:ascii="Arial" w:hAnsi="Arial" w:cs="Arial"/>
          <w:iCs/>
          <w:color w:val="595959" w:themeColor="text1" w:themeTint="A6"/>
        </w:rPr>
        <w:t xml:space="preserve">seeded </w:t>
      </w:r>
      <w:r w:rsidR="00105D13" w:rsidRPr="00B611AB">
        <w:rPr>
          <w:rFonts w:ascii="Arial" w:hAnsi="Arial" w:cs="Arial"/>
          <w:iCs/>
          <w:color w:val="595959" w:themeColor="text1" w:themeTint="A6"/>
        </w:rPr>
        <w:t>on top of an oral fibroblast-containing matri</w:t>
      </w:r>
      <w:r w:rsidR="004215F3" w:rsidRPr="00B611AB">
        <w:rPr>
          <w:rFonts w:ascii="Arial" w:hAnsi="Arial" w:cs="Arial"/>
          <w:iCs/>
          <w:color w:val="595959" w:themeColor="text1" w:themeTint="A6"/>
        </w:rPr>
        <w:t>x, which may be</w:t>
      </w:r>
      <w:r w:rsidR="00076654" w:rsidRPr="00B611AB">
        <w:rPr>
          <w:rFonts w:ascii="Arial" w:hAnsi="Arial" w:cs="Arial"/>
          <w:iCs/>
          <w:color w:val="595959" w:themeColor="text1" w:themeTint="A6"/>
        </w:rPr>
        <w:t xml:space="preserve"> natural</w:t>
      </w:r>
      <w:r w:rsidR="004215F3" w:rsidRPr="00B611AB">
        <w:rPr>
          <w:rFonts w:ascii="Arial" w:hAnsi="Arial" w:cs="Arial"/>
          <w:iCs/>
          <w:color w:val="595959" w:themeColor="text1" w:themeTint="A6"/>
        </w:rPr>
        <w:t xml:space="preserve"> or </w:t>
      </w:r>
      <w:r w:rsidR="00076654" w:rsidRPr="00B611AB">
        <w:rPr>
          <w:rFonts w:ascii="Arial" w:hAnsi="Arial" w:cs="Arial"/>
          <w:iCs/>
          <w:color w:val="595959" w:themeColor="text1" w:themeTint="A6"/>
        </w:rPr>
        <w:t>synthetic</w:t>
      </w:r>
      <w:r w:rsidR="00BA1FCC" w:rsidRPr="00B611AB">
        <w:rPr>
          <w:rFonts w:ascii="Arial" w:hAnsi="Arial" w:cs="Arial"/>
          <w:iCs/>
          <w:color w:val="595959" w:themeColor="text1" w:themeTint="A6"/>
        </w:rPr>
        <w:t xml:space="preserve"> in design</w:t>
      </w:r>
      <w:r w:rsidR="00A474FB" w:rsidRPr="00B611AB">
        <w:rPr>
          <w:rFonts w:ascii="Arial" w:hAnsi="Arial" w:cs="Arial"/>
          <w:iCs/>
          <w:color w:val="595959" w:themeColor="text1" w:themeTint="A6"/>
        </w:rPr>
        <w:t xml:space="preserve"> </w:t>
      </w:r>
      <w:r w:rsidR="00105D13" w:rsidRPr="00B611AB">
        <w:rPr>
          <w:rFonts w:ascii="Arial" w:hAnsi="Arial" w:cs="Arial"/>
          <w:iCs/>
          <w:color w:val="595959" w:themeColor="text1" w:themeTint="A6"/>
        </w:rPr>
        <w:t>(</w:t>
      </w:r>
      <w:r w:rsidR="00A474FB" w:rsidRPr="00B611AB">
        <w:rPr>
          <w:rFonts w:ascii="Arial" w:hAnsi="Arial" w:cs="Arial"/>
          <w:iCs/>
          <w:color w:val="595959" w:themeColor="text1" w:themeTint="A6"/>
        </w:rPr>
        <w:t xml:space="preserve">Colley </w:t>
      </w:r>
      <w:r w:rsidR="00A474FB" w:rsidRPr="00B611AB">
        <w:rPr>
          <w:rFonts w:ascii="Arial" w:hAnsi="Arial" w:cs="Arial"/>
          <w:i/>
          <w:color w:val="595959" w:themeColor="text1" w:themeTint="A6"/>
        </w:rPr>
        <w:t>et al.,</w:t>
      </w:r>
      <w:r w:rsidR="00A474FB" w:rsidRPr="00B611AB">
        <w:rPr>
          <w:rFonts w:ascii="Arial" w:hAnsi="Arial" w:cs="Arial"/>
          <w:iCs/>
          <w:color w:val="595959" w:themeColor="text1" w:themeTint="A6"/>
        </w:rPr>
        <w:t xml:space="preserve"> 2011, </w:t>
      </w:r>
      <w:r w:rsidR="00105D13" w:rsidRPr="00B611AB">
        <w:rPr>
          <w:rFonts w:ascii="Arial" w:hAnsi="Arial" w:cs="Arial"/>
          <w:iCs/>
          <w:color w:val="595959" w:themeColor="text1" w:themeTint="A6"/>
        </w:rPr>
        <w:t xml:space="preserve">Moharamzadeh </w:t>
      </w:r>
      <w:r w:rsidR="00105D13" w:rsidRPr="00B611AB">
        <w:rPr>
          <w:rFonts w:ascii="Arial" w:hAnsi="Arial" w:cs="Arial"/>
          <w:i/>
          <w:iCs/>
          <w:color w:val="595959" w:themeColor="text1" w:themeTint="A6"/>
        </w:rPr>
        <w:t>et al.,</w:t>
      </w:r>
      <w:r w:rsidR="00105D13" w:rsidRPr="00B611AB">
        <w:rPr>
          <w:rFonts w:ascii="Arial" w:hAnsi="Arial" w:cs="Arial"/>
          <w:iCs/>
          <w:color w:val="595959" w:themeColor="text1" w:themeTint="A6"/>
        </w:rPr>
        <w:t xml:space="preserve"> 2012, Dongari-Bagtzoglou and Kashleva 2006</w:t>
      </w:r>
      <w:r w:rsidR="003C36F9" w:rsidRPr="00B611AB">
        <w:rPr>
          <w:rFonts w:ascii="Arial" w:hAnsi="Arial" w:cs="Arial"/>
          <w:iCs/>
          <w:color w:val="595959" w:themeColor="text1" w:themeTint="A6"/>
        </w:rPr>
        <w:t>)</w:t>
      </w:r>
      <w:r w:rsidR="00105D13" w:rsidRPr="00B611AB">
        <w:rPr>
          <w:rFonts w:ascii="Arial" w:hAnsi="Arial" w:cs="Arial"/>
          <w:iCs/>
          <w:color w:val="595959" w:themeColor="text1" w:themeTint="A6"/>
        </w:rPr>
        <w:t xml:space="preserve">. </w:t>
      </w:r>
      <w:r w:rsidR="006E018D" w:rsidRPr="00B611AB">
        <w:rPr>
          <w:rFonts w:ascii="Arial" w:hAnsi="Arial" w:cs="Arial"/>
          <w:iCs/>
          <w:color w:val="595959" w:themeColor="text1" w:themeTint="A6"/>
        </w:rPr>
        <w:t xml:space="preserve">The addition of fibroblasts within these cultures </w:t>
      </w:r>
      <w:r w:rsidR="00E01E26" w:rsidRPr="00B611AB">
        <w:rPr>
          <w:rFonts w:ascii="Arial" w:hAnsi="Arial" w:cs="Arial"/>
          <w:iCs/>
          <w:color w:val="595959" w:themeColor="text1" w:themeTint="A6"/>
        </w:rPr>
        <w:t xml:space="preserve">are </w:t>
      </w:r>
      <w:r w:rsidR="006E018D" w:rsidRPr="00B611AB">
        <w:rPr>
          <w:rFonts w:ascii="Arial" w:hAnsi="Arial" w:cs="Arial"/>
          <w:iCs/>
          <w:color w:val="595959" w:themeColor="text1" w:themeTint="A6"/>
        </w:rPr>
        <w:t xml:space="preserve">essential for </w:t>
      </w:r>
      <w:r w:rsidR="00486F97" w:rsidRPr="00B611AB">
        <w:rPr>
          <w:rFonts w:ascii="Arial" w:hAnsi="Arial" w:cs="Arial"/>
          <w:iCs/>
          <w:color w:val="595959" w:themeColor="text1" w:themeTint="A6"/>
        </w:rPr>
        <w:t xml:space="preserve">the differentiation of the epithelial compartment </w:t>
      </w:r>
      <w:r w:rsidR="003F2CCB" w:rsidRPr="00B611AB">
        <w:rPr>
          <w:rFonts w:ascii="Arial" w:hAnsi="Arial" w:cs="Arial"/>
          <w:iCs/>
          <w:color w:val="595959" w:themeColor="text1" w:themeTint="A6"/>
        </w:rPr>
        <w:t xml:space="preserve">(Costea </w:t>
      </w:r>
      <w:r w:rsidR="003F2CCB" w:rsidRPr="00B611AB">
        <w:rPr>
          <w:rFonts w:ascii="Arial" w:hAnsi="Arial" w:cs="Arial"/>
          <w:i/>
          <w:color w:val="595959" w:themeColor="text1" w:themeTint="A6"/>
        </w:rPr>
        <w:t>et al.,</w:t>
      </w:r>
      <w:r w:rsidR="003F2CCB" w:rsidRPr="00B611AB">
        <w:rPr>
          <w:rFonts w:ascii="Arial" w:hAnsi="Arial" w:cs="Arial"/>
          <w:iCs/>
          <w:color w:val="595959" w:themeColor="text1" w:themeTint="A6"/>
        </w:rPr>
        <w:t xml:space="preserve"> 2013).</w:t>
      </w:r>
      <w:r w:rsidR="00DD1868" w:rsidRPr="00B611AB">
        <w:rPr>
          <w:rFonts w:ascii="Arial" w:hAnsi="Arial" w:cs="Arial"/>
          <w:iCs/>
          <w:color w:val="595959" w:themeColor="text1" w:themeTint="A6"/>
        </w:rPr>
        <w:t xml:space="preserve"> </w:t>
      </w:r>
      <w:r w:rsidR="00F66FB5" w:rsidRPr="00B611AB">
        <w:rPr>
          <w:rFonts w:ascii="Arial" w:hAnsi="Arial" w:cs="Arial"/>
          <w:iCs/>
          <w:color w:val="595959" w:themeColor="text1" w:themeTint="A6"/>
        </w:rPr>
        <w:t>The</w:t>
      </w:r>
      <w:r w:rsidR="008E64EA" w:rsidRPr="00B611AB">
        <w:rPr>
          <w:rFonts w:ascii="Arial" w:hAnsi="Arial" w:cs="Arial"/>
          <w:iCs/>
          <w:color w:val="595959" w:themeColor="text1" w:themeTint="A6"/>
        </w:rPr>
        <w:t>re are caveats in</w:t>
      </w:r>
      <w:r w:rsidR="00A474FB" w:rsidRPr="00B611AB">
        <w:rPr>
          <w:rFonts w:ascii="Arial" w:hAnsi="Arial" w:cs="Arial"/>
          <w:iCs/>
          <w:color w:val="595959" w:themeColor="text1" w:themeTint="A6"/>
        </w:rPr>
        <w:t xml:space="preserve"> </w:t>
      </w:r>
      <w:r w:rsidR="008E64EA" w:rsidRPr="00B611AB">
        <w:rPr>
          <w:rFonts w:ascii="Arial" w:hAnsi="Arial" w:cs="Arial"/>
          <w:iCs/>
          <w:color w:val="595959" w:themeColor="text1" w:themeTint="A6"/>
        </w:rPr>
        <w:t xml:space="preserve">these models. They have a limited </w:t>
      </w:r>
      <w:r w:rsidR="00D81FF2" w:rsidRPr="00B611AB">
        <w:rPr>
          <w:rFonts w:ascii="Arial" w:hAnsi="Arial" w:cs="Arial"/>
          <w:iCs/>
          <w:color w:val="595959" w:themeColor="text1" w:themeTint="A6"/>
        </w:rPr>
        <w:t>viability</w:t>
      </w:r>
      <w:r w:rsidR="005767E8" w:rsidRPr="00B611AB">
        <w:rPr>
          <w:rFonts w:ascii="Arial" w:hAnsi="Arial" w:cs="Arial"/>
          <w:iCs/>
          <w:color w:val="595959" w:themeColor="text1" w:themeTint="A6"/>
        </w:rPr>
        <w:t xml:space="preserve"> period</w:t>
      </w:r>
      <w:r w:rsidR="00A2483B" w:rsidRPr="00B611AB">
        <w:rPr>
          <w:rFonts w:ascii="Arial" w:hAnsi="Arial" w:cs="Arial"/>
          <w:iCs/>
          <w:color w:val="595959" w:themeColor="text1" w:themeTint="A6"/>
        </w:rPr>
        <w:t xml:space="preserve"> in culture</w:t>
      </w:r>
      <w:r w:rsidR="006972A6" w:rsidRPr="00B611AB">
        <w:rPr>
          <w:rFonts w:ascii="Arial" w:hAnsi="Arial" w:cs="Arial"/>
          <w:iCs/>
          <w:color w:val="595959" w:themeColor="text1" w:themeTint="A6"/>
        </w:rPr>
        <w:t xml:space="preserve">, </w:t>
      </w:r>
      <w:r w:rsidR="007E02E5" w:rsidRPr="00B611AB">
        <w:rPr>
          <w:rFonts w:ascii="Arial" w:hAnsi="Arial" w:cs="Arial"/>
          <w:iCs/>
          <w:color w:val="595959" w:themeColor="text1" w:themeTint="A6"/>
        </w:rPr>
        <w:t xml:space="preserve">restricting the longer-term investigations that are applicable to OSCC disease progression. Generation of full thickness OSCC models require </w:t>
      </w:r>
      <w:r w:rsidR="00D41EEA" w:rsidRPr="00B611AB">
        <w:rPr>
          <w:rFonts w:ascii="Arial" w:hAnsi="Arial" w:cs="Arial"/>
          <w:iCs/>
          <w:color w:val="595959" w:themeColor="text1" w:themeTint="A6"/>
        </w:rPr>
        <w:t xml:space="preserve">an </w:t>
      </w:r>
      <w:r w:rsidR="007E02E5" w:rsidRPr="00B611AB">
        <w:rPr>
          <w:rFonts w:ascii="Arial" w:hAnsi="Arial" w:cs="Arial"/>
          <w:iCs/>
          <w:color w:val="595959" w:themeColor="text1" w:themeTint="A6"/>
        </w:rPr>
        <w:t>ECM scaffold</w:t>
      </w:r>
      <w:r w:rsidR="00B611AB" w:rsidRPr="00B611AB">
        <w:rPr>
          <w:rFonts w:ascii="Arial" w:hAnsi="Arial" w:cs="Arial"/>
          <w:iCs/>
          <w:color w:val="595959" w:themeColor="text1" w:themeTint="A6"/>
        </w:rPr>
        <w:t>,</w:t>
      </w:r>
      <w:r w:rsidR="007E02E5" w:rsidRPr="00B611AB">
        <w:rPr>
          <w:rFonts w:ascii="Arial" w:hAnsi="Arial" w:cs="Arial"/>
          <w:iCs/>
          <w:color w:val="595959" w:themeColor="text1" w:themeTint="A6"/>
        </w:rPr>
        <w:t xml:space="preserve"> which </w:t>
      </w:r>
      <w:r w:rsidR="00D41EEA" w:rsidRPr="00B611AB">
        <w:rPr>
          <w:rFonts w:ascii="Arial" w:hAnsi="Arial" w:cs="Arial"/>
          <w:iCs/>
          <w:color w:val="595959" w:themeColor="text1" w:themeTint="A6"/>
        </w:rPr>
        <w:t xml:space="preserve">can </w:t>
      </w:r>
      <w:r w:rsidR="007E02E5" w:rsidRPr="00B611AB">
        <w:rPr>
          <w:rFonts w:ascii="Arial" w:hAnsi="Arial" w:cs="Arial"/>
          <w:iCs/>
          <w:color w:val="595959" w:themeColor="text1" w:themeTint="A6"/>
        </w:rPr>
        <w:t xml:space="preserve">have a number of </w:t>
      </w:r>
      <w:r w:rsidR="00D41EEA" w:rsidRPr="00B611AB">
        <w:rPr>
          <w:rFonts w:ascii="Arial" w:hAnsi="Arial" w:cs="Arial"/>
          <w:iCs/>
          <w:color w:val="595959" w:themeColor="text1" w:themeTint="A6"/>
        </w:rPr>
        <w:t xml:space="preserve">advantages and </w:t>
      </w:r>
      <w:r w:rsidR="007E02E5" w:rsidRPr="00B611AB">
        <w:rPr>
          <w:rFonts w:ascii="Arial" w:hAnsi="Arial" w:cs="Arial"/>
          <w:iCs/>
          <w:color w:val="595959" w:themeColor="text1" w:themeTint="A6"/>
        </w:rPr>
        <w:t>disad</w:t>
      </w:r>
      <w:r w:rsidR="00584854" w:rsidRPr="00B611AB">
        <w:rPr>
          <w:rFonts w:ascii="Arial" w:hAnsi="Arial" w:cs="Arial"/>
          <w:iCs/>
          <w:color w:val="595959" w:themeColor="text1" w:themeTint="A6"/>
        </w:rPr>
        <w:t xml:space="preserve">vantages, these are summarised in table 1.2. </w:t>
      </w:r>
      <w:r w:rsidR="007E02E5" w:rsidRPr="00B611AB">
        <w:rPr>
          <w:rFonts w:ascii="Arial" w:hAnsi="Arial" w:cs="Arial"/>
          <w:iCs/>
          <w:color w:val="595959" w:themeColor="text1" w:themeTint="A6"/>
        </w:rPr>
        <w:t xml:space="preserve"> </w:t>
      </w:r>
    </w:p>
    <w:p w14:paraId="49A2F9C2" w14:textId="248C51F0" w:rsidR="00105D13" w:rsidRDefault="002B0634" w:rsidP="00114476">
      <w:pPr>
        <w:pStyle w:val="Heading4"/>
        <w:rPr>
          <w:rFonts w:ascii="Arial" w:hAnsi="Arial" w:cs="Arial"/>
          <w:iCs w:val="0"/>
          <w:color w:val="595959" w:themeColor="text1" w:themeTint="A6"/>
        </w:rPr>
      </w:pPr>
      <w:bookmarkStart w:id="52" w:name="_Toc34208276"/>
      <w:r>
        <w:rPr>
          <w:rFonts w:ascii="Arial" w:hAnsi="Arial" w:cs="Arial"/>
          <w:iCs w:val="0"/>
          <w:color w:val="595959" w:themeColor="text1" w:themeTint="A6"/>
        </w:rPr>
        <w:t xml:space="preserve">1.4.3.1 </w:t>
      </w:r>
      <w:r w:rsidR="00105D13" w:rsidRPr="00105D13">
        <w:rPr>
          <w:rFonts w:ascii="Arial" w:hAnsi="Arial" w:cs="Arial"/>
          <w:iCs w:val="0"/>
          <w:color w:val="595959" w:themeColor="text1" w:themeTint="A6"/>
        </w:rPr>
        <w:t>Fibroblast-derived matrices</w:t>
      </w:r>
      <w:bookmarkEnd w:id="52"/>
    </w:p>
    <w:p w14:paraId="36303363" w14:textId="77777777" w:rsidR="00114476" w:rsidRPr="00114476" w:rsidRDefault="00114476" w:rsidP="00114476"/>
    <w:p w14:paraId="5BCDEA13" w14:textId="77777777" w:rsidR="007928D1" w:rsidRPr="00584854" w:rsidRDefault="00105D13" w:rsidP="000F35E1">
      <w:pPr>
        <w:spacing w:line="480" w:lineRule="auto"/>
        <w:jc w:val="both"/>
        <w:rPr>
          <w:rFonts w:ascii="Arial" w:hAnsi="Arial" w:cs="Arial"/>
          <w:iCs/>
          <w:noProof/>
          <w:color w:val="595959" w:themeColor="text1" w:themeTint="A6"/>
        </w:rPr>
      </w:pPr>
      <w:r w:rsidRPr="00105D13">
        <w:rPr>
          <w:rFonts w:ascii="Arial" w:hAnsi="Arial" w:cs="Arial"/>
          <w:iCs/>
          <w:color w:val="595959" w:themeColor="text1" w:themeTint="A6"/>
        </w:rPr>
        <w:t>The replacement of animal derived collagen in organotypic models by human FDM have been utilised for the production of 3D skin equivalent models. These have been shown to</w:t>
      </w:r>
      <w:r w:rsidR="00B202EB">
        <w:rPr>
          <w:rFonts w:ascii="Arial" w:hAnsi="Arial" w:cs="Arial"/>
          <w:iCs/>
          <w:color w:val="595959" w:themeColor="text1" w:themeTint="A6"/>
        </w:rPr>
        <w:t xml:space="preserve"> display more natural capabilities</w:t>
      </w:r>
      <w:r w:rsidRPr="00105D13">
        <w:rPr>
          <w:rFonts w:ascii="Arial" w:hAnsi="Arial" w:cs="Arial"/>
          <w:iCs/>
          <w:color w:val="595959" w:themeColor="text1" w:themeTint="A6"/>
        </w:rPr>
        <w:t xml:space="preserve"> and </w:t>
      </w:r>
      <w:r w:rsidR="00B202EB">
        <w:rPr>
          <w:rFonts w:ascii="Arial" w:hAnsi="Arial" w:cs="Arial"/>
          <w:iCs/>
          <w:color w:val="595959" w:themeColor="text1" w:themeTint="A6"/>
        </w:rPr>
        <w:t xml:space="preserve">tissue </w:t>
      </w:r>
      <w:r w:rsidRPr="00105D13">
        <w:rPr>
          <w:rFonts w:ascii="Arial" w:hAnsi="Arial" w:cs="Arial"/>
          <w:iCs/>
          <w:color w:val="595959" w:themeColor="text1" w:themeTint="A6"/>
        </w:rPr>
        <w:t xml:space="preserve">architecture than established human skin equivalents that use non-human dermal components e.g. rat/bovine collagen. (Ghalbzouri </w:t>
      </w:r>
      <w:r w:rsidRPr="00105D13">
        <w:rPr>
          <w:rFonts w:ascii="Arial" w:hAnsi="Arial" w:cs="Arial"/>
          <w:i/>
          <w:iCs/>
          <w:color w:val="595959" w:themeColor="text1" w:themeTint="A6"/>
        </w:rPr>
        <w:t>et al</w:t>
      </w:r>
      <w:r w:rsidRPr="00105D13">
        <w:rPr>
          <w:rFonts w:ascii="Arial" w:hAnsi="Arial" w:cs="Arial"/>
          <w:iCs/>
          <w:color w:val="595959" w:themeColor="text1" w:themeTint="A6"/>
        </w:rPr>
        <w:t xml:space="preserve">., 2008). Alternative approaches of using FDM have been developed for </w:t>
      </w:r>
      <w:r w:rsidRPr="00105D13">
        <w:rPr>
          <w:rFonts w:ascii="Arial" w:hAnsi="Arial" w:cs="Arial"/>
          <w:i/>
          <w:iCs/>
          <w:color w:val="595959" w:themeColor="text1" w:themeTint="A6"/>
        </w:rPr>
        <w:t>in vitro</w:t>
      </w:r>
      <w:r w:rsidRPr="00105D13">
        <w:rPr>
          <w:rFonts w:ascii="Arial" w:hAnsi="Arial" w:cs="Arial"/>
          <w:iCs/>
          <w:color w:val="595959" w:themeColor="text1" w:themeTint="A6"/>
        </w:rPr>
        <w:t xml:space="preserve"> models of human skin </w:t>
      </w:r>
      <w:r w:rsidRPr="00105D13">
        <w:rPr>
          <w:rFonts w:ascii="Arial" w:hAnsi="Arial" w:cs="Arial"/>
          <w:iCs/>
          <w:color w:val="595959" w:themeColor="text1" w:themeTint="A6"/>
        </w:rPr>
        <w:lastRenderedPageBreak/>
        <w:t xml:space="preserve">and skin cancer equivalents using transwell </w:t>
      </w:r>
      <w:r w:rsidR="00AF5D5A">
        <w:rPr>
          <w:rFonts w:ascii="Arial" w:hAnsi="Arial" w:cs="Arial"/>
          <w:iCs/>
          <w:color w:val="595959" w:themeColor="text1" w:themeTint="A6"/>
        </w:rPr>
        <w:t>or scaffold technique</w:t>
      </w:r>
      <w:r w:rsidRPr="00105D13">
        <w:rPr>
          <w:rFonts w:ascii="Arial" w:hAnsi="Arial" w:cs="Arial"/>
          <w:iCs/>
          <w:color w:val="595959" w:themeColor="text1" w:themeTint="A6"/>
        </w:rPr>
        <w:t xml:space="preserve"> (Berning </w:t>
      </w:r>
      <w:r w:rsidRPr="00105D13">
        <w:rPr>
          <w:rFonts w:ascii="Arial" w:hAnsi="Arial" w:cs="Arial"/>
          <w:i/>
          <w:iCs/>
          <w:color w:val="595959" w:themeColor="text1" w:themeTint="A6"/>
        </w:rPr>
        <w:t>et al</w:t>
      </w:r>
      <w:r w:rsidRPr="00105D13">
        <w:rPr>
          <w:rFonts w:ascii="Arial" w:hAnsi="Arial" w:cs="Arial"/>
          <w:iCs/>
          <w:color w:val="595959" w:themeColor="text1" w:themeTint="A6"/>
        </w:rPr>
        <w:t>., 201</w:t>
      </w:r>
      <w:r w:rsidR="00D3410F">
        <w:rPr>
          <w:rFonts w:ascii="Arial" w:hAnsi="Arial" w:cs="Arial"/>
          <w:iCs/>
          <w:color w:val="595959" w:themeColor="text1" w:themeTint="A6"/>
        </w:rPr>
        <w:t>5</w:t>
      </w:r>
      <w:r w:rsidR="00AF5D5A">
        <w:rPr>
          <w:rFonts w:ascii="Arial" w:hAnsi="Arial" w:cs="Arial"/>
          <w:iCs/>
          <w:color w:val="595959" w:themeColor="text1" w:themeTint="A6"/>
        </w:rPr>
        <w:t xml:space="preserve">, Hill </w:t>
      </w:r>
      <w:r w:rsidR="00AF5D5A" w:rsidRPr="00AF5D5A">
        <w:rPr>
          <w:rFonts w:ascii="Arial" w:hAnsi="Arial" w:cs="Arial"/>
          <w:i/>
          <w:color w:val="595959" w:themeColor="text1" w:themeTint="A6"/>
        </w:rPr>
        <w:t xml:space="preserve">et al., </w:t>
      </w:r>
      <w:r w:rsidR="00AF5D5A">
        <w:rPr>
          <w:rFonts w:ascii="Arial" w:hAnsi="Arial" w:cs="Arial"/>
          <w:iCs/>
          <w:color w:val="595959" w:themeColor="text1" w:themeTint="A6"/>
        </w:rPr>
        <w:t>2015</w:t>
      </w:r>
      <w:r w:rsidRPr="00105D13">
        <w:rPr>
          <w:rFonts w:ascii="Arial" w:hAnsi="Arial" w:cs="Arial"/>
          <w:iCs/>
          <w:color w:val="595959" w:themeColor="text1" w:themeTint="A6"/>
        </w:rPr>
        <w:t>). These displayed similar biochemical, mechanical and structural components re</w:t>
      </w:r>
      <w:r w:rsidR="005758B2">
        <w:rPr>
          <w:rFonts w:ascii="Arial" w:hAnsi="Arial" w:cs="Arial"/>
          <w:iCs/>
          <w:color w:val="595959" w:themeColor="text1" w:themeTint="A6"/>
        </w:rPr>
        <w:t>latable to human skin</w:t>
      </w:r>
      <w:r w:rsidRPr="00105D13">
        <w:rPr>
          <w:rFonts w:ascii="Arial" w:hAnsi="Arial" w:cs="Arial"/>
          <w:iCs/>
          <w:color w:val="595959" w:themeColor="text1" w:themeTint="A6"/>
        </w:rPr>
        <w:t>. Th</w:t>
      </w:r>
      <w:r w:rsidR="00AF5D5A">
        <w:rPr>
          <w:rFonts w:ascii="Arial" w:hAnsi="Arial" w:cs="Arial"/>
          <w:iCs/>
          <w:color w:val="595959" w:themeColor="text1" w:themeTint="A6"/>
        </w:rPr>
        <w:t>e</w:t>
      </w:r>
      <w:r w:rsidRPr="00105D13">
        <w:rPr>
          <w:rFonts w:ascii="Arial" w:hAnsi="Arial" w:cs="Arial"/>
          <w:iCs/>
          <w:color w:val="595959" w:themeColor="text1" w:themeTint="A6"/>
        </w:rPr>
        <w:t xml:space="preserve"> </w:t>
      </w:r>
      <w:r w:rsidR="00AF5D5A">
        <w:rPr>
          <w:rFonts w:ascii="Arial" w:hAnsi="Arial" w:cs="Arial"/>
          <w:iCs/>
          <w:color w:val="595959" w:themeColor="text1" w:themeTint="A6"/>
        </w:rPr>
        <w:t xml:space="preserve">transwell </w:t>
      </w:r>
      <w:r w:rsidRPr="00105D13">
        <w:rPr>
          <w:rFonts w:ascii="Arial" w:hAnsi="Arial" w:cs="Arial"/>
          <w:iCs/>
          <w:color w:val="595959" w:themeColor="text1" w:themeTint="A6"/>
        </w:rPr>
        <w:t xml:space="preserve">technique </w:t>
      </w:r>
      <w:r w:rsidR="00AF5D5A">
        <w:rPr>
          <w:rFonts w:ascii="Arial" w:hAnsi="Arial" w:cs="Arial"/>
          <w:iCs/>
          <w:color w:val="595959" w:themeColor="text1" w:themeTint="A6"/>
        </w:rPr>
        <w:t xml:space="preserve">offers further </w:t>
      </w:r>
      <w:r w:rsidRPr="00105D13">
        <w:rPr>
          <w:rFonts w:ascii="Arial" w:hAnsi="Arial" w:cs="Arial"/>
          <w:iCs/>
          <w:color w:val="595959" w:themeColor="text1" w:themeTint="A6"/>
        </w:rPr>
        <w:t>advantag</w:t>
      </w:r>
      <w:r w:rsidR="00AF5D5A">
        <w:rPr>
          <w:rFonts w:ascii="Arial" w:hAnsi="Arial" w:cs="Arial"/>
          <w:iCs/>
          <w:color w:val="595959" w:themeColor="text1" w:themeTint="A6"/>
        </w:rPr>
        <w:t>es</w:t>
      </w:r>
      <w:r w:rsidRPr="00105D13">
        <w:rPr>
          <w:rFonts w:ascii="Arial" w:hAnsi="Arial" w:cs="Arial"/>
          <w:iCs/>
          <w:color w:val="595959" w:themeColor="text1" w:themeTint="A6"/>
        </w:rPr>
        <w:t xml:space="preserve"> to study disease progression as </w:t>
      </w:r>
      <w:r w:rsidR="00AF5D5A">
        <w:rPr>
          <w:rFonts w:ascii="Arial" w:hAnsi="Arial" w:cs="Arial"/>
          <w:iCs/>
          <w:color w:val="595959" w:themeColor="text1" w:themeTint="A6"/>
        </w:rPr>
        <w:t xml:space="preserve">FDM </w:t>
      </w:r>
      <w:r w:rsidRPr="00105D13">
        <w:rPr>
          <w:rFonts w:ascii="Arial" w:hAnsi="Arial" w:cs="Arial"/>
          <w:iCs/>
          <w:color w:val="595959" w:themeColor="text1" w:themeTint="A6"/>
        </w:rPr>
        <w:t>maintain</w:t>
      </w:r>
      <w:r w:rsidR="00AF5D5A">
        <w:rPr>
          <w:rFonts w:ascii="Arial" w:hAnsi="Arial" w:cs="Arial"/>
          <w:iCs/>
          <w:color w:val="595959" w:themeColor="text1" w:themeTint="A6"/>
        </w:rPr>
        <w:t>ed</w:t>
      </w:r>
      <w:r w:rsidRPr="00105D13">
        <w:rPr>
          <w:rFonts w:ascii="Arial" w:hAnsi="Arial" w:cs="Arial"/>
          <w:iCs/>
          <w:color w:val="595959" w:themeColor="text1" w:themeTint="A6"/>
        </w:rPr>
        <w:t xml:space="preserve"> their normal morphology for 24 weeks</w:t>
      </w:r>
      <w:r w:rsidR="00AF5D5A">
        <w:rPr>
          <w:rFonts w:ascii="Arial" w:hAnsi="Arial" w:cs="Arial"/>
          <w:iCs/>
          <w:color w:val="595959" w:themeColor="text1" w:themeTint="A6"/>
        </w:rPr>
        <w:t xml:space="preserve"> (Berning </w:t>
      </w:r>
      <w:r w:rsidR="00AF5D5A" w:rsidRPr="00AF5D5A">
        <w:rPr>
          <w:rFonts w:ascii="Arial" w:hAnsi="Arial" w:cs="Arial"/>
          <w:i/>
          <w:color w:val="595959" w:themeColor="text1" w:themeTint="A6"/>
        </w:rPr>
        <w:t>et al.,</w:t>
      </w:r>
      <w:r w:rsidR="00AF5D5A">
        <w:rPr>
          <w:rFonts w:ascii="Arial" w:hAnsi="Arial" w:cs="Arial"/>
          <w:iCs/>
          <w:color w:val="595959" w:themeColor="text1" w:themeTint="A6"/>
        </w:rPr>
        <w:t xml:space="preserve"> 201</w:t>
      </w:r>
      <w:r w:rsidR="00D3410F">
        <w:rPr>
          <w:rFonts w:ascii="Arial" w:hAnsi="Arial" w:cs="Arial"/>
          <w:iCs/>
          <w:color w:val="595959" w:themeColor="text1" w:themeTint="A6"/>
        </w:rPr>
        <w:t>5</w:t>
      </w:r>
      <w:r w:rsidR="00AF5D5A">
        <w:rPr>
          <w:rFonts w:ascii="Arial" w:hAnsi="Arial" w:cs="Arial"/>
          <w:iCs/>
          <w:color w:val="595959" w:themeColor="text1" w:themeTint="A6"/>
        </w:rPr>
        <w:t>)</w:t>
      </w:r>
      <w:r w:rsidRPr="00105D13">
        <w:rPr>
          <w:rFonts w:ascii="Arial" w:hAnsi="Arial" w:cs="Arial"/>
          <w:iCs/>
          <w:color w:val="595959" w:themeColor="text1" w:themeTint="A6"/>
        </w:rPr>
        <w:t xml:space="preserve">. </w:t>
      </w:r>
      <w:r w:rsidR="003A4693">
        <w:rPr>
          <w:rFonts w:ascii="Arial" w:hAnsi="Arial" w:cs="Arial"/>
          <w:iCs/>
          <w:color w:val="595959" w:themeColor="text1" w:themeTint="A6"/>
        </w:rPr>
        <w:t xml:space="preserve">The skin keratinocyte cell line, </w:t>
      </w:r>
      <w:r w:rsidRPr="00B611AB">
        <w:rPr>
          <w:rFonts w:ascii="Arial" w:hAnsi="Arial" w:cs="Arial"/>
          <w:iCs/>
          <w:color w:val="595959" w:themeColor="text1" w:themeTint="A6"/>
        </w:rPr>
        <w:t>HaCaT w</w:t>
      </w:r>
      <w:r w:rsidR="00857071" w:rsidRPr="00B611AB">
        <w:rPr>
          <w:rFonts w:ascii="Arial" w:hAnsi="Arial" w:cs="Arial"/>
          <w:iCs/>
          <w:color w:val="595959" w:themeColor="text1" w:themeTint="A6"/>
        </w:rPr>
        <w:t xml:space="preserve">as </w:t>
      </w:r>
      <w:r w:rsidRPr="00B611AB">
        <w:rPr>
          <w:rFonts w:ascii="Arial" w:hAnsi="Arial" w:cs="Arial"/>
          <w:iCs/>
          <w:color w:val="595959" w:themeColor="text1" w:themeTint="A6"/>
        </w:rPr>
        <w:t xml:space="preserve">used </w:t>
      </w:r>
      <w:r w:rsidR="003A4693" w:rsidRPr="00B611AB">
        <w:rPr>
          <w:rFonts w:ascii="Arial" w:hAnsi="Arial" w:cs="Arial"/>
          <w:iCs/>
          <w:color w:val="595959" w:themeColor="text1" w:themeTint="A6"/>
        </w:rPr>
        <w:t xml:space="preserve">to generate models to investigate </w:t>
      </w:r>
      <w:r w:rsidRPr="00B611AB">
        <w:rPr>
          <w:rFonts w:ascii="Arial" w:hAnsi="Arial" w:cs="Arial"/>
          <w:iCs/>
          <w:color w:val="595959" w:themeColor="text1" w:themeTint="A6"/>
        </w:rPr>
        <w:t xml:space="preserve">mesenchymal and epithelial cell-to-cell interactions by monitoring </w:t>
      </w:r>
      <w:r w:rsidRPr="00105D13">
        <w:rPr>
          <w:rFonts w:ascii="Arial" w:hAnsi="Arial" w:cs="Arial"/>
          <w:iCs/>
          <w:color w:val="595959" w:themeColor="text1" w:themeTint="A6"/>
        </w:rPr>
        <w:t>invasion and progression; reduction in E-cadherin and the distribution of integrin α-6. MMP expression within the models were compared to MMP identified (MMP-1, -3, and -9) in a cDNA microarray of human cSCC tumours</w:t>
      </w:r>
      <w:r w:rsidR="003A4693">
        <w:rPr>
          <w:rFonts w:ascii="Arial" w:hAnsi="Arial" w:cs="Arial"/>
          <w:iCs/>
          <w:color w:val="595959" w:themeColor="text1" w:themeTint="A6"/>
        </w:rPr>
        <w:t xml:space="preserve"> and found that the </w:t>
      </w:r>
      <w:r w:rsidR="003A4693" w:rsidRPr="003A4693">
        <w:rPr>
          <w:rFonts w:ascii="Arial" w:hAnsi="Arial" w:cs="Arial"/>
          <w:iCs/>
          <w:color w:val="595959" w:themeColor="text1" w:themeTint="A6"/>
        </w:rPr>
        <w:t>MMP secretion profile correlate</w:t>
      </w:r>
      <w:r w:rsidR="003A4693">
        <w:rPr>
          <w:rFonts w:ascii="Arial" w:hAnsi="Arial" w:cs="Arial"/>
          <w:iCs/>
          <w:color w:val="595959" w:themeColor="text1" w:themeTint="A6"/>
        </w:rPr>
        <w:t>d</w:t>
      </w:r>
      <w:r w:rsidR="003A4693" w:rsidRPr="003A4693">
        <w:rPr>
          <w:rFonts w:ascii="Arial" w:hAnsi="Arial" w:cs="Arial"/>
          <w:iCs/>
          <w:color w:val="595959" w:themeColor="text1" w:themeTint="A6"/>
        </w:rPr>
        <w:t xml:space="preserve"> with the epithelial tumo</w:t>
      </w:r>
      <w:r w:rsidR="003A4693">
        <w:rPr>
          <w:rFonts w:ascii="Arial" w:hAnsi="Arial" w:cs="Arial"/>
          <w:iCs/>
          <w:color w:val="595959" w:themeColor="text1" w:themeTint="A6"/>
        </w:rPr>
        <w:t>u</w:t>
      </w:r>
      <w:r w:rsidR="003A4693" w:rsidRPr="003A4693">
        <w:rPr>
          <w:rFonts w:ascii="Arial" w:hAnsi="Arial" w:cs="Arial"/>
          <w:iCs/>
          <w:color w:val="595959" w:themeColor="text1" w:themeTint="A6"/>
        </w:rPr>
        <w:t>r cell invasion phenotypes, sugges</w:t>
      </w:r>
      <w:r w:rsidR="003A4693">
        <w:rPr>
          <w:rFonts w:ascii="Arial" w:hAnsi="Arial" w:cs="Arial"/>
          <w:iCs/>
          <w:color w:val="595959" w:themeColor="text1" w:themeTint="A6"/>
        </w:rPr>
        <w:t>ting a contributing role of MMP</w:t>
      </w:r>
      <w:r w:rsidR="003A4693" w:rsidRPr="003A4693">
        <w:rPr>
          <w:rFonts w:ascii="Arial" w:hAnsi="Arial" w:cs="Arial"/>
          <w:iCs/>
          <w:color w:val="595959" w:themeColor="text1" w:themeTint="A6"/>
        </w:rPr>
        <w:t xml:space="preserve"> for tumo</w:t>
      </w:r>
      <w:r w:rsidR="003A4693">
        <w:rPr>
          <w:rFonts w:ascii="Arial" w:hAnsi="Arial" w:cs="Arial"/>
          <w:iCs/>
          <w:color w:val="595959" w:themeColor="text1" w:themeTint="A6"/>
        </w:rPr>
        <w:t>ur cell invasion and use</w:t>
      </w:r>
      <w:r w:rsidR="007928D1">
        <w:rPr>
          <w:rFonts w:ascii="Arial" w:hAnsi="Arial" w:cs="Arial"/>
          <w:iCs/>
          <w:color w:val="595959" w:themeColor="text1" w:themeTint="A6"/>
        </w:rPr>
        <w:t xml:space="preserve"> </w:t>
      </w:r>
    </w:p>
    <w:tbl>
      <w:tblPr>
        <w:tblStyle w:val="GridTable4-Accent3"/>
        <w:tblpPr w:leftFromText="180" w:rightFromText="180" w:vertAnchor="text" w:horzAnchor="margin" w:tblpY="462"/>
        <w:tblW w:w="9497" w:type="dxa"/>
        <w:tblLook w:val="04A0" w:firstRow="1" w:lastRow="0" w:firstColumn="1" w:lastColumn="0" w:noHBand="0" w:noVBand="1"/>
      </w:tblPr>
      <w:tblGrid>
        <w:gridCol w:w="1201"/>
        <w:gridCol w:w="3126"/>
        <w:gridCol w:w="5170"/>
      </w:tblGrid>
      <w:tr w:rsidR="007928D1" w:rsidRPr="005C5709" w14:paraId="3D911FFF" w14:textId="77777777" w:rsidTr="007928D1">
        <w:trPr>
          <w:cnfStyle w:val="100000000000" w:firstRow="1" w:lastRow="0" w:firstColumn="0" w:lastColumn="0" w:oddVBand="0" w:evenVBand="0" w:oddHBand="0"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1201" w:type="dxa"/>
          </w:tcPr>
          <w:p w14:paraId="0599C53B" w14:textId="77777777" w:rsidR="007928D1" w:rsidRPr="005C5709" w:rsidRDefault="007928D1" w:rsidP="007928D1">
            <w:pPr>
              <w:jc w:val="center"/>
              <w:rPr>
                <w:rFonts w:ascii="Arial Narrow" w:hAnsi="Arial Narrow"/>
                <w:color w:val="auto"/>
                <w:sz w:val="24"/>
                <w:szCs w:val="24"/>
              </w:rPr>
            </w:pPr>
            <w:r w:rsidRPr="005C5709">
              <w:rPr>
                <w:rFonts w:ascii="Arial Narrow" w:hAnsi="Arial Narrow"/>
                <w:color w:val="auto"/>
                <w:sz w:val="24"/>
                <w:szCs w:val="24"/>
              </w:rPr>
              <w:t>Technique</w:t>
            </w:r>
          </w:p>
        </w:tc>
        <w:tc>
          <w:tcPr>
            <w:tcW w:w="3126" w:type="dxa"/>
          </w:tcPr>
          <w:p w14:paraId="7730123E" w14:textId="77777777" w:rsidR="007928D1" w:rsidRPr="005C5709" w:rsidRDefault="007928D1" w:rsidP="007928D1">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auto"/>
                <w:sz w:val="24"/>
                <w:szCs w:val="24"/>
              </w:rPr>
            </w:pPr>
            <w:r w:rsidRPr="005C5709">
              <w:rPr>
                <w:rFonts w:ascii="Arial Narrow" w:hAnsi="Arial Narrow"/>
                <w:color w:val="auto"/>
                <w:sz w:val="24"/>
                <w:szCs w:val="24"/>
              </w:rPr>
              <w:t>Advantage</w:t>
            </w:r>
          </w:p>
        </w:tc>
        <w:tc>
          <w:tcPr>
            <w:tcW w:w="5170" w:type="dxa"/>
          </w:tcPr>
          <w:p w14:paraId="0A38BC01" w14:textId="77777777" w:rsidR="007928D1" w:rsidRPr="005C5709" w:rsidRDefault="007928D1" w:rsidP="007928D1">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auto"/>
                <w:sz w:val="24"/>
                <w:szCs w:val="24"/>
              </w:rPr>
            </w:pPr>
            <w:r w:rsidRPr="005C5709">
              <w:rPr>
                <w:rFonts w:ascii="Arial Narrow" w:hAnsi="Arial Narrow"/>
                <w:color w:val="auto"/>
                <w:sz w:val="24"/>
                <w:szCs w:val="24"/>
              </w:rPr>
              <w:t>Disadvantage</w:t>
            </w:r>
          </w:p>
        </w:tc>
      </w:tr>
      <w:tr w:rsidR="007928D1" w:rsidRPr="005C5709" w14:paraId="62B1F468" w14:textId="77777777" w:rsidTr="007928D1">
        <w:trPr>
          <w:cnfStyle w:val="000000100000" w:firstRow="0" w:lastRow="0" w:firstColumn="0" w:lastColumn="0" w:oddVBand="0" w:evenVBand="0" w:oddHBand="1" w:evenHBand="0" w:firstRowFirstColumn="0" w:firstRowLastColumn="0" w:lastRowFirstColumn="0" w:lastRowLastColumn="0"/>
          <w:trHeight w:val="989"/>
        </w:trPr>
        <w:tc>
          <w:tcPr>
            <w:cnfStyle w:val="001000000000" w:firstRow="0" w:lastRow="0" w:firstColumn="1" w:lastColumn="0" w:oddVBand="0" w:evenVBand="0" w:oddHBand="0" w:evenHBand="0" w:firstRowFirstColumn="0" w:firstRowLastColumn="0" w:lastRowFirstColumn="0" w:lastRowLastColumn="0"/>
            <w:tcW w:w="1201" w:type="dxa"/>
          </w:tcPr>
          <w:p w14:paraId="038544DE" w14:textId="77777777" w:rsidR="007928D1" w:rsidRPr="0054039C" w:rsidRDefault="007928D1" w:rsidP="007928D1">
            <w:pPr>
              <w:jc w:val="center"/>
              <w:rPr>
                <w:rFonts w:ascii="Arial Narrow" w:hAnsi="Arial Narrow"/>
                <w:b w:val="0"/>
                <w:bCs w:val="0"/>
                <w:color w:val="4472C4" w:themeColor="accent1"/>
              </w:rPr>
            </w:pPr>
            <w:r w:rsidRPr="0054039C">
              <w:rPr>
                <w:rFonts w:ascii="Arial Narrow" w:hAnsi="Arial Narrow"/>
                <w:b w:val="0"/>
                <w:bCs w:val="0"/>
                <w:color w:val="4472C4" w:themeColor="accent1"/>
              </w:rPr>
              <w:t xml:space="preserve">Tissue culture plastic </w:t>
            </w:r>
          </w:p>
        </w:tc>
        <w:tc>
          <w:tcPr>
            <w:tcW w:w="3126" w:type="dxa"/>
          </w:tcPr>
          <w:p w14:paraId="2AAFBA36" w14:textId="77777777" w:rsidR="007928D1" w:rsidRPr="0054039C" w:rsidRDefault="007928D1" w:rsidP="007928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4472C4" w:themeColor="accent1"/>
              </w:rPr>
            </w:pPr>
            <w:r>
              <w:rPr>
                <w:rFonts w:ascii="Arial Narrow" w:hAnsi="Arial Narrow"/>
                <w:color w:val="4472C4" w:themeColor="accent1"/>
              </w:rPr>
              <w:t>-</w:t>
            </w:r>
            <w:r w:rsidRPr="0054039C">
              <w:rPr>
                <w:rFonts w:ascii="Arial Narrow" w:hAnsi="Arial Narrow"/>
                <w:color w:val="4472C4" w:themeColor="accent1"/>
              </w:rPr>
              <w:t xml:space="preserve">Standardised, </w:t>
            </w:r>
          </w:p>
          <w:p w14:paraId="328780FC" w14:textId="77777777" w:rsidR="007928D1" w:rsidRPr="0054039C" w:rsidRDefault="007928D1" w:rsidP="007928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4472C4" w:themeColor="accent1"/>
              </w:rPr>
            </w:pPr>
            <w:r>
              <w:rPr>
                <w:rFonts w:ascii="Arial Narrow" w:hAnsi="Arial Narrow"/>
                <w:color w:val="4472C4" w:themeColor="accent1"/>
              </w:rPr>
              <w:t>-</w:t>
            </w:r>
            <w:r w:rsidRPr="0054039C">
              <w:rPr>
                <w:rFonts w:ascii="Arial Narrow" w:hAnsi="Arial Narrow"/>
                <w:color w:val="4472C4" w:themeColor="accent1"/>
              </w:rPr>
              <w:t>Reproducible</w:t>
            </w:r>
          </w:p>
        </w:tc>
        <w:tc>
          <w:tcPr>
            <w:tcW w:w="5170" w:type="dxa"/>
          </w:tcPr>
          <w:p w14:paraId="136C1572" w14:textId="77777777" w:rsidR="007928D1" w:rsidRPr="0054039C" w:rsidRDefault="007928D1" w:rsidP="007928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4472C4" w:themeColor="accent1"/>
              </w:rPr>
            </w:pPr>
            <w:r>
              <w:rPr>
                <w:rFonts w:ascii="Arial Narrow" w:hAnsi="Arial Narrow"/>
                <w:color w:val="4472C4" w:themeColor="accent1"/>
              </w:rPr>
              <w:t>-</w:t>
            </w:r>
            <w:r w:rsidRPr="0054039C">
              <w:rPr>
                <w:rFonts w:ascii="Arial Narrow" w:hAnsi="Arial Narrow"/>
                <w:color w:val="4472C4" w:themeColor="accent1"/>
              </w:rPr>
              <w:t>Lack of 3D environment,</w:t>
            </w:r>
          </w:p>
          <w:p w14:paraId="347F7E59" w14:textId="77777777" w:rsidR="007928D1" w:rsidRPr="0054039C" w:rsidRDefault="007928D1" w:rsidP="007928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4472C4" w:themeColor="accent1"/>
              </w:rPr>
            </w:pPr>
            <w:r>
              <w:rPr>
                <w:rFonts w:ascii="Arial Narrow" w:hAnsi="Arial Narrow"/>
                <w:color w:val="4472C4" w:themeColor="accent1"/>
              </w:rPr>
              <w:t>-</w:t>
            </w:r>
            <w:r w:rsidRPr="0054039C">
              <w:rPr>
                <w:rFonts w:ascii="Arial Narrow" w:hAnsi="Arial Narrow"/>
                <w:color w:val="4472C4" w:themeColor="accent1"/>
              </w:rPr>
              <w:t>Uniform concentration of nutrient,</w:t>
            </w:r>
          </w:p>
          <w:p w14:paraId="1A1EDE32" w14:textId="77777777" w:rsidR="007928D1" w:rsidRDefault="007928D1" w:rsidP="007928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4472C4" w:themeColor="accent1"/>
              </w:rPr>
            </w:pPr>
            <w:r>
              <w:rPr>
                <w:rFonts w:ascii="Arial Narrow" w:hAnsi="Arial Narrow"/>
                <w:color w:val="4472C4" w:themeColor="accent1"/>
              </w:rPr>
              <w:t>-</w:t>
            </w:r>
            <w:r w:rsidRPr="0054039C">
              <w:rPr>
                <w:rFonts w:ascii="Arial Narrow" w:hAnsi="Arial Narrow"/>
                <w:color w:val="4472C4" w:themeColor="accent1"/>
              </w:rPr>
              <w:t>Static conditions</w:t>
            </w:r>
            <w:r>
              <w:rPr>
                <w:rFonts w:ascii="Arial Narrow" w:hAnsi="Arial Narrow"/>
                <w:color w:val="4472C4" w:themeColor="accent1"/>
              </w:rPr>
              <w:t>.</w:t>
            </w:r>
          </w:p>
          <w:p w14:paraId="2D3EF10B" w14:textId="77777777" w:rsidR="007928D1" w:rsidRPr="0054039C" w:rsidRDefault="007928D1" w:rsidP="007928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4472C4" w:themeColor="accent1"/>
              </w:rPr>
            </w:pPr>
            <w:r>
              <w:rPr>
                <w:rFonts w:ascii="Arial Narrow" w:hAnsi="Arial Narrow"/>
                <w:color w:val="4472C4" w:themeColor="accent1"/>
              </w:rPr>
              <w:t>-Cells are highly plastic on the harder surface substrate.</w:t>
            </w:r>
          </w:p>
        </w:tc>
      </w:tr>
      <w:tr w:rsidR="007928D1" w:rsidRPr="005C5709" w14:paraId="4D86D6C3" w14:textId="77777777" w:rsidTr="007928D1">
        <w:trPr>
          <w:trHeight w:val="1542"/>
        </w:trPr>
        <w:tc>
          <w:tcPr>
            <w:cnfStyle w:val="001000000000" w:firstRow="0" w:lastRow="0" w:firstColumn="1" w:lastColumn="0" w:oddVBand="0" w:evenVBand="0" w:oddHBand="0" w:evenHBand="0" w:firstRowFirstColumn="0" w:firstRowLastColumn="0" w:lastRowFirstColumn="0" w:lastRowLastColumn="0"/>
            <w:tcW w:w="1201" w:type="dxa"/>
          </w:tcPr>
          <w:p w14:paraId="5FFA2993" w14:textId="77777777" w:rsidR="007928D1" w:rsidRPr="0054039C" w:rsidRDefault="007928D1" w:rsidP="007928D1">
            <w:pPr>
              <w:jc w:val="center"/>
              <w:rPr>
                <w:rFonts w:ascii="Arial Narrow" w:hAnsi="Arial Narrow"/>
                <w:b w:val="0"/>
                <w:bCs w:val="0"/>
                <w:color w:val="4472C4" w:themeColor="accent1"/>
              </w:rPr>
            </w:pPr>
            <w:r w:rsidRPr="0054039C">
              <w:rPr>
                <w:rFonts w:ascii="Arial Narrow" w:hAnsi="Arial Narrow"/>
                <w:b w:val="0"/>
                <w:bCs w:val="0"/>
                <w:color w:val="4472C4" w:themeColor="accent1"/>
              </w:rPr>
              <w:t>Spheroids</w:t>
            </w:r>
          </w:p>
        </w:tc>
        <w:tc>
          <w:tcPr>
            <w:tcW w:w="3126" w:type="dxa"/>
          </w:tcPr>
          <w:p w14:paraId="1B19C68B" w14:textId="77777777" w:rsidR="007928D1" w:rsidRPr="0054039C" w:rsidRDefault="007928D1" w:rsidP="007928D1">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4472C4" w:themeColor="accent1"/>
              </w:rPr>
            </w:pPr>
            <w:r>
              <w:rPr>
                <w:rFonts w:ascii="Arial Narrow" w:hAnsi="Arial Narrow"/>
                <w:color w:val="4472C4" w:themeColor="accent1"/>
              </w:rPr>
              <w:t>-</w:t>
            </w:r>
            <w:r w:rsidRPr="0054039C">
              <w:rPr>
                <w:rFonts w:ascii="Arial Narrow" w:hAnsi="Arial Narrow"/>
                <w:color w:val="4472C4" w:themeColor="accent1"/>
              </w:rPr>
              <w:t>Simple,</w:t>
            </w:r>
          </w:p>
          <w:p w14:paraId="46E289AE" w14:textId="77777777" w:rsidR="007928D1" w:rsidRPr="0054039C" w:rsidRDefault="007928D1" w:rsidP="007928D1">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4472C4" w:themeColor="accent1"/>
              </w:rPr>
            </w:pPr>
            <w:r w:rsidRPr="0054039C">
              <w:rPr>
                <w:rFonts w:ascii="Arial Narrow" w:hAnsi="Arial Narrow"/>
                <w:color w:val="4472C4" w:themeColor="accent1"/>
              </w:rPr>
              <w:t xml:space="preserve"> </w:t>
            </w:r>
            <w:r>
              <w:rPr>
                <w:rFonts w:ascii="Arial Narrow" w:hAnsi="Arial Narrow"/>
                <w:color w:val="4472C4" w:themeColor="accent1"/>
              </w:rPr>
              <w:t>-</w:t>
            </w:r>
            <w:r w:rsidRPr="0054039C">
              <w:rPr>
                <w:rFonts w:ascii="Arial Narrow" w:hAnsi="Arial Narrow"/>
                <w:color w:val="4472C4" w:themeColor="accent1"/>
              </w:rPr>
              <w:t>Mimics ECM; cell interactions,</w:t>
            </w:r>
          </w:p>
          <w:p w14:paraId="7BC8A11D" w14:textId="77777777" w:rsidR="007928D1" w:rsidRPr="0054039C" w:rsidRDefault="007928D1" w:rsidP="007928D1">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4472C4" w:themeColor="accent1"/>
              </w:rPr>
            </w:pPr>
            <w:r>
              <w:rPr>
                <w:rFonts w:ascii="Arial Narrow" w:hAnsi="Arial Narrow"/>
                <w:color w:val="4472C4" w:themeColor="accent1"/>
              </w:rPr>
              <w:t>-</w:t>
            </w:r>
            <w:r w:rsidRPr="0054039C">
              <w:rPr>
                <w:rFonts w:ascii="Arial Narrow" w:hAnsi="Arial Narrow"/>
                <w:color w:val="4472C4" w:themeColor="accent1"/>
              </w:rPr>
              <w:t>Compliant with high through-put screening,</w:t>
            </w:r>
          </w:p>
          <w:p w14:paraId="5AD9CB9F" w14:textId="77777777" w:rsidR="007928D1" w:rsidRPr="0054039C" w:rsidRDefault="007928D1" w:rsidP="007928D1">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4472C4" w:themeColor="accent1"/>
              </w:rPr>
            </w:pPr>
            <w:r>
              <w:rPr>
                <w:rFonts w:ascii="Arial Narrow" w:hAnsi="Arial Narrow"/>
                <w:color w:val="4472C4" w:themeColor="accent1"/>
              </w:rPr>
              <w:t>-</w:t>
            </w:r>
            <w:r w:rsidRPr="0054039C">
              <w:rPr>
                <w:rFonts w:ascii="Arial Narrow" w:hAnsi="Arial Narrow"/>
                <w:color w:val="4472C4" w:themeColor="accent1"/>
              </w:rPr>
              <w:t>Co-culture ability,</w:t>
            </w:r>
          </w:p>
          <w:p w14:paraId="706576CA" w14:textId="77777777" w:rsidR="007928D1" w:rsidRPr="0054039C" w:rsidRDefault="007928D1" w:rsidP="007928D1">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4472C4" w:themeColor="accent1"/>
              </w:rPr>
            </w:pPr>
            <w:r>
              <w:rPr>
                <w:rFonts w:ascii="Arial Narrow" w:hAnsi="Arial Narrow"/>
                <w:color w:val="4472C4" w:themeColor="accent1"/>
              </w:rPr>
              <w:t>-</w:t>
            </w:r>
            <w:r w:rsidRPr="0054039C">
              <w:rPr>
                <w:rFonts w:ascii="Arial Narrow" w:hAnsi="Arial Narrow"/>
                <w:color w:val="4472C4" w:themeColor="accent1"/>
              </w:rPr>
              <w:t>Necrotic core</w:t>
            </w:r>
          </w:p>
          <w:p w14:paraId="7F8B1006" w14:textId="77777777" w:rsidR="007928D1" w:rsidRPr="0054039C" w:rsidRDefault="007928D1" w:rsidP="007928D1">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4472C4" w:themeColor="accent1"/>
              </w:rPr>
            </w:pPr>
          </w:p>
        </w:tc>
        <w:tc>
          <w:tcPr>
            <w:tcW w:w="5170" w:type="dxa"/>
          </w:tcPr>
          <w:p w14:paraId="14F2C512" w14:textId="77777777" w:rsidR="007928D1" w:rsidRPr="0054039C" w:rsidRDefault="007928D1" w:rsidP="007928D1">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4472C4" w:themeColor="accent1"/>
              </w:rPr>
            </w:pPr>
            <w:r>
              <w:rPr>
                <w:rFonts w:ascii="Arial Narrow" w:hAnsi="Arial Narrow"/>
                <w:color w:val="4472C4" w:themeColor="accent1"/>
              </w:rPr>
              <w:t>-</w:t>
            </w:r>
            <w:r w:rsidRPr="0054039C">
              <w:rPr>
                <w:rFonts w:ascii="Arial Narrow" w:hAnsi="Arial Narrow"/>
                <w:color w:val="4472C4" w:themeColor="accent1"/>
              </w:rPr>
              <w:t>Size variability,</w:t>
            </w:r>
          </w:p>
          <w:p w14:paraId="407F0600" w14:textId="77777777" w:rsidR="007928D1" w:rsidRPr="0054039C" w:rsidRDefault="007928D1" w:rsidP="007928D1">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4472C4" w:themeColor="accent1"/>
              </w:rPr>
            </w:pPr>
            <w:r>
              <w:rPr>
                <w:rFonts w:ascii="Arial Narrow" w:hAnsi="Arial Narrow"/>
                <w:color w:val="4472C4" w:themeColor="accent1"/>
              </w:rPr>
              <w:t>-</w:t>
            </w:r>
            <w:r w:rsidRPr="0054039C">
              <w:rPr>
                <w:rFonts w:ascii="Arial Narrow" w:hAnsi="Arial Narrow"/>
                <w:color w:val="4472C4" w:themeColor="accent1"/>
              </w:rPr>
              <w:t>Necrotic core,</w:t>
            </w:r>
          </w:p>
          <w:p w14:paraId="64160C42" w14:textId="77777777" w:rsidR="007928D1" w:rsidRPr="0054039C" w:rsidRDefault="007928D1" w:rsidP="007928D1">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4472C4" w:themeColor="accent1"/>
              </w:rPr>
            </w:pPr>
            <w:r>
              <w:rPr>
                <w:rFonts w:ascii="Arial Narrow" w:hAnsi="Arial Narrow"/>
                <w:color w:val="4472C4" w:themeColor="accent1"/>
              </w:rPr>
              <w:t>-</w:t>
            </w:r>
            <w:r w:rsidRPr="0054039C">
              <w:rPr>
                <w:rFonts w:ascii="Arial Narrow" w:hAnsi="Arial Narrow"/>
                <w:color w:val="4472C4" w:themeColor="accent1"/>
              </w:rPr>
              <w:t>Limited diffusion,</w:t>
            </w:r>
          </w:p>
          <w:p w14:paraId="3CE12D26" w14:textId="77777777" w:rsidR="007928D1" w:rsidRPr="0054039C" w:rsidRDefault="007928D1" w:rsidP="007928D1">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4472C4" w:themeColor="accent1"/>
              </w:rPr>
            </w:pPr>
            <w:r>
              <w:rPr>
                <w:rFonts w:ascii="Arial Narrow" w:hAnsi="Arial Narrow"/>
                <w:color w:val="4472C4" w:themeColor="accent1"/>
              </w:rPr>
              <w:t>-</w:t>
            </w:r>
            <w:r w:rsidRPr="0054039C">
              <w:rPr>
                <w:rFonts w:ascii="Arial Narrow" w:hAnsi="Arial Narrow"/>
                <w:color w:val="4472C4" w:themeColor="accent1"/>
              </w:rPr>
              <w:t xml:space="preserve">Simplistic architecture, </w:t>
            </w:r>
          </w:p>
          <w:p w14:paraId="258DD73C" w14:textId="77777777" w:rsidR="007928D1" w:rsidRPr="0054039C" w:rsidRDefault="007928D1" w:rsidP="007928D1">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4472C4" w:themeColor="accent1"/>
              </w:rPr>
            </w:pPr>
          </w:p>
        </w:tc>
      </w:tr>
      <w:tr w:rsidR="007928D1" w:rsidRPr="005C5709" w14:paraId="4342CA8C" w14:textId="77777777" w:rsidTr="007928D1">
        <w:trPr>
          <w:cnfStyle w:val="000000100000" w:firstRow="0" w:lastRow="0" w:firstColumn="0" w:lastColumn="0" w:oddVBand="0" w:evenVBand="0" w:oddHBand="1" w:evenHBand="0" w:firstRowFirstColumn="0" w:firstRowLastColumn="0" w:lastRowFirstColumn="0" w:lastRowLastColumn="0"/>
          <w:trHeight w:val="1482"/>
        </w:trPr>
        <w:tc>
          <w:tcPr>
            <w:cnfStyle w:val="001000000000" w:firstRow="0" w:lastRow="0" w:firstColumn="1" w:lastColumn="0" w:oddVBand="0" w:evenVBand="0" w:oddHBand="0" w:evenHBand="0" w:firstRowFirstColumn="0" w:firstRowLastColumn="0" w:lastRowFirstColumn="0" w:lastRowLastColumn="0"/>
            <w:tcW w:w="1201" w:type="dxa"/>
          </w:tcPr>
          <w:p w14:paraId="48E9D8FF" w14:textId="77777777" w:rsidR="007928D1" w:rsidRPr="0054039C" w:rsidRDefault="007928D1" w:rsidP="007928D1">
            <w:pPr>
              <w:jc w:val="center"/>
              <w:rPr>
                <w:rFonts w:ascii="Arial Narrow" w:hAnsi="Arial Narrow"/>
                <w:b w:val="0"/>
                <w:bCs w:val="0"/>
                <w:color w:val="4472C4" w:themeColor="accent1"/>
              </w:rPr>
            </w:pPr>
            <w:r w:rsidRPr="0054039C">
              <w:rPr>
                <w:rFonts w:ascii="Arial Narrow" w:hAnsi="Arial Narrow"/>
                <w:b w:val="0"/>
                <w:bCs w:val="0"/>
                <w:color w:val="4472C4" w:themeColor="accent1"/>
              </w:rPr>
              <w:t>Natural scaffolds</w:t>
            </w:r>
          </w:p>
        </w:tc>
        <w:tc>
          <w:tcPr>
            <w:tcW w:w="3126" w:type="dxa"/>
          </w:tcPr>
          <w:p w14:paraId="4E368687" w14:textId="77777777" w:rsidR="007928D1" w:rsidRDefault="007928D1" w:rsidP="007928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4472C4" w:themeColor="accent1"/>
              </w:rPr>
            </w:pPr>
            <w:r>
              <w:rPr>
                <w:rFonts w:ascii="Arial Narrow" w:hAnsi="Arial Narrow"/>
                <w:color w:val="4472C4" w:themeColor="accent1"/>
              </w:rPr>
              <w:t>-</w:t>
            </w:r>
            <w:r w:rsidRPr="0054039C">
              <w:rPr>
                <w:rFonts w:ascii="Arial Narrow" w:hAnsi="Arial Narrow"/>
                <w:color w:val="4472C4" w:themeColor="accent1"/>
              </w:rPr>
              <w:t>Biodegradable</w:t>
            </w:r>
          </w:p>
          <w:p w14:paraId="1CD3C55B" w14:textId="77777777" w:rsidR="007928D1" w:rsidRDefault="007928D1" w:rsidP="007928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4472C4" w:themeColor="accent1"/>
              </w:rPr>
            </w:pPr>
            <w:r>
              <w:rPr>
                <w:rFonts w:ascii="Arial Narrow" w:hAnsi="Arial Narrow"/>
                <w:color w:val="4472C4" w:themeColor="accent1"/>
              </w:rPr>
              <w:t>-Biocompatible</w:t>
            </w:r>
            <w:r w:rsidRPr="0054039C">
              <w:rPr>
                <w:rFonts w:ascii="Arial Narrow" w:hAnsi="Arial Narrow"/>
                <w:color w:val="4472C4" w:themeColor="accent1"/>
              </w:rPr>
              <w:t xml:space="preserve"> </w:t>
            </w:r>
          </w:p>
          <w:p w14:paraId="03470582" w14:textId="77777777" w:rsidR="007928D1" w:rsidRPr="0054039C" w:rsidRDefault="007928D1" w:rsidP="007928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4472C4" w:themeColor="accent1"/>
              </w:rPr>
            </w:pPr>
            <w:r>
              <w:rPr>
                <w:rFonts w:ascii="Arial Narrow" w:hAnsi="Arial Narrow"/>
                <w:color w:val="4472C4" w:themeColor="accent1"/>
              </w:rPr>
              <w:t>-Human ECM component</w:t>
            </w:r>
          </w:p>
        </w:tc>
        <w:tc>
          <w:tcPr>
            <w:tcW w:w="5170" w:type="dxa"/>
          </w:tcPr>
          <w:p w14:paraId="56AB10B6" w14:textId="77777777" w:rsidR="007928D1" w:rsidRPr="0054039C" w:rsidRDefault="007928D1" w:rsidP="007928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4472C4" w:themeColor="accent1"/>
              </w:rPr>
            </w:pPr>
            <w:r>
              <w:rPr>
                <w:rFonts w:ascii="Arial Narrow" w:hAnsi="Arial Narrow"/>
                <w:color w:val="4472C4" w:themeColor="accent1"/>
              </w:rPr>
              <w:t>-</w:t>
            </w:r>
            <w:r w:rsidRPr="0054039C">
              <w:rPr>
                <w:rFonts w:ascii="Arial Narrow" w:hAnsi="Arial Narrow"/>
                <w:color w:val="4472C4" w:themeColor="accent1"/>
              </w:rPr>
              <w:t>Biodegradable,</w:t>
            </w:r>
          </w:p>
          <w:p w14:paraId="7BACF0B4" w14:textId="77777777" w:rsidR="007928D1" w:rsidRPr="0054039C" w:rsidRDefault="007928D1" w:rsidP="007928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4472C4" w:themeColor="accent1"/>
              </w:rPr>
            </w:pPr>
            <w:r>
              <w:rPr>
                <w:rFonts w:ascii="Arial Narrow" w:hAnsi="Arial Narrow"/>
                <w:color w:val="4472C4" w:themeColor="accent1"/>
              </w:rPr>
              <w:t>-</w:t>
            </w:r>
            <w:r w:rsidRPr="0054039C">
              <w:rPr>
                <w:rFonts w:ascii="Arial Narrow" w:hAnsi="Arial Narrow"/>
                <w:color w:val="4472C4" w:themeColor="accent1"/>
              </w:rPr>
              <w:t>Batch-to-batch variability,</w:t>
            </w:r>
          </w:p>
          <w:p w14:paraId="349B3163" w14:textId="77777777" w:rsidR="007928D1" w:rsidRDefault="007928D1" w:rsidP="007928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4472C4" w:themeColor="accent1"/>
              </w:rPr>
            </w:pPr>
            <w:r>
              <w:rPr>
                <w:rFonts w:ascii="Arial Narrow" w:hAnsi="Arial Narrow"/>
                <w:color w:val="4472C4" w:themeColor="accent1"/>
              </w:rPr>
              <w:t>-L</w:t>
            </w:r>
            <w:r w:rsidRPr="0054039C">
              <w:rPr>
                <w:rFonts w:ascii="Arial Narrow" w:hAnsi="Arial Narrow"/>
                <w:color w:val="4472C4" w:themeColor="accent1"/>
              </w:rPr>
              <w:t>imited mechanical properties</w:t>
            </w:r>
          </w:p>
          <w:p w14:paraId="40C27084" w14:textId="77777777" w:rsidR="007928D1" w:rsidRDefault="007928D1" w:rsidP="007928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4472C4" w:themeColor="accent1"/>
              </w:rPr>
            </w:pPr>
            <w:r>
              <w:rPr>
                <w:rFonts w:ascii="Arial Narrow" w:hAnsi="Arial Narrow"/>
                <w:color w:val="4472C4" w:themeColor="accent1"/>
              </w:rPr>
              <w:t>-Radical cross-linking via UV can have detrimental impact on cells.</w:t>
            </w:r>
          </w:p>
          <w:p w14:paraId="7E6351B7" w14:textId="77777777" w:rsidR="007928D1" w:rsidRPr="0054039C" w:rsidRDefault="007928D1" w:rsidP="007928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4472C4" w:themeColor="accent1"/>
              </w:rPr>
            </w:pPr>
            <w:r>
              <w:rPr>
                <w:rFonts w:ascii="Arial Narrow" w:hAnsi="Arial Narrow"/>
                <w:color w:val="4472C4" w:themeColor="accent1"/>
              </w:rPr>
              <w:t>-Short culture periods</w:t>
            </w:r>
          </w:p>
        </w:tc>
      </w:tr>
      <w:tr w:rsidR="007928D1" w:rsidRPr="005C5709" w14:paraId="51729C6F" w14:textId="77777777" w:rsidTr="007928D1">
        <w:trPr>
          <w:trHeight w:val="2807"/>
        </w:trPr>
        <w:tc>
          <w:tcPr>
            <w:cnfStyle w:val="001000000000" w:firstRow="0" w:lastRow="0" w:firstColumn="1" w:lastColumn="0" w:oddVBand="0" w:evenVBand="0" w:oddHBand="0" w:evenHBand="0" w:firstRowFirstColumn="0" w:firstRowLastColumn="0" w:lastRowFirstColumn="0" w:lastRowLastColumn="0"/>
            <w:tcW w:w="1201" w:type="dxa"/>
          </w:tcPr>
          <w:p w14:paraId="74613A71" w14:textId="77777777" w:rsidR="007928D1" w:rsidRPr="0054039C" w:rsidRDefault="007928D1" w:rsidP="007928D1">
            <w:pPr>
              <w:jc w:val="center"/>
              <w:rPr>
                <w:rFonts w:ascii="Arial Narrow" w:hAnsi="Arial Narrow"/>
                <w:b w:val="0"/>
                <w:bCs w:val="0"/>
                <w:color w:val="4472C4" w:themeColor="accent1"/>
              </w:rPr>
            </w:pPr>
            <w:r w:rsidRPr="0054039C">
              <w:rPr>
                <w:rFonts w:ascii="Arial Narrow" w:hAnsi="Arial Narrow"/>
                <w:b w:val="0"/>
                <w:bCs w:val="0"/>
                <w:color w:val="4472C4" w:themeColor="accent1"/>
              </w:rPr>
              <w:t>Synthetic scaffolds</w:t>
            </w:r>
          </w:p>
        </w:tc>
        <w:tc>
          <w:tcPr>
            <w:tcW w:w="3126" w:type="dxa"/>
          </w:tcPr>
          <w:p w14:paraId="510BFC3B" w14:textId="77777777" w:rsidR="007928D1" w:rsidRPr="0054039C" w:rsidRDefault="007928D1" w:rsidP="007928D1">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4472C4" w:themeColor="accent1"/>
              </w:rPr>
            </w:pPr>
            <w:r>
              <w:rPr>
                <w:rFonts w:ascii="Arial Narrow" w:hAnsi="Arial Narrow"/>
                <w:color w:val="4472C4" w:themeColor="accent1"/>
              </w:rPr>
              <w:t>-</w:t>
            </w:r>
            <w:r w:rsidRPr="0054039C">
              <w:rPr>
                <w:rFonts w:ascii="Arial Narrow" w:hAnsi="Arial Narrow"/>
                <w:color w:val="4472C4" w:themeColor="accent1"/>
              </w:rPr>
              <w:t>Defined chemical composition,</w:t>
            </w:r>
          </w:p>
          <w:p w14:paraId="53D854F3" w14:textId="77777777" w:rsidR="007928D1" w:rsidRPr="0054039C" w:rsidRDefault="007928D1" w:rsidP="007928D1">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4472C4" w:themeColor="accent1"/>
              </w:rPr>
            </w:pPr>
            <w:r>
              <w:rPr>
                <w:rFonts w:ascii="Arial Narrow" w:hAnsi="Arial Narrow"/>
                <w:color w:val="4472C4" w:themeColor="accent1"/>
              </w:rPr>
              <w:t>-</w:t>
            </w:r>
            <w:r w:rsidRPr="0054039C">
              <w:rPr>
                <w:rFonts w:ascii="Arial Narrow" w:hAnsi="Arial Narrow"/>
                <w:color w:val="4472C4" w:themeColor="accent1"/>
              </w:rPr>
              <w:t>Tuneable degradability,</w:t>
            </w:r>
          </w:p>
          <w:p w14:paraId="2D3FCF3C" w14:textId="77777777" w:rsidR="007928D1" w:rsidRPr="0054039C" w:rsidRDefault="007928D1" w:rsidP="007928D1">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4472C4" w:themeColor="accent1"/>
              </w:rPr>
            </w:pPr>
            <w:r>
              <w:rPr>
                <w:rFonts w:ascii="Arial Narrow" w:hAnsi="Arial Narrow"/>
                <w:color w:val="4472C4" w:themeColor="accent1"/>
              </w:rPr>
              <w:t>-</w:t>
            </w:r>
            <w:r w:rsidRPr="0054039C">
              <w:rPr>
                <w:rFonts w:ascii="Arial Narrow" w:hAnsi="Arial Narrow"/>
                <w:color w:val="4472C4" w:themeColor="accent1"/>
              </w:rPr>
              <w:t>Controllable,</w:t>
            </w:r>
          </w:p>
          <w:p w14:paraId="03FE0C4A" w14:textId="77777777" w:rsidR="007928D1" w:rsidRPr="0054039C" w:rsidRDefault="007928D1" w:rsidP="007928D1">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4472C4" w:themeColor="accent1"/>
              </w:rPr>
            </w:pPr>
            <w:r>
              <w:rPr>
                <w:rFonts w:ascii="Arial Narrow" w:hAnsi="Arial Narrow"/>
                <w:color w:val="4472C4" w:themeColor="accent1"/>
              </w:rPr>
              <w:t>-</w:t>
            </w:r>
            <w:r w:rsidRPr="0054039C">
              <w:rPr>
                <w:rFonts w:ascii="Arial Narrow" w:hAnsi="Arial Narrow"/>
                <w:color w:val="4472C4" w:themeColor="accent1"/>
              </w:rPr>
              <w:t>Reproducible</w:t>
            </w:r>
          </w:p>
          <w:p w14:paraId="442A1E0B" w14:textId="77777777" w:rsidR="007928D1" w:rsidRPr="0054039C" w:rsidRDefault="007928D1" w:rsidP="007928D1">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4472C4" w:themeColor="accent1"/>
              </w:rPr>
            </w:pPr>
            <w:r>
              <w:rPr>
                <w:rFonts w:ascii="Arial Narrow" w:hAnsi="Arial Narrow"/>
                <w:color w:val="4472C4" w:themeColor="accent1"/>
              </w:rPr>
              <w:t>-</w:t>
            </w:r>
            <w:r w:rsidRPr="0054039C">
              <w:rPr>
                <w:rFonts w:ascii="Arial Narrow" w:hAnsi="Arial Narrow"/>
                <w:color w:val="4472C4" w:themeColor="accent1"/>
              </w:rPr>
              <w:t xml:space="preserve">Commercialised solid scaffolds overcome the impracticalities and variation associated with user-prepared scaffold materials. </w:t>
            </w:r>
          </w:p>
          <w:p w14:paraId="1ECF5774" w14:textId="77777777" w:rsidR="007928D1" w:rsidRPr="0054039C" w:rsidRDefault="007928D1" w:rsidP="007928D1">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4472C4" w:themeColor="accent1"/>
              </w:rPr>
            </w:pPr>
            <w:r w:rsidRPr="0054039C">
              <w:rPr>
                <w:rFonts w:ascii="Arial Narrow" w:hAnsi="Arial Narrow"/>
                <w:color w:val="4472C4" w:themeColor="accent1"/>
              </w:rPr>
              <w:t xml:space="preserve">-Free of animal-based components, </w:t>
            </w:r>
          </w:p>
          <w:p w14:paraId="135AAD3F" w14:textId="77777777" w:rsidR="007928D1" w:rsidRPr="0054039C" w:rsidRDefault="007928D1" w:rsidP="007928D1">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4472C4" w:themeColor="accent1"/>
              </w:rPr>
            </w:pPr>
            <w:r w:rsidRPr="0054039C">
              <w:rPr>
                <w:rFonts w:ascii="Arial Narrow" w:hAnsi="Arial Narrow"/>
                <w:color w:val="4472C4" w:themeColor="accent1"/>
              </w:rPr>
              <w:t xml:space="preserve">-Sterile and ready to use, and - High quality control in manufacturing </w:t>
            </w:r>
          </w:p>
        </w:tc>
        <w:tc>
          <w:tcPr>
            <w:tcW w:w="5170" w:type="dxa"/>
          </w:tcPr>
          <w:p w14:paraId="18B514E5" w14:textId="77777777" w:rsidR="007928D1" w:rsidRDefault="007928D1" w:rsidP="007928D1">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4472C4" w:themeColor="accent1"/>
              </w:rPr>
            </w:pPr>
            <w:r w:rsidRPr="00010496">
              <w:rPr>
                <w:rFonts w:ascii="Arial Narrow" w:hAnsi="Arial Narrow"/>
                <w:color w:val="4472C4" w:themeColor="accent1"/>
              </w:rPr>
              <w:t>-Expensive compared to 2D</w:t>
            </w:r>
          </w:p>
          <w:p w14:paraId="75EF41D9" w14:textId="77777777" w:rsidR="007928D1" w:rsidRDefault="007928D1" w:rsidP="007928D1">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4472C4" w:themeColor="accent1"/>
              </w:rPr>
            </w:pPr>
            <w:r>
              <w:rPr>
                <w:rFonts w:ascii="Arial Narrow" w:hAnsi="Arial Narrow"/>
                <w:color w:val="4472C4" w:themeColor="accent1"/>
              </w:rPr>
              <w:t xml:space="preserve">-Degradation issues and leaching of chemical components </w:t>
            </w:r>
          </w:p>
          <w:p w14:paraId="76BE058F" w14:textId="77777777" w:rsidR="007928D1" w:rsidRDefault="007928D1" w:rsidP="007928D1">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4472C4" w:themeColor="accent1"/>
              </w:rPr>
            </w:pPr>
            <w:r>
              <w:rPr>
                <w:rFonts w:ascii="Arial Narrow" w:hAnsi="Arial Narrow"/>
                <w:color w:val="4472C4" w:themeColor="accent1"/>
              </w:rPr>
              <w:t>-Some components lack cell-anchorage molecules and require coating</w:t>
            </w:r>
          </w:p>
          <w:p w14:paraId="72E83628" w14:textId="77777777" w:rsidR="007928D1" w:rsidRPr="005C5709" w:rsidRDefault="007928D1" w:rsidP="007928D1">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595959" w:themeColor="text1" w:themeTint="A6"/>
              </w:rPr>
            </w:pPr>
            <w:r>
              <w:rPr>
                <w:rFonts w:ascii="Arial Narrow" w:hAnsi="Arial Narrow"/>
                <w:color w:val="4472C4" w:themeColor="accent1"/>
              </w:rPr>
              <w:t>-Biomechanical properties aren’t always physiological</w:t>
            </w:r>
          </w:p>
        </w:tc>
      </w:tr>
    </w:tbl>
    <w:p w14:paraId="593DA1F1" w14:textId="0D6AF88D" w:rsidR="00024426" w:rsidRPr="00B611AB" w:rsidRDefault="007928D1" w:rsidP="000F35E1">
      <w:pPr>
        <w:spacing w:line="480" w:lineRule="auto"/>
        <w:jc w:val="both"/>
        <w:rPr>
          <w:rFonts w:ascii="Arial" w:hAnsi="Arial" w:cs="Arial"/>
          <w:iCs/>
          <w:color w:val="595959" w:themeColor="text1" w:themeTint="A6"/>
        </w:rPr>
      </w:pPr>
      <w:r w:rsidRPr="00584854">
        <w:rPr>
          <w:rFonts w:ascii="Arial" w:hAnsi="Arial" w:cs="Arial"/>
          <w:iCs/>
          <w:noProof/>
          <w:color w:val="595959" w:themeColor="text1" w:themeTint="A6"/>
        </w:rPr>
        <mc:AlternateContent>
          <mc:Choice Requires="wps">
            <w:drawing>
              <wp:anchor distT="45720" distB="45720" distL="114300" distR="114300" simplePos="0" relativeHeight="251700491" behindDoc="0" locked="0" layoutInCell="1" allowOverlap="1" wp14:anchorId="1187FF38" wp14:editId="2956BB1F">
                <wp:simplePos x="0" y="0"/>
                <wp:positionH relativeFrom="column">
                  <wp:posOffset>527050</wp:posOffset>
                </wp:positionH>
                <wp:positionV relativeFrom="paragraph">
                  <wp:posOffset>8751033</wp:posOffset>
                </wp:positionV>
                <wp:extent cx="4334510" cy="254635"/>
                <wp:effectExtent l="0" t="0" r="8890" b="0"/>
                <wp:wrapNone/>
                <wp:docPr id="20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4510" cy="254635"/>
                        </a:xfrm>
                        <a:prstGeom prst="rect">
                          <a:avLst/>
                        </a:prstGeom>
                        <a:solidFill>
                          <a:srgbClr val="FFFFFF"/>
                        </a:solidFill>
                        <a:ln w="9525">
                          <a:noFill/>
                          <a:miter lim="800000"/>
                          <a:headEnd/>
                          <a:tailEnd/>
                        </a:ln>
                      </wps:spPr>
                      <wps:txbx>
                        <w:txbxContent>
                          <w:p w14:paraId="6BBE9196" w14:textId="77777777" w:rsidR="008A47AC" w:rsidRDefault="008A47AC" w:rsidP="007928D1">
                            <w:pPr>
                              <w:spacing w:line="360" w:lineRule="auto"/>
                              <w:jc w:val="both"/>
                              <w:rPr>
                                <w:rFonts w:ascii="Arial Narrow" w:hAnsi="Arial Narrow"/>
                                <w:color w:val="595959" w:themeColor="text1" w:themeTint="A6"/>
                              </w:rPr>
                            </w:pPr>
                            <w:r w:rsidRPr="006747ED">
                              <w:rPr>
                                <w:rFonts w:ascii="Arial Narrow" w:hAnsi="Arial Narrow"/>
                                <w:color w:val="595959" w:themeColor="text1" w:themeTint="A6"/>
                              </w:rPr>
                              <w:t>Table 1.</w:t>
                            </w:r>
                            <w:r>
                              <w:rPr>
                                <w:rFonts w:ascii="Arial Narrow" w:hAnsi="Arial Narrow"/>
                                <w:color w:val="595959" w:themeColor="text1" w:themeTint="A6"/>
                              </w:rPr>
                              <w:t>2</w:t>
                            </w:r>
                            <w:r w:rsidRPr="006747ED">
                              <w:rPr>
                                <w:rFonts w:ascii="Arial Narrow" w:hAnsi="Arial Narrow"/>
                                <w:color w:val="595959" w:themeColor="text1" w:themeTint="A6"/>
                              </w:rPr>
                              <w:t xml:space="preserve"> Advantages and disadvantages of </w:t>
                            </w:r>
                            <w:r w:rsidRPr="006747ED">
                              <w:rPr>
                                <w:rFonts w:ascii="Arial Narrow" w:hAnsi="Arial Narrow"/>
                                <w:i/>
                                <w:iCs/>
                                <w:color w:val="595959" w:themeColor="text1" w:themeTint="A6"/>
                              </w:rPr>
                              <w:t>in vitro</w:t>
                            </w:r>
                            <w:r w:rsidRPr="006747ED">
                              <w:rPr>
                                <w:rFonts w:ascii="Arial Narrow" w:hAnsi="Arial Narrow"/>
                                <w:color w:val="595959" w:themeColor="text1" w:themeTint="A6"/>
                              </w:rPr>
                              <w:t xml:space="preserve"> techniques </w:t>
                            </w:r>
                          </w:p>
                          <w:p w14:paraId="08E41B8F" w14:textId="77777777" w:rsidR="008A47AC" w:rsidRDefault="008A47AC" w:rsidP="007928D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87FF38" id="_x0000_s1034" type="#_x0000_t202" style="position:absolute;left:0;text-align:left;margin-left:41.5pt;margin-top:689.05pt;width:341.3pt;height:20.05pt;z-index:25170049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" stroked="f">
                <v:textbox>
                  <w:txbxContent>
                    <w:p w14:paraId="6BBE9196" w14:textId="77777777" w:rsidR="008A47AC" w:rsidRDefault="008A47AC" w:rsidP="007928D1">
                      <w:pPr>
                        <w:spacing w:line="360" w:lineRule="auto"/>
                        <w:jc w:val="both"/>
                        <w:rPr>
                          <w:rFonts w:ascii="Arial Narrow" w:hAnsi="Arial Narrow"/>
                          <w:color w:val="595959" w:themeColor="text1" w:themeTint="A6"/>
                        </w:rPr>
                      </w:pPr>
                      <w:r w:rsidRPr="006747ED">
                        <w:rPr>
                          <w:rFonts w:ascii="Arial Narrow" w:hAnsi="Arial Narrow"/>
                          <w:color w:val="595959" w:themeColor="text1" w:themeTint="A6"/>
                        </w:rPr>
                        <w:t>Table 1.</w:t>
                      </w:r>
                      <w:r>
                        <w:rPr>
                          <w:rFonts w:ascii="Arial Narrow" w:hAnsi="Arial Narrow"/>
                          <w:color w:val="595959" w:themeColor="text1" w:themeTint="A6"/>
                        </w:rPr>
                        <w:t>2</w:t>
                      </w:r>
                      <w:r w:rsidRPr="006747ED">
                        <w:rPr>
                          <w:rFonts w:ascii="Arial Narrow" w:hAnsi="Arial Narrow"/>
                          <w:color w:val="595959" w:themeColor="text1" w:themeTint="A6"/>
                        </w:rPr>
                        <w:t xml:space="preserve"> Advantages and disadvantages of </w:t>
                      </w:r>
                      <w:r w:rsidRPr="006747ED">
                        <w:rPr>
                          <w:rFonts w:ascii="Arial Narrow" w:hAnsi="Arial Narrow"/>
                          <w:i/>
                          <w:iCs/>
                          <w:color w:val="595959" w:themeColor="text1" w:themeTint="A6"/>
                        </w:rPr>
                        <w:t>in vitro</w:t>
                      </w:r>
                      <w:r w:rsidRPr="006747ED">
                        <w:rPr>
                          <w:rFonts w:ascii="Arial Narrow" w:hAnsi="Arial Narrow"/>
                          <w:color w:val="595959" w:themeColor="text1" w:themeTint="A6"/>
                        </w:rPr>
                        <w:t xml:space="preserve"> techniques </w:t>
                      </w:r>
                    </w:p>
                    <w:p w14:paraId="08E41B8F" w14:textId="77777777" w:rsidR="008A47AC" w:rsidRDefault="008A47AC" w:rsidP="007928D1"/>
                  </w:txbxContent>
                </v:textbox>
              </v:shape>
            </w:pict>
          </mc:Fallback>
        </mc:AlternateContent>
      </w:r>
      <w:r>
        <w:rPr>
          <w:rFonts w:ascii="Arial" w:hAnsi="Arial" w:cs="Arial"/>
          <w:iCs/>
          <w:color w:val="595959" w:themeColor="text1" w:themeTint="A6"/>
        </w:rPr>
        <w:t xml:space="preserve">of these skin models for </w:t>
      </w:r>
      <w:r w:rsidRPr="00B611AB">
        <w:rPr>
          <w:rFonts w:ascii="Arial" w:hAnsi="Arial" w:cs="Arial"/>
          <w:iCs/>
          <w:color w:val="595959" w:themeColor="text1" w:themeTint="A6"/>
        </w:rPr>
        <w:t>studying ‘ECM-tumour interactions’.</w:t>
      </w:r>
      <w:r w:rsidR="003A4693" w:rsidRPr="00B611AB">
        <w:rPr>
          <w:rFonts w:ascii="Arial" w:hAnsi="Arial" w:cs="Arial"/>
          <w:iCs/>
          <w:color w:val="595959" w:themeColor="text1" w:themeTint="A6"/>
        </w:rPr>
        <w:t xml:space="preserve"> </w:t>
      </w:r>
    </w:p>
    <w:p w14:paraId="54D8EA30" w14:textId="6F73D7BC" w:rsidR="007928D1" w:rsidRPr="004547EB" w:rsidRDefault="007928D1" w:rsidP="00762791">
      <w:pPr>
        <w:spacing w:line="360" w:lineRule="auto"/>
        <w:jc w:val="both"/>
        <w:rPr>
          <w:rFonts w:ascii="Arial" w:hAnsi="Arial" w:cs="Arial"/>
          <w:iCs/>
          <w:color w:val="595959" w:themeColor="text1" w:themeTint="A6"/>
        </w:rPr>
      </w:pPr>
      <w:r w:rsidRPr="004547EB">
        <w:rPr>
          <w:rFonts w:ascii="Arial" w:hAnsi="Arial" w:cs="Arial"/>
          <w:iCs/>
          <w:color w:val="595959" w:themeColor="text1" w:themeTint="A6"/>
        </w:rPr>
        <w:t xml:space="preserve">Table 1.2 </w:t>
      </w:r>
      <w:r w:rsidR="004547EB" w:rsidRPr="004547EB">
        <w:rPr>
          <w:rFonts w:ascii="Arial" w:hAnsi="Arial" w:cs="Arial"/>
          <w:iCs/>
          <w:color w:val="595959" w:themeColor="text1" w:themeTint="A6"/>
        </w:rPr>
        <w:t xml:space="preserve">Advantages and disadvantages of </w:t>
      </w:r>
      <w:r w:rsidR="004547EB" w:rsidRPr="004547EB">
        <w:rPr>
          <w:rFonts w:ascii="Arial" w:hAnsi="Arial" w:cs="Arial"/>
          <w:i/>
          <w:color w:val="595959" w:themeColor="text1" w:themeTint="A6"/>
        </w:rPr>
        <w:t xml:space="preserve">in vitro </w:t>
      </w:r>
      <w:r w:rsidR="004547EB" w:rsidRPr="004547EB">
        <w:rPr>
          <w:rFonts w:ascii="Arial" w:hAnsi="Arial" w:cs="Arial"/>
          <w:iCs/>
          <w:color w:val="595959" w:themeColor="text1" w:themeTint="A6"/>
        </w:rPr>
        <w:t xml:space="preserve">techniques </w:t>
      </w:r>
    </w:p>
    <w:p w14:paraId="44C56672" w14:textId="77777777" w:rsidR="007928D1" w:rsidRDefault="007928D1" w:rsidP="00762791">
      <w:pPr>
        <w:spacing w:line="360" w:lineRule="auto"/>
        <w:jc w:val="both"/>
        <w:rPr>
          <w:rFonts w:ascii="Arial" w:hAnsi="Arial" w:cs="Arial"/>
          <w:iCs/>
          <w:color w:val="FF0000"/>
        </w:rPr>
      </w:pPr>
    </w:p>
    <w:p w14:paraId="26278278" w14:textId="7EBB167A" w:rsidR="00BC1258" w:rsidRPr="00B611AB" w:rsidRDefault="00BC1258" w:rsidP="004616F3">
      <w:pPr>
        <w:pStyle w:val="Heading2"/>
        <w:numPr>
          <w:ilvl w:val="1"/>
          <w:numId w:val="4"/>
        </w:numPr>
        <w:rPr>
          <w:rFonts w:ascii="Arial" w:hAnsi="Arial" w:cs="Arial"/>
          <w:iCs/>
          <w:color w:val="595959" w:themeColor="text1" w:themeTint="A6"/>
        </w:rPr>
      </w:pPr>
      <w:bookmarkStart w:id="53" w:name="_Toc34208277"/>
      <w:r w:rsidRPr="00B611AB">
        <w:rPr>
          <w:rFonts w:ascii="Arial" w:hAnsi="Arial" w:cs="Arial"/>
          <w:iCs/>
          <w:color w:val="595959" w:themeColor="text1" w:themeTint="A6"/>
        </w:rPr>
        <w:lastRenderedPageBreak/>
        <w:t>Concluding remarks and study rationale</w:t>
      </w:r>
      <w:bookmarkEnd w:id="53"/>
    </w:p>
    <w:p w14:paraId="00A61688" w14:textId="77777777" w:rsidR="004616F3" w:rsidRPr="00B611AB" w:rsidRDefault="004616F3" w:rsidP="004616F3">
      <w:pPr>
        <w:pStyle w:val="ListParagraph"/>
        <w:ind w:left="600"/>
        <w:rPr>
          <w:color w:val="595959" w:themeColor="text1" w:themeTint="A6"/>
        </w:rPr>
      </w:pPr>
    </w:p>
    <w:p w14:paraId="238CADED" w14:textId="581F14F3" w:rsidR="00BC1258" w:rsidRPr="00B611AB" w:rsidRDefault="00BC1258" w:rsidP="00BC1258">
      <w:pPr>
        <w:spacing w:line="480" w:lineRule="auto"/>
        <w:jc w:val="both"/>
        <w:rPr>
          <w:rFonts w:ascii="Arial" w:hAnsi="Arial" w:cs="Arial"/>
          <w:iCs/>
          <w:color w:val="595959" w:themeColor="text1" w:themeTint="A6"/>
        </w:rPr>
      </w:pPr>
      <w:r w:rsidRPr="00B611AB">
        <w:rPr>
          <w:rFonts w:ascii="Arial" w:hAnsi="Arial" w:cs="Arial"/>
          <w:iCs/>
          <w:color w:val="595959" w:themeColor="text1" w:themeTint="A6"/>
        </w:rPr>
        <w:t xml:space="preserve">To summarise, CAF: stromal crosstalk is imperative in the onset and progression of epithelial cancers. In order to better comprehend this complex interaction, our culturing systems must continually improve in both design and understanding. Reviewing the pros and cons of many of these model systems and tissue-engineering techniques (summarised in table 1.2), our </w:t>
      </w:r>
      <w:r w:rsidR="007A0C52" w:rsidRPr="00B611AB">
        <w:rPr>
          <w:rFonts w:ascii="Arial" w:hAnsi="Arial" w:cs="Arial"/>
          <w:iCs/>
          <w:color w:val="595959" w:themeColor="text1" w:themeTint="A6"/>
        </w:rPr>
        <w:t xml:space="preserve">tissue-engineering </w:t>
      </w:r>
      <w:r w:rsidRPr="00B611AB">
        <w:rPr>
          <w:rFonts w:ascii="Arial" w:hAnsi="Arial" w:cs="Arial"/>
          <w:iCs/>
          <w:color w:val="595959" w:themeColor="text1" w:themeTint="A6"/>
        </w:rPr>
        <w:t xml:space="preserve">requirements </w:t>
      </w:r>
      <w:r w:rsidR="001B26C4" w:rsidRPr="00B611AB">
        <w:rPr>
          <w:rFonts w:ascii="Arial" w:hAnsi="Arial" w:cs="Arial"/>
          <w:iCs/>
          <w:color w:val="595959" w:themeColor="text1" w:themeTint="A6"/>
        </w:rPr>
        <w:t>w</w:t>
      </w:r>
      <w:r w:rsidR="00AC59C0" w:rsidRPr="00B611AB">
        <w:rPr>
          <w:rFonts w:ascii="Arial" w:hAnsi="Arial" w:cs="Arial"/>
          <w:iCs/>
          <w:color w:val="595959" w:themeColor="text1" w:themeTint="A6"/>
        </w:rPr>
        <w:t xml:space="preserve">ill be based on the generation of an </w:t>
      </w:r>
      <w:r w:rsidR="001B26C4" w:rsidRPr="00B611AB">
        <w:rPr>
          <w:rFonts w:ascii="Arial" w:hAnsi="Arial" w:cs="Arial"/>
          <w:iCs/>
          <w:color w:val="595959" w:themeColor="text1" w:themeTint="A6"/>
        </w:rPr>
        <w:t>oral</w:t>
      </w:r>
      <w:r w:rsidRPr="00B611AB">
        <w:rPr>
          <w:rFonts w:ascii="Arial" w:hAnsi="Arial" w:cs="Arial"/>
          <w:iCs/>
          <w:color w:val="595959" w:themeColor="text1" w:themeTint="A6"/>
        </w:rPr>
        <w:t>-fibroblast derived matrix model system that contain</w:t>
      </w:r>
      <w:r w:rsidR="00F468D2" w:rsidRPr="00B611AB">
        <w:rPr>
          <w:rFonts w:ascii="Arial" w:hAnsi="Arial" w:cs="Arial"/>
          <w:iCs/>
          <w:color w:val="595959" w:themeColor="text1" w:themeTint="A6"/>
        </w:rPr>
        <w:t>s</w:t>
      </w:r>
      <w:r w:rsidRPr="00B611AB">
        <w:rPr>
          <w:rFonts w:ascii="Arial" w:hAnsi="Arial" w:cs="Arial"/>
          <w:iCs/>
          <w:color w:val="595959" w:themeColor="text1" w:themeTint="A6"/>
        </w:rPr>
        <w:t xml:space="preserve"> </w:t>
      </w:r>
      <w:r w:rsidRPr="00B611AB">
        <w:rPr>
          <w:rFonts w:ascii="Arial" w:hAnsi="Arial" w:cs="Arial"/>
          <w:iCs/>
          <w:color w:val="595959" w:themeColor="text1" w:themeTint="A6"/>
          <w:u w:val="single"/>
        </w:rPr>
        <w:t>all human cells</w:t>
      </w:r>
      <w:r w:rsidRPr="00B611AB">
        <w:rPr>
          <w:rFonts w:ascii="Arial" w:hAnsi="Arial" w:cs="Arial"/>
          <w:iCs/>
          <w:color w:val="595959" w:themeColor="text1" w:themeTint="A6"/>
        </w:rPr>
        <w:t xml:space="preserve">. Although developed and characterised for skin, to date there are no published reports of an all human </w:t>
      </w:r>
      <w:r w:rsidR="00485D0E" w:rsidRPr="00B611AB">
        <w:rPr>
          <w:rFonts w:ascii="Arial" w:hAnsi="Arial" w:cs="Arial"/>
          <w:iCs/>
          <w:color w:val="595959" w:themeColor="text1" w:themeTint="A6"/>
        </w:rPr>
        <w:t xml:space="preserve">oral </w:t>
      </w:r>
      <w:r w:rsidRPr="00B611AB">
        <w:rPr>
          <w:rFonts w:ascii="Arial" w:hAnsi="Arial" w:cs="Arial"/>
          <w:iCs/>
          <w:color w:val="595959" w:themeColor="text1" w:themeTint="A6"/>
        </w:rPr>
        <w:t>FB-DM for generation of oral mucosa in either the study of structure and function in oral health or disease. Based on this gap in our understanding, we sort to generate a novel culture system</w:t>
      </w:r>
      <w:r w:rsidR="00787B21" w:rsidRPr="00B611AB">
        <w:rPr>
          <w:rFonts w:ascii="Arial" w:hAnsi="Arial" w:cs="Arial"/>
          <w:iCs/>
          <w:color w:val="595959" w:themeColor="text1" w:themeTint="A6"/>
        </w:rPr>
        <w:t xml:space="preserve"> to elucidate the contributions of oral CAF in the on-set and progression of pathogenic stroma in OSCC. </w:t>
      </w:r>
      <w:r w:rsidR="00FF216D" w:rsidRPr="00B611AB">
        <w:rPr>
          <w:rFonts w:ascii="Arial" w:hAnsi="Arial" w:cs="Arial"/>
          <w:iCs/>
          <w:color w:val="595959" w:themeColor="text1" w:themeTint="A6"/>
        </w:rPr>
        <w:t xml:space="preserve">The main advantages of this system </w:t>
      </w:r>
      <w:r w:rsidR="006A0526" w:rsidRPr="00B611AB">
        <w:rPr>
          <w:rFonts w:ascii="Arial" w:hAnsi="Arial" w:cs="Arial"/>
          <w:iCs/>
          <w:color w:val="595959" w:themeColor="text1" w:themeTint="A6"/>
        </w:rPr>
        <w:t>are</w:t>
      </w:r>
      <w:r w:rsidR="007C6BFA" w:rsidRPr="00B611AB">
        <w:rPr>
          <w:rFonts w:ascii="Arial" w:hAnsi="Arial" w:cs="Arial"/>
          <w:iCs/>
          <w:color w:val="595959" w:themeColor="text1" w:themeTint="A6"/>
        </w:rPr>
        <w:t xml:space="preserve"> that we can </w:t>
      </w:r>
      <w:r w:rsidR="00FF216D" w:rsidRPr="00B611AB">
        <w:rPr>
          <w:rFonts w:ascii="Arial" w:hAnsi="Arial" w:cs="Arial"/>
          <w:iCs/>
          <w:color w:val="595959" w:themeColor="text1" w:themeTint="A6"/>
        </w:rPr>
        <w:t xml:space="preserve">assess the native ECM production, understand whether oral fibroblasts vary in phenotype in OSCC, as well as improve the long-term culture </w:t>
      </w:r>
      <w:r w:rsidR="004B127D" w:rsidRPr="00B611AB">
        <w:rPr>
          <w:rFonts w:ascii="Arial" w:hAnsi="Arial" w:cs="Arial"/>
          <w:iCs/>
          <w:color w:val="595959" w:themeColor="text1" w:themeTint="A6"/>
        </w:rPr>
        <w:t xml:space="preserve">capabilities of these </w:t>
      </w:r>
      <w:r w:rsidR="00FF216D" w:rsidRPr="00B611AB">
        <w:rPr>
          <w:rFonts w:ascii="Arial" w:hAnsi="Arial" w:cs="Arial"/>
          <w:iCs/>
          <w:color w:val="595959" w:themeColor="text1" w:themeTint="A6"/>
        </w:rPr>
        <w:t xml:space="preserve">models </w:t>
      </w:r>
      <w:r w:rsidR="00C55738" w:rsidRPr="00B611AB">
        <w:rPr>
          <w:rFonts w:ascii="Arial" w:hAnsi="Arial" w:cs="Arial"/>
          <w:iCs/>
          <w:color w:val="595959" w:themeColor="text1" w:themeTint="A6"/>
        </w:rPr>
        <w:t xml:space="preserve">thereby, </w:t>
      </w:r>
      <w:r w:rsidR="00FF216D" w:rsidRPr="00B611AB">
        <w:rPr>
          <w:rFonts w:ascii="Arial" w:hAnsi="Arial" w:cs="Arial"/>
          <w:iCs/>
          <w:color w:val="595959" w:themeColor="text1" w:themeTint="A6"/>
        </w:rPr>
        <w:t>improv</w:t>
      </w:r>
      <w:r w:rsidR="00C55738" w:rsidRPr="00B611AB">
        <w:rPr>
          <w:rFonts w:ascii="Arial" w:hAnsi="Arial" w:cs="Arial"/>
          <w:iCs/>
          <w:color w:val="595959" w:themeColor="text1" w:themeTint="A6"/>
        </w:rPr>
        <w:t xml:space="preserve">ing </w:t>
      </w:r>
      <w:r w:rsidR="00FF216D" w:rsidRPr="00B611AB">
        <w:rPr>
          <w:rFonts w:ascii="Arial" w:hAnsi="Arial" w:cs="Arial"/>
          <w:iCs/>
          <w:color w:val="595959" w:themeColor="text1" w:themeTint="A6"/>
        </w:rPr>
        <w:t>the physiological relevance.</w:t>
      </w:r>
      <w:r w:rsidR="006A0526" w:rsidRPr="00B611AB">
        <w:rPr>
          <w:rFonts w:ascii="Arial" w:hAnsi="Arial" w:cs="Arial"/>
          <w:iCs/>
          <w:color w:val="595959" w:themeColor="text1" w:themeTint="A6"/>
        </w:rPr>
        <w:t xml:space="preserve"> </w:t>
      </w:r>
      <w:r w:rsidRPr="00B611AB">
        <w:rPr>
          <w:rFonts w:ascii="Arial" w:hAnsi="Arial" w:cs="Arial"/>
          <w:iCs/>
          <w:color w:val="595959" w:themeColor="text1" w:themeTint="A6"/>
        </w:rPr>
        <w:t>To account for the fact cancer progression is a dynamic multi-step process, tissue-engineering mucosa models from various stages of the OSCC disease process, would provide novel information on the influences of pathogenic stroma as the result of CAF-deposited ECM. A further requirement would be the that these model systems can be maintained long-term which further attests to their suitability as a model system, in particular to observing progressive changes in tissue functionality in OSCC.</w:t>
      </w:r>
    </w:p>
    <w:p w14:paraId="7DD7F3BB" w14:textId="60AE5740" w:rsidR="00BC1258" w:rsidRDefault="00BC1258" w:rsidP="00BC1258">
      <w:pPr>
        <w:spacing w:line="480" w:lineRule="auto"/>
        <w:jc w:val="both"/>
        <w:rPr>
          <w:rFonts w:ascii="Arial" w:hAnsi="Arial" w:cs="Arial"/>
          <w:iCs/>
          <w:color w:val="FF0000"/>
        </w:rPr>
      </w:pPr>
    </w:p>
    <w:p w14:paraId="0A412E19" w14:textId="1208A21E" w:rsidR="00395CCE" w:rsidRDefault="00395CCE" w:rsidP="00114476">
      <w:pPr>
        <w:pStyle w:val="Title"/>
        <w:outlineLvl w:val="1"/>
        <w:rPr>
          <w:rFonts w:ascii="Arial" w:hAnsi="Arial" w:cs="Arial"/>
          <w:color w:val="5B9BD5" w:themeColor="accent5"/>
          <w:sz w:val="24"/>
          <w:szCs w:val="24"/>
        </w:rPr>
      </w:pPr>
    </w:p>
    <w:p w14:paraId="70402360" w14:textId="679A08D7" w:rsidR="00584854" w:rsidRDefault="00584854" w:rsidP="00584854"/>
    <w:p w14:paraId="1B5220C3" w14:textId="38BF8799" w:rsidR="00584854" w:rsidRDefault="00584854" w:rsidP="00584854"/>
    <w:p w14:paraId="26C1B93F" w14:textId="70EC765B" w:rsidR="00584854" w:rsidRDefault="00584854" w:rsidP="00584854"/>
    <w:p w14:paraId="3A858469" w14:textId="77777777" w:rsidR="00584854" w:rsidRPr="00584854" w:rsidRDefault="00584854" w:rsidP="00584854"/>
    <w:p w14:paraId="499243C5" w14:textId="77777777" w:rsidR="00584854" w:rsidRPr="00584854" w:rsidRDefault="00584854" w:rsidP="00584854"/>
    <w:p w14:paraId="228AD5E2" w14:textId="74FF5EDF" w:rsidR="001159F7" w:rsidRPr="00E46628" w:rsidRDefault="003A4693" w:rsidP="008A47AC">
      <w:pPr>
        <w:pStyle w:val="Title"/>
        <w:outlineLvl w:val="2"/>
        <w:rPr>
          <w:rFonts w:ascii="Arial" w:hAnsi="Arial" w:cs="Arial"/>
          <w:color w:val="5B9BD5" w:themeColor="accent5"/>
          <w:sz w:val="24"/>
          <w:szCs w:val="24"/>
        </w:rPr>
      </w:pPr>
      <w:bookmarkStart w:id="54" w:name="_Toc34208278"/>
      <w:r>
        <w:rPr>
          <w:rFonts w:ascii="Arial" w:hAnsi="Arial" w:cs="Arial"/>
          <w:color w:val="5B9BD5" w:themeColor="accent5"/>
          <w:sz w:val="24"/>
          <w:szCs w:val="24"/>
        </w:rPr>
        <w:lastRenderedPageBreak/>
        <w:t>1.5</w:t>
      </w:r>
      <w:r w:rsidR="004616F3">
        <w:rPr>
          <w:rFonts w:ascii="Arial" w:hAnsi="Arial" w:cs="Arial"/>
          <w:color w:val="5B9BD5" w:themeColor="accent5"/>
          <w:sz w:val="24"/>
          <w:szCs w:val="24"/>
        </w:rPr>
        <w:t>.1</w:t>
      </w:r>
      <w:r>
        <w:rPr>
          <w:rFonts w:ascii="Arial" w:hAnsi="Arial" w:cs="Arial"/>
          <w:color w:val="5B9BD5" w:themeColor="accent5"/>
          <w:sz w:val="24"/>
          <w:szCs w:val="24"/>
        </w:rPr>
        <w:t xml:space="preserve"> Hypothesi</w:t>
      </w:r>
      <w:r w:rsidR="00E46628" w:rsidRPr="00E46628">
        <w:rPr>
          <w:rFonts w:ascii="Arial" w:hAnsi="Arial" w:cs="Arial"/>
          <w:color w:val="5B9BD5" w:themeColor="accent5"/>
          <w:sz w:val="24"/>
          <w:szCs w:val="24"/>
        </w:rPr>
        <w:t>s</w:t>
      </w:r>
      <w:bookmarkEnd w:id="54"/>
      <w:r w:rsidR="00E46628" w:rsidRPr="00E46628">
        <w:rPr>
          <w:rFonts w:ascii="Arial" w:hAnsi="Arial" w:cs="Arial"/>
          <w:color w:val="5B9BD5" w:themeColor="accent5"/>
          <w:sz w:val="24"/>
          <w:szCs w:val="24"/>
        </w:rPr>
        <w:t xml:space="preserve"> </w:t>
      </w:r>
    </w:p>
    <w:p w14:paraId="21A69228" w14:textId="77777777" w:rsidR="006D1890" w:rsidRDefault="006D1890" w:rsidP="00253AF3">
      <w:pPr>
        <w:spacing w:line="480" w:lineRule="auto"/>
        <w:jc w:val="both"/>
        <w:rPr>
          <w:rFonts w:ascii="Arial" w:hAnsi="Arial" w:cs="Arial"/>
          <w:color w:val="595959" w:themeColor="text1" w:themeTint="A6"/>
          <w:sz w:val="24"/>
          <w:szCs w:val="24"/>
          <w:u w:val="single"/>
        </w:rPr>
      </w:pPr>
    </w:p>
    <w:p w14:paraId="0EDDAD89" w14:textId="07A4AEE0" w:rsidR="00472C69" w:rsidRDefault="00DC541C" w:rsidP="00253AF3">
      <w:pPr>
        <w:spacing w:line="480" w:lineRule="auto"/>
        <w:jc w:val="both"/>
        <w:rPr>
          <w:rFonts w:ascii="Arial" w:hAnsi="Arial" w:cs="Arial"/>
          <w:color w:val="595959" w:themeColor="text1" w:themeTint="A6"/>
          <w:szCs w:val="24"/>
        </w:rPr>
      </w:pPr>
      <w:r>
        <w:rPr>
          <w:rFonts w:ascii="Arial" w:hAnsi="Arial" w:cs="Arial"/>
          <w:i/>
          <w:iCs/>
          <w:color w:val="595959" w:themeColor="text1" w:themeTint="A6"/>
          <w:szCs w:val="24"/>
        </w:rPr>
        <w:t>I</w:t>
      </w:r>
      <w:r w:rsidR="009D0EB6" w:rsidRPr="00472C69">
        <w:rPr>
          <w:rFonts w:ascii="Arial" w:hAnsi="Arial" w:cs="Arial"/>
          <w:i/>
          <w:iCs/>
          <w:color w:val="595959" w:themeColor="text1" w:themeTint="A6"/>
          <w:szCs w:val="24"/>
        </w:rPr>
        <w:t>n vitro</w:t>
      </w:r>
      <w:r w:rsidR="009D0EB6">
        <w:rPr>
          <w:rFonts w:ascii="Arial" w:hAnsi="Arial" w:cs="Arial"/>
          <w:color w:val="595959" w:themeColor="text1" w:themeTint="A6"/>
          <w:szCs w:val="24"/>
        </w:rPr>
        <w:t xml:space="preserve"> </w:t>
      </w:r>
      <w:r w:rsidR="00472C69">
        <w:rPr>
          <w:rFonts w:ascii="Arial" w:hAnsi="Arial" w:cs="Arial"/>
          <w:color w:val="595959" w:themeColor="text1" w:themeTint="A6"/>
          <w:szCs w:val="24"/>
        </w:rPr>
        <w:t>fi</w:t>
      </w:r>
      <w:r w:rsidR="001159F7" w:rsidRPr="00B2547F">
        <w:rPr>
          <w:rFonts w:ascii="Arial" w:hAnsi="Arial" w:cs="Arial"/>
          <w:color w:val="595959" w:themeColor="text1" w:themeTint="A6"/>
          <w:szCs w:val="24"/>
        </w:rPr>
        <w:t xml:space="preserve">broblast-derived matrices </w:t>
      </w:r>
      <w:r>
        <w:rPr>
          <w:rFonts w:ascii="Arial" w:hAnsi="Arial" w:cs="Arial"/>
          <w:color w:val="595959" w:themeColor="text1" w:themeTint="A6"/>
          <w:szCs w:val="24"/>
        </w:rPr>
        <w:t>that can be cultured long-term and generate</w:t>
      </w:r>
      <w:r w:rsidR="00DD28AB">
        <w:rPr>
          <w:rFonts w:ascii="Arial" w:hAnsi="Arial" w:cs="Arial"/>
          <w:color w:val="595959" w:themeColor="text1" w:themeTint="A6"/>
          <w:szCs w:val="24"/>
        </w:rPr>
        <w:t>d</w:t>
      </w:r>
      <w:r w:rsidR="00472C69">
        <w:rPr>
          <w:rFonts w:ascii="Arial" w:hAnsi="Arial" w:cs="Arial"/>
          <w:color w:val="595959" w:themeColor="text1" w:themeTint="A6"/>
          <w:szCs w:val="24"/>
        </w:rPr>
        <w:t xml:space="preserve"> from primary </w:t>
      </w:r>
      <w:r w:rsidR="00EB6A4A">
        <w:rPr>
          <w:rFonts w:ascii="Arial" w:hAnsi="Arial" w:cs="Arial"/>
          <w:color w:val="595959" w:themeColor="text1" w:themeTint="A6"/>
          <w:szCs w:val="24"/>
        </w:rPr>
        <w:t>normal oral fibroblast (</w:t>
      </w:r>
      <w:r w:rsidR="00472C69">
        <w:rPr>
          <w:rFonts w:ascii="Arial" w:hAnsi="Arial" w:cs="Arial"/>
          <w:color w:val="595959" w:themeColor="text1" w:themeTint="A6"/>
          <w:szCs w:val="24"/>
        </w:rPr>
        <w:t>NOF</w:t>
      </w:r>
      <w:r w:rsidR="00EB6A4A">
        <w:rPr>
          <w:rFonts w:ascii="Arial" w:hAnsi="Arial" w:cs="Arial"/>
          <w:color w:val="595959" w:themeColor="text1" w:themeTint="A6"/>
          <w:szCs w:val="24"/>
        </w:rPr>
        <w:t>)</w:t>
      </w:r>
      <w:r w:rsidR="00472C69">
        <w:rPr>
          <w:rFonts w:ascii="Arial" w:hAnsi="Arial" w:cs="Arial"/>
          <w:color w:val="595959" w:themeColor="text1" w:themeTint="A6"/>
          <w:szCs w:val="24"/>
        </w:rPr>
        <w:t xml:space="preserve"> and </w:t>
      </w:r>
      <w:r w:rsidR="00407A7C">
        <w:rPr>
          <w:rFonts w:ascii="Arial" w:hAnsi="Arial" w:cs="Arial"/>
          <w:color w:val="595959" w:themeColor="text1" w:themeTint="A6"/>
          <w:szCs w:val="24"/>
        </w:rPr>
        <w:t xml:space="preserve">oral-derived </w:t>
      </w:r>
      <w:r w:rsidR="00EB6A4A">
        <w:rPr>
          <w:rFonts w:ascii="Arial" w:hAnsi="Arial" w:cs="Arial"/>
          <w:color w:val="595959" w:themeColor="text1" w:themeTint="A6"/>
          <w:szCs w:val="24"/>
        </w:rPr>
        <w:t>cancer associated fibroblast (</w:t>
      </w:r>
      <w:r w:rsidR="00472C69">
        <w:rPr>
          <w:rFonts w:ascii="Arial" w:hAnsi="Arial" w:cs="Arial"/>
          <w:color w:val="595959" w:themeColor="text1" w:themeTint="A6"/>
          <w:szCs w:val="24"/>
        </w:rPr>
        <w:t>CAF</w:t>
      </w:r>
      <w:r w:rsidR="00EB6A4A">
        <w:rPr>
          <w:rFonts w:ascii="Arial" w:hAnsi="Arial" w:cs="Arial"/>
          <w:color w:val="595959" w:themeColor="text1" w:themeTint="A6"/>
          <w:szCs w:val="24"/>
        </w:rPr>
        <w:t>)</w:t>
      </w:r>
      <w:r w:rsidR="00172645">
        <w:rPr>
          <w:rFonts w:ascii="Arial" w:hAnsi="Arial" w:cs="Arial"/>
          <w:color w:val="595959" w:themeColor="text1" w:themeTint="A6"/>
          <w:szCs w:val="24"/>
        </w:rPr>
        <w:t>,</w:t>
      </w:r>
      <w:r w:rsidR="00472C69">
        <w:rPr>
          <w:rFonts w:ascii="Arial" w:hAnsi="Arial" w:cs="Arial"/>
          <w:color w:val="595959" w:themeColor="text1" w:themeTint="A6"/>
          <w:szCs w:val="24"/>
        </w:rPr>
        <w:t xml:space="preserve"> </w:t>
      </w:r>
      <w:r w:rsidR="00253AF3">
        <w:rPr>
          <w:rFonts w:ascii="Arial" w:hAnsi="Arial" w:cs="Arial"/>
          <w:color w:val="595959" w:themeColor="text1" w:themeTint="A6"/>
          <w:szCs w:val="24"/>
        </w:rPr>
        <w:t xml:space="preserve">can be used </w:t>
      </w:r>
      <w:r w:rsidR="00172645">
        <w:rPr>
          <w:rFonts w:ascii="Arial" w:hAnsi="Arial" w:cs="Arial"/>
          <w:color w:val="595959" w:themeColor="text1" w:themeTint="A6"/>
          <w:szCs w:val="24"/>
        </w:rPr>
        <w:t xml:space="preserve">as </w:t>
      </w:r>
      <w:r w:rsidR="00253AF3">
        <w:rPr>
          <w:rFonts w:ascii="Arial" w:hAnsi="Arial" w:cs="Arial"/>
          <w:color w:val="595959" w:themeColor="text1" w:themeTint="A6"/>
          <w:szCs w:val="24"/>
        </w:rPr>
        <w:t>physiological</w:t>
      </w:r>
      <w:r w:rsidR="00AD081A">
        <w:rPr>
          <w:rFonts w:ascii="Arial" w:hAnsi="Arial" w:cs="Arial"/>
          <w:color w:val="595959" w:themeColor="text1" w:themeTint="A6"/>
          <w:szCs w:val="24"/>
        </w:rPr>
        <w:t>ly relevant</w:t>
      </w:r>
      <w:r w:rsidR="00253AF3">
        <w:rPr>
          <w:rFonts w:ascii="Arial" w:hAnsi="Arial" w:cs="Arial"/>
          <w:color w:val="595959" w:themeColor="text1" w:themeTint="A6"/>
          <w:szCs w:val="24"/>
        </w:rPr>
        <w:t xml:space="preserve"> tissue-engineered models </w:t>
      </w:r>
      <w:r w:rsidR="006D7B72">
        <w:rPr>
          <w:rFonts w:ascii="Arial" w:hAnsi="Arial" w:cs="Arial"/>
          <w:color w:val="595959" w:themeColor="text1" w:themeTint="A6"/>
          <w:szCs w:val="24"/>
        </w:rPr>
        <w:t>mimicking</w:t>
      </w:r>
      <w:r w:rsidR="00E275ED">
        <w:rPr>
          <w:rFonts w:ascii="Arial" w:hAnsi="Arial" w:cs="Arial"/>
          <w:color w:val="595959" w:themeColor="text1" w:themeTint="A6"/>
          <w:szCs w:val="24"/>
        </w:rPr>
        <w:t xml:space="preserve"> </w:t>
      </w:r>
      <w:r w:rsidR="00253AF3">
        <w:rPr>
          <w:rFonts w:ascii="Arial" w:hAnsi="Arial" w:cs="Arial"/>
          <w:color w:val="595959" w:themeColor="text1" w:themeTint="A6"/>
          <w:szCs w:val="24"/>
        </w:rPr>
        <w:t xml:space="preserve">changes in </w:t>
      </w:r>
      <w:r w:rsidR="00E275ED">
        <w:rPr>
          <w:rFonts w:ascii="Arial" w:hAnsi="Arial" w:cs="Arial"/>
          <w:color w:val="595959" w:themeColor="text1" w:themeTint="A6"/>
          <w:szCs w:val="24"/>
        </w:rPr>
        <w:t>ECM</w:t>
      </w:r>
      <w:r w:rsidR="00253AF3">
        <w:rPr>
          <w:rFonts w:ascii="Arial" w:hAnsi="Arial" w:cs="Arial"/>
          <w:color w:val="595959" w:themeColor="text1" w:themeTint="A6"/>
          <w:szCs w:val="24"/>
        </w:rPr>
        <w:t xml:space="preserve"> i</w:t>
      </w:r>
      <w:r w:rsidR="009D0EB6">
        <w:rPr>
          <w:rFonts w:ascii="Arial" w:hAnsi="Arial" w:cs="Arial"/>
          <w:color w:val="595959" w:themeColor="text1" w:themeTint="A6"/>
          <w:szCs w:val="24"/>
        </w:rPr>
        <w:t xml:space="preserve">n </w:t>
      </w:r>
      <w:r w:rsidR="00B202EB">
        <w:rPr>
          <w:rFonts w:ascii="Arial" w:hAnsi="Arial" w:cs="Arial"/>
          <w:color w:val="595959" w:themeColor="text1" w:themeTint="A6"/>
          <w:szCs w:val="24"/>
        </w:rPr>
        <w:t xml:space="preserve">OSCC </w:t>
      </w:r>
      <w:r w:rsidR="00253AF3">
        <w:rPr>
          <w:rFonts w:ascii="Arial" w:hAnsi="Arial" w:cs="Arial"/>
          <w:color w:val="595959" w:themeColor="text1" w:themeTint="A6"/>
          <w:szCs w:val="24"/>
        </w:rPr>
        <w:t xml:space="preserve">progression. </w:t>
      </w:r>
    </w:p>
    <w:p w14:paraId="24CA885B" w14:textId="77777777" w:rsidR="00E46628" w:rsidRDefault="00E46628" w:rsidP="00E46628">
      <w:pPr>
        <w:spacing w:line="360" w:lineRule="auto"/>
        <w:jc w:val="both"/>
        <w:rPr>
          <w:rFonts w:ascii="Arial" w:hAnsi="Arial" w:cs="Arial"/>
          <w:color w:val="5B9BD5" w:themeColor="accent5"/>
          <w:sz w:val="24"/>
        </w:rPr>
      </w:pPr>
    </w:p>
    <w:p w14:paraId="3577E500" w14:textId="7DA52D61" w:rsidR="0051776F" w:rsidRPr="00E46628" w:rsidRDefault="008A47AC" w:rsidP="008A47AC">
      <w:pPr>
        <w:pStyle w:val="Heading3"/>
        <w:rPr>
          <w:rFonts w:ascii="Arial" w:hAnsi="Arial" w:cs="Arial"/>
          <w:color w:val="5B9BD5" w:themeColor="accent5"/>
        </w:rPr>
      </w:pPr>
      <w:bookmarkStart w:id="55" w:name="_Toc34208279"/>
      <w:r>
        <w:rPr>
          <w:rFonts w:ascii="Arial" w:hAnsi="Arial" w:cs="Arial"/>
          <w:color w:val="5B9BD5" w:themeColor="accent5"/>
        </w:rPr>
        <w:t xml:space="preserve">1.5.2 </w:t>
      </w:r>
      <w:r w:rsidR="001159F7" w:rsidRPr="00E46628">
        <w:rPr>
          <w:rFonts w:ascii="Arial" w:hAnsi="Arial" w:cs="Arial"/>
          <w:color w:val="5B9BD5" w:themeColor="accent5"/>
        </w:rPr>
        <w:t>Aims and objectives</w:t>
      </w:r>
      <w:bookmarkEnd w:id="55"/>
    </w:p>
    <w:p w14:paraId="66BD9286" w14:textId="77777777" w:rsidR="001159F7" w:rsidRPr="001159F7" w:rsidRDefault="001159F7" w:rsidP="001159F7">
      <w:pPr>
        <w:pStyle w:val="ListParagraph"/>
        <w:ind w:left="0"/>
      </w:pPr>
    </w:p>
    <w:p w14:paraId="34F74371" w14:textId="66C66788" w:rsidR="00253AF3" w:rsidRPr="000D0E8D" w:rsidRDefault="00AF1911" w:rsidP="000D0E8D">
      <w:pPr>
        <w:spacing w:line="480" w:lineRule="auto"/>
        <w:jc w:val="both"/>
        <w:rPr>
          <w:rFonts w:ascii="Arial" w:hAnsi="Arial" w:cs="Arial"/>
          <w:color w:val="595959" w:themeColor="text1" w:themeTint="A6"/>
          <w:szCs w:val="24"/>
        </w:rPr>
      </w:pPr>
      <w:r w:rsidRPr="000D0E8D">
        <w:rPr>
          <w:rFonts w:ascii="Arial" w:hAnsi="Arial" w:cs="Arial"/>
          <w:color w:val="595959" w:themeColor="text1" w:themeTint="A6"/>
          <w:szCs w:val="24"/>
        </w:rPr>
        <w:t>The first results chapter will discuss</w:t>
      </w:r>
      <w:r w:rsidR="000D0E8D" w:rsidRPr="000D0E8D">
        <w:rPr>
          <w:rFonts w:ascii="Arial" w:hAnsi="Arial" w:cs="Arial"/>
          <w:color w:val="595959" w:themeColor="text1" w:themeTint="A6"/>
          <w:szCs w:val="24"/>
        </w:rPr>
        <w:t xml:space="preserve"> t</w:t>
      </w:r>
      <w:r w:rsidR="0051776F" w:rsidRPr="000D0E8D">
        <w:rPr>
          <w:rFonts w:ascii="Arial" w:hAnsi="Arial" w:cs="Arial"/>
          <w:color w:val="595959" w:themeColor="text1" w:themeTint="A6"/>
          <w:szCs w:val="24"/>
        </w:rPr>
        <w:t>he phenotypic response</w:t>
      </w:r>
      <w:r w:rsidR="00EC33FC" w:rsidRPr="000D0E8D">
        <w:rPr>
          <w:rFonts w:ascii="Arial" w:hAnsi="Arial" w:cs="Arial"/>
          <w:color w:val="595959" w:themeColor="text1" w:themeTint="A6"/>
          <w:szCs w:val="24"/>
        </w:rPr>
        <w:t>s</w:t>
      </w:r>
      <w:r w:rsidR="0051776F" w:rsidRPr="000D0E8D">
        <w:rPr>
          <w:rFonts w:ascii="Arial" w:hAnsi="Arial" w:cs="Arial"/>
          <w:color w:val="595959" w:themeColor="text1" w:themeTint="A6"/>
          <w:szCs w:val="24"/>
        </w:rPr>
        <w:t xml:space="preserve"> of </w:t>
      </w:r>
      <w:r w:rsidR="00253AF3" w:rsidRPr="000D0E8D">
        <w:rPr>
          <w:rFonts w:ascii="Arial" w:hAnsi="Arial" w:cs="Arial"/>
          <w:color w:val="595959" w:themeColor="text1" w:themeTint="A6"/>
          <w:szCs w:val="24"/>
        </w:rPr>
        <w:t xml:space="preserve">primary </w:t>
      </w:r>
      <w:r w:rsidR="0051776F" w:rsidRPr="000D0E8D">
        <w:rPr>
          <w:rFonts w:ascii="Arial" w:hAnsi="Arial" w:cs="Arial"/>
          <w:color w:val="595959" w:themeColor="text1" w:themeTint="A6"/>
          <w:szCs w:val="24"/>
        </w:rPr>
        <w:t xml:space="preserve">NOF and CAF </w:t>
      </w:r>
      <w:r w:rsidR="00EC33FC" w:rsidRPr="000D0E8D">
        <w:rPr>
          <w:rFonts w:ascii="Arial" w:hAnsi="Arial" w:cs="Arial"/>
          <w:color w:val="595959" w:themeColor="text1" w:themeTint="A6"/>
          <w:szCs w:val="24"/>
        </w:rPr>
        <w:t>w</w:t>
      </w:r>
      <w:r w:rsidR="00A95FC6" w:rsidRPr="000D0E8D">
        <w:rPr>
          <w:rFonts w:ascii="Arial" w:hAnsi="Arial" w:cs="Arial"/>
          <w:color w:val="595959" w:themeColor="text1" w:themeTint="A6"/>
          <w:szCs w:val="24"/>
        </w:rPr>
        <w:t>ill be</w:t>
      </w:r>
      <w:r w:rsidR="00EC33FC" w:rsidRPr="000D0E8D">
        <w:rPr>
          <w:rFonts w:ascii="Arial" w:hAnsi="Arial" w:cs="Arial"/>
          <w:color w:val="595959" w:themeColor="text1" w:themeTint="A6"/>
          <w:szCs w:val="24"/>
        </w:rPr>
        <w:t xml:space="preserve"> assessed </w:t>
      </w:r>
      <w:r w:rsidR="00253AF3" w:rsidRPr="000D0E8D">
        <w:rPr>
          <w:rFonts w:ascii="Arial" w:hAnsi="Arial" w:cs="Arial"/>
          <w:color w:val="595959" w:themeColor="text1" w:themeTint="A6"/>
          <w:szCs w:val="24"/>
        </w:rPr>
        <w:t xml:space="preserve">at the gene and protein level </w:t>
      </w:r>
      <w:r w:rsidR="00EC33FC" w:rsidRPr="000D0E8D">
        <w:rPr>
          <w:rFonts w:ascii="Arial" w:hAnsi="Arial" w:cs="Arial"/>
          <w:color w:val="595959" w:themeColor="text1" w:themeTint="A6"/>
          <w:szCs w:val="24"/>
        </w:rPr>
        <w:t xml:space="preserve">in response to </w:t>
      </w:r>
      <w:r w:rsidR="0051776F" w:rsidRPr="000D0E8D">
        <w:rPr>
          <w:rFonts w:ascii="Arial" w:hAnsi="Arial" w:cs="Arial"/>
          <w:color w:val="595959" w:themeColor="text1" w:themeTint="A6"/>
          <w:szCs w:val="24"/>
        </w:rPr>
        <w:t>treatment with the pro</w:t>
      </w:r>
      <w:r w:rsidR="00253AF3" w:rsidRPr="000D0E8D">
        <w:rPr>
          <w:rFonts w:ascii="Arial" w:hAnsi="Arial" w:cs="Arial"/>
          <w:color w:val="595959" w:themeColor="text1" w:themeTint="A6"/>
          <w:szCs w:val="24"/>
        </w:rPr>
        <w:t>-myofibroblastic stimuli TGFβ-1.</w:t>
      </w:r>
    </w:p>
    <w:p w14:paraId="467AF7D7" w14:textId="2B6FFDB6" w:rsidR="00253AF3" w:rsidRDefault="00253AF3" w:rsidP="00253AF3">
      <w:pPr>
        <w:pStyle w:val="ListParagraph"/>
        <w:numPr>
          <w:ilvl w:val="0"/>
          <w:numId w:val="8"/>
        </w:numPr>
        <w:spacing w:line="480" w:lineRule="auto"/>
        <w:jc w:val="both"/>
        <w:rPr>
          <w:rFonts w:ascii="Arial" w:hAnsi="Arial" w:cs="Arial"/>
          <w:color w:val="595959" w:themeColor="text1" w:themeTint="A6"/>
          <w:szCs w:val="24"/>
        </w:rPr>
      </w:pPr>
      <w:r>
        <w:rPr>
          <w:rFonts w:ascii="Arial" w:hAnsi="Arial" w:cs="Arial"/>
          <w:color w:val="595959" w:themeColor="text1" w:themeTint="A6"/>
          <w:szCs w:val="24"/>
        </w:rPr>
        <w:t xml:space="preserve">Analysis of NOF and CAF </w:t>
      </w:r>
      <w:r w:rsidR="00EC33FC" w:rsidRPr="00253AF3">
        <w:rPr>
          <w:rFonts w:ascii="Arial" w:hAnsi="Arial" w:cs="Arial"/>
          <w:color w:val="595959" w:themeColor="text1" w:themeTint="A6"/>
          <w:szCs w:val="24"/>
        </w:rPr>
        <w:t>d</w:t>
      </w:r>
      <w:r w:rsidR="0051776F" w:rsidRPr="00253AF3">
        <w:rPr>
          <w:rFonts w:ascii="Arial" w:hAnsi="Arial" w:cs="Arial"/>
          <w:color w:val="595959" w:themeColor="text1" w:themeTint="A6"/>
          <w:szCs w:val="24"/>
        </w:rPr>
        <w:t>ifferentiation</w:t>
      </w:r>
      <w:r w:rsidR="00EC33FC" w:rsidRPr="00253AF3">
        <w:rPr>
          <w:rFonts w:ascii="Arial" w:hAnsi="Arial" w:cs="Arial"/>
          <w:color w:val="595959" w:themeColor="text1" w:themeTint="A6"/>
          <w:szCs w:val="24"/>
        </w:rPr>
        <w:t xml:space="preserve"> </w:t>
      </w:r>
      <w:r w:rsidR="00356BCF" w:rsidRPr="00253AF3">
        <w:rPr>
          <w:rFonts w:ascii="Arial" w:hAnsi="Arial" w:cs="Arial"/>
          <w:color w:val="595959" w:themeColor="text1" w:themeTint="A6"/>
          <w:szCs w:val="24"/>
        </w:rPr>
        <w:t xml:space="preserve">in culture into a myofibroblastic phenotype </w:t>
      </w:r>
      <w:r w:rsidR="00EC33FC" w:rsidRPr="00253AF3">
        <w:rPr>
          <w:rFonts w:ascii="Arial" w:hAnsi="Arial" w:cs="Arial"/>
          <w:color w:val="595959" w:themeColor="text1" w:themeTint="A6"/>
          <w:szCs w:val="24"/>
        </w:rPr>
        <w:t>bo</w:t>
      </w:r>
      <w:r>
        <w:rPr>
          <w:rFonts w:ascii="Arial" w:hAnsi="Arial" w:cs="Arial"/>
          <w:color w:val="595959" w:themeColor="text1" w:themeTint="A6"/>
          <w:szCs w:val="24"/>
        </w:rPr>
        <w:t>th short (24-72 h)</w:t>
      </w:r>
      <w:r w:rsidR="00EC33FC" w:rsidRPr="00253AF3">
        <w:rPr>
          <w:rFonts w:ascii="Arial" w:hAnsi="Arial" w:cs="Arial"/>
          <w:color w:val="595959" w:themeColor="text1" w:themeTint="A6"/>
          <w:szCs w:val="24"/>
        </w:rPr>
        <w:t xml:space="preserve"> and long-term</w:t>
      </w:r>
      <w:r>
        <w:rPr>
          <w:rFonts w:ascii="Arial" w:hAnsi="Arial" w:cs="Arial"/>
          <w:color w:val="595959" w:themeColor="text1" w:themeTint="A6"/>
          <w:szCs w:val="24"/>
        </w:rPr>
        <w:t xml:space="preserve"> (24</w:t>
      </w:r>
      <w:r w:rsidR="00AF5D5A">
        <w:rPr>
          <w:rFonts w:ascii="Arial" w:hAnsi="Arial" w:cs="Arial"/>
          <w:color w:val="595959" w:themeColor="text1" w:themeTint="A6"/>
          <w:szCs w:val="24"/>
        </w:rPr>
        <w:t xml:space="preserve"> h</w:t>
      </w:r>
      <w:r>
        <w:rPr>
          <w:rFonts w:ascii="Arial" w:hAnsi="Arial" w:cs="Arial"/>
          <w:color w:val="595959" w:themeColor="text1" w:themeTint="A6"/>
          <w:szCs w:val="24"/>
        </w:rPr>
        <w:t>- 72</w:t>
      </w:r>
      <w:r w:rsidR="00AF5D5A">
        <w:rPr>
          <w:rFonts w:ascii="Arial" w:hAnsi="Arial" w:cs="Arial"/>
          <w:color w:val="595959" w:themeColor="text1" w:themeTint="A6"/>
          <w:szCs w:val="24"/>
        </w:rPr>
        <w:t xml:space="preserve"> h </w:t>
      </w:r>
      <w:r>
        <w:rPr>
          <w:rFonts w:ascii="Arial" w:hAnsi="Arial" w:cs="Arial"/>
          <w:color w:val="595959" w:themeColor="text1" w:themeTint="A6"/>
          <w:szCs w:val="24"/>
        </w:rPr>
        <w:t>+14 days)</w:t>
      </w:r>
      <w:r w:rsidR="00EC33FC" w:rsidRPr="00253AF3">
        <w:rPr>
          <w:rFonts w:ascii="Arial" w:hAnsi="Arial" w:cs="Arial"/>
          <w:color w:val="595959" w:themeColor="text1" w:themeTint="A6"/>
          <w:szCs w:val="24"/>
        </w:rPr>
        <w:t xml:space="preserve"> </w:t>
      </w:r>
      <w:r w:rsidR="00E908DD" w:rsidRPr="00253AF3">
        <w:rPr>
          <w:rFonts w:ascii="Arial" w:hAnsi="Arial" w:cs="Arial"/>
          <w:color w:val="595959" w:themeColor="text1" w:themeTint="A6"/>
          <w:szCs w:val="24"/>
        </w:rPr>
        <w:t xml:space="preserve">will be </w:t>
      </w:r>
      <w:r w:rsidR="0051776F" w:rsidRPr="00253AF3">
        <w:rPr>
          <w:rFonts w:ascii="Arial" w:hAnsi="Arial" w:cs="Arial"/>
          <w:color w:val="595959" w:themeColor="text1" w:themeTint="A6"/>
          <w:szCs w:val="24"/>
        </w:rPr>
        <w:t xml:space="preserve">assessed by </w:t>
      </w:r>
      <w:r w:rsidR="009C2004">
        <w:rPr>
          <w:rFonts w:ascii="Arial" w:hAnsi="Arial" w:cs="Arial"/>
          <w:color w:val="595959" w:themeColor="text1" w:themeTint="A6"/>
          <w:szCs w:val="24"/>
        </w:rPr>
        <w:t>for</w:t>
      </w:r>
      <w:r w:rsidR="0051776F" w:rsidRPr="00253AF3">
        <w:rPr>
          <w:rFonts w:ascii="Arial" w:hAnsi="Arial" w:cs="Arial"/>
          <w:color w:val="595959" w:themeColor="text1" w:themeTint="A6"/>
          <w:szCs w:val="24"/>
        </w:rPr>
        <w:t xml:space="preserve"> m</w:t>
      </w:r>
      <w:r>
        <w:rPr>
          <w:rFonts w:ascii="Arial" w:hAnsi="Arial" w:cs="Arial"/>
          <w:color w:val="595959" w:themeColor="text1" w:themeTint="A6"/>
          <w:szCs w:val="24"/>
        </w:rPr>
        <w:t>yo</w:t>
      </w:r>
      <w:r w:rsidR="00A74637">
        <w:rPr>
          <w:rFonts w:ascii="Arial" w:hAnsi="Arial" w:cs="Arial"/>
          <w:color w:val="595959" w:themeColor="text1" w:themeTint="A6"/>
          <w:szCs w:val="24"/>
        </w:rPr>
        <w:t>FB</w:t>
      </w:r>
      <w:r>
        <w:rPr>
          <w:rFonts w:ascii="Arial" w:hAnsi="Arial" w:cs="Arial"/>
          <w:color w:val="595959" w:themeColor="text1" w:themeTint="A6"/>
          <w:szCs w:val="24"/>
        </w:rPr>
        <w:t xml:space="preserve"> expression markers, </w:t>
      </w:r>
      <w:r w:rsidR="0051776F" w:rsidRPr="00253AF3">
        <w:rPr>
          <w:rFonts w:ascii="Arial" w:hAnsi="Arial" w:cs="Arial"/>
          <w:color w:val="595959" w:themeColor="text1" w:themeTint="A6"/>
          <w:szCs w:val="24"/>
        </w:rPr>
        <w:t>ECM protein deposition by immunoblotting</w:t>
      </w:r>
      <w:r w:rsidR="002E77BB">
        <w:rPr>
          <w:rFonts w:ascii="Arial" w:hAnsi="Arial" w:cs="Arial"/>
          <w:color w:val="595959" w:themeColor="text1" w:themeTint="A6"/>
          <w:szCs w:val="24"/>
        </w:rPr>
        <w:t>, RT-qPCR, and t</w:t>
      </w:r>
      <w:r w:rsidR="0051776F" w:rsidRPr="00253AF3">
        <w:rPr>
          <w:rFonts w:ascii="Arial" w:hAnsi="Arial" w:cs="Arial"/>
          <w:color w:val="595959" w:themeColor="text1" w:themeTint="A6"/>
          <w:szCs w:val="24"/>
        </w:rPr>
        <w:t xml:space="preserve">heir ability to form </w:t>
      </w:r>
      <w:r w:rsidR="00EC33FC" w:rsidRPr="00253AF3">
        <w:rPr>
          <w:rFonts w:ascii="Arial" w:hAnsi="Arial" w:cs="Arial"/>
          <w:color w:val="595959" w:themeColor="text1" w:themeTint="A6"/>
          <w:szCs w:val="24"/>
        </w:rPr>
        <w:t xml:space="preserve">αSMA positive </w:t>
      </w:r>
      <w:r w:rsidR="0051776F" w:rsidRPr="00253AF3">
        <w:rPr>
          <w:rFonts w:ascii="Arial" w:hAnsi="Arial" w:cs="Arial"/>
          <w:color w:val="595959" w:themeColor="text1" w:themeTint="A6"/>
          <w:szCs w:val="24"/>
        </w:rPr>
        <w:t xml:space="preserve">stress fibres in culture by immunofluorescence. </w:t>
      </w:r>
    </w:p>
    <w:p w14:paraId="2DB99F1E" w14:textId="19CFD748" w:rsidR="00D920AF" w:rsidRDefault="00D920AF" w:rsidP="00253AF3">
      <w:pPr>
        <w:pStyle w:val="ListParagraph"/>
        <w:numPr>
          <w:ilvl w:val="0"/>
          <w:numId w:val="8"/>
        </w:numPr>
        <w:spacing w:line="480" w:lineRule="auto"/>
        <w:jc w:val="both"/>
        <w:rPr>
          <w:rFonts w:ascii="Arial" w:hAnsi="Arial" w:cs="Arial"/>
          <w:color w:val="595959" w:themeColor="text1" w:themeTint="A6"/>
          <w:szCs w:val="24"/>
        </w:rPr>
      </w:pPr>
      <w:r w:rsidRPr="00253AF3">
        <w:rPr>
          <w:rFonts w:ascii="Arial" w:hAnsi="Arial" w:cs="Arial"/>
          <w:color w:val="595959" w:themeColor="text1" w:themeTint="A6"/>
          <w:szCs w:val="24"/>
        </w:rPr>
        <w:t>The ma</w:t>
      </w:r>
      <w:r w:rsidR="00253AF3">
        <w:rPr>
          <w:rFonts w:ascii="Arial" w:hAnsi="Arial" w:cs="Arial"/>
          <w:color w:val="595959" w:themeColor="text1" w:themeTint="A6"/>
          <w:szCs w:val="24"/>
        </w:rPr>
        <w:t>trix-secreting phenotype of NOF and CAF will be investigated (</w:t>
      </w:r>
      <w:r w:rsidRPr="00253AF3">
        <w:rPr>
          <w:rFonts w:ascii="Arial" w:hAnsi="Arial" w:cs="Arial"/>
          <w:color w:val="595959" w:themeColor="text1" w:themeTint="A6"/>
          <w:szCs w:val="24"/>
        </w:rPr>
        <w:t>RT-qPCR and immunoblotting</w:t>
      </w:r>
      <w:r w:rsidR="00253AF3">
        <w:rPr>
          <w:rFonts w:ascii="Arial" w:hAnsi="Arial" w:cs="Arial"/>
          <w:color w:val="595959" w:themeColor="text1" w:themeTint="A6"/>
          <w:szCs w:val="24"/>
        </w:rPr>
        <w:t>)</w:t>
      </w:r>
      <w:r w:rsidRPr="00253AF3">
        <w:rPr>
          <w:rFonts w:ascii="Arial" w:hAnsi="Arial" w:cs="Arial"/>
          <w:color w:val="595959" w:themeColor="text1" w:themeTint="A6"/>
          <w:szCs w:val="24"/>
        </w:rPr>
        <w:t xml:space="preserve"> in response to stromal-targeting drugs Scriptaid and Batimastat in 2D</w:t>
      </w:r>
      <w:r w:rsidR="00253AF3">
        <w:rPr>
          <w:rFonts w:ascii="Arial" w:hAnsi="Arial" w:cs="Arial"/>
          <w:color w:val="595959" w:themeColor="text1" w:themeTint="A6"/>
          <w:szCs w:val="24"/>
        </w:rPr>
        <w:t xml:space="preserve"> monolayers</w:t>
      </w:r>
      <w:r w:rsidRPr="00253AF3">
        <w:rPr>
          <w:rFonts w:ascii="Arial" w:hAnsi="Arial" w:cs="Arial"/>
          <w:color w:val="595959" w:themeColor="text1" w:themeTint="A6"/>
          <w:szCs w:val="24"/>
        </w:rPr>
        <w:t>.</w:t>
      </w:r>
    </w:p>
    <w:p w14:paraId="558295EF" w14:textId="77777777" w:rsidR="00875D2C" w:rsidRPr="00253AF3" w:rsidRDefault="00875D2C" w:rsidP="00875D2C">
      <w:pPr>
        <w:pStyle w:val="ListParagraph"/>
        <w:spacing w:line="480" w:lineRule="auto"/>
        <w:ind w:left="1080"/>
        <w:jc w:val="both"/>
        <w:rPr>
          <w:rFonts w:ascii="Arial" w:hAnsi="Arial" w:cs="Arial"/>
          <w:color w:val="595959" w:themeColor="text1" w:themeTint="A6"/>
          <w:szCs w:val="24"/>
        </w:rPr>
      </w:pPr>
    </w:p>
    <w:p w14:paraId="32272CBB" w14:textId="04514083" w:rsidR="00253AF3" w:rsidRPr="00BC4C2B" w:rsidRDefault="00BC4C2B" w:rsidP="00BC4C2B">
      <w:pPr>
        <w:spacing w:line="480" w:lineRule="auto"/>
        <w:jc w:val="both"/>
        <w:rPr>
          <w:rFonts w:ascii="Arial" w:hAnsi="Arial" w:cs="Arial"/>
          <w:color w:val="595959" w:themeColor="text1" w:themeTint="A6"/>
          <w:szCs w:val="24"/>
        </w:rPr>
      </w:pPr>
      <w:r>
        <w:rPr>
          <w:rFonts w:ascii="Arial" w:hAnsi="Arial" w:cs="Arial"/>
          <w:color w:val="595959" w:themeColor="text1" w:themeTint="A6"/>
          <w:szCs w:val="24"/>
        </w:rPr>
        <w:t>Assessment of the</w:t>
      </w:r>
      <w:r w:rsidR="00F159AC">
        <w:rPr>
          <w:rFonts w:ascii="Arial" w:hAnsi="Arial" w:cs="Arial"/>
          <w:color w:val="595959" w:themeColor="text1" w:themeTint="A6"/>
          <w:szCs w:val="24"/>
        </w:rPr>
        <w:t xml:space="preserve"> </w:t>
      </w:r>
      <w:r w:rsidR="007C752E">
        <w:rPr>
          <w:rFonts w:ascii="Arial" w:hAnsi="Arial" w:cs="Arial"/>
          <w:color w:val="595959" w:themeColor="text1" w:themeTint="A6"/>
          <w:szCs w:val="24"/>
        </w:rPr>
        <w:t xml:space="preserve">perturbation of fibroblasts for tissue-engineering the </w:t>
      </w:r>
      <w:r w:rsidR="00B94551">
        <w:rPr>
          <w:rFonts w:ascii="Arial" w:hAnsi="Arial" w:cs="Arial"/>
          <w:color w:val="595959" w:themeColor="text1" w:themeTint="A6"/>
          <w:szCs w:val="24"/>
        </w:rPr>
        <w:t xml:space="preserve">extracellular matrix of oral mucosa. </w:t>
      </w:r>
      <w:r w:rsidR="00D52C27" w:rsidRPr="00BC4C2B">
        <w:rPr>
          <w:rFonts w:ascii="Arial" w:hAnsi="Arial" w:cs="Arial"/>
          <w:color w:val="595959" w:themeColor="text1" w:themeTint="A6"/>
          <w:szCs w:val="24"/>
        </w:rPr>
        <w:t>The</w:t>
      </w:r>
      <w:r w:rsidR="00253AF3" w:rsidRPr="00BC4C2B">
        <w:rPr>
          <w:rFonts w:ascii="Arial" w:hAnsi="Arial" w:cs="Arial"/>
          <w:color w:val="595959" w:themeColor="text1" w:themeTint="A6"/>
          <w:szCs w:val="24"/>
        </w:rPr>
        <w:t xml:space="preserve"> abil</w:t>
      </w:r>
      <w:r w:rsidR="00875D2C" w:rsidRPr="00BC4C2B">
        <w:rPr>
          <w:rFonts w:ascii="Arial" w:hAnsi="Arial" w:cs="Arial"/>
          <w:color w:val="595959" w:themeColor="text1" w:themeTint="A6"/>
          <w:szCs w:val="24"/>
        </w:rPr>
        <w:t xml:space="preserve">ity of NOF </w:t>
      </w:r>
      <w:r w:rsidR="00253AF3" w:rsidRPr="00BC4C2B">
        <w:rPr>
          <w:rFonts w:ascii="Arial" w:hAnsi="Arial" w:cs="Arial"/>
          <w:color w:val="595959" w:themeColor="text1" w:themeTint="A6"/>
          <w:szCs w:val="24"/>
        </w:rPr>
        <w:t xml:space="preserve">and CAF to deposit an ECM </w:t>
      </w:r>
      <w:r w:rsidR="00F6130F">
        <w:rPr>
          <w:rFonts w:ascii="Arial" w:hAnsi="Arial" w:cs="Arial"/>
          <w:color w:val="595959" w:themeColor="text1" w:themeTint="A6"/>
          <w:szCs w:val="24"/>
        </w:rPr>
        <w:t>equivalent</w:t>
      </w:r>
      <w:r w:rsidR="00E772FE">
        <w:rPr>
          <w:rFonts w:ascii="Arial" w:hAnsi="Arial" w:cs="Arial"/>
          <w:color w:val="595959" w:themeColor="text1" w:themeTint="A6"/>
          <w:szCs w:val="24"/>
        </w:rPr>
        <w:t xml:space="preserve">, with characteristic properties </w:t>
      </w:r>
      <w:r w:rsidR="00253AF3" w:rsidRPr="00BC4C2B">
        <w:rPr>
          <w:rFonts w:ascii="Arial" w:hAnsi="Arial" w:cs="Arial"/>
          <w:color w:val="595959" w:themeColor="text1" w:themeTint="A6"/>
          <w:szCs w:val="24"/>
        </w:rPr>
        <w:t>resembling the lamina propria of the oral mucosa will be investigated using patient-isolated fibroblasts.</w:t>
      </w:r>
    </w:p>
    <w:p w14:paraId="288EC406" w14:textId="70B8B75A" w:rsidR="00D52C27" w:rsidRPr="00BE5FCD" w:rsidRDefault="00D52C27" w:rsidP="00BE5FCD">
      <w:pPr>
        <w:pStyle w:val="ListParagraph"/>
        <w:numPr>
          <w:ilvl w:val="0"/>
          <w:numId w:val="8"/>
        </w:numPr>
        <w:spacing w:line="480" w:lineRule="auto"/>
        <w:jc w:val="both"/>
        <w:rPr>
          <w:rFonts w:ascii="Arial" w:hAnsi="Arial" w:cs="Arial"/>
          <w:color w:val="595959" w:themeColor="text1" w:themeTint="A6"/>
          <w:szCs w:val="24"/>
        </w:rPr>
      </w:pPr>
      <w:r>
        <w:rPr>
          <w:rFonts w:ascii="Arial" w:hAnsi="Arial" w:cs="Arial"/>
          <w:color w:val="595959" w:themeColor="text1" w:themeTint="A6"/>
          <w:szCs w:val="24"/>
        </w:rPr>
        <w:t>V</w:t>
      </w:r>
      <w:r w:rsidR="0051776F" w:rsidRPr="00A95FC6">
        <w:rPr>
          <w:rFonts w:ascii="Arial" w:hAnsi="Arial" w:cs="Arial"/>
          <w:color w:val="595959" w:themeColor="text1" w:themeTint="A6"/>
          <w:szCs w:val="24"/>
        </w:rPr>
        <w:t>arious</w:t>
      </w:r>
      <w:r w:rsidR="00BE5FCD">
        <w:rPr>
          <w:rFonts w:ascii="Arial" w:hAnsi="Arial" w:cs="Arial"/>
          <w:color w:val="595959" w:themeColor="text1" w:themeTint="A6"/>
          <w:szCs w:val="24"/>
        </w:rPr>
        <w:t xml:space="preserve"> </w:t>
      </w:r>
      <w:r w:rsidR="0051776F" w:rsidRPr="00BE5FCD">
        <w:rPr>
          <w:rFonts w:ascii="Arial" w:hAnsi="Arial" w:cs="Arial"/>
          <w:color w:val="595959" w:themeColor="text1" w:themeTint="A6"/>
          <w:szCs w:val="24"/>
        </w:rPr>
        <w:t>conditions</w:t>
      </w:r>
      <w:r w:rsidRPr="00BE5FCD">
        <w:rPr>
          <w:rFonts w:ascii="Arial" w:hAnsi="Arial" w:cs="Arial"/>
          <w:color w:val="595959" w:themeColor="text1" w:themeTint="A6"/>
          <w:szCs w:val="24"/>
        </w:rPr>
        <w:t xml:space="preserve"> </w:t>
      </w:r>
      <w:r w:rsidR="002224FE">
        <w:rPr>
          <w:rFonts w:ascii="Arial" w:hAnsi="Arial" w:cs="Arial"/>
          <w:color w:val="595959" w:themeColor="text1" w:themeTint="A6"/>
          <w:szCs w:val="24"/>
        </w:rPr>
        <w:t xml:space="preserve">and design methodology </w:t>
      </w:r>
      <w:r w:rsidRPr="00BE5FCD">
        <w:rPr>
          <w:rFonts w:ascii="Arial" w:hAnsi="Arial" w:cs="Arial"/>
          <w:color w:val="595959" w:themeColor="text1" w:themeTint="A6"/>
          <w:szCs w:val="24"/>
        </w:rPr>
        <w:t>will be evaluated</w:t>
      </w:r>
      <w:r w:rsidR="006C44D9">
        <w:rPr>
          <w:rFonts w:ascii="Arial" w:hAnsi="Arial" w:cs="Arial"/>
          <w:color w:val="595959" w:themeColor="text1" w:themeTint="A6"/>
          <w:szCs w:val="24"/>
        </w:rPr>
        <w:t xml:space="preserve"> </w:t>
      </w:r>
      <w:r w:rsidR="0051776F" w:rsidRPr="00BE5FCD">
        <w:rPr>
          <w:rFonts w:ascii="Arial" w:hAnsi="Arial" w:cs="Arial"/>
          <w:color w:val="595959" w:themeColor="text1" w:themeTint="A6"/>
          <w:szCs w:val="24"/>
        </w:rPr>
        <w:t xml:space="preserve">in order to maximise the ECM deposition from each cell type. </w:t>
      </w:r>
    </w:p>
    <w:p w14:paraId="3CAA7F9F" w14:textId="6FC371E7" w:rsidR="00D920AF" w:rsidRDefault="00253AF3" w:rsidP="00253AF3">
      <w:pPr>
        <w:pStyle w:val="ListParagraph"/>
        <w:numPr>
          <w:ilvl w:val="0"/>
          <w:numId w:val="8"/>
        </w:numPr>
        <w:spacing w:line="480" w:lineRule="auto"/>
        <w:jc w:val="both"/>
        <w:rPr>
          <w:rFonts w:ascii="Arial" w:hAnsi="Arial" w:cs="Arial"/>
          <w:color w:val="595959" w:themeColor="text1" w:themeTint="A6"/>
          <w:szCs w:val="24"/>
        </w:rPr>
      </w:pPr>
      <w:r>
        <w:rPr>
          <w:rFonts w:ascii="Arial" w:hAnsi="Arial" w:cs="Arial"/>
          <w:color w:val="595959" w:themeColor="text1" w:themeTint="A6"/>
          <w:szCs w:val="24"/>
        </w:rPr>
        <w:lastRenderedPageBreak/>
        <w:t>F</w:t>
      </w:r>
      <w:r w:rsidR="00C64CF9">
        <w:rPr>
          <w:rFonts w:ascii="Arial" w:hAnsi="Arial" w:cs="Arial"/>
          <w:color w:val="595959" w:themeColor="text1" w:themeTint="A6"/>
          <w:szCs w:val="24"/>
        </w:rPr>
        <w:t>ibroblast-derived matrices</w:t>
      </w:r>
      <w:r>
        <w:rPr>
          <w:rFonts w:ascii="Arial" w:hAnsi="Arial" w:cs="Arial"/>
          <w:color w:val="595959" w:themeColor="text1" w:themeTint="A6"/>
          <w:szCs w:val="24"/>
        </w:rPr>
        <w:t xml:space="preserve"> will be characterised</w:t>
      </w:r>
      <w:r w:rsidR="00C64CF9">
        <w:rPr>
          <w:rFonts w:ascii="Arial" w:hAnsi="Arial" w:cs="Arial"/>
          <w:color w:val="595959" w:themeColor="text1" w:themeTint="A6"/>
          <w:szCs w:val="24"/>
        </w:rPr>
        <w:t xml:space="preserve"> </w:t>
      </w:r>
      <w:r w:rsidR="00071DCD">
        <w:rPr>
          <w:rFonts w:ascii="Arial" w:hAnsi="Arial" w:cs="Arial"/>
          <w:color w:val="595959" w:themeColor="text1" w:themeTint="A6"/>
          <w:szCs w:val="24"/>
        </w:rPr>
        <w:t xml:space="preserve">by analysis of </w:t>
      </w:r>
      <w:r w:rsidR="00C64CF9">
        <w:rPr>
          <w:rFonts w:ascii="Arial" w:hAnsi="Arial" w:cs="Arial"/>
          <w:color w:val="595959" w:themeColor="text1" w:themeTint="A6"/>
          <w:szCs w:val="24"/>
        </w:rPr>
        <w:t>their structure</w:t>
      </w:r>
      <w:r>
        <w:rPr>
          <w:rFonts w:ascii="Arial" w:hAnsi="Arial" w:cs="Arial"/>
          <w:color w:val="595959" w:themeColor="text1" w:themeTint="A6"/>
          <w:szCs w:val="24"/>
        </w:rPr>
        <w:t xml:space="preserve"> (histology, SEM)</w:t>
      </w:r>
      <w:r w:rsidR="00C64CF9">
        <w:rPr>
          <w:rFonts w:ascii="Arial" w:hAnsi="Arial" w:cs="Arial"/>
          <w:color w:val="595959" w:themeColor="text1" w:themeTint="A6"/>
          <w:szCs w:val="24"/>
        </w:rPr>
        <w:t>,</w:t>
      </w:r>
      <w:r w:rsidR="00763659">
        <w:rPr>
          <w:rFonts w:ascii="Arial" w:hAnsi="Arial" w:cs="Arial"/>
          <w:color w:val="595959" w:themeColor="text1" w:themeTint="A6"/>
          <w:szCs w:val="24"/>
        </w:rPr>
        <w:t xml:space="preserve"> thickness</w:t>
      </w:r>
      <w:r w:rsidR="006B493D">
        <w:rPr>
          <w:rFonts w:ascii="Arial" w:hAnsi="Arial" w:cs="Arial"/>
          <w:color w:val="595959" w:themeColor="text1" w:themeTint="A6"/>
          <w:szCs w:val="24"/>
        </w:rPr>
        <w:t>, viability (TEER, presto blue)</w:t>
      </w:r>
      <w:r w:rsidR="004F2307">
        <w:rPr>
          <w:rFonts w:ascii="Arial" w:hAnsi="Arial" w:cs="Arial"/>
          <w:color w:val="595959" w:themeColor="text1" w:themeTint="A6"/>
          <w:szCs w:val="24"/>
        </w:rPr>
        <w:t>,</w:t>
      </w:r>
      <w:r w:rsidR="00C64CF9">
        <w:rPr>
          <w:rFonts w:ascii="Arial" w:hAnsi="Arial" w:cs="Arial"/>
          <w:color w:val="595959" w:themeColor="text1" w:themeTint="A6"/>
          <w:szCs w:val="24"/>
        </w:rPr>
        <w:t xml:space="preserve"> function</w:t>
      </w:r>
      <w:r>
        <w:rPr>
          <w:rFonts w:ascii="Arial" w:hAnsi="Arial" w:cs="Arial"/>
          <w:color w:val="595959" w:themeColor="text1" w:themeTint="A6"/>
          <w:szCs w:val="24"/>
        </w:rPr>
        <w:t xml:space="preserve"> (live cell microscopy)</w:t>
      </w:r>
      <w:r w:rsidR="00C64CF9">
        <w:rPr>
          <w:rFonts w:ascii="Arial" w:hAnsi="Arial" w:cs="Arial"/>
          <w:color w:val="595959" w:themeColor="text1" w:themeTint="A6"/>
          <w:szCs w:val="24"/>
        </w:rPr>
        <w:t>, biomechanical properties</w:t>
      </w:r>
      <w:r w:rsidR="000F164A">
        <w:rPr>
          <w:rFonts w:ascii="Arial" w:hAnsi="Arial" w:cs="Arial"/>
          <w:color w:val="595959" w:themeColor="text1" w:themeTint="A6"/>
          <w:szCs w:val="24"/>
        </w:rPr>
        <w:t xml:space="preserve"> by </w:t>
      </w:r>
      <w:r w:rsidR="0086471B">
        <w:rPr>
          <w:rFonts w:ascii="Arial" w:hAnsi="Arial" w:cs="Arial"/>
          <w:color w:val="595959" w:themeColor="text1" w:themeTint="A6"/>
          <w:szCs w:val="24"/>
        </w:rPr>
        <w:t xml:space="preserve">atomic force microscopy </w:t>
      </w:r>
      <w:r>
        <w:rPr>
          <w:rFonts w:ascii="Arial" w:hAnsi="Arial" w:cs="Arial"/>
          <w:color w:val="595959" w:themeColor="text1" w:themeTint="A6"/>
          <w:szCs w:val="24"/>
        </w:rPr>
        <w:t>(AFM)</w:t>
      </w:r>
      <w:r w:rsidR="00C64CF9">
        <w:rPr>
          <w:rFonts w:ascii="Arial" w:hAnsi="Arial" w:cs="Arial"/>
          <w:color w:val="595959" w:themeColor="text1" w:themeTint="A6"/>
          <w:szCs w:val="24"/>
        </w:rPr>
        <w:t xml:space="preserve"> and remodelling capabilities</w:t>
      </w:r>
      <w:r>
        <w:rPr>
          <w:rFonts w:ascii="Arial" w:hAnsi="Arial" w:cs="Arial"/>
          <w:color w:val="595959" w:themeColor="text1" w:themeTint="A6"/>
          <w:szCs w:val="24"/>
        </w:rPr>
        <w:t xml:space="preserve"> (MMP zymography)</w:t>
      </w:r>
      <w:r w:rsidR="00C64CF9">
        <w:rPr>
          <w:rFonts w:ascii="Arial" w:hAnsi="Arial" w:cs="Arial"/>
          <w:color w:val="595959" w:themeColor="text1" w:themeTint="A6"/>
          <w:szCs w:val="24"/>
        </w:rPr>
        <w:t xml:space="preserve"> as well as assessing the role of collagen</w:t>
      </w:r>
      <w:r w:rsidR="006466F7">
        <w:rPr>
          <w:rFonts w:ascii="Arial" w:hAnsi="Arial" w:cs="Arial"/>
          <w:color w:val="595959" w:themeColor="text1" w:themeTint="A6"/>
          <w:szCs w:val="24"/>
        </w:rPr>
        <w:t xml:space="preserve"> fibre orientation and structural</w:t>
      </w:r>
      <w:r w:rsidR="00C64CF9">
        <w:rPr>
          <w:rFonts w:ascii="Arial" w:hAnsi="Arial" w:cs="Arial"/>
          <w:color w:val="595959" w:themeColor="text1" w:themeTint="A6"/>
          <w:szCs w:val="24"/>
        </w:rPr>
        <w:t xml:space="preserve"> differences</w:t>
      </w:r>
      <w:r w:rsidR="0086471B">
        <w:rPr>
          <w:rFonts w:ascii="Arial" w:hAnsi="Arial" w:cs="Arial"/>
          <w:color w:val="595959" w:themeColor="text1" w:themeTint="A6"/>
          <w:szCs w:val="24"/>
        </w:rPr>
        <w:t>: second harm</w:t>
      </w:r>
      <w:r w:rsidR="004E2318">
        <w:rPr>
          <w:rFonts w:ascii="Arial" w:hAnsi="Arial" w:cs="Arial"/>
          <w:color w:val="595959" w:themeColor="text1" w:themeTint="A6"/>
          <w:szCs w:val="24"/>
        </w:rPr>
        <w:t xml:space="preserve">onic generation microscopy </w:t>
      </w:r>
      <w:r>
        <w:rPr>
          <w:rFonts w:ascii="Arial" w:hAnsi="Arial" w:cs="Arial"/>
          <w:color w:val="595959" w:themeColor="text1" w:themeTint="A6"/>
          <w:szCs w:val="24"/>
        </w:rPr>
        <w:t xml:space="preserve">(SHGM) </w:t>
      </w:r>
      <w:r w:rsidR="00D920AF">
        <w:rPr>
          <w:rFonts w:ascii="Arial" w:hAnsi="Arial" w:cs="Arial"/>
          <w:color w:val="595959" w:themeColor="text1" w:themeTint="A6"/>
          <w:szCs w:val="24"/>
        </w:rPr>
        <w:t>in</w:t>
      </w:r>
      <w:r w:rsidR="00C64CF9">
        <w:rPr>
          <w:rFonts w:ascii="Arial" w:hAnsi="Arial" w:cs="Arial"/>
          <w:color w:val="595959" w:themeColor="text1" w:themeTint="A6"/>
          <w:szCs w:val="24"/>
        </w:rPr>
        <w:t xml:space="preserve"> NOF- and CAF-</w:t>
      </w:r>
      <w:r w:rsidR="004E2318">
        <w:rPr>
          <w:rFonts w:ascii="Arial" w:hAnsi="Arial" w:cs="Arial"/>
          <w:color w:val="595959" w:themeColor="text1" w:themeTint="A6"/>
          <w:szCs w:val="24"/>
        </w:rPr>
        <w:t xml:space="preserve">derived matrices. </w:t>
      </w:r>
    </w:p>
    <w:p w14:paraId="7A90F909" w14:textId="79D5B591" w:rsidR="00D920AF" w:rsidRDefault="00D920AF" w:rsidP="00875D2C">
      <w:pPr>
        <w:pStyle w:val="ListParagraph"/>
        <w:numPr>
          <w:ilvl w:val="0"/>
          <w:numId w:val="8"/>
        </w:numPr>
        <w:spacing w:line="480" w:lineRule="auto"/>
        <w:jc w:val="both"/>
        <w:rPr>
          <w:rFonts w:ascii="Arial" w:hAnsi="Arial" w:cs="Arial"/>
          <w:color w:val="595959" w:themeColor="text1" w:themeTint="A6"/>
          <w:szCs w:val="24"/>
        </w:rPr>
      </w:pPr>
      <w:r>
        <w:rPr>
          <w:rFonts w:ascii="Arial" w:hAnsi="Arial" w:cs="Arial"/>
          <w:color w:val="595959" w:themeColor="text1" w:themeTint="A6"/>
          <w:szCs w:val="24"/>
        </w:rPr>
        <w:t>The ma</w:t>
      </w:r>
      <w:r w:rsidR="006E5DE7">
        <w:rPr>
          <w:rFonts w:ascii="Arial" w:hAnsi="Arial" w:cs="Arial"/>
          <w:color w:val="595959" w:themeColor="text1" w:themeTint="A6"/>
          <w:szCs w:val="24"/>
        </w:rPr>
        <w:t xml:space="preserve">trix-secreting phenotype of NOF and </w:t>
      </w:r>
      <w:r>
        <w:rPr>
          <w:rFonts w:ascii="Arial" w:hAnsi="Arial" w:cs="Arial"/>
          <w:color w:val="595959" w:themeColor="text1" w:themeTint="A6"/>
          <w:szCs w:val="24"/>
        </w:rPr>
        <w:t xml:space="preserve">CAF </w:t>
      </w:r>
      <w:r w:rsidR="006839D6">
        <w:rPr>
          <w:rFonts w:ascii="Arial" w:hAnsi="Arial" w:cs="Arial"/>
          <w:color w:val="595959" w:themeColor="text1" w:themeTint="A6"/>
          <w:szCs w:val="24"/>
        </w:rPr>
        <w:t xml:space="preserve">at the gene (RT-qPCR) and protein level (immunoblotting) </w:t>
      </w:r>
      <w:r>
        <w:rPr>
          <w:rFonts w:ascii="Arial" w:hAnsi="Arial" w:cs="Arial"/>
          <w:color w:val="595959" w:themeColor="text1" w:themeTint="A6"/>
          <w:szCs w:val="24"/>
        </w:rPr>
        <w:t>will be investigated in response to stromal-targeting drugs Scriptaid and Batimastat in 3D</w:t>
      </w:r>
      <w:r w:rsidR="00875D2C">
        <w:rPr>
          <w:rFonts w:ascii="Arial" w:hAnsi="Arial" w:cs="Arial"/>
          <w:color w:val="595959" w:themeColor="text1" w:themeTint="A6"/>
          <w:szCs w:val="24"/>
        </w:rPr>
        <w:t xml:space="preserve"> cell derived matrices</w:t>
      </w:r>
      <w:r w:rsidR="00672BB6">
        <w:rPr>
          <w:rFonts w:ascii="Arial" w:hAnsi="Arial" w:cs="Arial"/>
          <w:color w:val="595959" w:themeColor="text1" w:themeTint="A6"/>
          <w:szCs w:val="24"/>
        </w:rPr>
        <w:t>.</w:t>
      </w:r>
    </w:p>
    <w:p w14:paraId="6D051A01" w14:textId="77777777" w:rsidR="00875D2C" w:rsidRDefault="00875D2C" w:rsidP="00875D2C">
      <w:pPr>
        <w:pStyle w:val="ListParagraph"/>
        <w:spacing w:line="480" w:lineRule="auto"/>
        <w:ind w:left="1080"/>
        <w:jc w:val="both"/>
        <w:rPr>
          <w:rFonts w:ascii="Arial" w:hAnsi="Arial" w:cs="Arial"/>
          <w:color w:val="595959" w:themeColor="text1" w:themeTint="A6"/>
          <w:szCs w:val="24"/>
        </w:rPr>
      </w:pPr>
    </w:p>
    <w:p w14:paraId="60C62107" w14:textId="7A8121FA" w:rsidR="00254D1D" w:rsidRPr="004F2307" w:rsidRDefault="004F2307" w:rsidP="004F2307">
      <w:pPr>
        <w:spacing w:line="480" w:lineRule="auto"/>
        <w:jc w:val="both"/>
        <w:rPr>
          <w:rFonts w:ascii="Arial" w:hAnsi="Arial" w:cs="Arial"/>
          <w:color w:val="595959" w:themeColor="text1" w:themeTint="A6"/>
          <w:szCs w:val="24"/>
        </w:rPr>
      </w:pPr>
      <w:r>
        <w:rPr>
          <w:rFonts w:ascii="Arial" w:hAnsi="Arial" w:cs="Arial"/>
          <w:color w:val="595959" w:themeColor="text1" w:themeTint="A6"/>
          <w:szCs w:val="24"/>
        </w:rPr>
        <w:t xml:space="preserve">The </w:t>
      </w:r>
      <w:r w:rsidR="00870227">
        <w:rPr>
          <w:rFonts w:ascii="Arial" w:hAnsi="Arial" w:cs="Arial"/>
          <w:color w:val="595959" w:themeColor="text1" w:themeTint="A6"/>
          <w:szCs w:val="24"/>
        </w:rPr>
        <w:t>final results</w:t>
      </w:r>
      <w:r>
        <w:rPr>
          <w:rFonts w:ascii="Arial" w:hAnsi="Arial" w:cs="Arial"/>
          <w:color w:val="595959" w:themeColor="text1" w:themeTint="A6"/>
          <w:szCs w:val="24"/>
        </w:rPr>
        <w:t xml:space="preserve"> chapter will determine </w:t>
      </w:r>
      <w:r w:rsidR="00060DEB">
        <w:rPr>
          <w:rFonts w:ascii="Arial" w:hAnsi="Arial" w:cs="Arial"/>
          <w:color w:val="595959" w:themeColor="text1" w:themeTint="A6"/>
          <w:szCs w:val="24"/>
        </w:rPr>
        <w:t xml:space="preserve">if </w:t>
      </w:r>
      <w:r w:rsidR="00D920AF" w:rsidRPr="004F2307">
        <w:rPr>
          <w:rFonts w:ascii="Arial" w:hAnsi="Arial" w:cs="Arial"/>
          <w:color w:val="595959" w:themeColor="text1" w:themeTint="A6"/>
          <w:szCs w:val="24"/>
        </w:rPr>
        <w:t>NOF- and CAF-DM</w:t>
      </w:r>
      <w:r w:rsidR="002E21FB">
        <w:rPr>
          <w:rFonts w:ascii="Arial" w:hAnsi="Arial" w:cs="Arial"/>
          <w:color w:val="595959" w:themeColor="text1" w:themeTint="A6"/>
          <w:szCs w:val="24"/>
        </w:rPr>
        <w:t>,</w:t>
      </w:r>
      <w:r w:rsidR="00D920AF" w:rsidRPr="004F2307">
        <w:rPr>
          <w:rFonts w:ascii="Arial" w:hAnsi="Arial" w:cs="Arial"/>
          <w:color w:val="595959" w:themeColor="text1" w:themeTint="A6"/>
          <w:szCs w:val="24"/>
        </w:rPr>
        <w:t xml:space="preserve"> </w:t>
      </w:r>
      <w:r w:rsidR="00060DEB">
        <w:rPr>
          <w:rFonts w:ascii="Arial" w:hAnsi="Arial" w:cs="Arial"/>
          <w:color w:val="595959" w:themeColor="text1" w:themeTint="A6"/>
          <w:szCs w:val="24"/>
        </w:rPr>
        <w:t xml:space="preserve">with their </w:t>
      </w:r>
      <w:r w:rsidR="00FC2134" w:rsidRPr="004F2307">
        <w:rPr>
          <w:rFonts w:ascii="Arial" w:hAnsi="Arial" w:cs="Arial"/>
          <w:color w:val="595959" w:themeColor="text1" w:themeTint="A6"/>
          <w:szCs w:val="24"/>
        </w:rPr>
        <w:t>native ECM</w:t>
      </w:r>
      <w:r w:rsidR="00254D1D" w:rsidRPr="004F2307">
        <w:rPr>
          <w:rFonts w:ascii="Arial" w:hAnsi="Arial" w:cs="Arial"/>
          <w:color w:val="595959" w:themeColor="text1" w:themeTint="A6"/>
          <w:szCs w:val="24"/>
        </w:rPr>
        <w:t xml:space="preserve"> scaffold </w:t>
      </w:r>
      <w:r w:rsidR="00CC3631">
        <w:rPr>
          <w:rFonts w:ascii="Arial" w:hAnsi="Arial" w:cs="Arial"/>
          <w:color w:val="595959" w:themeColor="text1" w:themeTint="A6"/>
          <w:szCs w:val="24"/>
        </w:rPr>
        <w:t xml:space="preserve">can form the support </w:t>
      </w:r>
      <w:r w:rsidR="00775ACF">
        <w:rPr>
          <w:rFonts w:ascii="Arial" w:hAnsi="Arial" w:cs="Arial"/>
          <w:color w:val="595959" w:themeColor="text1" w:themeTint="A6"/>
          <w:szCs w:val="24"/>
        </w:rPr>
        <w:t xml:space="preserve">for </w:t>
      </w:r>
      <w:r w:rsidR="00D920AF" w:rsidRPr="004F2307">
        <w:rPr>
          <w:rFonts w:ascii="Arial" w:hAnsi="Arial" w:cs="Arial"/>
          <w:color w:val="595959" w:themeColor="text1" w:themeTint="A6"/>
          <w:szCs w:val="24"/>
        </w:rPr>
        <w:t xml:space="preserve">the </w:t>
      </w:r>
      <w:r w:rsidR="009427D1" w:rsidRPr="004F2307">
        <w:rPr>
          <w:rFonts w:ascii="Arial" w:hAnsi="Arial" w:cs="Arial"/>
          <w:color w:val="595959" w:themeColor="text1" w:themeTint="A6"/>
          <w:szCs w:val="24"/>
        </w:rPr>
        <w:t>construct</w:t>
      </w:r>
      <w:r w:rsidR="00D920AF" w:rsidRPr="004F2307">
        <w:rPr>
          <w:rFonts w:ascii="Arial" w:hAnsi="Arial" w:cs="Arial"/>
          <w:color w:val="595959" w:themeColor="text1" w:themeTint="A6"/>
          <w:szCs w:val="24"/>
        </w:rPr>
        <w:t xml:space="preserve">ion of </w:t>
      </w:r>
      <w:r w:rsidR="0051776F" w:rsidRPr="004F2307">
        <w:rPr>
          <w:rFonts w:ascii="Arial" w:hAnsi="Arial" w:cs="Arial"/>
          <w:color w:val="595959" w:themeColor="text1" w:themeTint="A6"/>
          <w:szCs w:val="24"/>
        </w:rPr>
        <w:t>full thickness oral mucosa equivalents</w:t>
      </w:r>
      <w:r w:rsidR="00775ACF">
        <w:rPr>
          <w:rFonts w:ascii="Arial" w:hAnsi="Arial" w:cs="Arial"/>
          <w:color w:val="595959" w:themeColor="text1" w:themeTint="A6"/>
          <w:szCs w:val="24"/>
        </w:rPr>
        <w:t>. These</w:t>
      </w:r>
      <w:r w:rsidR="00254D1D" w:rsidRPr="004F2307">
        <w:rPr>
          <w:rFonts w:ascii="Arial" w:hAnsi="Arial" w:cs="Arial"/>
          <w:color w:val="595959" w:themeColor="text1" w:themeTint="A6"/>
          <w:szCs w:val="24"/>
        </w:rPr>
        <w:t xml:space="preserve"> will be generated to </w:t>
      </w:r>
      <w:r w:rsidR="009427D1" w:rsidRPr="004F2307">
        <w:rPr>
          <w:rFonts w:ascii="Arial" w:hAnsi="Arial" w:cs="Arial"/>
          <w:color w:val="595959" w:themeColor="text1" w:themeTint="A6"/>
        </w:rPr>
        <w:t xml:space="preserve">represent </w:t>
      </w:r>
      <w:r w:rsidR="00D920AF" w:rsidRPr="004F2307">
        <w:rPr>
          <w:rFonts w:ascii="Arial" w:hAnsi="Arial" w:cs="Arial"/>
          <w:color w:val="595959" w:themeColor="text1" w:themeTint="A6"/>
        </w:rPr>
        <w:t xml:space="preserve">the </w:t>
      </w:r>
      <w:r w:rsidR="009427D1" w:rsidRPr="004F2307">
        <w:rPr>
          <w:rFonts w:ascii="Arial" w:hAnsi="Arial" w:cs="Arial"/>
          <w:color w:val="595959" w:themeColor="text1" w:themeTint="A6"/>
        </w:rPr>
        <w:t>oral mucosa</w:t>
      </w:r>
      <w:r w:rsidR="00641949">
        <w:rPr>
          <w:rFonts w:ascii="Arial" w:hAnsi="Arial" w:cs="Arial"/>
          <w:color w:val="595959" w:themeColor="text1" w:themeTint="A6"/>
        </w:rPr>
        <w:t xml:space="preserve"> at three stages of </w:t>
      </w:r>
      <w:r w:rsidR="002E21FB">
        <w:rPr>
          <w:rFonts w:ascii="Arial" w:hAnsi="Arial" w:cs="Arial"/>
          <w:color w:val="595959" w:themeColor="text1" w:themeTint="A6"/>
        </w:rPr>
        <w:t xml:space="preserve">progression </w:t>
      </w:r>
      <w:r w:rsidR="005769F5">
        <w:rPr>
          <w:rFonts w:ascii="Arial" w:hAnsi="Arial" w:cs="Arial"/>
          <w:color w:val="595959" w:themeColor="text1" w:themeTint="A6"/>
        </w:rPr>
        <w:t xml:space="preserve">ranging from </w:t>
      </w:r>
      <w:r w:rsidR="00D920AF" w:rsidRPr="004F2307">
        <w:rPr>
          <w:rFonts w:ascii="Arial" w:hAnsi="Arial" w:cs="Arial"/>
          <w:color w:val="595959" w:themeColor="text1" w:themeTint="A6"/>
        </w:rPr>
        <w:t xml:space="preserve">normal, </w:t>
      </w:r>
      <w:r w:rsidR="00CF6A5B">
        <w:rPr>
          <w:rFonts w:ascii="Arial" w:hAnsi="Arial" w:cs="Arial"/>
          <w:color w:val="595959" w:themeColor="text1" w:themeTint="A6"/>
        </w:rPr>
        <w:t xml:space="preserve">through to </w:t>
      </w:r>
      <w:r w:rsidR="00D920AF" w:rsidRPr="004F2307">
        <w:rPr>
          <w:rFonts w:ascii="Arial" w:hAnsi="Arial" w:cs="Arial"/>
          <w:color w:val="595959" w:themeColor="text1" w:themeTint="A6"/>
        </w:rPr>
        <w:t>atypical</w:t>
      </w:r>
      <w:r w:rsidR="00CF6A5B">
        <w:rPr>
          <w:rFonts w:ascii="Arial" w:hAnsi="Arial" w:cs="Arial"/>
          <w:color w:val="595959" w:themeColor="text1" w:themeTint="A6"/>
        </w:rPr>
        <w:t xml:space="preserve">, </w:t>
      </w:r>
      <w:r w:rsidR="00D920AF" w:rsidRPr="004F2307">
        <w:rPr>
          <w:rFonts w:ascii="Arial" w:hAnsi="Arial" w:cs="Arial"/>
          <w:color w:val="595959" w:themeColor="text1" w:themeTint="A6"/>
        </w:rPr>
        <w:t xml:space="preserve">and </w:t>
      </w:r>
      <w:r w:rsidR="00CF6A5B">
        <w:rPr>
          <w:rFonts w:ascii="Arial" w:hAnsi="Arial" w:cs="Arial"/>
          <w:color w:val="595959" w:themeColor="text1" w:themeTint="A6"/>
        </w:rPr>
        <w:t xml:space="preserve">then a model of </w:t>
      </w:r>
      <w:r w:rsidR="009427D1" w:rsidRPr="004F2307">
        <w:rPr>
          <w:rFonts w:ascii="Arial" w:hAnsi="Arial" w:cs="Arial"/>
          <w:color w:val="595959" w:themeColor="text1" w:themeTint="A6"/>
        </w:rPr>
        <w:t>OSCC using keratinocyte cell lines generated from normal buccal mucosa and OSCC</w:t>
      </w:r>
      <w:r w:rsidR="000F2870">
        <w:rPr>
          <w:rFonts w:ascii="Arial" w:hAnsi="Arial" w:cs="Arial"/>
          <w:color w:val="595959" w:themeColor="text1" w:themeTint="A6"/>
        </w:rPr>
        <w:t xml:space="preserve"> to generate the epithelial component. </w:t>
      </w:r>
    </w:p>
    <w:p w14:paraId="690C75D8" w14:textId="176D9A4F" w:rsidR="00254D1D" w:rsidRDefault="00875D2C" w:rsidP="00875D2C">
      <w:pPr>
        <w:pStyle w:val="ListParagraph"/>
        <w:numPr>
          <w:ilvl w:val="0"/>
          <w:numId w:val="8"/>
        </w:numPr>
        <w:spacing w:line="480" w:lineRule="auto"/>
        <w:jc w:val="both"/>
        <w:rPr>
          <w:rFonts w:ascii="Arial" w:hAnsi="Arial" w:cs="Arial"/>
          <w:color w:val="595959" w:themeColor="text1" w:themeTint="A6"/>
          <w:szCs w:val="24"/>
        </w:rPr>
      </w:pPr>
      <w:r>
        <w:rPr>
          <w:rFonts w:ascii="Arial" w:hAnsi="Arial" w:cs="Arial"/>
          <w:color w:val="595959" w:themeColor="text1" w:themeTint="A6"/>
          <w:szCs w:val="24"/>
        </w:rPr>
        <w:t>Characterisation</w:t>
      </w:r>
      <w:r w:rsidR="00FC2134">
        <w:rPr>
          <w:rFonts w:ascii="Arial" w:hAnsi="Arial" w:cs="Arial"/>
          <w:color w:val="595959" w:themeColor="text1" w:themeTint="A6"/>
          <w:szCs w:val="24"/>
        </w:rPr>
        <w:t xml:space="preserve"> of mucosal models</w:t>
      </w:r>
      <w:r w:rsidR="009D0EB6">
        <w:rPr>
          <w:rFonts w:ascii="Arial" w:hAnsi="Arial" w:cs="Arial"/>
          <w:color w:val="595959" w:themeColor="text1" w:themeTint="A6"/>
          <w:szCs w:val="24"/>
        </w:rPr>
        <w:t xml:space="preserve"> </w:t>
      </w:r>
      <w:r w:rsidR="00FC2134">
        <w:rPr>
          <w:rFonts w:ascii="Arial" w:hAnsi="Arial" w:cs="Arial"/>
          <w:color w:val="595959" w:themeColor="text1" w:themeTint="A6"/>
          <w:szCs w:val="24"/>
        </w:rPr>
        <w:t xml:space="preserve">will </w:t>
      </w:r>
      <w:r w:rsidR="009D0EB6">
        <w:rPr>
          <w:rFonts w:ascii="Arial" w:hAnsi="Arial" w:cs="Arial"/>
          <w:color w:val="595959" w:themeColor="text1" w:themeTint="A6"/>
          <w:szCs w:val="24"/>
        </w:rPr>
        <w:t xml:space="preserve">investigate changes in disease by assessing </w:t>
      </w:r>
      <w:r w:rsidR="00254D1D">
        <w:rPr>
          <w:rFonts w:ascii="Arial" w:hAnsi="Arial" w:cs="Arial"/>
          <w:color w:val="595959" w:themeColor="text1" w:themeTint="A6"/>
          <w:szCs w:val="24"/>
        </w:rPr>
        <w:t>morphology</w:t>
      </w:r>
      <w:r>
        <w:rPr>
          <w:rFonts w:ascii="Arial" w:hAnsi="Arial" w:cs="Arial"/>
          <w:color w:val="595959" w:themeColor="text1" w:themeTint="A6"/>
          <w:szCs w:val="24"/>
        </w:rPr>
        <w:t xml:space="preserve"> (histology, IHC)</w:t>
      </w:r>
      <w:r w:rsidR="00254D1D">
        <w:rPr>
          <w:rFonts w:ascii="Arial" w:hAnsi="Arial" w:cs="Arial"/>
          <w:color w:val="595959" w:themeColor="text1" w:themeTint="A6"/>
          <w:szCs w:val="24"/>
        </w:rPr>
        <w:t>, protein composition</w:t>
      </w:r>
      <w:r>
        <w:rPr>
          <w:rFonts w:ascii="Arial" w:hAnsi="Arial" w:cs="Arial"/>
          <w:color w:val="595959" w:themeColor="text1" w:themeTint="A6"/>
          <w:szCs w:val="24"/>
        </w:rPr>
        <w:t xml:space="preserve"> (immunoblotting)</w:t>
      </w:r>
      <w:r w:rsidR="00254D1D">
        <w:rPr>
          <w:rFonts w:ascii="Arial" w:hAnsi="Arial" w:cs="Arial"/>
          <w:color w:val="595959" w:themeColor="text1" w:themeTint="A6"/>
          <w:szCs w:val="24"/>
        </w:rPr>
        <w:t xml:space="preserve">, </w:t>
      </w:r>
      <w:r w:rsidR="009D0EB6">
        <w:rPr>
          <w:rFonts w:ascii="Arial" w:hAnsi="Arial" w:cs="Arial"/>
          <w:color w:val="595959" w:themeColor="text1" w:themeTint="A6"/>
          <w:szCs w:val="24"/>
        </w:rPr>
        <w:t xml:space="preserve">cell </w:t>
      </w:r>
      <w:r w:rsidR="00254D1D">
        <w:rPr>
          <w:rFonts w:ascii="Arial" w:hAnsi="Arial" w:cs="Arial"/>
          <w:color w:val="595959" w:themeColor="text1" w:themeTint="A6"/>
          <w:szCs w:val="24"/>
        </w:rPr>
        <w:t>behaviour</w:t>
      </w:r>
      <w:r>
        <w:rPr>
          <w:rFonts w:ascii="Arial" w:hAnsi="Arial" w:cs="Arial"/>
          <w:color w:val="595959" w:themeColor="text1" w:themeTint="A6"/>
          <w:szCs w:val="24"/>
        </w:rPr>
        <w:t xml:space="preserve"> (Live-cell-imaging)</w:t>
      </w:r>
      <w:r w:rsidR="00254D1D">
        <w:rPr>
          <w:rFonts w:ascii="Arial" w:hAnsi="Arial" w:cs="Arial"/>
          <w:color w:val="595959" w:themeColor="text1" w:themeTint="A6"/>
          <w:szCs w:val="24"/>
        </w:rPr>
        <w:t>,</w:t>
      </w:r>
      <w:r w:rsidR="009D0EB6">
        <w:rPr>
          <w:rFonts w:ascii="Arial" w:hAnsi="Arial" w:cs="Arial"/>
          <w:color w:val="595959" w:themeColor="text1" w:themeTint="A6"/>
          <w:szCs w:val="24"/>
        </w:rPr>
        <w:t xml:space="preserve"> and</w:t>
      </w:r>
      <w:r w:rsidR="00254D1D">
        <w:rPr>
          <w:rFonts w:ascii="Arial" w:hAnsi="Arial" w:cs="Arial"/>
          <w:color w:val="595959" w:themeColor="text1" w:themeTint="A6"/>
          <w:szCs w:val="24"/>
        </w:rPr>
        <w:t xml:space="preserve"> remodelling capabilities</w:t>
      </w:r>
      <w:r>
        <w:rPr>
          <w:rFonts w:ascii="Arial" w:hAnsi="Arial" w:cs="Arial"/>
          <w:color w:val="595959" w:themeColor="text1" w:themeTint="A6"/>
          <w:szCs w:val="24"/>
        </w:rPr>
        <w:t xml:space="preserve"> (MMP zymography)</w:t>
      </w:r>
      <w:r w:rsidR="009D0EB6">
        <w:rPr>
          <w:rFonts w:ascii="Arial" w:hAnsi="Arial" w:cs="Arial"/>
          <w:color w:val="595959" w:themeColor="text1" w:themeTint="A6"/>
          <w:szCs w:val="24"/>
        </w:rPr>
        <w:t xml:space="preserve">. </w:t>
      </w:r>
    </w:p>
    <w:p w14:paraId="78ABD577" w14:textId="77777777" w:rsidR="0054039C" w:rsidRDefault="0054039C" w:rsidP="00246FDB">
      <w:pPr>
        <w:spacing w:line="480" w:lineRule="auto"/>
        <w:ind w:firstLine="720"/>
        <w:jc w:val="both"/>
        <w:rPr>
          <w:rFonts w:ascii="Arial" w:hAnsi="Arial" w:cs="Arial"/>
          <w:color w:val="595959" w:themeColor="text1" w:themeTint="A6"/>
          <w:szCs w:val="24"/>
        </w:rPr>
      </w:pPr>
    </w:p>
    <w:p w14:paraId="0F425044" w14:textId="77777777" w:rsidR="0054039C" w:rsidRDefault="0054039C" w:rsidP="00246FDB">
      <w:pPr>
        <w:spacing w:line="480" w:lineRule="auto"/>
        <w:ind w:firstLine="720"/>
        <w:jc w:val="both"/>
        <w:rPr>
          <w:rFonts w:ascii="Arial" w:hAnsi="Arial" w:cs="Arial"/>
          <w:color w:val="595959" w:themeColor="text1" w:themeTint="A6"/>
          <w:szCs w:val="24"/>
        </w:rPr>
      </w:pPr>
    </w:p>
    <w:p w14:paraId="7674B05D" w14:textId="77777777" w:rsidR="0054039C" w:rsidRDefault="0054039C" w:rsidP="00246FDB">
      <w:pPr>
        <w:spacing w:line="480" w:lineRule="auto"/>
        <w:ind w:firstLine="720"/>
        <w:jc w:val="both"/>
        <w:rPr>
          <w:rFonts w:ascii="Arial" w:hAnsi="Arial" w:cs="Arial"/>
          <w:color w:val="595959" w:themeColor="text1" w:themeTint="A6"/>
          <w:szCs w:val="24"/>
        </w:rPr>
      </w:pPr>
    </w:p>
    <w:p w14:paraId="6C73AE1A" w14:textId="77777777" w:rsidR="0054039C" w:rsidRDefault="0054039C" w:rsidP="00246FDB">
      <w:pPr>
        <w:spacing w:line="480" w:lineRule="auto"/>
        <w:ind w:firstLine="720"/>
        <w:jc w:val="both"/>
        <w:rPr>
          <w:rFonts w:ascii="Arial" w:hAnsi="Arial" w:cs="Arial"/>
          <w:color w:val="595959" w:themeColor="text1" w:themeTint="A6"/>
          <w:szCs w:val="24"/>
        </w:rPr>
      </w:pPr>
    </w:p>
    <w:p w14:paraId="4F3DA755" w14:textId="77777777" w:rsidR="0054039C" w:rsidRDefault="0054039C" w:rsidP="00246FDB">
      <w:pPr>
        <w:spacing w:line="480" w:lineRule="auto"/>
        <w:ind w:firstLine="720"/>
        <w:jc w:val="both"/>
        <w:rPr>
          <w:rFonts w:ascii="Arial" w:hAnsi="Arial" w:cs="Arial"/>
          <w:color w:val="595959" w:themeColor="text1" w:themeTint="A6"/>
          <w:szCs w:val="24"/>
        </w:rPr>
      </w:pPr>
    </w:p>
    <w:p w14:paraId="143A23B8" w14:textId="77777777" w:rsidR="0054039C" w:rsidRDefault="0054039C" w:rsidP="00246FDB">
      <w:pPr>
        <w:spacing w:line="480" w:lineRule="auto"/>
        <w:ind w:firstLine="720"/>
        <w:jc w:val="both"/>
        <w:rPr>
          <w:rFonts w:ascii="Arial" w:hAnsi="Arial" w:cs="Arial"/>
          <w:color w:val="595959" w:themeColor="text1" w:themeTint="A6"/>
          <w:szCs w:val="24"/>
        </w:rPr>
      </w:pPr>
    </w:p>
    <w:p w14:paraId="42D41BA9" w14:textId="080D3A96" w:rsidR="00B249FF" w:rsidRDefault="00B249FF" w:rsidP="00CF3695">
      <w:pPr>
        <w:spacing w:line="480" w:lineRule="auto"/>
        <w:jc w:val="both"/>
        <w:rPr>
          <w:rFonts w:ascii="Arial" w:hAnsi="Arial" w:cs="Arial"/>
          <w:color w:val="595959" w:themeColor="text1" w:themeTint="A6"/>
          <w:szCs w:val="24"/>
        </w:rPr>
      </w:pPr>
    </w:p>
    <w:p w14:paraId="7E8D5073" w14:textId="77777777" w:rsidR="00CF3695" w:rsidRDefault="00CF3695" w:rsidP="00CF3695">
      <w:pPr>
        <w:spacing w:line="480" w:lineRule="auto"/>
        <w:jc w:val="both"/>
        <w:rPr>
          <w:rFonts w:ascii="Arial" w:hAnsi="Arial" w:cs="Arial"/>
          <w:color w:val="595959" w:themeColor="text1" w:themeTint="A6"/>
          <w:szCs w:val="24"/>
        </w:rPr>
      </w:pPr>
    </w:p>
    <w:p w14:paraId="5700A824" w14:textId="1ADDDE47" w:rsidR="00B249FF" w:rsidRDefault="00B249FF" w:rsidP="00246FDB">
      <w:pPr>
        <w:spacing w:line="480" w:lineRule="auto"/>
        <w:ind w:firstLine="720"/>
        <w:jc w:val="both"/>
        <w:rPr>
          <w:rFonts w:ascii="Arial" w:hAnsi="Arial" w:cs="Arial"/>
          <w:color w:val="595959" w:themeColor="text1" w:themeTint="A6"/>
          <w:szCs w:val="24"/>
        </w:rPr>
      </w:pPr>
    </w:p>
    <w:p w14:paraId="4CA5049C" w14:textId="77777777" w:rsidR="004A6565" w:rsidRDefault="004A6565" w:rsidP="00246FDB">
      <w:pPr>
        <w:spacing w:line="480" w:lineRule="auto"/>
        <w:ind w:firstLine="720"/>
        <w:jc w:val="both"/>
        <w:rPr>
          <w:rFonts w:ascii="Arial" w:hAnsi="Arial" w:cs="Arial"/>
          <w:color w:val="595959" w:themeColor="text1" w:themeTint="A6"/>
          <w:szCs w:val="24"/>
        </w:rPr>
      </w:pPr>
    </w:p>
    <w:p w14:paraId="4E4CFA33" w14:textId="77777777" w:rsidR="00433D68" w:rsidRPr="00433D68" w:rsidRDefault="00433D68" w:rsidP="00433D68">
      <w:bookmarkStart w:id="56" w:name="_Toc534278581"/>
    </w:p>
    <w:p w14:paraId="74F566D8" w14:textId="77777777" w:rsidR="00220314" w:rsidRDefault="00220314" w:rsidP="0054039C">
      <w:pPr>
        <w:pStyle w:val="Title"/>
        <w:outlineLvl w:val="0"/>
        <w:rPr>
          <w:color w:val="4472C4" w:themeColor="accent1"/>
        </w:rPr>
      </w:pPr>
    </w:p>
    <w:p w14:paraId="52966889" w14:textId="77777777" w:rsidR="00220314" w:rsidRDefault="00220314" w:rsidP="0054039C">
      <w:pPr>
        <w:pStyle w:val="Title"/>
        <w:outlineLvl w:val="0"/>
        <w:rPr>
          <w:color w:val="4472C4" w:themeColor="accent1"/>
        </w:rPr>
      </w:pPr>
    </w:p>
    <w:p w14:paraId="73403755" w14:textId="77777777" w:rsidR="00220314" w:rsidRPr="00220314" w:rsidRDefault="00220314" w:rsidP="00220314">
      <w:pPr>
        <w:pStyle w:val="Title"/>
        <w:jc w:val="center"/>
        <w:outlineLvl w:val="0"/>
        <w:rPr>
          <w:color w:val="4472C4" w:themeColor="accent1"/>
          <w:sz w:val="72"/>
          <w:szCs w:val="72"/>
        </w:rPr>
      </w:pPr>
      <w:bookmarkStart w:id="57" w:name="_Toc34208280"/>
      <w:r w:rsidRPr="00220314">
        <w:rPr>
          <w:color w:val="4472C4" w:themeColor="accent1"/>
          <w:sz w:val="72"/>
          <w:szCs w:val="72"/>
        </w:rPr>
        <w:t>Chapter 2</w:t>
      </w:r>
      <w:bookmarkEnd w:id="57"/>
    </w:p>
    <w:p w14:paraId="34C93B0F" w14:textId="2EBDABA3" w:rsidR="0054039C" w:rsidRPr="00220314" w:rsidRDefault="0054039C" w:rsidP="00220314">
      <w:pPr>
        <w:pStyle w:val="Title"/>
        <w:jc w:val="center"/>
        <w:outlineLvl w:val="0"/>
        <w:rPr>
          <w:color w:val="4472C4" w:themeColor="accent1"/>
          <w:sz w:val="72"/>
          <w:szCs w:val="72"/>
        </w:rPr>
      </w:pPr>
      <w:bookmarkStart w:id="58" w:name="_Toc34208281"/>
      <w:r w:rsidRPr="00220314">
        <w:rPr>
          <w:color w:val="4472C4" w:themeColor="accent1"/>
          <w:sz w:val="72"/>
          <w:szCs w:val="72"/>
        </w:rPr>
        <w:t>Materials and Methods</w:t>
      </w:r>
      <w:bookmarkEnd w:id="58"/>
    </w:p>
    <w:p w14:paraId="60E0B7D1" w14:textId="27F8AA67" w:rsidR="00220314" w:rsidRDefault="00220314" w:rsidP="00220314"/>
    <w:p w14:paraId="09ADE892" w14:textId="6FBFD086" w:rsidR="00220314" w:rsidRDefault="00220314" w:rsidP="00220314"/>
    <w:p w14:paraId="2CAF9A52" w14:textId="67BFF628" w:rsidR="00220314" w:rsidRDefault="00220314" w:rsidP="00220314"/>
    <w:p w14:paraId="4A53497A" w14:textId="7836AB34" w:rsidR="00220314" w:rsidRDefault="00220314" w:rsidP="00220314"/>
    <w:p w14:paraId="6452DA95" w14:textId="59986729" w:rsidR="00220314" w:rsidRDefault="00220314" w:rsidP="00220314"/>
    <w:p w14:paraId="46BA725A" w14:textId="79C1B418" w:rsidR="00220314" w:rsidRDefault="00220314" w:rsidP="00220314"/>
    <w:p w14:paraId="1726EEEA" w14:textId="4BA83397" w:rsidR="00220314" w:rsidRDefault="00220314" w:rsidP="00220314"/>
    <w:p w14:paraId="0ED0049F" w14:textId="5D4DF64A" w:rsidR="00220314" w:rsidRDefault="00220314" w:rsidP="00220314"/>
    <w:p w14:paraId="12EE6D5F" w14:textId="5FE68BFC" w:rsidR="00220314" w:rsidRDefault="00220314" w:rsidP="00220314"/>
    <w:p w14:paraId="2A951E69" w14:textId="35BC7025" w:rsidR="00220314" w:rsidRDefault="00220314" w:rsidP="00220314"/>
    <w:p w14:paraId="192718A8" w14:textId="0BE99703" w:rsidR="00220314" w:rsidRDefault="00220314" w:rsidP="00220314"/>
    <w:p w14:paraId="1B53077D" w14:textId="5B52FF21" w:rsidR="00220314" w:rsidRDefault="00220314" w:rsidP="00220314"/>
    <w:p w14:paraId="1A128216" w14:textId="31E48B2D" w:rsidR="00220314" w:rsidRDefault="00220314" w:rsidP="00220314"/>
    <w:p w14:paraId="27BC0907" w14:textId="7C2FF936" w:rsidR="00C662DF" w:rsidRDefault="00C662DF" w:rsidP="00220314"/>
    <w:p w14:paraId="57788C25" w14:textId="46A54746" w:rsidR="00C662DF" w:rsidRDefault="00C662DF" w:rsidP="00220314"/>
    <w:p w14:paraId="4DAC2E7B" w14:textId="77777777" w:rsidR="00C662DF" w:rsidRDefault="00C662DF" w:rsidP="00220314"/>
    <w:p w14:paraId="72FC6339" w14:textId="577789DA" w:rsidR="00220314" w:rsidRDefault="00220314" w:rsidP="00220314"/>
    <w:p w14:paraId="33EB6C89" w14:textId="69AF9A3C" w:rsidR="00220314" w:rsidRDefault="00220314" w:rsidP="00220314"/>
    <w:p w14:paraId="247DD2BD" w14:textId="7A6A795F" w:rsidR="0054039C" w:rsidRPr="0054039C" w:rsidRDefault="0054039C" w:rsidP="00615AA9">
      <w:pPr>
        <w:pStyle w:val="Heading2"/>
        <w:rPr>
          <w:rFonts w:ascii="Arial" w:hAnsi="Arial" w:cs="Arial"/>
          <w:b/>
          <w:bCs/>
          <w:color w:val="595959" w:themeColor="text1" w:themeTint="A6"/>
          <w:sz w:val="24"/>
          <w:szCs w:val="24"/>
          <w:lang w:val="en-US"/>
        </w:rPr>
      </w:pPr>
      <w:bookmarkStart w:id="59" w:name="_Toc34208282"/>
      <w:r w:rsidRPr="0054039C">
        <w:rPr>
          <w:rFonts w:ascii="Arial" w:hAnsi="Arial" w:cs="Arial"/>
          <w:b/>
          <w:bCs/>
          <w:color w:val="595959" w:themeColor="text1" w:themeTint="A6"/>
          <w:sz w:val="24"/>
          <w:szCs w:val="24"/>
          <w:lang w:val="en-US"/>
        </w:rPr>
        <w:lastRenderedPageBreak/>
        <w:t>2.1 Materials</w:t>
      </w:r>
      <w:bookmarkEnd w:id="56"/>
      <w:bookmarkEnd w:id="59"/>
    </w:p>
    <w:p w14:paraId="0A0A6C9D" w14:textId="77777777" w:rsidR="0054039C" w:rsidRPr="0054039C" w:rsidRDefault="0054039C" w:rsidP="0054039C">
      <w:pPr>
        <w:jc w:val="both"/>
        <w:rPr>
          <w:lang w:val="en-US"/>
        </w:rPr>
      </w:pPr>
    </w:p>
    <w:p w14:paraId="4CF56F3E" w14:textId="77777777" w:rsidR="0054039C" w:rsidRPr="0054039C" w:rsidRDefault="0054039C" w:rsidP="0054039C">
      <w:pPr>
        <w:spacing w:line="480" w:lineRule="auto"/>
        <w:jc w:val="both"/>
        <w:rPr>
          <w:rFonts w:ascii="Arial" w:hAnsi="Arial" w:cs="Arial"/>
          <w:color w:val="595959" w:themeColor="text1" w:themeTint="A6"/>
          <w:lang w:val="en-US"/>
        </w:rPr>
      </w:pPr>
      <w:r w:rsidRPr="0054039C">
        <w:rPr>
          <w:rFonts w:ascii="Arial" w:hAnsi="Arial" w:cs="Arial"/>
          <w:color w:val="595959" w:themeColor="text1" w:themeTint="A6"/>
        </w:rPr>
        <w:t xml:space="preserve">The following materials have been used in this study. </w:t>
      </w:r>
      <w:r w:rsidRPr="0054039C">
        <w:rPr>
          <w:rFonts w:ascii="Arial" w:hAnsi="Arial" w:cs="Arial"/>
          <w:color w:val="595959" w:themeColor="text1" w:themeTint="A6"/>
          <w:lang w:val="en-US"/>
        </w:rPr>
        <w:t xml:space="preserve">Cell types have been described in detail in the methodology section 2.2.3. </w:t>
      </w:r>
    </w:p>
    <w:p w14:paraId="7EB97DCE" w14:textId="77777777" w:rsidR="0054039C" w:rsidRPr="0054039C" w:rsidRDefault="0054039C" w:rsidP="0054039C">
      <w:pPr>
        <w:spacing w:line="480" w:lineRule="auto"/>
        <w:jc w:val="both"/>
        <w:rPr>
          <w:rFonts w:ascii="Arial" w:hAnsi="Arial" w:cs="Arial"/>
          <w:color w:val="595959" w:themeColor="text1" w:themeTint="A6"/>
          <w:lang w:val="en-US"/>
        </w:rPr>
      </w:pPr>
      <w:r w:rsidRPr="0054039C">
        <w:rPr>
          <w:rFonts w:ascii="Arial" w:hAnsi="Arial" w:cs="Arial"/>
          <w:color w:val="595959" w:themeColor="text1" w:themeTint="A6"/>
          <w:lang w:val="en-US"/>
        </w:rPr>
        <w:t xml:space="preserve"> 2.1.1 Chemicals/reagents</w:t>
      </w:r>
    </w:p>
    <w:p w14:paraId="2D1C3156" w14:textId="77777777" w:rsidR="0054039C" w:rsidRPr="0054039C" w:rsidRDefault="0054039C" w:rsidP="0054039C">
      <w:pPr>
        <w:spacing w:line="480" w:lineRule="auto"/>
        <w:jc w:val="both"/>
        <w:rPr>
          <w:rFonts w:ascii="Arial" w:hAnsi="Arial" w:cs="Arial"/>
          <w:color w:val="595959" w:themeColor="text1" w:themeTint="A6"/>
          <w:lang w:val="en-US"/>
        </w:rPr>
      </w:pPr>
      <w:r w:rsidRPr="0054039C">
        <w:rPr>
          <w:rFonts w:ascii="Arial" w:hAnsi="Arial" w:cs="Arial"/>
          <w:color w:val="595959" w:themeColor="text1" w:themeTint="A6"/>
          <w:lang w:val="en-US"/>
        </w:rPr>
        <w:t>Acetic acid (Fisher Scientific, UK)</w:t>
      </w:r>
    </w:p>
    <w:p w14:paraId="2D9D807E" w14:textId="77777777" w:rsidR="0054039C" w:rsidRPr="0054039C" w:rsidRDefault="0054039C" w:rsidP="0054039C">
      <w:pPr>
        <w:spacing w:line="480" w:lineRule="auto"/>
        <w:jc w:val="both"/>
        <w:rPr>
          <w:rFonts w:ascii="Arial" w:hAnsi="Arial" w:cs="Arial"/>
          <w:color w:val="595959" w:themeColor="text1" w:themeTint="A6"/>
          <w:lang w:val="sv-SE"/>
        </w:rPr>
      </w:pPr>
      <w:r w:rsidRPr="0054039C">
        <w:rPr>
          <w:rFonts w:ascii="Arial" w:hAnsi="Arial" w:cs="Arial"/>
          <w:color w:val="595959" w:themeColor="text1" w:themeTint="A6"/>
          <w:lang w:val="sv-SE"/>
        </w:rPr>
        <w:t>Amphotericin-B (Sigma Aldrich, UK)</w:t>
      </w:r>
    </w:p>
    <w:p w14:paraId="0E5729DC" w14:textId="77777777" w:rsidR="0054039C" w:rsidRPr="0054039C" w:rsidRDefault="0054039C" w:rsidP="0054039C">
      <w:pPr>
        <w:spacing w:line="480" w:lineRule="auto"/>
        <w:jc w:val="both"/>
        <w:rPr>
          <w:rFonts w:ascii="Arial" w:hAnsi="Arial" w:cs="Arial"/>
          <w:color w:val="595959" w:themeColor="text1" w:themeTint="A6"/>
          <w:lang w:val="sv-SE"/>
        </w:rPr>
      </w:pPr>
      <w:r w:rsidRPr="0054039C">
        <w:rPr>
          <w:rFonts w:ascii="Arial" w:hAnsi="Arial" w:cs="Arial"/>
          <w:color w:val="595959" w:themeColor="text1" w:themeTint="A6"/>
          <w:lang w:val="en-US"/>
        </w:rPr>
        <w:t>β</w:t>
      </w:r>
      <w:r w:rsidRPr="0054039C">
        <w:rPr>
          <w:rFonts w:ascii="Arial" w:hAnsi="Arial" w:cs="Arial"/>
          <w:color w:val="595959" w:themeColor="text1" w:themeTint="A6"/>
          <w:lang w:val="sv-SE"/>
        </w:rPr>
        <w:t>-mercaptoethanol (Sigma Aldrich, UK)</w:t>
      </w:r>
    </w:p>
    <w:p w14:paraId="40ED865C" w14:textId="77777777" w:rsidR="0054039C" w:rsidRPr="0054039C" w:rsidRDefault="0054039C" w:rsidP="0054039C">
      <w:pPr>
        <w:spacing w:line="480" w:lineRule="auto"/>
        <w:jc w:val="both"/>
        <w:rPr>
          <w:rFonts w:ascii="Arial" w:hAnsi="Arial" w:cs="Arial"/>
          <w:color w:val="595959" w:themeColor="text1" w:themeTint="A6"/>
          <w:lang w:val="sv-SE"/>
        </w:rPr>
      </w:pPr>
      <w:r w:rsidRPr="0054039C">
        <w:rPr>
          <w:rFonts w:ascii="Arial" w:hAnsi="Arial" w:cs="Arial"/>
          <w:color w:val="595959" w:themeColor="text1" w:themeTint="A6"/>
          <w:lang w:val="sv-SE"/>
        </w:rPr>
        <w:t>Dispase (Corning, USA)</w:t>
      </w:r>
    </w:p>
    <w:p w14:paraId="73483C0E" w14:textId="77777777" w:rsidR="0054039C" w:rsidRPr="0054039C" w:rsidRDefault="0054039C" w:rsidP="0054039C">
      <w:pPr>
        <w:spacing w:line="480" w:lineRule="auto"/>
        <w:jc w:val="both"/>
        <w:rPr>
          <w:rFonts w:ascii="Arial" w:hAnsi="Arial" w:cs="Arial"/>
          <w:color w:val="595959" w:themeColor="text1" w:themeTint="A6"/>
          <w:lang w:val="sv-SE"/>
        </w:rPr>
      </w:pPr>
      <w:r w:rsidRPr="0054039C">
        <w:rPr>
          <w:rFonts w:ascii="Arial" w:hAnsi="Arial" w:cs="Arial"/>
          <w:color w:val="595959" w:themeColor="text1" w:themeTint="A6"/>
          <w:lang w:val="sv-SE"/>
        </w:rPr>
        <w:t>DMEM (low glucose) (Sigma Aldrich, UK)</w:t>
      </w:r>
    </w:p>
    <w:p w14:paraId="3534CD9D" w14:textId="77777777" w:rsidR="0054039C" w:rsidRPr="0054039C" w:rsidRDefault="0054039C" w:rsidP="0054039C">
      <w:pPr>
        <w:spacing w:line="480" w:lineRule="auto"/>
        <w:jc w:val="both"/>
        <w:rPr>
          <w:rFonts w:ascii="Arial" w:hAnsi="Arial" w:cs="Arial"/>
          <w:color w:val="595959" w:themeColor="text1" w:themeTint="A6"/>
          <w:lang w:val="sv-SE"/>
        </w:rPr>
      </w:pPr>
      <w:r w:rsidRPr="0054039C">
        <w:rPr>
          <w:rFonts w:ascii="Arial" w:hAnsi="Arial" w:cs="Arial"/>
          <w:color w:val="595959" w:themeColor="text1" w:themeTint="A6"/>
          <w:lang w:val="sv-SE"/>
        </w:rPr>
        <w:t>DMEM (high glucose) (Sigma Aldrich, UK)</w:t>
      </w:r>
    </w:p>
    <w:p w14:paraId="45C0C27F" w14:textId="77777777" w:rsidR="0054039C" w:rsidRPr="0054039C" w:rsidRDefault="0054039C" w:rsidP="0054039C">
      <w:pPr>
        <w:spacing w:line="480" w:lineRule="auto"/>
        <w:jc w:val="both"/>
        <w:rPr>
          <w:rFonts w:ascii="Arial" w:hAnsi="Arial" w:cs="Arial"/>
          <w:color w:val="595959" w:themeColor="text1" w:themeTint="A6"/>
          <w:lang w:val="sv-SE"/>
        </w:rPr>
      </w:pPr>
      <w:r w:rsidRPr="0054039C">
        <w:rPr>
          <w:rFonts w:ascii="Arial" w:hAnsi="Arial" w:cs="Arial"/>
          <w:color w:val="595959" w:themeColor="text1" w:themeTint="A6"/>
          <w:lang w:val="sv-SE"/>
        </w:rPr>
        <w:t>Foetal bovine serum (Sigma Aldrich, UK)</w:t>
      </w:r>
    </w:p>
    <w:p w14:paraId="0EF26066" w14:textId="77777777" w:rsidR="0054039C" w:rsidRPr="0054039C" w:rsidRDefault="0054039C" w:rsidP="0054039C">
      <w:pPr>
        <w:spacing w:line="480" w:lineRule="auto"/>
        <w:jc w:val="both"/>
        <w:rPr>
          <w:rFonts w:ascii="Arial" w:hAnsi="Arial" w:cs="Arial"/>
          <w:color w:val="595959" w:themeColor="text1" w:themeTint="A6"/>
          <w:lang w:val="sv-SE"/>
        </w:rPr>
      </w:pPr>
      <w:r w:rsidRPr="0054039C">
        <w:rPr>
          <w:rFonts w:ascii="Arial" w:hAnsi="Arial" w:cs="Arial"/>
          <w:color w:val="595959" w:themeColor="text1" w:themeTint="A6"/>
          <w:lang w:val="sv-SE"/>
        </w:rPr>
        <w:t>Formaldehyde (Genta Medical, UK)</w:t>
      </w:r>
    </w:p>
    <w:p w14:paraId="0368EFDE" w14:textId="77777777" w:rsidR="0054039C" w:rsidRPr="0054039C" w:rsidRDefault="0054039C" w:rsidP="0054039C">
      <w:pPr>
        <w:spacing w:line="480" w:lineRule="auto"/>
        <w:jc w:val="both"/>
        <w:rPr>
          <w:rFonts w:ascii="Arial" w:hAnsi="Arial" w:cs="Arial"/>
          <w:color w:val="595959" w:themeColor="text1" w:themeTint="A6"/>
          <w:lang w:val="sv-SE"/>
        </w:rPr>
      </w:pPr>
      <w:r w:rsidRPr="0054039C">
        <w:rPr>
          <w:rFonts w:ascii="Arial" w:hAnsi="Arial" w:cs="Arial"/>
          <w:color w:val="595959" w:themeColor="text1" w:themeTint="A6"/>
          <w:lang w:val="sv-SE"/>
        </w:rPr>
        <w:t>Ham’s F-12 (Sigma Aldrich, UK)</w:t>
      </w:r>
    </w:p>
    <w:p w14:paraId="6BC6BDB6" w14:textId="77777777" w:rsidR="0054039C" w:rsidRPr="0054039C" w:rsidRDefault="0054039C" w:rsidP="0054039C">
      <w:pPr>
        <w:spacing w:line="480" w:lineRule="auto"/>
        <w:jc w:val="both"/>
        <w:rPr>
          <w:rFonts w:ascii="Arial" w:hAnsi="Arial" w:cs="Arial"/>
          <w:color w:val="595959" w:themeColor="text1" w:themeTint="A6"/>
          <w:lang w:val="sv-SE"/>
        </w:rPr>
      </w:pPr>
      <w:r w:rsidRPr="0054039C">
        <w:rPr>
          <w:rFonts w:ascii="Arial" w:hAnsi="Arial" w:cs="Arial"/>
          <w:color w:val="595959" w:themeColor="text1" w:themeTint="A6"/>
          <w:lang w:val="sv-SE"/>
        </w:rPr>
        <w:t>Industrial methylated spirit (ThermoFisher Scientific, UK)</w:t>
      </w:r>
    </w:p>
    <w:p w14:paraId="4268D372" w14:textId="77777777" w:rsidR="0054039C" w:rsidRPr="0054039C" w:rsidRDefault="0054039C" w:rsidP="0054039C">
      <w:pPr>
        <w:spacing w:line="480" w:lineRule="auto"/>
        <w:jc w:val="both"/>
        <w:rPr>
          <w:rFonts w:ascii="Arial" w:hAnsi="Arial" w:cs="Arial"/>
          <w:color w:val="595959" w:themeColor="text1" w:themeTint="A6"/>
          <w:lang w:val="sv-SE"/>
        </w:rPr>
      </w:pPr>
      <w:r w:rsidRPr="0054039C">
        <w:rPr>
          <w:rFonts w:ascii="Arial" w:hAnsi="Arial" w:cs="Arial"/>
          <w:color w:val="595959" w:themeColor="text1" w:themeTint="A6"/>
          <w:lang w:val="sv-SE"/>
        </w:rPr>
        <w:t>Isopropanol (Fisher Scientific, UK)</w:t>
      </w:r>
    </w:p>
    <w:p w14:paraId="4A849EA5" w14:textId="77777777" w:rsidR="0054039C" w:rsidRPr="0054039C" w:rsidRDefault="0054039C" w:rsidP="0054039C">
      <w:pPr>
        <w:spacing w:line="480" w:lineRule="auto"/>
        <w:jc w:val="both"/>
        <w:rPr>
          <w:rFonts w:ascii="Arial" w:hAnsi="Arial" w:cs="Arial"/>
          <w:color w:val="595959" w:themeColor="text1" w:themeTint="A6"/>
          <w:lang w:val="sv-SE"/>
        </w:rPr>
      </w:pPr>
      <w:r w:rsidRPr="0054039C">
        <w:rPr>
          <w:rFonts w:ascii="Arial" w:hAnsi="Arial" w:cs="Arial"/>
          <w:color w:val="595959" w:themeColor="text1" w:themeTint="A6"/>
          <w:lang w:val="sv-SE"/>
        </w:rPr>
        <w:t>L-glutamine (Sigma Aldrich, UK)</w:t>
      </w:r>
    </w:p>
    <w:p w14:paraId="5CC6FECD" w14:textId="77777777" w:rsidR="0054039C" w:rsidRPr="0054039C" w:rsidRDefault="0054039C" w:rsidP="0054039C">
      <w:pPr>
        <w:spacing w:line="480" w:lineRule="auto"/>
        <w:jc w:val="both"/>
        <w:rPr>
          <w:rFonts w:ascii="Arial" w:hAnsi="Arial" w:cs="Arial"/>
          <w:color w:val="595959" w:themeColor="text1" w:themeTint="A6"/>
          <w:lang w:val="sv-SE"/>
        </w:rPr>
      </w:pPr>
      <w:r w:rsidRPr="0054039C">
        <w:rPr>
          <w:rFonts w:ascii="Arial" w:hAnsi="Arial" w:cs="Arial"/>
          <w:color w:val="595959" w:themeColor="text1" w:themeTint="A6"/>
          <w:lang w:val="sv-SE"/>
        </w:rPr>
        <w:t>Nitrocellulose membrane (Millipore, UK)</w:t>
      </w:r>
    </w:p>
    <w:p w14:paraId="5929D6A9" w14:textId="77777777" w:rsidR="0054039C" w:rsidRPr="0054039C" w:rsidRDefault="0054039C" w:rsidP="0054039C">
      <w:pPr>
        <w:spacing w:line="480" w:lineRule="auto"/>
        <w:jc w:val="both"/>
        <w:rPr>
          <w:rFonts w:ascii="Arial" w:hAnsi="Arial" w:cs="Arial"/>
          <w:color w:val="595959" w:themeColor="text1" w:themeTint="A6"/>
          <w:lang w:val="sv-SE"/>
        </w:rPr>
      </w:pPr>
      <w:r w:rsidRPr="0054039C">
        <w:rPr>
          <w:rFonts w:ascii="Arial" w:hAnsi="Arial" w:cs="Arial"/>
          <w:color w:val="595959" w:themeColor="text1" w:themeTint="A6"/>
          <w:lang w:val="sv-SE"/>
        </w:rPr>
        <w:t>NuPAGE® tris Acetate gel (Life-Technologies, UK)</w:t>
      </w:r>
    </w:p>
    <w:p w14:paraId="351D0995" w14:textId="77777777" w:rsidR="0054039C" w:rsidRPr="0054039C" w:rsidRDefault="0054039C" w:rsidP="0054039C">
      <w:pPr>
        <w:spacing w:line="480" w:lineRule="auto"/>
        <w:jc w:val="both"/>
        <w:rPr>
          <w:rFonts w:ascii="Arial" w:hAnsi="Arial" w:cs="Arial"/>
          <w:color w:val="595959" w:themeColor="text1" w:themeTint="A6"/>
          <w:lang w:val="sv-SE"/>
        </w:rPr>
      </w:pPr>
      <w:r w:rsidRPr="0054039C">
        <w:rPr>
          <w:rFonts w:ascii="Arial" w:hAnsi="Arial" w:cs="Arial"/>
          <w:color w:val="595959" w:themeColor="text1" w:themeTint="A6"/>
          <w:lang w:val="sv-SE"/>
        </w:rPr>
        <w:t>Methanol (Sigma, UK)</w:t>
      </w:r>
    </w:p>
    <w:p w14:paraId="36055A18" w14:textId="77777777" w:rsidR="0054039C" w:rsidRPr="0054039C" w:rsidRDefault="0054039C" w:rsidP="0054039C">
      <w:pPr>
        <w:spacing w:line="480" w:lineRule="auto"/>
        <w:jc w:val="both"/>
        <w:rPr>
          <w:rFonts w:ascii="Arial" w:hAnsi="Arial" w:cs="Arial"/>
          <w:color w:val="595959" w:themeColor="text1" w:themeTint="A6"/>
          <w:lang w:val="sv-SE"/>
        </w:rPr>
      </w:pPr>
      <w:r w:rsidRPr="0054039C">
        <w:rPr>
          <w:rFonts w:ascii="Arial" w:hAnsi="Arial" w:cs="Arial"/>
          <w:color w:val="595959" w:themeColor="text1" w:themeTint="A6"/>
          <w:lang w:val="sv-SE"/>
        </w:rPr>
        <w:t>Paraffin wax (Paraplast, UK)</w:t>
      </w:r>
    </w:p>
    <w:p w14:paraId="065E10B5" w14:textId="77777777" w:rsidR="0054039C" w:rsidRPr="0054039C" w:rsidRDefault="0054039C" w:rsidP="0054039C">
      <w:pPr>
        <w:spacing w:line="480" w:lineRule="auto"/>
        <w:jc w:val="both"/>
        <w:rPr>
          <w:rFonts w:ascii="Arial" w:hAnsi="Arial" w:cs="Arial"/>
          <w:color w:val="595959" w:themeColor="text1" w:themeTint="A6"/>
          <w:lang w:val="sv-SE"/>
        </w:rPr>
      </w:pPr>
      <w:r w:rsidRPr="0054039C">
        <w:rPr>
          <w:rFonts w:ascii="Arial" w:hAnsi="Arial" w:cs="Arial"/>
          <w:color w:val="595959" w:themeColor="text1" w:themeTint="A6"/>
          <w:lang w:val="sv-SE"/>
        </w:rPr>
        <w:t>Penicillin/ streptomycin (Sigma Aldrich, UK)</w:t>
      </w:r>
    </w:p>
    <w:p w14:paraId="61B395E4" w14:textId="77777777" w:rsidR="0054039C" w:rsidRPr="0054039C" w:rsidRDefault="0054039C" w:rsidP="0054039C">
      <w:pPr>
        <w:spacing w:line="480" w:lineRule="auto"/>
        <w:jc w:val="both"/>
        <w:rPr>
          <w:rFonts w:ascii="Arial" w:hAnsi="Arial" w:cs="Arial"/>
          <w:color w:val="595959" w:themeColor="text1" w:themeTint="A6"/>
          <w:lang w:val="sv-SE"/>
        </w:rPr>
      </w:pPr>
      <w:r w:rsidRPr="0054039C">
        <w:rPr>
          <w:rFonts w:ascii="Arial" w:hAnsi="Arial" w:cs="Arial"/>
          <w:color w:val="595959" w:themeColor="text1" w:themeTint="A6"/>
          <w:lang w:val="sv-SE"/>
        </w:rPr>
        <w:lastRenderedPageBreak/>
        <w:t>Poly-L-lysine Solution (0.01%) (Sigma Aldrich, UK)</w:t>
      </w:r>
    </w:p>
    <w:p w14:paraId="418A3720" w14:textId="77777777" w:rsidR="0054039C" w:rsidRPr="0054039C" w:rsidRDefault="0054039C" w:rsidP="0054039C">
      <w:pPr>
        <w:spacing w:line="480" w:lineRule="auto"/>
        <w:jc w:val="both"/>
        <w:rPr>
          <w:rFonts w:ascii="Arial" w:hAnsi="Arial" w:cs="Arial"/>
          <w:color w:val="595959" w:themeColor="text1" w:themeTint="A6"/>
        </w:rPr>
      </w:pPr>
      <w:r w:rsidRPr="0054039C">
        <w:rPr>
          <w:rFonts w:ascii="Arial" w:hAnsi="Arial" w:cs="Arial"/>
          <w:color w:val="595959" w:themeColor="text1" w:themeTint="A6"/>
          <w:lang w:val="en-US"/>
        </w:rPr>
        <w:t>PrestoBlue</w:t>
      </w:r>
      <w:r w:rsidRPr="0054039C">
        <w:rPr>
          <w:rFonts w:ascii="Arial" w:hAnsi="Arial" w:cs="Arial"/>
          <w:color w:val="595959" w:themeColor="text1" w:themeTint="A6"/>
        </w:rPr>
        <w:t>®</w:t>
      </w:r>
      <w:r w:rsidRPr="0054039C">
        <w:rPr>
          <w:rFonts w:ascii="Arial" w:hAnsi="Arial" w:cs="Arial"/>
          <w:color w:val="595959" w:themeColor="text1" w:themeTint="A6"/>
          <w:lang w:val="en-US"/>
        </w:rPr>
        <w:t xml:space="preserve"> Cell Viability reagent (Life technologies, UK)</w:t>
      </w:r>
    </w:p>
    <w:p w14:paraId="6E71A4A8" w14:textId="77777777" w:rsidR="0054039C" w:rsidRPr="0054039C" w:rsidRDefault="0054039C" w:rsidP="0054039C">
      <w:pPr>
        <w:spacing w:line="480" w:lineRule="auto"/>
        <w:jc w:val="both"/>
        <w:rPr>
          <w:rFonts w:ascii="Arial" w:hAnsi="Arial" w:cs="Arial"/>
          <w:color w:val="595959" w:themeColor="text1" w:themeTint="A6"/>
        </w:rPr>
      </w:pPr>
      <w:r w:rsidRPr="0054039C">
        <w:rPr>
          <w:rFonts w:ascii="Arial" w:hAnsi="Arial" w:cs="Arial"/>
          <w:color w:val="595959" w:themeColor="text1" w:themeTint="A6"/>
        </w:rPr>
        <w:t>Primers (Sigma Aldrich, UK)</w:t>
      </w:r>
    </w:p>
    <w:p w14:paraId="18C6BFAA" w14:textId="77777777" w:rsidR="0054039C" w:rsidRPr="0054039C" w:rsidRDefault="0054039C" w:rsidP="0054039C">
      <w:pPr>
        <w:spacing w:line="480" w:lineRule="auto"/>
        <w:jc w:val="both"/>
        <w:rPr>
          <w:rFonts w:ascii="Arial" w:hAnsi="Arial" w:cs="Arial"/>
          <w:color w:val="595959" w:themeColor="text1" w:themeTint="A6"/>
          <w:shd w:val="clear" w:color="auto" w:fill="FFFFFF"/>
          <w:lang w:val="en-US"/>
        </w:rPr>
      </w:pPr>
      <w:r w:rsidRPr="0054039C">
        <w:rPr>
          <w:rFonts w:ascii="Arial" w:hAnsi="Arial" w:cs="Arial"/>
          <w:color w:val="595959" w:themeColor="text1" w:themeTint="A6"/>
          <w:shd w:val="clear" w:color="auto" w:fill="FFFFFF"/>
          <w:lang w:val="en-US"/>
        </w:rPr>
        <w:t>Prolong gold DAPI containing mountant (ThermoFisher Scientific, UK)</w:t>
      </w:r>
    </w:p>
    <w:p w14:paraId="1BB38F56" w14:textId="77777777" w:rsidR="0054039C" w:rsidRPr="0054039C" w:rsidRDefault="0054039C" w:rsidP="0054039C">
      <w:pPr>
        <w:spacing w:line="480" w:lineRule="auto"/>
        <w:jc w:val="both"/>
        <w:rPr>
          <w:rFonts w:ascii="Arial" w:hAnsi="Arial" w:cs="Arial"/>
          <w:color w:val="595959" w:themeColor="text1" w:themeTint="A6"/>
          <w:lang w:val="en-US"/>
        </w:rPr>
      </w:pPr>
      <w:r w:rsidRPr="0054039C">
        <w:rPr>
          <w:rFonts w:ascii="Arial" w:hAnsi="Arial" w:cs="Arial"/>
          <w:color w:val="595959" w:themeColor="text1" w:themeTint="A6"/>
          <w:lang w:val="en-US"/>
        </w:rPr>
        <w:t>Protein-free blocking solution (Dako, Denmark)</w:t>
      </w:r>
    </w:p>
    <w:p w14:paraId="528EA105" w14:textId="77777777" w:rsidR="0054039C" w:rsidRPr="0054039C" w:rsidRDefault="0054039C" w:rsidP="0054039C">
      <w:pPr>
        <w:spacing w:line="480" w:lineRule="auto"/>
        <w:jc w:val="both"/>
        <w:rPr>
          <w:rFonts w:ascii="Arial" w:hAnsi="Arial" w:cs="Arial"/>
          <w:color w:val="595959" w:themeColor="text1" w:themeTint="A6"/>
          <w:lang w:val="en-US"/>
        </w:rPr>
      </w:pPr>
      <w:r w:rsidRPr="0054039C">
        <w:rPr>
          <w:rFonts w:ascii="Arial" w:hAnsi="Arial" w:cs="Arial"/>
          <w:color w:val="595959" w:themeColor="text1" w:themeTint="A6"/>
          <w:lang w:val="en-US"/>
        </w:rPr>
        <w:t>Roche Complete Protease Inhibitor (Sigma Aldrich, UK)</w:t>
      </w:r>
    </w:p>
    <w:p w14:paraId="44C4214C" w14:textId="77777777" w:rsidR="0054039C" w:rsidRPr="0054039C" w:rsidRDefault="0054039C" w:rsidP="0054039C">
      <w:pPr>
        <w:spacing w:line="480" w:lineRule="auto"/>
        <w:jc w:val="both"/>
        <w:rPr>
          <w:rFonts w:ascii="Arial" w:hAnsi="Arial" w:cs="Arial"/>
          <w:color w:val="595959" w:themeColor="text1" w:themeTint="A6"/>
          <w:lang w:val="sv-SE"/>
        </w:rPr>
      </w:pPr>
      <w:r w:rsidRPr="0054039C">
        <w:rPr>
          <w:rFonts w:ascii="Arial" w:hAnsi="Arial" w:cs="Arial"/>
          <w:color w:val="595959" w:themeColor="text1" w:themeTint="A6"/>
          <w:lang w:val="sv-SE"/>
        </w:rPr>
        <w:t>Tri-reagent (Sigma Aldrich, UK)</w:t>
      </w:r>
    </w:p>
    <w:p w14:paraId="333E2A57" w14:textId="77777777" w:rsidR="0054039C" w:rsidRPr="0054039C" w:rsidRDefault="0054039C" w:rsidP="0054039C">
      <w:pPr>
        <w:spacing w:line="480" w:lineRule="auto"/>
        <w:jc w:val="both"/>
        <w:rPr>
          <w:rFonts w:ascii="Arial" w:hAnsi="Arial" w:cs="Arial"/>
          <w:color w:val="595959" w:themeColor="text1" w:themeTint="A6"/>
        </w:rPr>
      </w:pPr>
      <w:r w:rsidRPr="0054039C">
        <w:rPr>
          <w:rFonts w:ascii="Arial" w:hAnsi="Arial" w:cs="Arial"/>
          <w:color w:val="595959" w:themeColor="text1" w:themeTint="A6"/>
        </w:rPr>
        <w:t>Tris-acetate running buffer (Life-Technologies, UK)</w:t>
      </w:r>
    </w:p>
    <w:p w14:paraId="72EB1B40" w14:textId="77777777" w:rsidR="0054039C" w:rsidRPr="0054039C" w:rsidRDefault="0054039C" w:rsidP="0054039C">
      <w:pPr>
        <w:spacing w:line="480" w:lineRule="auto"/>
        <w:jc w:val="both"/>
        <w:rPr>
          <w:rFonts w:ascii="Arial" w:hAnsi="Arial" w:cs="Arial"/>
          <w:color w:val="595959" w:themeColor="text1" w:themeTint="A6"/>
          <w:lang w:val="sv-SE"/>
        </w:rPr>
      </w:pPr>
      <w:r w:rsidRPr="0054039C">
        <w:rPr>
          <w:rFonts w:ascii="Arial" w:hAnsi="Arial" w:cs="Arial"/>
          <w:color w:val="595959"/>
          <w:bdr w:val="none" w:sz="0" w:space="0" w:color="auto" w:frame="1"/>
          <w:lang w:val="sv-SE"/>
        </w:rPr>
        <w:t xml:space="preserve">Trypsin/EDTA </w:t>
      </w:r>
      <w:r w:rsidRPr="0054039C">
        <w:rPr>
          <w:rFonts w:ascii="Arial" w:hAnsi="Arial" w:cs="Arial"/>
          <w:color w:val="595959" w:themeColor="text1" w:themeTint="A6"/>
          <w:lang w:val="sv-SE"/>
        </w:rPr>
        <w:t>(Sigma Aldrich, UK)</w:t>
      </w:r>
    </w:p>
    <w:p w14:paraId="408169AD" w14:textId="77777777" w:rsidR="0054039C" w:rsidRPr="0054039C" w:rsidRDefault="0054039C" w:rsidP="0054039C">
      <w:pPr>
        <w:spacing w:line="480" w:lineRule="auto"/>
        <w:jc w:val="both"/>
        <w:rPr>
          <w:rFonts w:ascii="Arial" w:hAnsi="Arial" w:cs="Arial"/>
          <w:color w:val="595959" w:themeColor="text1" w:themeTint="A6"/>
        </w:rPr>
      </w:pPr>
      <w:r w:rsidRPr="0054039C">
        <w:rPr>
          <w:rFonts w:ascii="Arial" w:hAnsi="Arial" w:cs="Arial"/>
          <w:color w:val="595959" w:themeColor="text1" w:themeTint="A6"/>
          <w:lang w:val="en-US"/>
        </w:rPr>
        <w:t>Re-Blot Plus Western Blot Strong Antibody Stripping Solutions (Millipore, Merck, UK)</w:t>
      </w:r>
    </w:p>
    <w:p w14:paraId="3FBFDC67" w14:textId="77777777" w:rsidR="0054039C" w:rsidRPr="0054039C" w:rsidRDefault="0054039C" w:rsidP="0054039C">
      <w:pPr>
        <w:spacing w:line="480" w:lineRule="auto"/>
        <w:jc w:val="both"/>
        <w:rPr>
          <w:rFonts w:ascii="Arial" w:hAnsi="Arial" w:cs="Arial"/>
          <w:color w:val="595959" w:themeColor="text1" w:themeTint="A6"/>
        </w:rPr>
      </w:pPr>
    </w:p>
    <w:p w14:paraId="034C78B8" w14:textId="77777777" w:rsidR="00615AA9" w:rsidRDefault="0054039C" w:rsidP="00615AA9">
      <w:pPr>
        <w:pStyle w:val="Heading3"/>
        <w:rPr>
          <w:rFonts w:ascii="Arial" w:hAnsi="Arial" w:cs="Arial"/>
          <w:i/>
          <w:iCs/>
          <w:color w:val="595959" w:themeColor="text1" w:themeTint="A6"/>
          <w:lang w:val="en-US"/>
        </w:rPr>
      </w:pPr>
      <w:bookmarkStart w:id="60" w:name="_Toc34208283"/>
      <w:r w:rsidRPr="00615AA9">
        <w:rPr>
          <w:rFonts w:ascii="Arial" w:hAnsi="Arial" w:cs="Arial"/>
          <w:i/>
          <w:iCs/>
          <w:color w:val="595959" w:themeColor="text1" w:themeTint="A6"/>
          <w:lang w:val="en-US"/>
        </w:rPr>
        <w:t>2.1.2 Growth factors and inhibitors</w:t>
      </w:r>
      <w:bookmarkEnd w:id="60"/>
    </w:p>
    <w:p w14:paraId="3E772AFE" w14:textId="798520E9" w:rsidR="0054039C" w:rsidRPr="00615AA9" w:rsidRDefault="0054039C" w:rsidP="00615AA9">
      <w:pPr>
        <w:pStyle w:val="Heading3"/>
        <w:rPr>
          <w:rFonts w:ascii="Arial" w:hAnsi="Arial" w:cs="Arial"/>
          <w:i/>
          <w:iCs/>
          <w:color w:val="595959" w:themeColor="text1" w:themeTint="A6"/>
          <w:lang w:val="en-US"/>
        </w:rPr>
      </w:pPr>
      <w:r w:rsidRPr="00615AA9">
        <w:rPr>
          <w:rFonts w:ascii="Arial" w:hAnsi="Arial" w:cs="Arial"/>
          <w:i/>
          <w:iCs/>
          <w:color w:val="595959" w:themeColor="text1" w:themeTint="A6"/>
          <w:lang w:val="en-US"/>
        </w:rPr>
        <w:t xml:space="preserve"> </w:t>
      </w:r>
    </w:p>
    <w:p w14:paraId="7CB9285D" w14:textId="77777777" w:rsidR="0054039C" w:rsidRPr="0054039C" w:rsidRDefault="0054039C" w:rsidP="0054039C">
      <w:pPr>
        <w:spacing w:line="480" w:lineRule="auto"/>
        <w:rPr>
          <w:rFonts w:ascii="Arial" w:hAnsi="Arial" w:cs="Arial"/>
          <w:color w:val="595959" w:themeColor="text1" w:themeTint="A6"/>
          <w:lang w:val="en-US"/>
        </w:rPr>
      </w:pPr>
      <w:r w:rsidRPr="0054039C">
        <w:rPr>
          <w:rFonts w:ascii="Arial" w:hAnsi="Arial" w:cs="Arial"/>
          <w:color w:val="595959" w:themeColor="text1" w:themeTint="A6"/>
          <w:lang w:val="en-US"/>
        </w:rPr>
        <w:t>Batimastat (Sigma-Aldrich, UK)</w:t>
      </w:r>
    </w:p>
    <w:p w14:paraId="664E6CAC" w14:textId="77777777" w:rsidR="0054039C" w:rsidRPr="0054039C" w:rsidRDefault="0054039C" w:rsidP="0054039C">
      <w:pPr>
        <w:spacing w:line="480" w:lineRule="auto"/>
        <w:rPr>
          <w:rFonts w:ascii="Arial" w:hAnsi="Arial" w:cs="Arial"/>
          <w:color w:val="595959" w:themeColor="text1" w:themeTint="A6"/>
          <w:lang w:val="en-US"/>
        </w:rPr>
      </w:pPr>
      <w:r w:rsidRPr="0054039C">
        <w:rPr>
          <w:rFonts w:ascii="Arial" w:hAnsi="Arial" w:cs="Arial"/>
          <w:color w:val="595959" w:themeColor="text1" w:themeTint="A6"/>
          <w:lang w:val="en-US"/>
        </w:rPr>
        <w:t>Basic fibroblast growth factor (bFGF) (Invitrogen, UK)</w:t>
      </w:r>
    </w:p>
    <w:p w14:paraId="69ABEA1C" w14:textId="77777777" w:rsidR="0054039C" w:rsidRPr="0054039C" w:rsidRDefault="0054039C" w:rsidP="0054039C">
      <w:pPr>
        <w:spacing w:line="480" w:lineRule="auto"/>
        <w:rPr>
          <w:rFonts w:ascii="Arial" w:hAnsi="Arial" w:cs="Arial"/>
          <w:color w:val="595959" w:themeColor="text1" w:themeTint="A6"/>
          <w:lang w:val="en-US"/>
        </w:rPr>
      </w:pPr>
      <w:r w:rsidRPr="0054039C">
        <w:rPr>
          <w:rFonts w:ascii="Arial" w:hAnsi="Arial" w:cs="Arial"/>
          <w:color w:val="595959" w:themeColor="text1" w:themeTint="A6"/>
          <w:lang w:val="en-US"/>
        </w:rPr>
        <w:t>Epidermal growth factor (EGF) (Invitrogen, UK)</w:t>
      </w:r>
    </w:p>
    <w:p w14:paraId="03411608" w14:textId="77777777" w:rsidR="0054039C" w:rsidRPr="0054039C" w:rsidRDefault="0054039C" w:rsidP="0054039C">
      <w:pPr>
        <w:spacing w:line="480" w:lineRule="auto"/>
        <w:rPr>
          <w:rFonts w:ascii="Arial" w:hAnsi="Arial" w:cs="Arial"/>
          <w:color w:val="595959" w:themeColor="text1" w:themeTint="A6"/>
          <w:lang w:val="nl-NL"/>
        </w:rPr>
      </w:pPr>
      <w:r w:rsidRPr="0054039C">
        <w:rPr>
          <w:rFonts w:ascii="Arial" w:hAnsi="Arial" w:cs="Arial"/>
          <w:color w:val="595959" w:themeColor="text1" w:themeTint="A6"/>
          <w:lang w:val="nl-NL"/>
        </w:rPr>
        <w:t>Scriptaid (Sigma-Aldrich, UK)</w:t>
      </w:r>
    </w:p>
    <w:p w14:paraId="72F6ECEC" w14:textId="77777777" w:rsidR="0054039C" w:rsidRPr="0054039C" w:rsidRDefault="0054039C" w:rsidP="0054039C">
      <w:pPr>
        <w:spacing w:line="480" w:lineRule="auto"/>
        <w:rPr>
          <w:rFonts w:ascii="Arial" w:hAnsi="Arial" w:cs="Arial"/>
          <w:color w:val="595959" w:themeColor="text1" w:themeTint="A6"/>
          <w:lang w:val="nl-NL"/>
        </w:rPr>
      </w:pPr>
      <w:r w:rsidRPr="0054039C">
        <w:rPr>
          <w:rFonts w:ascii="Arial" w:hAnsi="Arial" w:cs="Arial"/>
          <w:color w:val="595959" w:themeColor="text1" w:themeTint="A6"/>
          <w:lang w:val="nl-NL"/>
        </w:rPr>
        <w:t>TGF</w:t>
      </w:r>
      <w:r w:rsidRPr="0054039C">
        <w:rPr>
          <w:rFonts w:ascii="Arial" w:hAnsi="Arial" w:cs="Arial"/>
          <w:color w:val="595959" w:themeColor="text1" w:themeTint="A6"/>
          <w:lang w:val="en-US"/>
        </w:rPr>
        <w:t>β</w:t>
      </w:r>
      <w:r w:rsidRPr="0054039C">
        <w:rPr>
          <w:rFonts w:ascii="Arial" w:hAnsi="Arial" w:cs="Arial"/>
          <w:color w:val="595959" w:themeColor="text1" w:themeTint="A6"/>
          <w:lang w:val="nl-NL"/>
        </w:rPr>
        <w:t>-1 (R&amp;D systems, UK)</w:t>
      </w:r>
    </w:p>
    <w:p w14:paraId="05EC0689" w14:textId="77777777" w:rsidR="0054039C" w:rsidRPr="0054039C" w:rsidRDefault="0054039C" w:rsidP="0054039C">
      <w:pPr>
        <w:spacing w:line="480" w:lineRule="auto"/>
        <w:rPr>
          <w:rFonts w:ascii="Arial" w:hAnsi="Arial" w:cs="Arial"/>
          <w:color w:val="595959" w:themeColor="text1" w:themeTint="A6"/>
          <w:lang w:val="nl-NL"/>
        </w:rPr>
      </w:pPr>
    </w:p>
    <w:p w14:paraId="25A9DD66" w14:textId="77777777" w:rsidR="00297663" w:rsidRDefault="0054039C" w:rsidP="00297663">
      <w:pPr>
        <w:pStyle w:val="Heading3"/>
        <w:rPr>
          <w:rFonts w:ascii="Arial" w:hAnsi="Arial" w:cs="Arial"/>
          <w:i/>
          <w:iCs/>
          <w:color w:val="595959" w:themeColor="text1" w:themeTint="A6"/>
          <w:lang w:val="en-US"/>
        </w:rPr>
      </w:pPr>
      <w:bookmarkStart w:id="61" w:name="_Toc34208284"/>
      <w:r w:rsidRPr="00297663">
        <w:rPr>
          <w:rFonts w:ascii="Arial" w:hAnsi="Arial" w:cs="Arial"/>
          <w:i/>
          <w:iCs/>
          <w:color w:val="595959" w:themeColor="text1" w:themeTint="A6"/>
          <w:lang w:val="en-US"/>
        </w:rPr>
        <w:t>2.1.3 Kits</w:t>
      </w:r>
      <w:bookmarkEnd w:id="61"/>
    </w:p>
    <w:p w14:paraId="4AC3766F" w14:textId="14BCAF9D" w:rsidR="0054039C" w:rsidRPr="00297663" w:rsidRDefault="0054039C" w:rsidP="00297663">
      <w:pPr>
        <w:pStyle w:val="Heading3"/>
        <w:rPr>
          <w:rFonts w:ascii="Arial" w:hAnsi="Arial" w:cs="Arial"/>
          <w:i/>
          <w:iCs/>
          <w:color w:val="595959" w:themeColor="text1" w:themeTint="A6"/>
          <w:lang w:val="en-US"/>
        </w:rPr>
      </w:pPr>
      <w:r w:rsidRPr="00297663">
        <w:rPr>
          <w:rFonts w:ascii="Arial" w:hAnsi="Arial" w:cs="Arial"/>
          <w:i/>
          <w:iCs/>
          <w:color w:val="595959" w:themeColor="text1" w:themeTint="A6"/>
          <w:lang w:val="en-US"/>
        </w:rPr>
        <w:t xml:space="preserve"> </w:t>
      </w:r>
    </w:p>
    <w:p w14:paraId="47A350CC" w14:textId="77777777" w:rsidR="0054039C" w:rsidRPr="0054039C" w:rsidRDefault="0054039C" w:rsidP="0054039C">
      <w:pPr>
        <w:spacing w:line="480" w:lineRule="auto"/>
        <w:rPr>
          <w:rFonts w:ascii="Arial" w:hAnsi="Arial" w:cs="Arial"/>
          <w:color w:val="595959" w:themeColor="text1" w:themeTint="A6"/>
          <w:lang w:val="en-US"/>
        </w:rPr>
      </w:pPr>
      <w:r w:rsidRPr="0054039C">
        <w:rPr>
          <w:rFonts w:ascii="Arial" w:hAnsi="Arial" w:cs="Arial"/>
          <w:color w:val="595959" w:themeColor="text1" w:themeTint="A6"/>
          <w:lang w:val="en-US"/>
        </w:rPr>
        <w:t xml:space="preserve">The following kits were used in accordance to manufacturer’s instructions: </w:t>
      </w:r>
    </w:p>
    <w:p w14:paraId="5F5F7F18" w14:textId="77777777" w:rsidR="0054039C" w:rsidRPr="0054039C" w:rsidRDefault="0054039C" w:rsidP="0054039C">
      <w:pPr>
        <w:spacing w:line="480" w:lineRule="auto"/>
        <w:rPr>
          <w:rFonts w:ascii="Arial" w:hAnsi="Arial" w:cs="Arial"/>
          <w:color w:val="595959" w:themeColor="text1" w:themeTint="A6"/>
          <w:lang w:val="en-US"/>
        </w:rPr>
      </w:pPr>
      <w:r w:rsidRPr="0054039C">
        <w:rPr>
          <w:rFonts w:ascii="Arial" w:hAnsi="Arial" w:cs="Arial"/>
          <w:color w:val="595959" w:themeColor="text1" w:themeTint="A6"/>
          <w:lang w:val="en-US"/>
        </w:rPr>
        <w:t xml:space="preserve">Bicinchoninic acid (BCA) assay kit (ThermoFisher Scientific, UK) </w:t>
      </w:r>
    </w:p>
    <w:p w14:paraId="6D9BA584" w14:textId="77777777" w:rsidR="0054039C" w:rsidRPr="0054039C" w:rsidRDefault="0054039C" w:rsidP="0054039C">
      <w:pPr>
        <w:spacing w:line="480" w:lineRule="auto"/>
        <w:rPr>
          <w:rFonts w:ascii="Arial" w:hAnsi="Arial" w:cs="Arial"/>
          <w:color w:val="595959" w:themeColor="text1" w:themeTint="A6"/>
          <w:lang w:val="es-ES_tradnl"/>
        </w:rPr>
      </w:pPr>
      <w:r w:rsidRPr="0054039C">
        <w:rPr>
          <w:rFonts w:ascii="Arial" w:hAnsi="Arial" w:cs="Arial"/>
          <w:color w:val="595959" w:themeColor="text1" w:themeTint="A6"/>
          <w:lang w:val="es-ES_tradnl"/>
        </w:rPr>
        <w:lastRenderedPageBreak/>
        <w:t xml:space="preserve">3,3'-Diaminobenzidine (DAB) Peroxidase (HRP) Substrate (Vector Laboratories Ltd, UK) </w:t>
      </w:r>
    </w:p>
    <w:p w14:paraId="0729A514" w14:textId="77777777" w:rsidR="0054039C" w:rsidRPr="0054039C" w:rsidRDefault="0054039C" w:rsidP="0054039C">
      <w:pPr>
        <w:spacing w:line="480" w:lineRule="auto"/>
        <w:rPr>
          <w:rFonts w:ascii="Arial" w:hAnsi="Arial" w:cs="Arial"/>
          <w:color w:val="595959" w:themeColor="text1" w:themeTint="A6"/>
          <w:lang w:val="es-ES_tradnl"/>
        </w:rPr>
      </w:pPr>
      <w:r w:rsidRPr="0054039C">
        <w:rPr>
          <w:rFonts w:ascii="Arial" w:hAnsi="Arial" w:cs="Arial"/>
          <w:color w:val="595959" w:themeColor="text1" w:themeTint="A6"/>
          <w:lang w:val="es-ES_tradnl"/>
        </w:rPr>
        <w:t>Enhanced chemiluminescent (ECL) Western Blotting Substrate (Pierce, UK).</w:t>
      </w:r>
    </w:p>
    <w:p w14:paraId="63AEA7EF" w14:textId="77777777" w:rsidR="0054039C" w:rsidRPr="0054039C" w:rsidRDefault="0054039C" w:rsidP="0054039C">
      <w:pPr>
        <w:spacing w:line="480" w:lineRule="auto"/>
        <w:rPr>
          <w:rFonts w:ascii="Arial" w:hAnsi="Arial" w:cs="Arial"/>
          <w:color w:val="595959" w:themeColor="text1" w:themeTint="A6"/>
          <w:lang w:val="es-ES_tradnl"/>
        </w:rPr>
      </w:pPr>
      <w:r w:rsidRPr="0054039C">
        <w:rPr>
          <w:rFonts w:ascii="Arial" w:hAnsi="Arial" w:cs="Arial"/>
          <w:color w:val="595959" w:themeColor="text1" w:themeTint="A6"/>
          <w:lang w:val="es-ES_tradnl"/>
        </w:rPr>
        <w:t>EZ- PCR mycoplasma kit (GeneFlow, UK)</w:t>
      </w:r>
    </w:p>
    <w:p w14:paraId="3E6D7A74" w14:textId="77777777" w:rsidR="0054039C" w:rsidRPr="0054039C" w:rsidRDefault="0054039C" w:rsidP="0054039C">
      <w:pPr>
        <w:spacing w:line="480" w:lineRule="auto"/>
        <w:rPr>
          <w:rFonts w:ascii="Arial" w:hAnsi="Arial" w:cs="Arial"/>
          <w:color w:val="595959" w:themeColor="text1" w:themeTint="A6"/>
        </w:rPr>
      </w:pPr>
      <w:r w:rsidRPr="0054039C">
        <w:rPr>
          <w:rFonts w:ascii="Arial" w:hAnsi="Arial" w:cs="Arial"/>
          <w:color w:val="595959" w:themeColor="text1" w:themeTint="A6"/>
          <w:lang w:val="en-US"/>
        </w:rPr>
        <w:t>High Capacity cDNA Reverse Transcription kit (Applied Biosystems, UK)</w:t>
      </w:r>
    </w:p>
    <w:p w14:paraId="08FF8CEF" w14:textId="77777777" w:rsidR="0054039C" w:rsidRPr="0054039C" w:rsidRDefault="0054039C" w:rsidP="0054039C">
      <w:pPr>
        <w:spacing w:line="480" w:lineRule="auto"/>
        <w:rPr>
          <w:rFonts w:ascii="Arial" w:hAnsi="Arial" w:cs="Arial"/>
          <w:color w:val="595959" w:themeColor="text1" w:themeTint="A6"/>
        </w:rPr>
      </w:pPr>
      <w:r w:rsidRPr="0054039C">
        <w:rPr>
          <w:rFonts w:ascii="Arial" w:hAnsi="Arial" w:cs="Arial"/>
          <w:color w:val="595959" w:themeColor="text1" w:themeTint="A6"/>
        </w:rPr>
        <w:t xml:space="preserve">RNA isolation kit (RNeasy kit, Qiagen, UK) </w:t>
      </w:r>
    </w:p>
    <w:p w14:paraId="4ECE69AA" w14:textId="77777777" w:rsidR="0054039C" w:rsidRPr="0054039C" w:rsidRDefault="0054039C" w:rsidP="0054039C">
      <w:pPr>
        <w:spacing w:line="480" w:lineRule="auto"/>
        <w:rPr>
          <w:rFonts w:ascii="Arial" w:hAnsi="Arial" w:cs="Arial"/>
          <w:color w:val="595959" w:themeColor="text1" w:themeTint="A6"/>
          <w:lang w:val="es-ES_tradnl"/>
        </w:rPr>
      </w:pPr>
      <w:r w:rsidRPr="0054039C">
        <w:rPr>
          <w:rFonts w:ascii="Arial" w:hAnsi="Arial" w:cs="Arial"/>
          <w:color w:val="595959" w:themeColor="text1" w:themeTint="A6"/>
          <w:lang w:val="es-ES_tradnl"/>
        </w:rPr>
        <w:t xml:space="preserve">Vecstastain® Elite ABC (Vector Laboratories Ltd, UK) </w:t>
      </w:r>
    </w:p>
    <w:p w14:paraId="5FB88B7A" w14:textId="77777777" w:rsidR="0054039C" w:rsidRPr="0054039C" w:rsidRDefault="0054039C" w:rsidP="0054039C">
      <w:pPr>
        <w:spacing w:line="480" w:lineRule="auto"/>
        <w:rPr>
          <w:rFonts w:ascii="Arial" w:hAnsi="Arial" w:cs="Arial"/>
          <w:color w:val="595959" w:themeColor="text1" w:themeTint="A6"/>
          <w:lang w:val="es-ES_tradnl"/>
        </w:rPr>
      </w:pPr>
    </w:p>
    <w:p w14:paraId="45CBB6AA" w14:textId="009F50D9" w:rsidR="0054039C" w:rsidRDefault="0054039C" w:rsidP="00297663">
      <w:pPr>
        <w:pStyle w:val="Heading3"/>
        <w:rPr>
          <w:rFonts w:ascii="Arial" w:hAnsi="Arial" w:cs="Arial"/>
          <w:i/>
          <w:iCs/>
          <w:color w:val="595959" w:themeColor="text1" w:themeTint="A6"/>
          <w:lang w:val="es-ES_tradnl"/>
        </w:rPr>
      </w:pPr>
      <w:bookmarkStart w:id="62" w:name="_Toc34208285"/>
      <w:r w:rsidRPr="00297663">
        <w:rPr>
          <w:rFonts w:ascii="Arial" w:hAnsi="Arial" w:cs="Arial"/>
          <w:i/>
          <w:iCs/>
          <w:color w:val="595959" w:themeColor="text1" w:themeTint="A6"/>
          <w:lang w:val="es-ES_tradnl"/>
        </w:rPr>
        <w:t>2.1.4 Consumables</w:t>
      </w:r>
      <w:bookmarkEnd w:id="62"/>
      <w:r w:rsidRPr="00297663">
        <w:rPr>
          <w:rFonts w:ascii="Arial" w:hAnsi="Arial" w:cs="Arial"/>
          <w:i/>
          <w:iCs/>
          <w:color w:val="595959" w:themeColor="text1" w:themeTint="A6"/>
          <w:lang w:val="es-ES_tradnl"/>
        </w:rPr>
        <w:t xml:space="preserve"> </w:t>
      </w:r>
    </w:p>
    <w:p w14:paraId="7AED508C" w14:textId="77777777" w:rsidR="00297663" w:rsidRPr="00297663" w:rsidRDefault="00297663" w:rsidP="00297663">
      <w:pPr>
        <w:rPr>
          <w:lang w:val="es-ES_tradnl"/>
        </w:rPr>
      </w:pPr>
    </w:p>
    <w:p w14:paraId="332B6E73" w14:textId="77777777" w:rsidR="0054039C" w:rsidRPr="0054039C" w:rsidRDefault="0054039C" w:rsidP="0054039C">
      <w:pPr>
        <w:spacing w:line="480" w:lineRule="auto"/>
        <w:rPr>
          <w:rFonts w:ascii="Arial" w:hAnsi="Arial" w:cs="Arial"/>
          <w:color w:val="595959" w:themeColor="text1" w:themeTint="A6"/>
          <w:lang w:val="es-ES_tradnl"/>
        </w:rPr>
      </w:pPr>
      <w:r w:rsidRPr="0054039C">
        <w:rPr>
          <w:rFonts w:ascii="Arial" w:hAnsi="Arial" w:cs="Arial"/>
          <w:color w:val="595959" w:themeColor="text1" w:themeTint="A6"/>
          <w:lang w:val="es-ES_tradnl"/>
        </w:rPr>
        <w:t xml:space="preserve">Cell scrappers (CytoOne®, Starlabs, UK) </w:t>
      </w:r>
    </w:p>
    <w:p w14:paraId="243911B0" w14:textId="77777777" w:rsidR="0054039C" w:rsidRPr="0054039C" w:rsidRDefault="0054039C" w:rsidP="0054039C">
      <w:pPr>
        <w:spacing w:line="480" w:lineRule="auto"/>
        <w:rPr>
          <w:rFonts w:ascii="Arial" w:hAnsi="Arial" w:cs="Arial"/>
          <w:color w:val="595959" w:themeColor="text1" w:themeTint="A6"/>
          <w:lang w:val="es-ES_tradnl"/>
        </w:rPr>
      </w:pPr>
      <w:r w:rsidRPr="0054039C">
        <w:rPr>
          <w:rFonts w:ascii="Arial" w:hAnsi="Arial" w:cs="Arial"/>
          <w:color w:val="595959" w:themeColor="text1" w:themeTint="A6"/>
          <w:lang w:val="es-ES_tradnl"/>
        </w:rPr>
        <w:t>Centrifuge tubes (15 and 50 mL) (Becton Dickinson, UK)</w:t>
      </w:r>
    </w:p>
    <w:p w14:paraId="3C685398" w14:textId="77777777" w:rsidR="0054039C" w:rsidRPr="0054039C" w:rsidRDefault="0054039C" w:rsidP="0054039C">
      <w:pPr>
        <w:spacing w:line="480" w:lineRule="auto"/>
        <w:rPr>
          <w:rFonts w:ascii="Arial" w:hAnsi="Arial" w:cs="Arial"/>
          <w:color w:val="595959" w:themeColor="text1" w:themeTint="A6"/>
          <w:lang w:val="es-ES_tradnl"/>
        </w:rPr>
      </w:pPr>
      <w:r w:rsidRPr="0054039C">
        <w:rPr>
          <w:rFonts w:ascii="Arial" w:hAnsi="Arial" w:cs="Arial"/>
          <w:color w:val="595959" w:themeColor="text1" w:themeTint="A6"/>
          <w:lang w:val="es-ES_tradnl"/>
        </w:rPr>
        <w:t>Centrifuge tubes (Greiner Bio-One GmbH, Germany)</w:t>
      </w:r>
    </w:p>
    <w:p w14:paraId="095BD313" w14:textId="77777777" w:rsidR="0054039C" w:rsidRPr="0054039C" w:rsidRDefault="0054039C" w:rsidP="0054039C">
      <w:pPr>
        <w:spacing w:line="480" w:lineRule="auto"/>
        <w:rPr>
          <w:rFonts w:ascii="Arial" w:hAnsi="Arial" w:cs="Arial"/>
          <w:color w:val="595959" w:themeColor="text1" w:themeTint="A6"/>
          <w:lang w:val="es-ES_tradnl"/>
        </w:rPr>
      </w:pPr>
      <w:r w:rsidRPr="0054039C">
        <w:rPr>
          <w:rFonts w:ascii="Arial" w:hAnsi="Arial" w:cs="Arial"/>
          <w:color w:val="595959" w:themeColor="text1" w:themeTint="A6"/>
          <w:lang w:val="es-ES_tradnl"/>
        </w:rPr>
        <w:t xml:space="preserve">Glass microscope slides (SuperFrost® Plus) (VWR International, UK) </w:t>
      </w:r>
    </w:p>
    <w:p w14:paraId="22BD461D" w14:textId="77777777" w:rsidR="0054039C" w:rsidRPr="0054039C" w:rsidRDefault="0054039C" w:rsidP="0054039C">
      <w:pPr>
        <w:spacing w:line="480" w:lineRule="auto"/>
        <w:rPr>
          <w:rFonts w:ascii="Arial" w:hAnsi="Arial" w:cs="Arial"/>
          <w:color w:val="595959" w:themeColor="text1" w:themeTint="A6"/>
        </w:rPr>
      </w:pPr>
      <w:r w:rsidRPr="0054039C">
        <w:rPr>
          <w:rFonts w:ascii="Arial" w:hAnsi="Arial" w:cs="Arial"/>
          <w:color w:val="595959" w:themeColor="text1" w:themeTint="A6"/>
        </w:rPr>
        <w:t>Coomassie Brilliant Blue R-250 Dye (ThermoFisher Scientific, UK)</w:t>
      </w:r>
    </w:p>
    <w:p w14:paraId="52378194" w14:textId="77777777" w:rsidR="0054039C" w:rsidRPr="0054039C" w:rsidRDefault="0054039C" w:rsidP="0054039C">
      <w:pPr>
        <w:spacing w:line="480" w:lineRule="auto"/>
        <w:rPr>
          <w:rFonts w:ascii="Arial" w:hAnsi="Arial" w:cs="Arial"/>
          <w:color w:val="595959" w:themeColor="text1" w:themeTint="A6"/>
        </w:rPr>
      </w:pPr>
      <w:r w:rsidRPr="0054039C">
        <w:rPr>
          <w:rFonts w:ascii="Arial" w:hAnsi="Arial" w:cs="Arial"/>
          <w:color w:val="595959" w:themeColor="text1" w:themeTint="A6"/>
        </w:rPr>
        <w:t>Cryovials (Greiner Bio-One GmbH, Germany)</w:t>
      </w:r>
    </w:p>
    <w:p w14:paraId="3672E9B3" w14:textId="77777777" w:rsidR="0054039C" w:rsidRPr="0054039C" w:rsidRDefault="0054039C" w:rsidP="0054039C">
      <w:pPr>
        <w:spacing w:line="480" w:lineRule="auto"/>
        <w:rPr>
          <w:rFonts w:ascii="Arial" w:hAnsi="Arial" w:cs="Arial"/>
          <w:color w:val="595959" w:themeColor="text1" w:themeTint="A6"/>
        </w:rPr>
      </w:pPr>
      <w:r w:rsidRPr="0054039C">
        <w:rPr>
          <w:rFonts w:ascii="Arial" w:hAnsi="Arial" w:cs="Arial"/>
          <w:color w:val="595959" w:themeColor="text1" w:themeTint="A6"/>
        </w:rPr>
        <w:t>Histology cassettes (Wheaton, UK)</w:t>
      </w:r>
    </w:p>
    <w:p w14:paraId="717C572F" w14:textId="77777777" w:rsidR="0054039C" w:rsidRPr="0054039C" w:rsidRDefault="0054039C" w:rsidP="0054039C">
      <w:pPr>
        <w:spacing w:line="480" w:lineRule="auto"/>
        <w:jc w:val="both"/>
        <w:rPr>
          <w:rFonts w:ascii="Arial" w:hAnsi="Arial" w:cs="Arial"/>
          <w:color w:val="595959" w:themeColor="text1" w:themeTint="A6"/>
        </w:rPr>
      </w:pPr>
      <w:r w:rsidRPr="0054039C">
        <w:rPr>
          <w:rFonts w:ascii="Arial" w:hAnsi="Arial" w:cs="Arial"/>
          <w:color w:val="595959" w:themeColor="text1" w:themeTint="A6"/>
        </w:rPr>
        <w:t>Large (polytetrafluoroethylene) PTFE organotypic inserts (Millicell®, UK)</w:t>
      </w:r>
    </w:p>
    <w:p w14:paraId="4A299A23" w14:textId="77777777" w:rsidR="0054039C" w:rsidRPr="0054039C" w:rsidRDefault="0054039C" w:rsidP="0054039C">
      <w:pPr>
        <w:spacing w:line="480" w:lineRule="auto"/>
        <w:jc w:val="both"/>
        <w:rPr>
          <w:rFonts w:ascii="Arial" w:hAnsi="Arial" w:cs="Arial"/>
          <w:color w:val="595959" w:themeColor="text1" w:themeTint="A6"/>
          <w:lang w:val="en-US"/>
        </w:rPr>
      </w:pPr>
      <w:r w:rsidRPr="0054039C">
        <w:rPr>
          <w:rFonts w:ascii="Arial" w:hAnsi="Arial" w:cs="Arial"/>
          <w:color w:val="595959" w:themeColor="text1" w:themeTint="A6"/>
          <w:lang w:val="en-US"/>
        </w:rPr>
        <w:t xml:space="preserve">Microscope coverslips (VWR International, UK) </w:t>
      </w:r>
    </w:p>
    <w:p w14:paraId="390B187E" w14:textId="77777777" w:rsidR="0054039C" w:rsidRPr="0054039C" w:rsidRDefault="0054039C" w:rsidP="0054039C">
      <w:pPr>
        <w:spacing w:line="480" w:lineRule="auto"/>
        <w:jc w:val="both"/>
        <w:rPr>
          <w:rFonts w:ascii="Arial" w:hAnsi="Arial" w:cs="Arial"/>
          <w:color w:val="595959" w:themeColor="text1" w:themeTint="A6"/>
          <w:lang w:val="en-US"/>
        </w:rPr>
      </w:pPr>
      <w:r w:rsidRPr="0054039C">
        <w:rPr>
          <w:rFonts w:ascii="Arial" w:hAnsi="Arial" w:cs="Arial"/>
          <w:color w:val="595959" w:themeColor="text1" w:themeTint="A6"/>
          <w:lang w:val="en-US"/>
        </w:rPr>
        <w:t>Microtome blade; S35 type (Feather, Japan)</w:t>
      </w:r>
    </w:p>
    <w:p w14:paraId="79B76333" w14:textId="77777777" w:rsidR="0054039C" w:rsidRPr="0054039C" w:rsidRDefault="0054039C" w:rsidP="0054039C">
      <w:pPr>
        <w:spacing w:line="480" w:lineRule="auto"/>
        <w:jc w:val="both"/>
        <w:rPr>
          <w:rFonts w:ascii="Arial" w:hAnsi="Arial" w:cs="Arial"/>
          <w:color w:val="595959" w:themeColor="text1" w:themeTint="A6"/>
          <w:lang w:val="en-US"/>
        </w:rPr>
      </w:pPr>
      <w:r w:rsidRPr="0054039C">
        <w:rPr>
          <w:rFonts w:ascii="Arial" w:hAnsi="Arial" w:cs="Arial"/>
          <w:color w:val="595959" w:themeColor="text1" w:themeTint="A6"/>
          <w:lang w:val="en-US"/>
        </w:rPr>
        <w:t>MMP-2 and MMP-9 recombinant proteins (Sigma Aldrich, UK)</w:t>
      </w:r>
    </w:p>
    <w:p w14:paraId="0B659C08" w14:textId="77777777" w:rsidR="0054039C" w:rsidRPr="0054039C" w:rsidRDefault="0054039C" w:rsidP="0054039C">
      <w:pPr>
        <w:spacing w:line="480" w:lineRule="auto"/>
        <w:jc w:val="both"/>
        <w:rPr>
          <w:rFonts w:ascii="Arial" w:hAnsi="Arial" w:cs="Arial"/>
          <w:color w:val="595959" w:themeColor="text1" w:themeTint="A6"/>
          <w:lang w:val="en-US"/>
        </w:rPr>
      </w:pPr>
      <w:r w:rsidRPr="0054039C">
        <w:rPr>
          <w:rFonts w:ascii="Arial" w:hAnsi="Arial" w:cs="Arial"/>
          <w:color w:val="595959" w:themeColor="text1" w:themeTint="A6"/>
          <w:lang w:val="en-US"/>
        </w:rPr>
        <w:t>Nalgene™ Cryo 1°C freezing container (Nalgene Co., US)</w:t>
      </w:r>
    </w:p>
    <w:p w14:paraId="541FA62A" w14:textId="77777777" w:rsidR="0054039C" w:rsidRPr="0054039C" w:rsidRDefault="0054039C" w:rsidP="0054039C">
      <w:pPr>
        <w:spacing w:line="480" w:lineRule="auto"/>
        <w:jc w:val="both"/>
        <w:rPr>
          <w:rFonts w:ascii="Arial" w:hAnsi="Arial" w:cs="Arial"/>
          <w:color w:val="595959" w:themeColor="text1" w:themeTint="A6"/>
          <w:lang w:val="en-US"/>
        </w:rPr>
      </w:pPr>
      <w:r w:rsidRPr="0054039C">
        <w:rPr>
          <w:rFonts w:ascii="Arial" w:hAnsi="Arial" w:cs="Arial"/>
          <w:color w:val="595959" w:themeColor="text1" w:themeTint="A6"/>
          <w:lang w:val="en-US"/>
        </w:rPr>
        <w:lastRenderedPageBreak/>
        <w:t>Polyethylene terephthalate (PET) hanging cell culture inserts (Greiner Bio-One GmbH, Germany)</w:t>
      </w:r>
    </w:p>
    <w:p w14:paraId="5D366921" w14:textId="77777777" w:rsidR="0054039C" w:rsidRPr="0054039C" w:rsidRDefault="0054039C" w:rsidP="0054039C">
      <w:pPr>
        <w:spacing w:line="480" w:lineRule="auto"/>
        <w:jc w:val="both"/>
        <w:rPr>
          <w:rFonts w:ascii="Arial" w:hAnsi="Arial" w:cs="Arial"/>
          <w:color w:val="595959" w:themeColor="text1" w:themeTint="A6"/>
          <w:lang w:val="en-US"/>
        </w:rPr>
      </w:pPr>
      <w:r w:rsidRPr="0054039C">
        <w:rPr>
          <w:rFonts w:ascii="Arial" w:hAnsi="Arial" w:cs="Arial"/>
          <w:color w:val="595959" w:themeColor="text1" w:themeTint="A6"/>
          <w:lang w:val="en-US"/>
        </w:rPr>
        <w:t>Surgical blades (Swann-Morton, UK)</w:t>
      </w:r>
    </w:p>
    <w:p w14:paraId="0B6C08F5" w14:textId="77777777" w:rsidR="0054039C" w:rsidRPr="0054039C" w:rsidRDefault="0054039C" w:rsidP="0054039C">
      <w:pPr>
        <w:spacing w:line="480" w:lineRule="auto"/>
        <w:jc w:val="both"/>
        <w:rPr>
          <w:rFonts w:ascii="Arial" w:hAnsi="Arial" w:cs="Arial"/>
          <w:color w:val="595959" w:themeColor="text1" w:themeTint="A6"/>
          <w:lang w:val="en-US"/>
        </w:rPr>
      </w:pPr>
      <w:r w:rsidRPr="0054039C">
        <w:rPr>
          <w:rFonts w:ascii="Arial" w:hAnsi="Arial" w:cs="Arial"/>
          <w:color w:val="595959" w:themeColor="text1" w:themeTint="A6"/>
          <w:lang w:val="en-US"/>
        </w:rPr>
        <w:t xml:space="preserve">Syringe filters (0.22 µM, PVDF, sterile) (Starlabs, UK) </w:t>
      </w:r>
    </w:p>
    <w:p w14:paraId="4AA05D0B" w14:textId="77777777" w:rsidR="0054039C" w:rsidRPr="0054039C" w:rsidRDefault="0054039C" w:rsidP="0054039C">
      <w:pPr>
        <w:spacing w:line="480" w:lineRule="auto"/>
        <w:rPr>
          <w:rFonts w:ascii="Arial" w:hAnsi="Arial" w:cs="Arial"/>
          <w:color w:val="595959" w:themeColor="text1" w:themeTint="A6"/>
          <w:lang w:val="en-US"/>
        </w:rPr>
      </w:pPr>
      <w:r w:rsidRPr="0054039C">
        <w:rPr>
          <w:rFonts w:ascii="Arial" w:hAnsi="Arial" w:cs="Arial"/>
          <w:color w:val="595959" w:themeColor="text1" w:themeTint="A6"/>
          <w:lang w:val="en-US"/>
        </w:rPr>
        <w:t>Tissue culture flasks (T25, T75 cm</w:t>
      </w:r>
      <w:r w:rsidRPr="0054039C">
        <w:rPr>
          <w:rFonts w:ascii="Arial" w:hAnsi="Arial" w:cs="Arial"/>
          <w:color w:val="595959" w:themeColor="text1" w:themeTint="A6"/>
          <w:vertAlign w:val="superscript"/>
          <w:lang w:val="en-US"/>
        </w:rPr>
        <w:t>2</w:t>
      </w:r>
      <w:r w:rsidRPr="0054039C">
        <w:rPr>
          <w:rFonts w:ascii="Arial" w:hAnsi="Arial" w:cs="Arial"/>
          <w:color w:val="595959" w:themeColor="text1" w:themeTint="A6"/>
          <w:lang w:val="en-US"/>
        </w:rPr>
        <w:t xml:space="preserve">) (Greiner Bio-One GmbH, Germany) </w:t>
      </w:r>
    </w:p>
    <w:p w14:paraId="051E5820" w14:textId="77777777" w:rsidR="0054039C" w:rsidRPr="0054039C" w:rsidRDefault="0054039C" w:rsidP="0054039C">
      <w:pPr>
        <w:spacing w:line="480" w:lineRule="auto"/>
        <w:jc w:val="both"/>
        <w:rPr>
          <w:rFonts w:ascii="Arial" w:hAnsi="Arial" w:cs="Arial"/>
          <w:color w:val="595959" w:themeColor="text1" w:themeTint="A6"/>
          <w:lang w:val="en-US"/>
        </w:rPr>
      </w:pPr>
      <w:r w:rsidRPr="0054039C">
        <w:rPr>
          <w:rFonts w:ascii="Arial" w:hAnsi="Arial" w:cs="Arial"/>
          <w:color w:val="595959" w:themeColor="text1" w:themeTint="A6"/>
          <w:lang w:val="en-US"/>
        </w:rPr>
        <w:t>Tissue culture treated petri dishes (35 x10 mm) (CytoOne®, Starlabs, UK)</w:t>
      </w:r>
    </w:p>
    <w:p w14:paraId="78277107" w14:textId="77777777" w:rsidR="0054039C" w:rsidRPr="0054039C" w:rsidRDefault="0054039C" w:rsidP="0054039C">
      <w:pPr>
        <w:spacing w:line="480" w:lineRule="auto"/>
        <w:jc w:val="both"/>
        <w:rPr>
          <w:rFonts w:ascii="Arial" w:hAnsi="Arial" w:cs="Arial"/>
          <w:color w:val="595959" w:themeColor="text1" w:themeTint="A6"/>
          <w:lang w:val="en-US"/>
        </w:rPr>
      </w:pPr>
      <w:r w:rsidRPr="0054039C">
        <w:rPr>
          <w:rFonts w:ascii="Arial" w:hAnsi="Arial" w:cs="Arial"/>
          <w:color w:val="595959" w:themeColor="text1" w:themeTint="A6"/>
          <w:lang w:val="en-US"/>
        </w:rPr>
        <w:t>Tissue-culture plates (6- well and deep 12-well) (Greiner Bio-One GmbH, Germany)</w:t>
      </w:r>
    </w:p>
    <w:p w14:paraId="1C281C98" w14:textId="77777777" w:rsidR="0054039C" w:rsidRPr="0054039C" w:rsidRDefault="0054039C" w:rsidP="0054039C">
      <w:pPr>
        <w:spacing w:line="480" w:lineRule="auto"/>
        <w:jc w:val="both"/>
        <w:rPr>
          <w:rFonts w:ascii="Arial" w:hAnsi="Arial" w:cs="Arial"/>
          <w:color w:val="595959" w:themeColor="text1" w:themeTint="A6"/>
          <w:lang w:val="en-US"/>
        </w:rPr>
      </w:pPr>
      <w:r w:rsidRPr="0054039C">
        <w:rPr>
          <w:rFonts w:ascii="Arial" w:hAnsi="Arial" w:cs="Arial"/>
          <w:color w:val="595959" w:themeColor="text1" w:themeTint="A6"/>
          <w:lang w:val="en-US"/>
        </w:rPr>
        <w:t>Tissue embedding sponge (Deltalab, Spain)</w:t>
      </w:r>
    </w:p>
    <w:p w14:paraId="49DDC138" w14:textId="77777777" w:rsidR="0054039C" w:rsidRPr="0054039C" w:rsidRDefault="0054039C" w:rsidP="0054039C">
      <w:pPr>
        <w:spacing w:line="480" w:lineRule="auto"/>
        <w:jc w:val="both"/>
        <w:rPr>
          <w:rFonts w:ascii="Arial" w:hAnsi="Arial" w:cs="Arial"/>
          <w:color w:val="595959" w:themeColor="text1" w:themeTint="A6"/>
          <w:lang w:val="en-US"/>
        </w:rPr>
      </w:pPr>
      <w:r w:rsidRPr="0054039C">
        <w:rPr>
          <w:rFonts w:ascii="Arial" w:hAnsi="Arial" w:cs="Arial"/>
          <w:color w:val="595959" w:themeColor="text1" w:themeTint="A6"/>
          <w:lang w:val="en-US"/>
        </w:rPr>
        <w:t>Vivaspin-500 spin columns (Sartorius, UK)</w:t>
      </w:r>
    </w:p>
    <w:p w14:paraId="5B4A5E8E" w14:textId="77777777" w:rsidR="0054039C" w:rsidRPr="0054039C" w:rsidRDefault="0054039C" w:rsidP="0054039C">
      <w:pPr>
        <w:spacing w:line="480" w:lineRule="auto"/>
        <w:jc w:val="both"/>
        <w:rPr>
          <w:rFonts w:ascii="Arial" w:hAnsi="Arial" w:cs="Arial"/>
          <w:color w:val="595959" w:themeColor="text1" w:themeTint="A6"/>
          <w:lang w:val="en-US"/>
        </w:rPr>
      </w:pPr>
      <w:r w:rsidRPr="0054039C">
        <w:rPr>
          <w:rFonts w:ascii="Arial" w:hAnsi="Arial" w:cs="Arial"/>
          <w:color w:val="595959" w:themeColor="text1" w:themeTint="A6"/>
          <w:lang w:val="en-US"/>
        </w:rPr>
        <w:t>Weigh boats (5 mL) (Starlabs, UK)</w:t>
      </w:r>
    </w:p>
    <w:p w14:paraId="4F1A45ED" w14:textId="77777777" w:rsidR="0054039C" w:rsidRPr="0054039C" w:rsidRDefault="0054039C" w:rsidP="0054039C">
      <w:pPr>
        <w:spacing w:line="480" w:lineRule="auto"/>
        <w:jc w:val="both"/>
        <w:rPr>
          <w:rFonts w:ascii="Arial" w:hAnsi="Arial" w:cs="Arial"/>
          <w:color w:val="595959" w:themeColor="text1" w:themeTint="A6"/>
          <w:lang w:val="en-US"/>
        </w:rPr>
      </w:pPr>
      <w:r w:rsidRPr="0054039C">
        <w:rPr>
          <w:rFonts w:ascii="Arial" w:hAnsi="Arial" w:cs="Arial"/>
          <w:color w:val="595959" w:themeColor="text1" w:themeTint="A6"/>
          <w:lang w:val="en-US"/>
        </w:rPr>
        <w:t>X-ray films (ThermoFisher Scientific, UK)</w:t>
      </w:r>
    </w:p>
    <w:p w14:paraId="3DF974DB" w14:textId="77777777" w:rsidR="0054039C" w:rsidRPr="0054039C" w:rsidRDefault="0054039C" w:rsidP="0054039C">
      <w:pPr>
        <w:spacing w:line="480" w:lineRule="auto"/>
        <w:jc w:val="both"/>
        <w:rPr>
          <w:rFonts w:ascii="Arial" w:hAnsi="Arial" w:cs="Arial"/>
          <w:color w:val="595959" w:themeColor="text1" w:themeTint="A6"/>
          <w:lang w:val="en-US"/>
        </w:rPr>
      </w:pPr>
    </w:p>
    <w:p w14:paraId="2604D4A5" w14:textId="470AE4AD" w:rsidR="0054039C" w:rsidRDefault="0054039C" w:rsidP="00AA47CD">
      <w:pPr>
        <w:pStyle w:val="Heading3"/>
        <w:rPr>
          <w:rFonts w:ascii="Arial" w:hAnsi="Arial" w:cs="Arial"/>
          <w:i/>
          <w:iCs/>
          <w:color w:val="595959" w:themeColor="text1" w:themeTint="A6"/>
          <w:lang w:val="en-US"/>
        </w:rPr>
      </w:pPr>
      <w:bookmarkStart w:id="63" w:name="_Toc34208286"/>
      <w:r w:rsidRPr="00AA47CD">
        <w:rPr>
          <w:rFonts w:ascii="Arial" w:hAnsi="Arial" w:cs="Arial"/>
          <w:i/>
          <w:iCs/>
          <w:color w:val="595959" w:themeColor="text1" w:themeTint="A6"/>
          <w:lang w:val="en-US"/>
        </w:rPr>
        <w:t>2.1.5 Equipment</w:t>
      </w:r>
      <w:bookmarkEnd w:id="63"/>
      <w:r w:rsidRPr="00AA47CD">
        <w:rPr>
          <w:rFonts w:ascii="Arial" w:hAnsi="Arial" w:cs="Arial"/>
          <w:i/>
          <w:iCs/>
          <w:color w:val="595959" w:themeColor="text1" w:themeTint="A6"/>
          <w:lang w:val="en-US"/>
        </w:rPr>
        <w:t xml:space="preserve"> </w:t>
      </w:r>
    </w:p>
    <w:p w14:paraId="07F38C3B" w14:textId="77777777" w:rsidR="00AA47CD" w:rsidRPr="00AA47CD" w:rsidRDefault="00AA47CD" w:rsidP="00AA47CD">
      <w:pPr>
        <w:rPr>
          <w:lang w:val="en-US"/>
        </w:rPr>
      </w:pPr>
    </w:p>
    <w:p w14:paraId="225E84AD" w14:textId="77777777" w:rsidR="0054039C" w:rsidRPr="0054039C" w:rsidRDefault="0054039C" w:rsidP="0054039C">
      <w:pPr>
        <w:spacing w:line="480" w:lineRule="auto"/>
        <w:jc w:val="both"/>
        <w:rPr>
          <w:rFonts w:ascii="Arial" w:hAnsi="Arial" w:cs="Arial"/>
          <w:color w:val="595959" w:themeColor="text1" w:themeTint="A6"/>
          <w:lang w:val="en-US"/>
        </w:rPr>
      </w:pPr>
      <w:r w:rsidRPr="0054039C">
        <w:rPr>
          <w:rFonts w:ascii="Arial" w:hAnsi="Arial" w:cs="Arial"/>
          <w:color w:val="595959" w:themeColor="text1" w:themeTint="A6"/>
          <w:lang w:val="en-US"/>
        </w:rPr>
        <w:t>7900HT fast Real Time-PCR system (Applied Biosystems, UK)</w:t>
      </w:r>
    </w:p>
    <w:p w14:paraId="1F14A64F" w14:textId="77777777" w:rsidR="0054039C" w:rsidRPr="0054039C" w:rsidRDefault="0054039C" w:rsidP="0054039C">
      <w:pPr>
        <w:spacing w:line="480" w:lineRule="auto"/>
        <w:jc w:val="both"/>
        <w:rPr>
          <w:rFonts w:ascii="Arial" w:hAnsi="Arial" w:cs="Arial"/>
          <w:color w:val="595959" w:themeColor="text1" w:themeTint="A6"/>
          <w:lang w:val="en-US"/>
        </w:rPr>
      </w:pPr>
      <w:r w:rsidRPr="0054039C">
        <w:rPr>
          <w:rFonts w:ascii="Arial" w:hAnsi="Arial" w:cs="Arial"/>
          <w:color w:val="595959" w:themeColor="text1" w:themeTint="A6"/>
          <w:lang w:val="en-US"/>
        </w:rPr>
        <w:t>Class II laminar flow hoods (Walker Safety Cabinets, UK).</w:t>
      </w:r>
    </w:p>
    <w:p w14:paraId="763CE6C8" w14:textId="77777777" w:rsidR="0054039C" w:rsidRPr="0054039C" w:rsidRDefault="0054039C" w:rsidP="0054039C">
      <w:pPr>
        <w:spacing w:line="480" w:lineRule="auto"/>
        <w:jc w:val="both"/>
        <w:rPr>
          <w:rFonts w:ascii="Arial" w:hAnsi="Arial" w:cs="Arial"/>
          <w:color w:val="595959" w:themeColor="text1" w:themeTint="A6"/>
          <w:lang w:val="en-US"/>
        </w:rPr>
      </w:pPr>
      <w:r w:rsidRPr="0054039C">
        <w:rPr>
          <w:rFonts w:ascii="Arial" w:hAnsi="Arial" w:cs="Arial"/>
          <w:color w:val="595959" w:themeColor="text1" w:themeTint="A6"/>
          <w:lang w:val="en-US"/>
        </w:rPr>
        <w:t xml:space="preserve">CO2 incubator (Scientific-Lab Supplies, UK) </w:t>
      </w:r>
    </w:p>
    <w:p w14:paraId="196E8ECE" w14:textId="77777777" w:rsidR="0054039C" w:rsidRPr="0054039C" w:rsidRDefault="0054039C" w:rsidP="0054039C">
      <w:pPr>
        <w:spacing w:line="480" w:lineRule="auto"/>
        <w:jc w:val="both"/>
        <w:rPr>
          <w:rFonts w:ascii="Arial" w:hAnsi="Arial" w:cs="Arial"/>
          <w:color w:val="595959" w:themeColor="text1" w:themeTint="A6"/>
          <w:lang w:val="nl-NL"/>
        </w:rPr>
      </w:pPr>
      <w:r w:rsidRPr="0054039C">
        <w:rPr>
          <w:rFonts w:ascii="Arial" w:hAnsi="Arial" w:cs="Arial"/>
          <w:color w:val="595959" w:themeColor="text1" w:themeTint="A6"/>
          <w:lang w:val="nl-NL"/>
        </w:rPr>
        <w:t>Cooling plate, Leica EG1150C, (Leica Microsystems, UK)</w:t>
      </w:r>
    </w:p>
    <w:p w14:paraId="416929F6" w14:textId="77777777" w:rsidR="0054039C" w:rsidRPr="0054039C" w:rsidRDefault="0054039C" w:rsidP="0054039C">
      <w:pPr>
        <w:spacing w:line="480" w:lineRule="auto"/>
        <w:jc w:val="both"/>
        <w:rPr>
          <w:rFonts w:ascii="Arial" w:hAnsi="Arial" w:cs="Arial"/>
          <w:color w:val="595959" w:themeColor="text1" w:themeTint="A6"/>
        </w:rPr>
      </w:pPr>
      <w:r w:rsidRPr="0054039C">
        <w:rPr>
          <w:rFonts w:ascii="Arial" w:hAnsi="Arial" w:cs="Arial"/>
          <w:color w:val="595959" w:themeColor="text1" w:themeTint="A6"/>
          <w:lang w:val="en-US"/>
        </w:rPr>
        <w:t>Compact X4 Developer (Xograph Imaging Systems, UK).</w:t>
      </w:r>
    </w:p>
    <w:p w14:paraId="7A7B93E3" w14:textId="77777777" w:rsidR="0054039C" w:rsidRPr="0054039C" w:rsidRDefault="0054039C" w:rsidP="0054039C">
      <w:pPr>
        <w:spacing w:line="480" w:lineRule="auto"/>
        <w:jc w:val="both"/>
        <w:rPr>
          <w:rFonts w:ascii="Arial" w:hAnsi="Arial" w:cs="Arial"/>
          <w:color w:val="595959" w:themeColor="text1" w:themeTint="A6"/>
          <w:lang w:val="en-US"/>
        </w:rPr>
      </w:pPr>
      <w:r w:rsidRPr="0054039C">
        <w:rPr>
          <w:rFonts w:ascii="Arial" w:hAnsi="Arial" w:cs="Arial"/>
          <w:color w:val="595959" w:themeColor="text1" w:themeTint="A6"/>
          <w:lang w:val="en-US"/>
        </w:rPr>
        <w:t xml:space="preserve">Electronic balance (Fisher Scientific, UK) </w:t>
      </w:r>
    </w:p>
    <w:p w14:paraId="71E55D47" w14:textId="77777777" w:rsidR="0054039C" w:rsidRPr="0054039C" w:rsidRDefault="0054039C" w:rsidP="0054039C">
      <w:pPr>
        <w:spacing w:line="480" w:lineRule="auto"/>
        <w:jc w:val="both"/>
        <w:rPr>
          <w:rFonts w:ascii="Arial" w:hAnsi="Arial" w:cs="Arial"/>
          <w:color w:val="595959" w:themeColor="text1" w:themeTint="A6"/>
          <w:lang w:val="nl-NL"/>
        </w:rPr>
      </w:pPr>
      <w:r w:rsidRPr="0054039C">
        <w:rPr>
          <w:rFonts w:ascii="Arial" w:hAnsi="Arial" w:cs="Arial"/>
          <w:color w:val="595959" w:themeColor="text1" w:themeTint="A6"/>
          <w:lang w:val="nl-NL"/>
        </w:rPr>
        <w:t xml:space="preserve">Embedding machine; Leica EG1160 (Leica Microsystems, UK) </w:t>
      </w:r>
    </w:p>
    <w:p w14:paraId="073869B4" w14:textId="77777777" w:rsidR="0054039C" w:rsidRPr="0054039C" w:rsidRDefault="0054039C" w:rsidP="0054039C">
      <w:pPr>
        <w:spacing w:line="480" w:lineRule="auto"/>
        <w:jc w:val="both"/>
        <w:rPr>
          <w:rFonts w:ascii="Arial" w:hAnsi="Arial" w:cs="Arial"/>
          <w:color w:val="595959" w:themeColor="text1" w:themeTint="A6"/>
          <w:lang w:val="en-US"/>
        </w:rPr>
      </w:pPr>
      <w:r w:rsidRPr="0054039C">
        <w:rPr>
          <w:rFonts w:ascii="Arial" w:hAnsi="Arial" w:cs="Arial"/>
          <w:color w:val="595959" w:themeColor="text1" w:themeTint="A6"/>
          <w:lang w:val="en-US"/>
        </w:rPr>
        <w:t xml:space="preserve">Epithelial Volt Ohm Meter (EVOM) (World Precision Instrument, Inc. US) </w:t>
      </w:r>
    </w:p>
    <w:p w14:paraId="1A3BCA14" w14:textId="77777777" w:rsidR="0054039C" w:rsidRPr="0054039C" w:rsidRDefault="0054039C" w:rsidP="0054039C">
      <w:pPr>
        <w:spacing w:line="480" w:lineRule="auto"/>
        <w:jc w:val="both"/>
        <w:rPr>
          <w:rFonts w:ascii="Arial" w:hAnsi="Arial" w:cs="Arial"/>
          <w:color w:val="595959" w:themeColor="text1" w:themeTint="A6"/>
          <w:lang w:val="en-US"/>
        </w:rPr>
      </w:pPr>
      <w:r w:rsidRPr="0054039C">
        <w:rPr>
          <w:rFonts w:ascii="Arial" w:hAnsi="Arial" w:cs="Arial"/>
          <w:color w:val="595959" w:themeColor="text1" w:themeTint="A6"/>
          <w:lang w:val="en-US"/>
        </w:rPr>
        <w:lastRenderedPageBreak/>
        <w:t xml:space="preserve">Freezer/Fridge (Proline, UK) </w:t>
      </w:r>
    </w:p>
    <w:p w14:paraId="02C410C6" w14:textId="77777777" w:rsidR="0054039C" w:rsidRPr="005D40F4" w:rsidRDefault="0054039C" w:rsidP="0054039C">
      <w:pPr>
        <w:spacing w:line="480" w:lineRule="auto"/>
        <w:jc w:val="both"/>
        <w:rPr>
          <w:rFonts w:ascii="Arial" w:hAnsi="Arial" w:cs="Arial"/>
          <w:color w:val="595959" w:themeColor="text1" w:themeTint="A6"/>
          <w:lang w:val="en-US"/>
        </w:rPr>
      </w:pPr>
      <w:r w:rsidRPr="005D40F4">
        <w:rPr>
          <w:rFonts w:ascii="Arial" w:hAnsi="Arial" w:cs="Arial"/>
          <w:color w:val="595959" w:themeColor="text1" w:themeTint="A6"/>
          <w:lang w:val="en-US"/>
        </w:rPr>
        <w:t>iBlot transfer system (Bio-Rad, UK).</w:t>
      </w:r>
    </w:p>
    <w:p w14:paraId="36C4358D" w14:textId="77777777" w:rsidR="0054039C" w:rsidRPr="005D40F4" w:rsidRDefault="0054039C" w:rsidP="0054039C">
      <w:pPr>
        <w:spacing w:line="480" w:lineRule="auto"/>
        <w:jc w:val="both"/>
        <w:rPr>
          <w:rFonts w:ascii="Arial" w:hAnsi="Arial" w:cs="Arial"/>
          <w:color w:val="595959" w:themeColor="text1" w:themeTint="A6"/>
          <w:lang w:val="en-US"/>
        </w:rPr>
      </w:pPr>
      <w:r w:rsidRPr="005D40F4">
        <w:rPr>
          <w:rFonts w:ascii="Arial" w:hAnsi="Arial" w:cs="Arial"/>
          <w:color w:val="595959" w:themeColor="text1" w:themeTint="A6"/>
          <w:lang w:val="en-US"/>
        </w:rPr>
        <w:t xml:space="preserve">Leica EG1160H embedding centre and hot plate </w:t>
      </w:r>
      <w:r w:rsidRPr="005D40F4">
        <w:rPr>
          <w:rFonts w:ascii="Arial" w:hAnsi="Arial" w:cs="Arial"/>
          <w:color w:val="595959" w:themeColor="text1" w:themeTint="A6"/>
          <w:szCs w:val="24"/>
          <w:lang w:val="en-US"/>
        </w:rPr>
        <w:t>(Leica Microsystems, UK)</w:t>
      </w:r>
    </w:p>
    <w:p w14:paraId="20472FDA" w14:textId="77777777" w:rsidR="0054039C" w:rsidRPr="005D40F4" w:rsidRDefault="0054039C" w:rsidP="0054039C">
      <w:pPr>
        <w:spacing w:line="480" w:lineRule="auto"/>
        <w:jc w:val="both"/>
        <w:rPr>
          <w:rFonts w:ascii="Arial" w:hAnsi="Arial" w:cs="Arial"/>
          <w:color w:val="595959" w:themeColor="text1" w:themeTint="A6"/>
          <w:szCs w:val="24"/>
          <w:lang w:val="en-US"/>
        </w:rPr>
      </w:pPr>
      <w:r w:rsidRPr="005D40F4">
        <w:rPr>
          <w:rFonts w:ascii="Arial" w:hAnsi="Arial" w:cs="Arial"/>
          <w:color w:val="595959" w:themeColor="text1" w:themeTint="A6"/>
          <w:szCs w:val="24"/>
          <w:lang w:val="en-US"/>
        </w:rPr>
        <w:t xml:space="preserve">Leica TP1020 benchtop tissue processor (Leica Microsystems, UK) </w:t>
      </w:r>
    </w:p>
    <w:p w14:paraId="66038F91" w14:textId="77777777" w:rsidR="0054039C" w:rsidRPr="005D40F4" w:rsidRDefault="0054039C" w:rsidP="0054039C">
      <w:pPr>
        <w:spacing w:line="480" w:lineRule="auto"/>
        <w:jc w:val="both"/>
        <w:rPr>
          <w:rFonts w:ascii="Arial" w:hAnsi="Arial" w:cs="Arial"/>
          <w:color w:val="595959" w:themeColor="text1" w:themeTint="A6"/>
          <w:lang w:val="en-US"/>
        </w:rPr>
      </w:pPr>
      <w:r w:rsidRPr="005D40F4">
        <w:rPr>
          <w:rFonts w:ascii="Arial" w:hAnsi="Arial" w:cs="Arial"/>
          <w:color w:val="595959" w:themeColor="text1" w:themeTint="A6"/>
          <w:lang w:val="en-US"/>
        </w:rPr>
        <w:t xml:space="preserve">Microcentrifuge (Fisher Scientific, UK) </w:t>
      </w:r>
    </w:p>
    <w:p w14:paraId="31A7918E" w14:textId="77777777" w:rsidR="0054039C" w:rsidRPr="005D40F4" w:rsidRDefault="0054039C" w:rsidP="0054039C">
      <w:pPr>
        <w:spacing w:line="480" w:lineRule="auto"/>
        <w:jc w:val="both"/>
        <w:rPr>
          <w:rFonts w:ascii="Arial" w:hAnsi="Arial" w:cs="Arial"/>
          <w:color w:val="595959" w:themeColor="text1" w:themeTint="A6"/>
          <w:lang w:val="en-US"/>
        </w:rPr>
      </w:pPr>
      <w:r w:rsidRPr="005D40F4">
        <w:rPr>
          <w:rFonts w:ascii="Arial" w:hAnsi="Arial" w:cs="Arial"/>
          <w:color w:val="595959" w:themeColor="text1" w:themeTint="A6"/>
          <w:lang w:val="en-US"/>
        </w:rPr>
        <w:t>Microplate reader; TECAN Infinite M200 Pro (Tecan Trading AG, Switzerland)</w:t>
      </w:r>
    </w:p>
    <w:p w14:paraId="0487D34D" w14:textId="77777777" w:rsidR="0054039C" w:rsidRPr="005D40F4" w:rsidRDefault="0054039C" w:rsidP="0054039C">
      <w:pPr>
        <w:spacing w:line="480" w:lineRule="auto"/>
        <w:jc w:val="both"/>
        <w:rPr>
          <w:rFonts w:ascii="Arial" w:hAnsi="Arial" w:cs="Arial"/>
          <w:color w:val="595959" w:themeColor="text1" w:themeTint="A6"/>
          <w:shd w:val="clear" w:color="auto" w:fill="FFFFFF"/>
          <w:lang w:val="en-US"/>
        </w:rPr>
      </w:pPr>
      <w:r w:rsidRPr="005D40F4">
        <w:rPr>
          <w:rFonts w:ascii="Arial" w:hAnsi="Arial" w:cs="Arial"/>
          <w:color w:val="595959" w:themeColor="text1" w:themeTint="A6"/>
          <w:shd w:val="clear" w:color="auto" w:fill="FFFFFF"/>
          <w:lang w:val="en-US"/>
        </w:rPr>
        <w:t>Microscope Axioplane 2 fluorescent light microscope (Zeiss, UK)</w:t>
      </w:r>
    </w:p>
    <w:p w14:paraId="69C1D4DC" w14:textId="77777777" w:rsidR="0054039C" w:rsidRPr="005D40F4" w:rsidRDefault="0054039C" w:rsidP="0054039C">
      <w:pPr>
        <w:spacing w:line="480" w:lineRule="auto"/>
        <w:jc w:val="both"/>
        <w:rPr>
          <w:rFonts w:ascii="Arial" w:hAnsi="Arial" w:cs="Arial"/>
          <w:color w:val="595959" w:themeColor="text1" w:themeTint="A6"/>
          <w:lang w:val="en-US"/>
        </w:rPr>
      </w:pPr>
      <w:r w:rsidRPr="005D40F4">
        <w:rPr>
          <w:rFonts w:ascii="Arial" w:hAnsi="Arial" w:cs="Arial"/>
          <w:color w:val="595959" w:themeColor="text1" w:themeTint="A6"/>
          <w:shd w:val="clear" w:color="auto" w:fill="FFFFFF"/>
          <w:lang w:val="en-US"/>
        </w:rPr>
        <w:t xml:space="preserve">Microscope </w:t>
      </w:r>
      <w:r w:rsidRPr="005D40F4">
        <w:rPr>
          <w:rFonts w:ascii="Arial" w:hAnsi="Arial" w:cs="Arial"/>
          <w:color w:val="595959" w:themeColor="text1" w:themeTint="A6"/>
          <w:lang w:val="en-US"/>
        </w:rPr>
        <w:t>Leica DM18 inverted light microscope (Leica Microsystems, UK)</w:t>
      </w:r>
    </w:p>
    <w:p w14:paraId="4C0FFC59" w14:textId="77777777" w:rsidR="0054039C" w:rsidRPr="005D40F4" w:rsidRDefault="0054039C" w:rsidP="0054039C">
      <w:pPr>
        <w:spacing w:line="480" w:lineRule="auto"/>
        <w:jc w:val="both"/>
        <w:rPr>
          <w:rFonts w:ascii="Arial" w:hAnsi="Arial" w:cs="Arial"/>
          <w:color w:val="595959" w:themeColor="text1" w:themeTint="A6"/>
          <w:lang w:val="en-US"/>
        </w:rPr>
      </w:pPr>
      <w:r w:rsidRPr="005D40F4">
        <w:rPr>
          <w:rFonts w:ascii="Arial" w:hAnsi="Arial" w:cs="Arial"/>
          <w:color w:val="595959" w:themeColor="text1" w:themeTint="A6"/>
          <w:lang w:val="en-US"/>
        </w:rPr>
        <w:t xml:space="preserve">Microscope (Olympus BX51 microscope and Colour view IIIu camera with associated Cell^D software) (Olympus soft imaging solutions, GmbH, Germany) </w:t>
      </w:r>
    </w:p>
    <w:p w14:paraId="1C50C8E9" w14:textId="77777777" w:rsidR="0054039C" w:rsidRPr="005D40F4" w:rsidRDefault="0054039C" w:rsidP="0054039C">
      <w:pPr>
        <w:spacing w:line="480" w:lineRule="auto"/>
        <w:jc w:val="both"/>
        <w:rPr>
          <w:rFonts w:ascii="Arial" w:hAnsi="Arial" w:cs="Arial"/>
          <w:color w:val="595959" w:themeColor="text1" w:themeTint="A6"/>
          <w:lang w:val="en-US"/>
        </w:rPr>
      </w:pPr>
      <w:r w:rsidRPr="005D40F4">
        <w:rPr>
          <w:rFonts w:ascii="Arial" w:hAnsi="Arial" w:cs="Arial"/>
          <w:color w:val="595959" w:themeColor="text1" w:themeTint="A6"/>
          <w:lang w:val="en-US"/>
        </w:rPr>
        <w:t xml:space="preserve">Microtome machine; Leica RM2235 (Leica Microsystems, UK) </w:t>
      </w:r>
    </w:p>
    <w:p w14:paraId="62385FAB" w14:textId="77777777" w:rsidR="0054039C" w:rsidRPr="005D40F4" w:rsidRDefault="0054039C" w:rsidP="0054039C">
      <w:pPr>
        <w:spacing w:line="480" w:lineRule="auto"/>
        <w:jc w:val="both"/>
        <w:rPr>
          <w:rFonts w:ascii="Arial" w:hAnsi="Arial" w:cs="Arial"/>
          <w:color w:val="595959" w:themeColor="text1" w:themeTint="A6"/>
          <w:lang w:val="en-US"/>
        </w:rPr>
      </w:pPr>
      <w:r w:rsidRPr="005D40F4">
        <w:rPr>
          <w:rFonts w:ascii="Arial" w:hAnsi="Arial" w:cs="Arial"/>
          <w:color w:val="595959" w:themeColor="text1" w:themeTint="A6"/>
          <w:lang w:val="en-US"/>
        </w:rPr>
        <w:t xml:space="preserve">Mount water bath (Grant Instruments Ltd, UK) </w:t>
      </w:r>
    </w:p>
    <w:p w14:paraId="27BB18D6" w14:textId="77777777" w:rsidR="0054039C" w:rsidRPr="005D40F4" w:rsidRDefault="0054039C" w:rsidP="0054039C">
      <w:pPr>
        <w:spacing w:line="480" w:lineRule="auto"/>
        <w:jc w:val="both"/>
        <w:rPr>
          <w:rFonts w:ascii="Arial" w:hAnsi="Arial" w:cs="Arial"/>
          <w:color w:val="595959" w:themeColor="text1" w:themeTint="A6"/>
          <w:lang w:val="en-US"/>
        </w:rPr>
      </w:pPr>
      <w:r w:rsidRPr="005D40F4">
        <w:rPr>
          <w:rFonts w:ascii="Arial" w:hAnsi="Arial" w:cs="Arial"/>
          <w:color w:val="595959" w:themeColor="text1" w:themeTint="A6"/>
          <w:lang w:val="en-US"/>
        </w:rPr>
        <w:t>NanoDrop 1000 spectrophotometer (Fisher Scientific, UK)</w:t>
      </w:r>
    </w:p>
    <w:p w14:paraId="4FB48AEE" w14:textId="77777777" w:rsidR="0054039C" w:rsidRPr="0054039C" w:rsidRDefault="0054039C" w:rsidP="0054039C">
      <w:pPr>
        <w:spacing w:line="480" w:lineRule="auto"/>
        <w:jc w:val="both"/>
        <w:rPr>
          <w:rFonts w:ascii="Arial" w:hAnsi="Arial" w:cs="Arial"/>
          <w:color w:val="595959" w:themeColor="text1" w:themeTint="A6"/>
          <w:lang w:val="de-DE"/>
        </w:rPr>
      </w:pPr>
      <w:r w:rsidRPr="0054039C">
        <w:rPr>
          <w:rFonts w:ascii="Arial" w:hAnsi="Arial" w:cs="Arial"/>
          <w:color w:val="595959" w:themeColor="text1" w:themeTint="A6"/>
          <w:lang w:val="de-DE"/>
        </w:rPr>
        <w:t>Neubauer haemocytometer (Weber Scientific International, UK</w:t>
      </w:r>
      <w:bookmarkStart w:id="64" w:name="_Toc534278582"/>
      <w:r w:rsidRPr="0054039C">
        <w:rPr>
          <w:rFonts w:ascii="Arial" w:hAnsi="Arial" w:cs="Arial"/>
          <w:color w:val="595959" w:themeColor="text1" w:themeTint="A6"/>
          <w:lang w:val="de-DE"/>
        </w:rPr>
        <w:t>)</w:t>
      </w:r>
    </w:p>
    <w:p w14:paraId="5C42A759" w14:textId="77777777" w:rsidR="0054039C" w:rsidRPr="0054039C" w:rsidRDefault="0054039C" w:rsidP="0054039C">
      <w:pPr>
        <w:spacing w:line="480" w:lineRule="auto"/>
        <w:jc w:val="both"/>
        <w:rPr>
          <w:rFonts w:ascii="Arial" w:hAnsi="Arial" w:cs="Arial"/>
          <w:color w:val="595959" w:themeColor="text1" w:themeTint="A6"/>
        </w:rPr>
      </w:pPr>
      <w:r w:rsidRPr="0054039C">
        <w:rPr>
          <w:rFonts w:ascii="Arial" w:hAnsi="Arial" w:cs="Arial"/>
          <w:color w:val="595959" w:themeColor="text1" w:themeTint="A6"/>
        </w:rPr>
        <w:t>Peltier Thermal cycler (MJ Research, UK)</w:t>
      </w:r>
    </w:p>
    <w:p w14:paraId="041AE7D7" w14:textId="77777777" w:rsidR="0054039C" w:rsidRPr="0054039C" w:rsidRDefault="0054039C" w:rsidP="0054039C">
      <w:pPr>
        <w:spacing w:line="480" w:lineRule="auto"/>
        <w:jc w:val="both"/>
        <w:rPr>
          <w:rFonts w:ascii="Arial" w:hAnsi="Arial" w:cs="Arial"/>
          <w:color w:val="595959" w:themeColor="text1" w:themeTint="A6"/>
        </w:rPr>
      </w:pPr>
      <w:r w:rsidRPr="0054039C">
        <w:rPr>
          <w:rFonts w:ascii="Arial" w:hAnsi="Arial" w:cs="Arial"/>
          <w:color w:val="595959" w:themeColor="text1" w:themeTint="A6"/>
          <w:lang w:val="en-US"/>
        </w:rPr>
        <w:t>POLARstar® Galaxy spectrophotometer (BMG LABTECH, UK)</w:t>
      </w:r>
    </w:p>
    <w:p w14:paraId="173CC2CE" w14:textId="77777777" w:rsidR="0054039C" w:rsidRPr="0054039C" w:rsidRDefault="0054039C" w:rsidP="0054039C">
      <w:pPr>
        <w:spacing w:line="480" w:lineRule="auto"/>
        <w:jc w:val="both"/>
        <w:rPr>
          <w:rFonts w:ascii="Arial" w:hAnsi="Arial" w:cs="Arial"/>
          <w:color w:val="595959" w:themeColor="text1" w:themeTint="A6"/>
          <w:szCs w:val="24"/>
          <w:lang w:val="nl-NL"/>
        </w:rPr>
      </w:pPr>
      <w:r w:rsidRPr="0054039C">
        <w:rPr>
          <w:rFonts w:ascii="Arial" w:hAnsi="Arial" w:cs="Arial"/>
          <w:color w:val="595959" w:themeColor="text1" w:themeTint="A6"/>
          <w:lang w:val="nl-NL"/>
        </w:rPr>
        <w:t>Rotor-gene Q 5plex (Qiagen,UK).</w:t>
      </w:r>
    </w:p>
    <w:p w14:paraId="110A05F2" w14:textId="77777777" w:rsidR="0054039C" w:rsidRPr="0054039C" w:rsidRDefault="0054039C" w:rsidP="0054039C">
      <w:pPr>
        <w:spacing w:line="480" w:lineRule="auto"/>
        <w:jc w:val="both"/>
        <w:rPr>
          <w:rFonts w:ascii="Arial" w:hAnsi="Arial" w:cs="Arial"/>
          <w:color w:val="595959" w:themeColor="text1" w:themeTint="A6"/>
          <w:szCs w:val="24"/>
          <w:lang w:val="en-US"/>
        </w:rPr>
      </w:pPr>
      <w:r w:rsidRPr="0054039C">
        <w:rPr>
          <w:rFonts w:ascii="Arial" w:hAnsi="Arial" w:cs="Arial"/>
          <w:color w:val="595959" w:themeColor="text1" w:themeTint="A6"/>
          <w:szCs w:val="24"/>
          <w:lang w:val="en-US"/>
        </w:rPr>
        <w:t xml:space="preserve">Scanning electron microscope (SEM) (Philips XL20) Electron Microscopy Unit, Department of Biomedical Science, (University of Sheffield, UK) </w:t>
      </w:r>
    </w:p>
    <w:p w14:paraId="4892D5BA" w14:textId="77777777" w:rsidR="0054039C" w:rsidRPr="0054039C" w:rsidRDefault="0054039C" w:rsidP="0054039C">
      <w:pPr>
        <w:spacing w:line="480" w:lineRule="auto"/>
        <w:jc w:val="both"/>
        <w:rPr>
          <w:rFonts w:ascii="Arial" w:hAnsi="Arial" w:cs="Arial"/>
          <w:color w:val="595959" w:themeColor="text1" w:themeTint="A6"/>
          <w:szCs w:val="24"/>
          <w:lang w:val="en-US"/>
        </w:rPr>
      </w:pPr>
      <w:r w:rsidRPr="0054039C">
        <w:rPr>
          <w:rFonts w:ascii="Arial" w:hAnsi="Arial" w:cs="Arial"/>
          <w:color w:val="595959" w:themeColor="text1" w:themeTint="A6"/>
          <w:lang w:val="en-US"/>
        </w:rPr>
        <w:t>Silicon cantilevers (PPP-CONTR, Nanosensors, Switzerland)</w:t>
      </w:r>
    </w:p>
    <w:p w14:paraId="441E1EFB" w14:textId="77777777" w:rsidR="0054039C" w:rsidRPr="0054039C" w:rsidRDefault="0054039C" w:rsidP="0054039C">
      <w:pPr>
        <w:spacing w:line="480" w:lineRule="auto"/>
        <w:jc w:val="both"/>
        <w:rPr>
          <w:rFonts w:ascii="Arial" w:hAnsi="Arial" w:cs="Arial"/>
          <w:color w:val="595959" w:themeColor="text1" w:themeTint="A6"/>
          <w:szCs w:val="24"/>
          <w:lang w:val="en-US"/>
        </w:rPr>
      </w:pPr>
      <w:r w:rsidRPr="0054039C">
        <w:rPr>
          <w:rFonts w:ascii="Arial" w:hAnsi="Arial" w:cs="Arial"/>
          <w:color w:val="595959" w:themeColor="text1" w:themeTint="A6"/>
          <w:szCs w:val="24"/>
          <w:lang w:val="en-US"/>
        </w:rPr>
        <w:t xml:space="preserve">Staining machine (Automated) Department of Pathology, School of Clinical Dentistry, University of Sheffield (Shandon linear UK) </w:t>
      </w:r>
    </w:p>
    <w:p w14:paraId="529757ED" w14:textId="77777777" w:rsidR="0054039C" w:rsidRPr="0054039C" w:rsidRDefault="0054039C" w:rsidP="0054039C">
      <w:pPr>
        <w:spacing w:line="480" w:lineRule="auto"/>
        <w:jc w:val="both"/>
        <w:rPr>
          <w:rFonts w:ascii="Arial" w:hAnsi="Arial" w:cs="Arial"/>
          <w:color w:val="595959" w:themeColor="text1" w:themeTint="A6"/>
          <w:szCs w:val="24"/>
          <w:lang w:val="en-US"/>
        </w:rPr>
      </w:pPr>
      <w:r w:rsidRPr="0054039C">
        <w:rPr>
          <w:rFonts w:ascii="Arial" w:hAnsi="Arial" w:cs="Arial"/>
          <w:color w:val="595959" w:themeColor="text1" w:themeTint="A6"/>
        </w:rPr>
        <w:lastRenderedPageBreak/>
        <w:t>Ti-sapphire laser (Chameleon, Coherent, US)</w:t>
      </w:r>
    </w:p>
    <w:p w14:paraId="131509A6" w14:textId="77777777" w:rsidR="0054039C" w:rsidRPr="0054039C" w:rsidRDefault="0054039C" w:rsidP="0054039C">
      <w:pPr>
        <w:spacing w:line="480" w:lineRule="auto"/>
        <w:jc w:val="both"/>
        <w:rPr>
          <w:rFonts w:ascii="Arial" w:hAnsi="Arial" w:cs="Arial"/>
          <w:color w:val="595959" w:themeColor="text1" w:themeTint="A6"/>
          <w:szCs w:val="24"/>
          <w:lang w:val="en-US"/>
        </w:rPr>
      </w:pPr>
      <w:r w:rsidRPr="0054039C">
        <w:rPr>
          <w:rFonts w:ascii="Arial" w:hAnsi="Arial" w:cs="Arial"/>
          <w:color w:val="595959" w:themeColor="text1" w:themeTint="A6"/>
          <w:szCs w:val="24"/>
          <w:lang w:val="en-US"/>
        </w:rPr>
        <w:t>Transmission electron microscope (TEM) (FEI Tecnai G2 Spirit) Electron Microscopy Unit, Department of Biomedical Science, (University of Sheffield, UK)</w:t>
      </w:r>
    </w:p>
    <w:p w14:paraId="291FE405" w14:textId="77777777" w:rsidR="0054039C" w:rsidRPr="0054039C" w:rsidRDefault="0054039C" w:rsidP="0054039C">
      <w:pPr>
        <w:spacing w:line="480" w:lineRule="auto"/>
        <w:jc w:val="both"/>
        <w:rPr>
          <w:rFonts w:ascii="Arial" w:hAnsi="Arial" w:cs="Arial"/>
          <w:color w:val="595959" w:themeColor="text1" w:themeTint="A6"/>
          <w:szCs w:val="24"/>
          <w:lang w:val="en-US"/>
        </w:rPr>
      </w:pPr>
    </w:p>
    <w:p w14:paraId="477B6EEE" w14:textId="25575C92" w:rsidR="0054039C" w:rsidRDefault="0054039C" w:rsidP="00AA47CD">
      <w:pPr>
        <w:pStyle w:val="Heading3"/>
        <w:rPr>
          <w:rFonts w:ascii="Arial" w:hAnsi="Arial" w:cs="Arial"/>
          <w:i/>
          <w:iCs/>
          <w:color w:val="595959" w:themeColor="text1" w:themeTint="A6"/>
          <w:lang w:val="en-US"/>
        </w:rPr>
      </w:pPr>
      <w:bookmarkStart w:id="65" w:name="_Toc34208287"/>
      <w:r w:rsidRPr="00AA47CD">
        <w:rPr>
          <w:rFonts w:ascii="Arial" w:hAnsi="Arial" w:cs="Arial"/>
          <w:i/>
          <w:iCs/>
          <w:color w:val="595959" w:themeColor="text1" w:themeTint="A6"/>
          <w:lang w:val="en-US"/>
        </w:rPr>
        <w:t>2.1.6 Software</w:t>
      </w:r>
      <w:bookmarkEnd w:id="65"/>
    </w:p>
    <w:p w14:paraId="23871C2A" w14:textId="77777777" w:rsidR="00AA47CD" w:rsidRPr="00AA47CD" w:rsidRDefault="00AA47CD" w:rsidP="00AA47CD">
      <w:pPr>
        <w:rPr>
          <w:lang w:val="en-US"/>
        </w:rPr>
      </w:pPr>
    </w:p>
    <w:p w14:paraId="655B7581" w14:textId="77777777" w:rsidR="0054039C" w:rsidRPr="0054039C" w:rsidRDefault="0054039C" w:rsidP="0054039C">
      <w:pPr>
        <w:spacing w:line="480" w:lineRule="auto"/>
        <w:jc w:val="both"/>
        <w:rPr>
          <w:rFonts w:ascii="Arial" w:hAnsi="Arial" w:cs="Arial"/>
          <w:color w:val="595959" w:themeColor="text1" w:themeTint="A6"/>
          <w:lang w:val="en-US"/>
        </w:rPr>
      </w:pPr>
      <w:r w:rsidRPr="0054039C">
        <w:rPr>
          <w:rFonts w:ascii="Arial" w:hAnsi="Arial" w:cs="Arial"/>
          <w:color w:val="595959" w:themeColor="text1" w:themeTint="A6"/>
          <w:lang w:val="en-US"/>
        </w:rPr>
        <w:t>CurveAlign and CT -FIRE software (LOCI, US)</w:t>
      </w:r>
    </w:p>
    <w:p w14:paraId="00B7B5ED" w14:textId="77777777" w:rsidR="0054039C" w:rsidRPr="0054039C" w:rsidRDefault="0054039C" w:rsidP="0054039C">
      <w:pPr>
        <w:spacing w:line="480" w:lineRule="auto"/>
        <w:jc w:val="both"/>
        <w:rPr>
          <w:rFonts w:ascii="Arial" w:hAnsi="Arial" w:cs="Arial"/>
          <w:color w:val="595959" w:themeColor="text1" w:themeTint="A6"/>
          <w:lang w:val="en-US"/>
        </w:rPr>
      </w:pPr>
      <w:r w:rsidRPr="0054039C">
        <w:rPr>
          <w:rFonts w:ascii="Arial" w:hAnsi="Arial" w:cs="Arial"/>
          <w:color w:val="595959" w:themeColor="text1" w:themeTint="A6"/>
          <w:lang w:val="en-US"/>
        </w:rPr>
        <w:t>GraphPad software INC (US)</w:t>
      </w:r>
    </w:p>
    <w:p w14:paraId="22CAF355" w14:textId="77777777" w:rsidR="0054039C" w:rsidRPr="0054039C" w:rsidRDefault="0054039C" w:rsidP="0054039C">
      <w:pPr>
        <w:spacing w:line="480" w:lineRule="auto"/>
        <w:jc w:val="both"/>
        <w:rPr>
          <w:rFonts w:ascii="Arial" w:hAnsi="Arial" w:cs="Arial"/>
          <w:color w:val="595959" w:themeColor="text1" w:themeTint="A6"/>
          <w:lang w:val="en-US"/>
        </w:rPr>
      </w:pPr>
      <w:r w:rsidRPr="0054039C">
        <w:rPr>
          <w:rFonts w:ascii="Arial" w:hAnsi="Arial" w:cs="Arial"/>
          <w:color w:val="595959" w:themeColor="text1" w:themeTint="A6"/>
          <w:lang w:val="en-US"/>
        </w:rPr>
        <w:t>ImageJ (LOCI, US)</w:t>
      </w:r>
    </w:p>
    <w:p w14:paraId="5EE5BA20" w14:textId="77777777" w:rsidR="0054039C" w:rsidRPr="0054039C" w:rsidRDefault="0054039C" w:rsidP="0054039C">
      <w:pPr>
        <w:spacing w:line="480" w:lineRule="auto"/>
        <w:jc w:val="both"/>
        <w:rPr>
          <w:rFonts w:ascii="Arial" w:hAnsi="Arial" w:cs="Arial"/>
          <w:color w:val="595959" w:themeColor="text1" w:themeTint="A6"/>
          <w:lang w:val="en-US"/>
        </w:rPr>
      </w:pPr>
      <w:r w:rsidRPr="0054039C">
        <w:rPr>
          <w:rFonts w:ascii="Arial" w:hAnsi="Arial" w:cs="Arial"/>
          <w:color w:val="595959" w:themeColor="text1" w:themeTint="A6"/>
          <w:lang w:val="en-US"/>
        </w:rPr>
        <w:t>SPIP software (Image Metrology, Lyngby, Denmark)</w:t>
      </w:r>
    </w:p>
    <w:p w14:paraId="2E225673" w14:textId="76A63F0C" w:rsidR="0054039C" w:rsidRDefault="0054039C" w:rsidP="0054039C">
      <w:pPr>
        <w:spacing w:line="480" w:lineRule="auto"/>
        <w:jc w:val="both"/>
        <w:rPr>
          <w:rFonts w:ascii="Arial" w:hAnsi="Arial" w:cs="Arial"/>
          <w:color w:val="595959" w:themeColor="text1" w:themeTint="A6"/>
          <w:lang w:val="en-US"/>
        </w:rPr>
      </w:pPr>
      <w:r w:rsidRPr="0054039C">
        <w:rPr>
          <w:rFonts w:ascii="Arial" w:hAnsi="Arial" w:cs="Arial"/>
          <w:color w:val="595959" w:themeColor="text1" w:themeTint="A6"/>
          <w:lang w:val="en-US"/>
        </w:rPr>
        <w:t>Tracking Tool™ PRO software (Gradientech, Sweden)</w:t>
      </w:r>
    </w:p>
    <w:p w14:paraId="3A819D7F" w14:textId="77777777" w:rsidR="002B2D8C" w:rsidRDefault="002B2D8C" w:rsidP="001A5707">
      <w:pPr>
        <w:pStyle w:val="Heading3"/>
        <w:rPr>
          <w:rFonts w:ascii="Arial" w:hAnsi="Arial" w:cs="Arial"/>
          <w:i/>
          <w:iCs/>
          <w:color w:val="595959" w:themeColor="text1" w:themeTint="A6"/>
          <w:lang w:val="en-US"/>
        </w:rPr>
      </w:pPr>
    </w:p>
    <w:p w14:paraId="62CDB302" w14:textId="6553E4F8" w:rsidR="001A5707" w:rsidRPr="00A03706" w:rsidRDefault="001A5707" w:rsidP="001A5707">
      <w:pPr>
        <w:pStyle w:val="Heading3"/>
        <w:rPr>
          <w:rFonts w:ascii="Arial" w:hAnsi="Arial" w:cs="Arial"/>
          <w:i/>
          <w:iCs/>
          <w:color w:val="595959" w:themeColor="text1" w:themeTint="A6"/>
          <w:lang w:val="en-US"/>
        </w:rPr>
      </w:pPr>
      <w:bookmarkStart w:id="66" w:name="_Toc34208288"/>
      <w:r w:rsidRPr="00A03706">
        <w:rPr>
          <w:rFonts w:ascii="Arial" w:hAnsi="Arial" w:cs="Arial"/>
          <w:i/>
          <w:iCs/>
          <w:color w:val="595959" w:themeColor="text1" w:themeTint="A6"/>
          <w:lang w:val="en-US"/>
        </w:rPr>
        <w:t xml:space="preserve">2.1.7 Web-links for </w:t>
      </w:r>
      <w:r w:rsidR="008D4DC9" w:rsidRPr="00A03706">
        <w:rPr>
          <w:rFonts w:ascii="Arial" w:hAnsi="Arial" w:cs="Arial"/>
          <w:i/>
          <w:iCs/>
          <w:color w:val="595959" w:themeColor="text1" w:themeTint="A6"/>
          <w:lang w:val="en-US"/>
        </w:rPr>
        <w:t>major suppliers</w:t>
      </w:r>
      <w:bookmarkEnd w:id="66"/>
    </w:p>
    <w:p w14:paraId="16B73D23" w14:textId="0EB13305" w:rsidR="008D4DC9" w:rsidRPr="00A03706" w:rsidRDefault="008D4DC9" w:rsidP="008D4DC9">
      <w:pPr>
        <w:jc w:val="both"/>
        <w:rPr>
          <w:color w:val="595959" w:themeColor="text1" w:themeTint="A6"/>
          <w:lang w:val="en-US"/>
        </w:rPr>
      </w:pPr>
    </w:p>
    <w:p w14:paraId="59D0C65C" w14:textId="17E66075" w:rsidR="002D26DC" w:rsidRPr="00A03706" w:rsidRDefault="007B378B" w:rsidP="008D4DC9">
      <w:pPr>
        <w:jc w:val="both"/>
        <w:rPr>
          <w:rFonts w:ascii="Arial" w:hAnsi="Arial" w:cs="Arial"/>
          <w:color w:val="595959" w:themeColor="text1" w:themeTint="A6"/>
          <w:lang w:val="en-US"/>
        </w:rPr>
      </w:pPr>
      <w:hyperlink r:id="rId29" w:history="1">
        <w:r w:rsidR="002D26DC" w:rsidRPr="00A03706">
          <w:rPr>
            <w:rStyle w:val="Hyperlink"/>
            <w:rFonts w:ascii="Arial" w:hAnsi="Arial" w:cs="Arial"/>
            <w:color w:val="595959" w:themeColor="text1" w:themeTint="A6"/>
            <w:lang w:val="en-US"/>
          </w:rPr>
          <w:t>www.aligent.com</w:t>
        </w:r>
      </w:hyperlink>
    </w:p>
    <w:p w14:paraId="3EFF0F59" w14:textId="1153E04E" w:rsidR="008D4DC9" w:rsidRPr="00A03706" w:rsidRDefault="007B378B" w:rsidP="008D4DC9">
      <w:pPr>
        <w:jc w:val="both"/>
        <w:rPr>
          <w:rFonts w:ascii="Arial" w:hAnsi="Arial" w:cs="Arial"/>
          <w:color w:val="595959" w:themeColor="text1" w:themeTint="A6"/>
          <w:lang w:val="en-US"/>
        </w:rPr>
      </w:pPr>
      <w:hyperlink r:id="rId30" w:history="1">
        <w:r w:rsidR="00644C26" w:rsidRPr="00A03706">
          <w:rPr>
            <w:rStyle w:val="Hyperlink"/>
            <w:rFonts w:ascii="Arial" w:hAnsi="Arial" w:cs="Arial"/>
            <w:color w:val="595959" w:themeColor="text1" w:themeTint="A6"/>
            <w:lang w:val="en-US"/>
          </w:rPr>
          <w:t>www.sigmaaldrich.com</w:t>
        </w:r>
      </w:hyperlink>
      <w:r w:rsidR="00644C26" w:rsidRPr="00A03706">
        <w:rPr>
          <w:rFonts w:ascii="Arial" w:hAnsi="Arial" w:cs="Arial"/>
          <w:color w:val="595959" w:themeColor="text1" w:themeTint="A6"/>
          <w:lang w:val="en-US"/>
        </w:rPr>
        <w:t xml:space="preserve"> </w:t>
      </w:r>
    </w:p>
    <w:p w14:paraId="2861C8EF" w14:textId="080573B8" w:rsidR="00644C26" w:rsidRPr="00A03706" w:rsidRDefault="007B378B" w:rsidP="008D4DC9">
      <w:pPr>
        <w:jc w:val="both"/>
        <w:rPr>
          <w:rFonts w:ascii="Arial" w:hAnsi="Arial" w:cs="Arial"/>
          <w:color w:val="595959" w:themeColor="text1" w:themeTint="A6"/>
          <w:lang w:val="en-US"/>
        </w:rPr>
      </w:pPr>
      <w:hyperlink r:id="rId31" w:history="1">
        <w:r w:rsidR="005033DA" w:rsidRPr="00A03706">
          <w:rPr>
            <w:rStyle w:val="Hyperlink"/>
            <w:rFonts w:ascii="Arial" w:hAnsi="Arial" w:cs="Arial"/>
            <w:color w:val="595959" w:themeColor="text1" w:themeTint="A6"/>
            <w:lang w:val="en-US"/>
          </w:rPr>
          <w:t>www.merckmillipore.com</w:t>
        </w:r>
      </w:hyperlink>
      <w:r w:rsidR="005033DA" w:rsidRPr="00A03706">
        <w:rPr>
          <w:rFonts w:ascii="Arial" w:hAnsi="Arial" w:cs="Arial"/>
          <w:color w:val="595959" w:themeColor="text1" w:themeTint="A6"/>
          <w:lang w:val="en-US"/>
        </w:rPr>
        <w:t xml:space="preserve"> </w:t>
      </w:r>
    </w:p>
    <w:p w14:paraId="5434FFFB" w14:textId="5C766FA4" w:rsidR="00CF4A53" w:rsidRPr="00A03706" w:rsidRDefault="007B378B" w:rsidP="008D4DC9">
      <w:pPr>
        <w:jc w:val="both"/>
        <w:rPr>
          <w:rFonts w:ascii="Arial" w:hAnsi="Arial" w:cs="Arial"/>
          <w:color w:val="595959" w:themeColor="text1" w:themeTint="A6"/>
          <w:lang w:val="en-US"/>
        </w:rPr>
      </w:pPr>
      <w:hyperlink r:id="rId32" w:history="1">
        <w:r w:rsidR="00CF4A53" w:rsidRPr="00A03706">
          <w:rPr>
            <w:rStyle w:val="Hyperlink"/>
            <w:rFonts w:ascii="Arial" w:hAnsi="Arial" w:cs="Arial"/>
            <w:color w:val="595959" w:themeColor="text1" w:themeTint="A6"/>
            <w:lang w:val="en-US"/>
          </w:rPr>
          <w:t>www.gbo.com</w:t>
        </w:r>
      </w:hyperlink>
    </w:p>
    <w:p w14:paraId="07D8243D" w14:textId="768B93F4" w:rsidR="00CF4A53" w:rsidRPr="00A03706" w:rsidRDefault="007B378B" w:rsidP="008D4DC9">
      <w:pPr>
        <w:jc w:val="both"/>
        <w:rPr>
          <w:rFonts w:ascii="Arial" w:hAnsi="Arial" w:cs="Arial"/>
          <w:color w:val="595959" w:themeColor="text1" w:themeTint="A6"/>
          <w:lang w:val="en-US"/>
        </w:rPr>
      </w:pPr>
      <w:hyperlink r:id="rId33" w:history="1">
        <w:r w:rsidR="00DC6D5E" w:rsidRPr="00A03706">
          <w:rPr>
            <w:rStyle w:val="Hyperlink"/>
            <w:rFonts w:ascii="Arial" w:hAnsi="Arial" w:cs="Arial"/>
            <w:color w:val="595959" w:themeColor="text1" w:themeTint="A6"/>
            <w:lang w:val="en-US"/>
          </w:rPr>
          <w:t>www.thermofischer.com</w:t>
        </w:r>
      </w:hyperlink>
      <w:r w:rsidR="00DC6D5E" w:rsidRPr="00A03706">
        <w:rPr>
          <w:rFonts w:ascii="Arial" w:hAnsi="Arial" w:cs="Arial"/>
          <w:color w:val="595959" w:themeColor="text1" w:themeTint="A6"/>
          <w:lang w:val="en-US"/>
        </w:rPr>
        <w:t xml:space="preserve"> </w:t>
      </w:r>
    </w:p>
    <w:p w14:paraId="63B800FC" w14:textId="50ACF43C" w:rsidR="00DC6D5E" w:rsidRPr="00A03706" w:rsidRDefault="007B378B" w:rsidP="008D4DC9">
      <w:pPr>
        <w:jc w:val="both"/>
        <w:rPr>
          <w:rFonts w:ascii="Arial" w:hAnsi="Arial" w:cs="Arial"/>
          <w:color w:val="595959" w:themeColor="text1" w:themeTint="A6"/>
          <w:lang w:val="en-US"/>
        </w:rPr>
      </w:pPr>
      <w:hyperlink r:id="rId34" w:history="1">
        <w:r w:rsidR="007D40F5" w:rsidRPr="00A03706">
          <w:rPr>
            <w:rStyle w:val="Hyperlink"/>
            <w:rFonts w:ascii="Arial" w:hAnsi="Arial" w:cs="Arial"/>
            <w:color w:val="595959" w:themeColor="text1" w:themeTint="A6"/>
            <w:lang w:val="en-US"/>
          </w:rPr>
          <w:t>www.corning.com</w:t>
        </w:r>
      </w:hyperlink>
      <w:r w:rsidR="007D40F5" w:rsidRPr="00A03706">
        <w:rPr>
          <w:rFonts w:ascii="Arial" w:hAnsi="Arial" w:cs="Arial"/>
          <w:color w:val="595959" w:themeColor="text1" w:themeTint="A6"/>
          <w:lang w:val="en-US"/>
        </w:rPr>
        <w:t xml:space="preserve"> </w:t>
      </w:r>
    </w:p>
    <w:p w14:paraId="16228994" w14:textId="38FE8EE3" w:rsidR="0084001C" w:rsidRPr="00A03706" w:rsidRDefault="007B378B" w:rsidP="008D4DC9">
      <w:pPr>
        <w:jc w:val="both"/>
        <w:rPr>
          <w:rFonts w:ascii="Arial" w:hAnsi="Arial" w:cs="Arial"/>
          <w:color w:val="595959" w:themeColor="text1" w:themeTint="A6"/>
          <w:lang w:val="en-US"/>
        </w:rPr>
      </w:pPr>
      <w:hyperlink r:id="rId35" w:history="1">
        <w:r w:rsidR="0084001C" w:rsidRPr="00A03706">
          <w:rPr>
            <w:rStyle w:val="Hyperlink"/>
            <w:rFonts w:ascii="Arial" w:hAnsi="Arial" w:cs="Arial"/>
            <w:color w:val="595959" w:themeColor="text1" w:themeTint="A6"/>
            <w:lang w:val="en-US"/>
          </w:rPr>
          <w:t>www.gentamedical.co.uk</w:t>
        </w:r>
      </w:hyperlink>
    </w:p>
    <w:p w14:paraId="4D7ED7DA" w14:textId="3E877A06" w:rsidR="0084001C" w:rsidRPr="00A03706" w:rsidRDefault="007B378B" w:rsidP="008D4DC9">
      <w:pPr>
        <w:jc w:val="both"/>
        <w:rPr>
          <w:rFonts w:ascii="Arial" w:hAnsi="Arial" w:cs="Arial"/>
          <w:color w:val="595959" w:themeColor="text1" w:themeTint="A6"/>
          <w:lang w:val="en-US"/>
        </w:rPr>
      </w:pPr>
      <w:hyperlink r:id="rId36" w:history="1">
        <w:r w:rsidR="00502B34" w:rsidRPr="00A03706">
          <w:rPr>
            <w:rStyle w:val="Hyperlink"/>
            <w:rFonts w:ascii="Arial" w:hAnsi="Arial" w:cs="Arial"/>
            <w:color w:val="595959" w:themeColor="text1" w:themeTint="A6"/>
            <w:lang w:val="en-US"/>
          </w:rPr>
          <w:t>www.qiagen.com</w:t>
        </w:r>
      </w:hyperlink>
      <w:r w:rsidR="00502B34" w:rsidRPr="00A03706">
        <w:rPr>
          <w:rFonts w:ascii="Arial" w:hAnsi="Arial" w:cs="Arial"/>
          <w:color w:val="595959" w:themeColor="text1" w:themeTint="A6"/>
          <w:lang w:val="en-US"/>
        </w:rPr>
        <w:t xml:space="preserve"> </w:t>
      </w:r>
    </w:p>
    <w:p w14:paraId="6E6100A2" w14:textId="1BC2F18E" w:rsidR="001B71CB" w:rsidRPr="00A03706" w:rsidRDefault="007B378B" w:rsidP="008D4DC9">
      <w:pPr>
        <w:jc w:val="both"/>
        <w:rPr>
          <w:rFonts w:ascii="Arial" w:hAnsi="Arial" w:cs="Arial"/>
          <w:color w:val="595959" w:themeColor="text1" w:themeTint="A6"/>
          <w:lang w:val="en-US"/>
        </w:rPr>
      </w:pPr>
      <w:hyperlink r:id="rId37" w:history="1">
        <w:r w:rsidR="001B71CB" w:rsidRPr="00A03706">
          <w:rPr>
            <w:rStyle w:val="Hyperlink"/>
            <w:rFonts w:ascii="Arial" w:hAnsi="Arial" w:cs="Arial"/>
            <w:color w:val="595959" w:themeColor="text1" w:themeTint="A6"/>
            <w:lang w:val="en-US"/>
          </w:rPr>
          <w:t>www.vectorlabs.com</w:t>
        </w:r>
      </w:hyperlink>
      <w:r w:rsidR="001B71CB" w:rsidRPr="00A03706">
        <w:rPr>
          <w:rFonts w:ascii="Arial" w:hAnsi="Arial" w:cs="Arial"/>
          <w:color w:val="595959" w:themeColor="text1" w:themeTint="A6"/>
          <w:lang w:val="en-US"/>
        </w:rPr>
        <w:t xml:space="preserve"> </w:t>
      </w:r>
    </w:p>
    <w:p w14:paraId="20B98DD5" w14:textId="22D29E5F" w:rsidR="001C462B" w:rsidRPr="00A03706" w:rsidRDefault="007B378B" w:rsidP="008D4DC9">
      <w:pPr>
        <w:jc w:val="both"/>
        <w:rPr>
          <w:rFonts w:ascii="Arial" w:hAnsi="Arial" w:cs="Arial"/>
          <w:color w:val="595959" w:themeColor="text1" w:themeTint="A6"/>
          <w:lang w:val="en-US"/>
        </w:rPr>
      </w:pPr>
      <w:hyperlink r:id="rId38" w:history="1">
        <w:r w:rsidR="001C462B" w:rsidRPr="00A03706">
          <w:rPr>
            <w:rStyle w:val="Hyperlink"/>
            <w:rFonts w:ascii="Arial" w:hAnsi="Arial" w:cs="Arial"/>
            <w:color w:val="595959" w:themeColor="text1" w:themeTint="A6"/>
            <w:lang w:val="en-US"/>
          </w:rPr>
          <w:t>www.starlabgroup.com</w:t>
        </w:r>
      </w:hyperlink>
    </w:p>
    <w:p w14:paraId="7AFEB310" w14:textId="0791F36C" w:rsidR="001C462B" w:rsidRPr="00A03706" w:rsidRDefault="007B378B" w:rsidP="008D4DC9">
      <w:pPr>
        <w:jc w:val="both"/>
        <w:rPr>
          <w:rFonts w:ascii="Arial" w:hAnsi="Arial" w:cs="Arial"/>
          <w:color w:val="595959" w:themeColor="text1" w:themeTint="A6"/>
          <w:lang w:val="en-US"/>
        </w:rPr>
      </w:pPr>
      <w:hyperlink r:id="rId39" w:history="1">
        <w:r w:rsidR="003B275B" w:rsidRPr="00A03706">
          <w:rPr>
            <w:rStyle w:val="Hyperlink"/>
            <w:rFonts w:ascii="Arial" w:hAnsi="Arial" w:cs="Arial"/>
            <w:color w:val="595959" w:themeColor="text1" w:themeTint="A6"/>
            <w:lang w:val="en-US"/>
          </w:rPr>
          <w:t>www.bdbiosciences.com</w:t>
        </w:r>
      </w:hyperlink>
      <w:r w:rsidR="003B275B" w:rsidRPr="00A03706">
        <w:rPr>
          <w:rFonts w:ascii="Arial" w:hAnsi="Arial" w:cs="Arial"/>
          <w:color w:val="595959" w:themeColor="text1" w:themeTint="A6"/>
          <w:lang w:val="en-US"/>
        </w:rPr>
        <w:t xml:space="preserve"> </w:t>
      </w:r>
    </w:p>
    <w:p w14:paraId="1DFC3F57" w14:textId="0B5243EB" w:rsidR="003B275B" w:rsidRDefault="003B275B" w:rsidP="0054039C">
      <w:pPr>
        <w:rPr>
          <w:rFonts w:ascii="Arial" w:hAnsi="Arial" w:cs="Arial"/>
          <w:color w:val="595959" w:themeColor="text1" w:themeTint="A6"/>
          <w:lang w:val="en-US"/>
        </w:rPr>
      </w:pPr>
    </w:p>
    <w:p w14:paraId="6E044391" w14:textId="77777777" w:rsidR="003B275B" w:rsidRPr="0054039C" w:rsidRDefault="003B275B" w:rsidP="0054039C">
      <w:pPr>
        <w:rPr>
          <w:lang w:val="en-US"/>
        </w:rPr>
      </w:pPr>
    </w:p>
    <w:p w14:paraId="2DF968EF" w14:textId="77777777" w:rsidR="0054039C" w:rsidRPr="0054039C" w:rsidRDefault="0054039C" w:rsidP="0054039C">
      <w:pPr>
        <w:rPr>
          <w:lang w:val="en-US"/>
        </w:rPr>
      </w:pPr>
    </w:p>
    <w:p w14:paraId="543B5A50" w14:textId="77777777" w:rsidR="0054039C" w:rsidRPr="0054039C" w:rsidRDefault="0054039C" w:rsidP="00AA47CD">
      <w:pPr>
        <w:pStyle w:val="Heading2"/>
        <w:rPr>
          <w:rFonts w:ascii="Arial" w:hAnsi="Arial" w:cs="Arial"/>
          <w:b/>
          <w:bCs/>
          <w:color w:val="595959" w:themeColor="text1" w:themeTint="A6"/>
          <w:sz w:val="24"/>
          <w:szCs w:val="24"/>
          <w:lang w:val="en-US"/>
        </w:rPr>
      </w:pPr>
      <w:bookmarkStart w:id="67" w:name="_Toc34208289"/>
      <w:r w:rsidRPr="0054039C">
        <w:rPr>
          <w:rFonts w:ascii="Arial" w:hAnsi="Arial" w:cs="Arial"/>
          <w:b/>
          <w:bCs/>
          <w:color w:val="595959" w:themeColor="text1" w:themeTint="A6"/>
          <w:sz w:val="24"/>
          <w:szCs w:val="24"/>
          <w:lang w:val="en-US"/>
        </w:rPr>
        <w:lastRenderedPageBreak/>
        <w:t>2.2 Methods</w:t>
      </w:r>
      <w:bookmarkEnd w:id="64"/>
      <w:bookmarkEnd w:id="67"/>
    </w:p>
    <w:p w14:paraId="04047F77" w14:textId="77777777" w:rsidR="0054039C" w:rsidRPr="0054039C" w:rsidRDefault="0054039C" w:rsidP="0054039C">
      <w:pPr>
        <w:rPr>
          <w:lang w:val="en-US"/>
        </w:rPr>
      </w:pPr>
    </w:p>
    <w:p w14:paraId="3B9AA7E3" w14:textId="77777777" w:rsidR="0054039C" w:rsidRPr="0054039C" w:rsidRDefault="0054039C" w:rsidP="00AA47CD">
      <w:pPr>
        <w:pStyle w:val="Heading3"/>
        <w:rPr>
          <w:rFonts w:ascii="Arial" w:hAnsi="Arial" w:cs="Arial"/>
          <w:color w:val="595959" w:themeColor="text1" w:themeTint="A6"/>
          <w:lang w:val="en-US"/>
        </w:rPr>
      </w:pPr>
      <w:bookmarkStart w:id="68" w:name="_Toc534278583"/>
      <w:bookmarkStart w:id="69" w:name="_Toc34208290"/>
      <w:r w:rsidRPr="0054039C">
        <w:rPr>
          <w:rFonts w:ascii="Arial" w:hAnsi="Arial" w:cs="Arial"/>
          <w:color w:val="595959" w:themeColor="text1" w:themeTint="A6"/>
          <w:lang w:val="en-US"/>
        </w:rPr>
        <w:t>2.2.1 Cell culture</w:t>
      </w:r>
      <w:bookmarkEnd w:id="68"/>
      <w:bookmarkEnd w:id="69"/>
    </w:p>
    <w:p w14:paraId="37277706" w14:textId="77777777" w:rsidR="0054039C" w:rsidRPr="0054039C" w:rsidRDefault="0054039C" w:rsidP="0054039C">
      <w:pPr>
        <w:rPr>
          <w:lang w:val="en-US"/>
        </w:rPr>
      </w:pPr>
    </w:p>
    <w:p w14:paraId="000DE691" w14:textId="372FD965" w:rsidR="0054039C" w:rsidRPr="0054039C" w:rsidRDefault="0054039C" w:rsidP="0054039C">
      <w:pPr>
        <w:autoSpaceDE w:val="0"/>
        <w:autoSpaceDN w:val="0"/>
        <w:adjustRightInd w:val="0"/>
        <w:spacing w:after="0" w:line="480" w:lineRule="auto"/>
        <w:jc w:val="both"/>
        <w:rPr>
          <w:rFonts w:ascii="Arial" w:hAnsi="Arial" w:cs="Arial"/>
          <w:color w:val="595959" w:themeColor="text1" w:themeTint="A6"/>
          <w:lang w:val="en-US"/>
        </w:rPr>
      </w:pPr>
      <w:r w:rsidRPr="0054039C">
        <w:rPr>
          <w:rFonts w:ascii="Arial" w:hAnsi="Arial" w:cs="Arial"/>
          <w:color w:val="595959" w:themeColor="text1" w:themeTint="A6"/>
          <w:lang w:val="en-US"/>
        </w:rPr>
        <w:t>Cabinets, equipment and reagents used during cell culture practice were sterilised using industrial methylated spirit (IMS)</w:t>
      </w:r>
      <w:r w:rsidR="00711214">
        <w:rPr>
          <w:rFonts w:ascii="Arial" w:hAnsi="Arial" w:cs="Arial"/>
          <w:color w:val="595959" w:themeColor="text1" w:themeTint="A6"/>
          <w:lang w:val="en-US"/>
        </w:rPr>
        <w:t xml:space="preserve"> </w:t>
      </w:r>
      <w:r w:rsidRPr="0054039C">
        <w:rPr>
          <w:rFonts w:ascii="Arial" w:hAnsi="Arial" w:cs="Arial"/>
          <w:color w:val="595959" w:themeColor="text1" w:themeTint="A6"/>
          <w:lang w:val="en-US"/>
        </w:rPr>
        <w:t>70%</w:t>
      </w:r>
      <w:r w:rsidR="00066C62">
        <w:rPr>
          <w:rFonts w:ascii="Arial" w:hAnsi="Arial" w:cs="Arial"/>
          <w:color w:val="595959" w:themeColor="text1" w:themeTint="A6"/>
          <w:lang w:val="en-US"/>
        </w:rPr>
        <w:t xml:space="preserve"> in dH</w:t>
      </w:r>
      <w:r w:rsidR="00066C62">
        <w:rPr>
          <w:rFonts w:ascii="Arial" w:hAnsi="Arial" w:cs="Arial"/>
          <w:color w:val="595959" w:themeColor="text1" w:themeTint="A6"/>
          <w:vertAlign w:val="subscript"/>
          <w:lang w:val="en-US"/>
        </w:rPr>
        <w:t>2</w:t>
      </w:r>
      <w:r w:rsidR="00066C62">
        <w:rPr>
          <w:rFonts w:ascii="Arial" w:hAnsi="Arial" w:cs="Arial"/>
          <w:color w:val="595959" w:themeColor="text1" w:themeTint="A6"/>
          <w:lang w:val="en-US"/>
        </w:rPr>
        <w:t>O</w:t>
      </w:r>
      <w:r w:rsidRPr="0054039C">
        <w:rPr>
          <w:rFonts w:ascii="Arial" w:hAnsi="Arial" w:cs="Arial"/>
          <w:color w:val="595959" w:themeColor="text1" w:themeTint="A6"/>
          <w:lang w:val="en-US"/>
        </w:rPr>
        <w:t xml:space="preserve"> (v/v) or utilising autoclave based sterilisation. Media was changed within the cell culture protocols every three days unless otherwise stated. Cultures were incubated at 37°C in a 5% CO</w:t>
      </w:r>
      <w:r w:rsidRPr="0054039C">
        <w:rPr>
          <w:rFonts w:ascii="Arial" w:hAnsi="Arial" w:cs="Arial"/>
          <w:color w:val="595959" w:themeColor="text1" w:themeTint="A6"/>
          <w:vertAlign w:val="subscript"/>
          <w:lang w:val="en-US"/>
        </w:rPr>
        <w:t>2</w:t>
      </w:r>
      <w:r w:rsidRPr="0054039C">
        <w:rPr>
          <w:rFonts w:ascii="Arial" w:hAnsi="Arial" w:cs="Arial"/>
          <w:color w:val="595959" w:themeColor="text1" w:themeTint="A6"/>
          <w:lang w:val="en-US"/>
        </w:rPr>
        <w:t xml:space="preserve"> humidified incubator. Primary cells were cultured and passaged up to and including passage 10. Cells were passaged when reaching a state of between 80%-90% confluency. Cell lines were periodically tested for mycoplasma infection on conditioned media collected from </w:t>
      </w:r>
      <w:r w:rsidR="00AA35A8">
        <w:rPr>
          <w:rFonts w:ascii="Arial" w:hAnsi="Arial" w:cs="Arial"/>
          <w:color w:val="595959" w:themeColor="text1" w:themeTint="A6"/>
          <w:lang w:val="en-US"/>
        </w:rPr>
        <w:t xml:space="preserve">confluent </w:t>
      </w:r>
      <w:r w:rsidRPr="0054039C">
        <w:rPr>
          <w:rFonts w:ascii="Arial" w:hAnsi="Arial" w:cs="Arial"/>
          <w:color w:val="595959" w:themeColor="text1" w:themeTint="A6"/>
          <w:lang w:val="en-US"/>
        </w:rPr>
        <w:t>cultures.</w:t>
      </w:r>
    </w:p>
    <w:p w14:paraId="305303CC" w14:textId="77777777" w:rsidR="0054039C" w:rsidRPr="0054039C" w:rsidRDefault="0054039C" w:rsidP="0054039C">
      <w:pPr>
        <w:spacing w:after="0" w:line="480" w:lineRule="auto"/>
        <w:jc w:val="both"/>
        <w:rPr>
          <w:rFonts w:asciiTheme="minorBidi" w:hAnsiTheme="minorBidi"/>
          <w:color w:val="595959" w:themeColor="text1" w:themeTint="A6"/>
          <w:lang w:val="en-US"/>
        </w:rPr>
      </w:pPr>
    </w:p>
    <w:p w14:paraId="7BC568A6" w14:textId="77777777" w:rsidR="0054039C" w:rsidRPr="0054039C" w:rsidRDefault="0054039C" w:rsidP="0054039C">
      <w:pPr>
        <w:keepNext/>
        <w:keepLines/>
        <w:spacing w:before="40" w:after="0"/>
        <w:outlineLvl w:val="2"/>
        <w:rPr>
          <w:rFonts w:ascii="Arial" w:eastAsiaTheme="majorEastAsia" w:hAnsi="Arial" w:cs="Arial"/>
          <w:color w:val="595959" w:themeColor="text1" w:themeTint="A6"/>
          <w:sz w:val="24"/>
          <w:szCs w:val="24"/>
          <w:lang w:val="en-US"/>
        </w:rPr>
      </w:pPr>
      <w:bookmarkStart w:id="70" w:name="_Toc515897457"/>
      <w:bookmarkStart w:id="71" w:name="_Toc534278584"/>
      <w:bookmarkStart w:id="72" w:name="_Toc34208291"/>
      <w:r w:rsidRPr="0054039C">
        <w:rPr>
          <w:rFonts w:ascii="Arial" w:eastAsiaTheme="majorEastAsia" w:hAnsi="Arial" w:cs="Arial"/>
          <w:color w:val="595959" w:themeColor="text1" w:themeTint="A6"/>
          <w:sz w:val="24"/>
          <w:szCs w:val="24"/>
          <w:lang w:val="en-US"/>
        </w:rPr>
        <w:t>2.2.2. Culture media</w:t>
      </w:r>
      <w:bookmarkEnd w:id="70"/>
      <w:bookmarkEnd w:id="71"/>
      <w:bookmarkEnd w:id="72"/>
    </w:p>
    <w:p w14:paraId="5F4C90FA" w14:textId="77777777" w:rsidR="0054039C" w:rsidRPr="0054039C" w:rsidRDefault="0054039C" w:rsidP="0054039C">
      <w:pPr>
        <w:rPr>
          <w:lang w:val="en-US"/>
        </w:rPr>
      </w:pPr>
    </w:p>
    <w:p w14:paraId="1762BD96" w14:textId="77777777" w:rsidR="0054039C" w:rsidRPr="0054039C" w:rsidRDefault="0054039C" w:rsidP="00AA47CD">
      <w:pPr>
        <w:pStyle w:val="Heading4"/>
        <w:rPr>
          <w:rFonts w:ascii="Arial" w:hAnsi="Arial" w:cs="Arial"/>
          <w:color w:val="595959" w:themeColor="text1" w:themeTint="A6"/>
          <w:szCs w:val="24"/>
          <w:lang w:val="en-US"/>
        </w:rPr>
      </w:pPr>
      <w:bookmarkStart w:id="73" w:name="_Toc515897458"/>
      <w:bookmarkStart w:id="74" w:name="_Toc534278585"/>
      <w:bookmarkStart w:id="75" w:name="_Toc34208292"/>
      <w:r w:rsidRPr="0054039C">
        <w:rPr>
          <w:rFonts w:ascii="Arial" w:hAnsi="Arial" w:cs="Arial"/>
          <w:color w:val="595959" w:themeColor="text1" w:themeTint="A6"/>
          <w:szCs w:val="24"/>
          <w:lang w:val="en-US"/>
        </w:rPr>
        <w:t xml:space="preserve">2.2.2.1 Preparation of </w:t>
      </w:r>
      <w:bookmarkEnd w:id="73"/>
      <w:r w:rsidRPr="0054039C">
        <w:rPr>
          <w:rFonts w:ascii="Arial" w:hAnsi="Arial" w:cs="Arial"/>
          <w:color w:val="595959" w:themeColor="text1" w:themeTint="A6"/>
          <w:szCs w:val="24"/>
          <w:lang w:val="en-US"/>
        </w:rPr>
        <w:t>cell culture media for oral fibroblasts</w:t>
      </w:r>
      <w:bookmarkEnd w:id="74"/>
      <w:bookmarkEnd w:id="75"/>
    </w:p>
    <w:p w14:paraId="420FD326" w14:textId="77777777" w:rsidR="0054039C" w:rsidRPr="0054039C" w:rsidRDefault="0054039C" w:rsidP="0054039C">
      <w:pPr>
        <w:rPr>
          <w:lang w:val="en-US"/>
        </w:rPr>
      </w:pPr>
    </w:p>
    <w:p w14:paraId="7424205C" w14:textId="61BF378F" w:rsidR="0054039C" w:rsidRDefault="0054039C" w:rsidP="0054039C">
      <w:pPr>
        <w:spacing w:line="480" w:lineRule="auto"/>
        <w:jc w:val="both"/>
        <w:rPr>
          <w:rFonts w:ascii="Arial" w:hAnsi="Arial" w:cs="Arial"/>
          <w:color w:val="595959" w:themeColor="text1" w:themeTint="A6"/>
          <w:lang w:val="en-US"/>
        </w:rPr>
      </w:pPr>
      <w:r w:rsidRPr="0054039C">
        <w:rPr>
          <w:rFonts w:ascii="Arial" w:hAnsi="Arial" w:cs="Arial"/>
          <w:color w:val="595959" w:themeColor="text1" w:themeTint="A6"/>
          <w:lang w:val="en-US"/>
        </w:rPr>
        <w:t>DMEM (low glucose) was supplemented with 10% foetal bovine serum (FBS), 100 I.U/mL penicillin, 100 µg/mL streptomycin and 2 mM L-glutamine (Table 2.1). Amphotericin-B (0.625 µg/mL) was added to initial P0 cultures but removed in later cultures.</w:t>
      </w:r>
    </w:p>
    <w:p w14:paraId="7FC34123" w14:textId="77777777" w:rsidR="00220314" w:rsidRPr="0054039C" w:rsidRDefault="00220314" w:rsidP="0054039C">
      <w:pPr>
        <w:spacing w:line="480" w:lineRule="auto"/>
        <w:jc w:val="both"/>
        <w:rPr>
          <w:rFonts w:ascii="Arial" w:hAnsi="Arial" w:cs="Arial"/>
          <w:color w:val="595959" w:themeColor="text1" w:themeTint="A6"/>
          <w:lang w:val="en-US"/>
        </w:rPr>
      </w:pPr>
    </w:p>
    <w:p w14:paraId="28FA552C" w14:textId="77777777" w:rsidR="0054039C" w:rsidRPr="00220314" w:rsidRDefault="0054039C" w:rsidP="0054039C">
      <w:pPr>
        <w:spacing w:after="200" w:line="240" w:lineRule="auto"/>
        <w:rPr>
          <w:rFonts w:ascii="Arial" w:hAnsi="Arial" w:cs="Arial"/>
          <w:b/>
          <w:iCs/>
          <w:color w:val="595959" w:themeColor="text1" w:themeTint="A6"/>
          <w:lang w:val="en-US"/>
        </w:rPr>
      </w:pPr>
      <w:r w:rsidRPr="00220314">
        <w:rPr>
          <w:rFonts w:ascii="Arial" w:hAnsi="Arial" w:cs="Arial"/>
          <w:b/>
          <w:iCs/>
          <w:color w:val="595959" w:themeColor="text1" w:themeTint="A6"/>
          <w:lang w:val="en-US"/>
        </w:rPr>
        <w:t>Table 2.1 Preparation of oral fibroblasts growth media</w:t>
      </w:r>
    </w:p>
    <w:tbl>
      <w:tblPr>
        <w:tblStyle w:val="GridTable4-Accent31"/>
        <w:tblW w:w="9493" w:type="dxa"/>
        <w:tblLook w:val="04A0" w:firstRow="1" w:lastRow="0" w:firstColumn="1" w:lastColumn="0" w:noHBand="0" w:noVBand="1"/>
      </w:tblPr>
      <w:tblGrid>
        <w:gridCol w:w="2875"/>
        <w:gridCol w:w="2250"/>
        <w:gridCol w:w="4368"/>
      </w:tblGrid>
      <w:tr w:rsidR="0054039C" w:rsidRPr="0054039C" w14:paraId="4E56DEFE" w14:textId="77777777" w:rsidTr="0022031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26A23441" w14:textId="77777777" w:rsidR="0054039C" w:rsidRPr="0054039C" w:rsidRDefault="0054039C" w:rsidP="0054039C">
            <w:pPr>
              <w:spacing w:line="480" w:lineRule="auto"/>
              <w:jc w:val="center"/>
              <w:rPr>
                <w:rFonts w:ascii="Arial" w:hAnsi="Arial" w:cs="Arial"/>
                <w:color w:val="595959" w:themeColor="text1" w:themeTint="A6"/>
              </w:rPr>
            </w:pPr>
            <w:r w:rsidRPr="0054039C">
              <w:rPr>
                <w:rFonts w:ascii="Arial" w:hAnsi="Arial" w:cs="Arial"/>
                <w:color w:val="595959" w:themeColor="text1" w:themeTint="A6"/>
              </w:rPr>
              <w:t>Constituent</w:t>
            </w:r>
          </w:p>
        </w:tc>
        <w:tc>
          <w:tcPr>
            <w:tcW w:w="2250" w:type="dxa"/>
          </w:tcPr>
          <w:p w14:paraId="37BB6F17" w14:textId="77777777" w:rsidR="0054039C" w:rsidRPr="0054039C" w:rsidRDefault="0054039C" w:rsidP="0054039C">
            <w:pPr>
              <w:spacing w:line="48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595959" w:themeColor="text1" w:themeTint="A6"/>
              </w:rPr>
            </w:pPr>
            <w:r w:rsidRPr="0054039C">
              <w:rPr>
                <w:rFonts w:ascii="Arial" w:hAnsi="Arial" w:cs="Arial"/>
                <w:color w:val="595959" w:themeColor="text1" w:themeTint="A6"/>
              </w:rPr>
              <w:t>Vol/stock sol</w:t>
            </w:r>
            <w:r w:rsidRPr="0054039C">
              <w:rPr>
                <w:rFonts w:ascii="Arial" w:hAnsi="Arial" w:cs="Arial"/>
                <w:color w:val="595959" w:themeColor="text1" w:themeTint="A6"/>
                <w:vertAlign w:val="superscript"/>
              </w:rPr>
              <w:t>n</w:t>
            </w:r>
            <w:r w:rsidRPr="0054039C">
              <w:rPr>
                <w:rFonts w:ascii="Arial" w:hAnsi="Arial" w:cs="Arial"/>
                <w:color w:val="595959" w:themeColor="text1" w:themeTint="A6"/>
              </w:rPr>
              <w:t xml:space="preserve"> (mL)</w:t>
            </w:r>
          </w:p>
        </w:tc>
        <w:tc>
          <w:tcPr>
            <w:tcW w:w="4368" w:type="dxa"/>
          </w:tcPr>
          <w:p w14:paraId="2CA19827" w14:textId="77777777" w:rsidR="0054039C" w:rsidRPr="0054039C" w:rsidRDefault="0054039C" w:rsidP="0054039C">
            <w:pPr>
              <w:spacing w:line="48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595959" w:themeColor="text1" w:themeTint="A6"/>
              </w:rPr>
            </w:pPr>
            <w:r w:rsidRPr="0054039C">
              <w:rPr>
                <w:rFonts w:ascii="Arial" w:hAnsi="Arial" w:cs="Arial"/>
                <w:color w:val="595959" w:themeColor="text1" w:themeTint="A6"/>
              </w:rPr>
              <w:t>Concentration</w:t>
            </w:r>
          </w:p>
        </w:tc>
      </w:tr>
      <w:tr w:rsidR="0054039C" w:rsidRPr="0054039C" w14:paraId="305A3CD5" w14:textId="77777777" w:rsidTr="002203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75B59368" w14:textId="77777777" w:rsidR="0054039C" w:rsidRPr="0054039C" w:rsidRDefault="0054039C" w:rsidP="0054039C">
            <w:pPr>
              <w:spacing w:line="480" w:lineRule="auto"/>
              <w:jc w:val="center"/>
              <w:rPr>
                <w:rFonts w:ascii="Arial" w:hAnsi="Arial" w:cs="Arial"/>
                <w:color w:val="595959" w:themeColor="text1" w:themeTint="A6"/>
              </w:rPr>
            </w:pPr>
            <w:r w:rsidRPr="0054039C">
              <w:rPr>
                <w:rFonts w:ascii="Arial" w:hAnsi="Arial" w:cs="Arial"/>
                <w:color w:val="595959" w:themeColor="text1" w:themeTint="A6"/>
              </w:rPr>
              <w:t>DMEM (low glucose)</w:t>
            </w:r>
          </w:p>
        </w:tc>
        <w:tc>
          <w:tcPr>
            <w:tcW w:w="2250" w:type="dxa"/>
          </w:tcPr>
          <w:p w14:paraId="51E4F484" w14:textId="77777777" w:rsidR="0054039C" w:rsidRPr="0054039C" w:rsidRDefault="0054039C" w:rsidP="0054039C">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595959" w:themeColor="text1" w:themeTint="A6"/>
              </w:rPr>
            </w:pPr>
            <w:r w:rsidRPr="0054039C">
              <w:rPr>
                <w:rFonts w:ascii="Arial" w:hAnsi="Arial" w:cs="Arial"/>
                <w:color w:val="595959" w:themeColor="text1" w:themeTint="A6"/>
              </w:rPr>
              <w:t>440</w:t>
            </w:r>
          </w:p>
        </w:tc>
        <w:tc>
          <w:tcPr>
            <w:tcW w:w="4368" w:type="dxa"/>
          </w:tcPr>
          <w:p w14:paraId="57854FFB" w14:textId="77777777" w:rsidR="0054039C" w:rsidRPr="0054039C" w:rsidRDefault="0054039C" w:rsidP="0054039C">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595959" w:themeColor="text1" w:themeTint="A6"/>
              </w:rPr>
            </w:pPr>
            <w:r w:rsidRPr="0054039C">
              <w:rPr>
                <w:rFonts w:ascii="Arial" w:hAnsi="Arial" w:cs="Arial"/>
                <w:color w:val="595959" w:themeColor="text1" w:themeTint="A6"/>
              </w:rPr>
              <w:t>88%</w:t>
            </w:r>
          </w:p>
        </w:tc>
      </w:tr>
      <w:tr w:rsidR="0054039C" w:rsidRPr="0054039C" w14:paraId="6A0BBDF2" w14:textId="77777777" w:rsidTr="00220314">
        <w:tc>
          <w:tcPr>
            <w:cnfStyle w:val="001000000000" w:firstRow="0" w:lastRow="0" w:firstColumn="1" w:lastColumn="0" w:oddVBand="0" w:evenVBand="0" w:oddHBand="0" w:evenHBand="0" w:firstRowFirstColumn="0" w:firstRowLastColumn="0" w:lastRowFirstColumn="0" w:lastRowLastColumn="0"/>
            <w:tcW w:w="2875" w:type="dxa"/>
          </w:tcPr>
          <w:p w14:paraId="10DC7965" w14:textId="77777777" w:rsidR="0054039C" w:rsidRPr="0054039C" w:rsidRDefault="0054039C" w:rsidP="0054039C">
            <w:pPr>
              <w:spacing w:line="480" w:lineRule="auto"/>
              <w:jc w:val="center"/>
              <w:rPr>
                <w:rFonts w:ascii="Arial" w:hAnsi="Arial" w:cs="Arial"/>
                <w:color w:val="595959" w:themeColor="text1" w:themeTint="A6"/>
              </w:rPr>
            </w:pPr>
            <w:r w:rsidRPr="0054039C">
              <w:rPr>
                <w:rFonts w:ascii="Arial" w:hAnsi="Arial" w:cs="Arial"/>
                <w:color w:val="595959" w:themeColor="text1" w:themeTint="A6"/>
              </w:rPr>
              <w:t>Penicillin/ streptomycin</w:t>
            </w:r>
          </w:p>
        </w:tc>
        <w:tc>
          <w:tcPr>
            <w:tcW w:w="2250" w:type="dxa"/>
          </w:tcPr>
          <w:p w14:paraId="7529CC23" w14:textId="77777777" w:rsidR="0054039C" w:rsidRPr="0054039C" w:rsidRDefault="0054039C" w:rsidP="0054039C">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595959" w:themeColor="text1" w:themeTint="A6"/>
              </w:rPr>
            </w:pPr>
            <w:r w:rsidRPr="0054039C">
              <w:rPr>
                <w:rFonts w:ascii="Arial" w:hAnsi="Arial" w:cs="Arial"/>
                <w:color w:val="595959" w:themeColor="text1" w:themeTint="A6"/>
              </w:rPr>
              <w:t>5</w:t>
            </w:r>
          </w:p>
        </w:tc>
        <w:tc>
          <w:tcPr>
            <w:tcW w:w="4368" w:type="dxa"/>
          </w:tcPr>
          <w:p w14:paraId="5F89609C" w14:textId="77777777" w:rsidR="0054039C" w:rsidRPr="0054039C" w:rsidRDefault="0054039C" w:rsidP="0054039C">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595959" w:themeColor="text1" w:themeTint="A6"/>
              </w:rPr>
            </w:pPr>
            <w:r w:rsidRPr="0054039C">
              <w:rPr>
                <w:rFonts w:ascii="Arial" w:hAnsi="Arial" w:cs="Arial"/>
                <w:color w:val="595959" w:themeColor="text1" w:themeTint="A6"/>
              </w:rPr>
              <w:t>100 I.U/mL penicillin,</w:t>
            </w:r>
          </w:p>
          <w:p w14:paraId="344C314A" w14:textId="77777777" w:rsidR="0054039C" w:rsidRPr="0054039C" w:rsidRDefault="0054039C" w:rsidP="0054039C">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595959" w:themeColor="text1" w:themeTint="A6"/>
              </w:rPr>
            </w:pPr>
            <w:r w:rsidRPr="0054039C">
              <w:rPr>
                <w:rFonts w:ascii="Arial" w:hAnsi="Arial" w:cs="Arial"/>
                <w:color w:val="595959" w:themeColor="text1" w:themeTint="A6"/>
              </w:rPr>
              <w:t>100 µg/ml streptomycin</w:t>
            </w:r>
          </w:p>
        </w:tc>
      </w:tr>
      <w:tr w:rsidR="0054039C" w:rsidRPr="0054039C" w14:paraId="6CC227D6" w14:textId="77777777" w:rsidTr="002203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5F82D37D" w14:textId="77777777" w:rsidR="0054039C" w:rsidRPr="0054039C" w:rsidRDefault="0054039C" w:rsidP="0054039C">
            <w:pPr>
              <w:spacing w:line="480" w:lineRule="auto"/>
              <w:jc w:val="center"/>
              <w:rPr>
                <w:rFonts w:ascii="Arial" w:hAnsi="Arial" w:cs="Arial"/>
                <w:color w:val="595959" w:themeColor="text1" w:themeTint="A6"/>
              </w:rPr>
            </w:pPr>
            <w:r w:rsidRPr="0054039C">
              <w:rPr>
                <w:rFonts w:ascii="Arial" w:hAnsi="Arial" w:cs="Arial"/>
                <w:color w:val="595959" w:themeColor="text1" w:themeTint="A6"/>
              </w:rPr>
              <w:t>FBS</w:t>
            </w:r>
          </w:p>
        </w:tc>
        <w:tc>
          <w:tcPr>
            <w:tcW w:w="2250" w:type="dxa"/>
          </w:tcPr>
          <w:p w14:paraId="38F855CD" w14:textId="77777777" w:rsidR="0054039C" w:rsidRPr="0054039C" w:rsidRDefault="0054039C" w:rsidP="0054039C">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595959" w:themeColor="text1" w:themeTint="A6"/>
              </w:rPr>
            </w:pPr>
            <w:r w:rsidRPr="0054039C">
              <w:rPr>
                <w:rFonts w:ascii="Arial" w:hAnsi="Arial" w:cs="Arial"/>
                <w:color w:val="595959" w:themeColor="text1" w:themeTint="A6"/>
              </w:rPr>
              <w:t>50</w:t>
            </w:r>
          </w:p>
        </w:tc>
        <w:tc>
          <w:tcPr>
            <w:tcW w:w="4368" w:type="dxa"/>
          </w:tcPr>
          <w:p w14:paraId="2A0068D3" w14:textId="77777777" w:rsidR="0054039C" w:rsidRPr="0054039C" w:rsidRDefault="0054039C" w:rsidP="0054039C">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595959" w:themeColor="text1" w:themeTint="A6"/>
              </w:rPr>
            </w:pPr>
            <w:r w:rsidRPr="0054039C">
              <w:rPr>
                <w:rFonts w:ascii="Arial" w:hAnsi="Arial" w:cs="Arial"/>
                <w:color w:val="595959" w:themeColor="text1" w:themeTint="A6"/>
              </w:rPr>
              <w:t>10%</w:t>
            </w:r>
          </w:p>
        </w:tc>
      </w:tr>
      <w:tr w:rsidR="0054039C" w:rsidRPr="0054039C" w14:paraId="1B322901" w14:textId="77777777" w:rsidTr="00220314">
        <w:tc>
          <w:tcPr>
            <w:cnfStyle w:val="001000000000" w:firstRow="0" w:lastRow="0" w:firstColumn="1" w:lastColumn="0" w:oddVBand="0" w:evenVBand="0" w:oddHBand="0" w:evenHBand="0" w:firstRowFirstColumn="0" w:firstRowLastColumn="0" w:lastRowFirstColumn="0" w:lastRowLastColumn="0"/>
            <w:tcW w:w="2875" w:type="dxa"/>
          </w:tcPr>
          <w:p w14:paraId="6F7F3DFE" w14:textId="77777777" w:rsidR="0054039C" w:rsidRPr="0054039C" w:rsidRDefault="0054039C" w:rsidP="0054039C">
            <w:pPr>
              <w:spacing w:line="480" w:lineRule="auto"/>
              <w:jc w:val="center"/>
              <w:rPr>
                <w:rFonts w:ascii="Arial" w:hAnsi="Arial" w:cs="Arial"/>
                <w:color w:val="595959" w:themeColor="text1" w:themeTint="A6"/>
              </w:rPr>
            </w:pPr>
            <w:r w:rsidRPr="0054039C">
              <w:rPr>
                <w:rFonts w:ascii="Arial" w:hAnsi="Arial" w:cs="Arial"/>
                <w:color w:val="595959" w:themeColor="text1" w:themeTint="A6"/>
              </w:rPr>
              <w:t>L-glutamine</w:t>
            </w:r>
          </w:p>
        </w:tc>
        <w:tc>
          <w:tcPr>
            <w:tcW w:w="2250" w:type="dxa"/>
          </w:tcPr>
          <w:p w14:paraId="7F7A1FD9" w14:textId="77777777" w:rsidR="0054039C" w:rsidRPr="0054039C" w:rsidRDefault="0054039C" w:rsidP="0054039C">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595959" w:themeColor="text1" w:themeTint="A6"/>
              </w:rPr>
            </w:pPr>
            <w:r w:rsidRPr="0054039C">
              <w:rPr>
                <w:rFonts w:ascii="Arial" w:hAnsi="Arial" w:cs="Arial"/>
                <w:color w:val="595959" w:themeColor="text1" w:themeTint="A6"/>
              </w:rPr>
              <w:t>5</w:t>
            </w:r>
          </w:p>
        </w:tc>
        <w:tc>
          <w:tcPr>
            <w:tcW w:w="4368" w:type="dxa"/>
          </w:tcPr>
          <w:p w14:paraId="0B24BB4D" w14:textId="77777777" w:rsidR="0054039C" w:rsidRPr="0054039C" w:rsidRDefault="0054039C" w:rsidP="0054039C">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595959" w:themeColor="text1" w:themeTint="A6"/>
              </w:rPr>
            </w:pPr>
            <w:r w:rsidRPr="0054039C">
              <w:rPr>
                <w:rFonts w:ascii="Arial" w:hAnsi="Arial" w:cs="Arial"/>
                <w:color w:val="595959" w:themeColor="text1" w:themeTint="A6"/>
              </w:rPr>
              <w:t>2 mM</w:t>
            </w:r>
          </w:p>
        </w:tc>
      </w:tr>
    </w:tbl>
    <w:p w14:paraId="6E5BCF65" w14:textId="77777777" w:rsidR="0054039C" w:rsidRPr="0054039C" w:rsidRDefault="0054039C" w:rsidP="0054039C">
      <w:pPr>
        <w:rPr>
          <w:lang w:val="en-US"/>
        </w:rPr>
      </w:pPr>
      <w:bookmarkStart w:id="76" w:name="_Toc515897459"/>
    </w:p>
    <w:p w14:paraId="53305332" w14:textId="77777777" w:rsidR="0054039C" w:rsidRPr="0054039C" w:rsidRDefault="0054039C" w:rsidP="0054039C">
      <w:pPr>
        <w:rPr>
          <w:lang w:val="en-US"/>
        </w:rPr>
      </w:pPr>
    </w:p>
    <w:p w14:paraId="7FF48897" w14:textId="77777777" w:rsidR="0054039C" w:rsidRPr="0054039C" w:rsidRDefault="0054039C" w:rsidP="0054039C">
      <w:pPr>
        <w:rPr>
          <w:lang w:val="en-US"/>
        </w:rPr>
      </w:pPr>
    </w:p>
    <w:p w14:paraId="63290A7B" w14:textId="77777777" w:rsidR="0054039C" w:rsidRPr="0054039C" w:rsidRDefault="0054039C" w:rsidP="00AA47CD">
      <w:pPr>
        <w:pStyle w:val="Heading4"/>
        <w:rPr>
          <w:rFonts w:ascii="Arial" w:hAnsi="Arial" w:cs="Arial"/>
          <w:color w:val="595959" w:themeColor="text1" w:themeTint="A6"/>
          <w:szCs w:val="24"/>
          <w:lang w:val="en-US"/>
        </w:rPr>
      </w:pPr>
      <w:bookmarkStart w:id="77" w:name="_Toc534278586"/>
      <w:bookmarkStart w:id="78" w:name="_Toc34208293"/>
      <w:r w:rsidRPr="0054039C">
        <w:rPr>
          <w:rFonts w:ascii="Arial" w:hAnsi="Arial" w:cs="Arial"/>
          <w:color w:val="595959" w:themeColor="text1" w:themeTint="A6"/>
          <w:szCs w:val="24"/>
          <w:lang w:val="en-US"/>
        </w:rPr>
        <w:t>2.2.2.2 Preparation of serum free media and transport media</w:t>
      </w:r>
      <w:bookmarkEnd w:id="77"/>
      <w:bookmarkEnd w:id="78"/>
    </w:p>
    <w:p w14:paraId="3883F3D1" w14:textId="77777777" w:rsidR="0054039C" w:rsidRPr="0054039C" w:rsidRDefault="0054039C" w:rsidP="0054039C">
      <w:pPr>
        <w:rPr>
          <w:lang w:val="en-US"/>
        </w:rPr>
      </w:pPr>
    </w:p>
    <w:p w14:paraId="392D5851" w14:textId="77777777" w:rsidR="0054039C" w:rsidRPr="0054039C" w:rsidRDefault="0054039C" w:rsidP="0054039C">
      <w:pPr>
        <w:spacing w:line="480" w:lineRule="auto"/>
        <w:jc w:val="both"/>
        <w:rPr>
          <w:rFonts w:ascii="Arial" w:hAnsi="Arial" w:cs="Arial"/>
          <w:color w:val="595959" w:themeColor="text1" w:themeTint="A6"/>
          <w:lang w:val="en-US"/>
        </w:rPr>
      </w:pPr>
      <w:r w:rsidRPr="0054039C">
        <w:rPr>
          <w:rFonts w:ascii="Arial" w:hAnsi="Arial" w:cs="Arial"/>
          <w:color w:val="595959" w:themeColor="text1" w:themeTint="A6"/>
          <w:lang w:val="en-US"/>
        </w:rPr>
        <w:t xml:space="preserve">Serum free media consisted of DMEM (low glucose) supplemented with L-glutamine (2 mM). Biopsies were stored in transport media consisting of DMEM (low glucose) supplemented with L-glutamine (2 mM) and </w:t>
      </w:r>
      <w:r w:rsidRPr="0054039C">
        <w:rPr>
          <w:rFonts w:ascii="Arial" w:hAnsi="Arial" w:cs="Arial"/>
          <w:bCs/>
          <w:color w:val="595959" w:themeColor="text1" w:themeTint="A6"/>
          <w:lang w:val="en-US"/>
        </w:rPr>
        <w:t>penicillin-streptomycin (</w:t>
      </w:r>
      <w:r w:rsidRPr="0054039C">
        <w:rPr>
          <w:rFonts w:ascii="Arial" w:hAnsi="Arial" w:cs="Arial"/>
          <w:color w:val="595959" w:themeColor="text1" w:themeTint="A6"/>
          <w:lang w:val="en-US"/>
        </w:rPr>
        <w:t>100 I.U/mL /100 µg/mL</w:t>
      </w:r>
      <w:r w:rsidRPr="0054039C">
        <w:rPr>
          <w:rFonts w:ascii="Arial" w:hAnsi="Arial" w:cs="Arial"/>
          <w:bCs/>
          <w:color w:val="595959" w:themeColor="text1" w:themeTint="A6"/>
          <w:lang w:val="en-US"/>
        </w:rPr>
        <w:t>).</w:t>
      </w:r>
    </w:p>
    <w:p w14:paraId="1BA1E888" w14:textId="77777777" w:rsidR="0054039C" w:rsidRPr="0054039C" w:rsidRDefault="0054039C" w:rsidP="0054039C">
      <w:pPr>
        <w:keepNext/>
        <w:keepLines/>
        <w:spacing w:before="40" w:after="0"/>
        <w:outlineLvl w:val="2"/>
        <w:rPr>
          <w:rFonts w:ascii="Arial" w:eastAsiaTheme="majorEastAsia" w:hAnsi="Arial" w:cs="Arial"/>
          <w:color w:val="595959" w:themeColor="text1" w:themeTint="A6"/>
          <w:sz w:val="24"/>
          <w:szCs w:val="24"/>
          <w:lang w:val="en-US"/>
        </w:rPr>
      </w:pPr>
    </w:p>
    <w:p w14:paraId="2D62595D" w14:textId="77777777" w:rsidR="0054039C" w:rsidRPr="0054039C" w:rsidRDefault="0054039C" w:rsidP="00AA47CD">
      <w:pPr>
        <w:pStyle w:val="Heading4"/>
        <w:rPr>
          <w:rFonts w:ascii="Arial" w:hAnsi="Arial" w:cs="Arial"/>
          <w:color w:val="595959" w:themeColor="text1" w:themeTint="A6"/>
          <w:szCs w:val="24"/>
          <w:lang w:val="en-US"/>
        </w:rPr>
      </w:pPr>
      <w:bookmarkStart w:id="79" w:name="_Toc534278587"/>
      <w:bookmarkStart w:id="80" w:name="_Toc34208294"/>
      <w:r w:rsidRPr="0054039C">
        <w:rPr>
          <w:rFonts w:ascii="Arial" w:hAnsi="Arial" w:cs="Arial"/>
          <w:color w:val="595959" w:themeColor="text1" w:themeTint="A6"/>
          <w:szCs w:val="24"/>
          <w:lang w:val="en-US"/>
        </w:rPr>
        <w:t>2.2.2.3 Preparation of cell culture media for fibroblast-derived matrices</w:t>
      </w:r>
      <w:bookmarkEnd w:id="79"/>
      <w:bookmarkEnd w:id="80"/>
      <w:r w:rsidRPr="0054039C">
        <w:rPr>
          <w:rFonts w:ascii="Arial" w:hAnsi="Arial" w:cs="Arial"/>
          <w:color w:val="595959" w:themeColor="text1" w:themeTint="A6"/>
          <w:szCs w:val="24"/>
          <w:lang w:val="en-US"/>
        </w:rPr>
        <w:t xml:space="preserve"> </w:t>
      </w:r>
      <w:bookmarkEnd w:id="76"/>
    </w:p>
    <w:p w14:paraId="310B01DA" w14:textId="77777777" w:rsidR="0054039C" w:rsidRPr="0054039C" w:rsidRDefault="0054039C" w:rsidP="0054039C">
      <w:pPr>
        <w:spacing w:after="0" w:line="480" w:lineRule="auto"/>
        <w:jc w:val="both"/>
        <w:rPr>
          <w:lang w:val="en-US"/>
        </w:rPr>
      </w:pPr>
    </w:p>
    <w:p w14:paraId="0E52E376" w14:textId="18E2B7F9" w:rsidR="0054039C" w:rsidRPr="0054039C" w:rsidRDefault="0054039C" w:rsidP="0054039C">
      <w:pPr>
        <w:spacing w:after="0" w:line="480" w:lineRule="auto"/>
        <w:jc w:val="both"/>
        <w:rPr>
          <w:rFonts w:ascii="Arial" w:hAnsi="Arial" w:cs="Arial"/>
          <w:color w:val="595959" w:themeColor="text1" w:themeTint="A6"/>
          <w:lang w:val="en-US"/>
        </w:rPr>
      </w:pPr>
      <w:r w:rsidRPr="0054039C">
        <w:rPr>
          <w:rFonts w:ascii="Arial" w:eastAsia="Times New Roman" w:hAnsi="Arial" w:cs="Arial"/>
          <w:color w:val="595959" w:themeColor="text1" w:themeTint="A6"/>
          <w:kern w:val="36"/>
          <w:lang w:val="en-US" w:eastAsia="en-GB"/>
        </w:rPr>
        <w:t xml:space="preserve">DMEM (high glucose) /Nutrient Mixture F-12 Ham (3:1 ratio; v/v) was supplemented with </w:t>
      </w:r>
      <w:r w:rsidRPr="0054039C">
        <w:rPr>
          <w:rFonts w:ascii="Arial" w:hAnsi="Arial" w:cs="Arial"/>
          <w:color w:val="595959" w:themeColor="text1" w:themeTint="A6"/>
          <w:lang w:val="en-US"/>
        </w:rPr>
        <w:t>10% FBS, 100 I.U/mL penicillin, 100 µg/mL streptomycin, 2 mM L-glutamine and 0.625 µg/mL Amphotericin-B, 5 µg/mL human insulin, supplemented with 200 mg/mL 2-phospho-l-ascorbic acid (added fresh). Additional recombinant human proteins were also supplemented every two days: TGFβ-1 (1 ng/mL</w:t>
      </w:r>
      <w:r w:rsidRPr="006D5A97">
        <w:rPr>
          <w:rFonts w:ascii="Arial" w:hAnsi="Arial" w:cs="Arial"/>
          <w:color w:val="595959" w:themeColor="text1" w:themeTint="A6"/>
          <w:lang w:val="en-US"/>
        </w:rPr>
        <w:t>), EGF (</w:t>
      </w:r>
      <w:r w:rsidR="00E2049B" w:rsidRPr="006D5A97">
        <w:rPr>
          <w:rFonts w:ascii="Arial" w:hAnsi="Arial" w:cs="Arial"/>
          <w:color w:val="595959" w:themeColor="text1" w:themeTint="A6"/>
          <w:lang w:val="en-US"/>
        </w:rPr>
        <w:t>10</w:t>
      </w:r>
      <w:r w:rsidRPr="006D5A97">
        <w:rPr>
          <w:rFonts w:ascii="Arial" w:hAnsi="Arial" w:cs="Arial"/>
          <w:color w:val="595959" w:themeColor="text1" w:themeTint="A6"/>
          <w:lang w:val="en-US"/>
        </w:rPr>
        <w:t xml:space="preserve"> </w:t>
      </w:r>
      <w:r w:rsidRPr="0054039C">
        <w:rPr>
          <w:rFonts w:ascii="Arial" w:hAnsi="Arial" w:cs="Arial"/>
          <w:color w:val="595959" w:themeColor="text1" w:themeTint="A6"/>
          <w:lang w:val="en-US"/>
        </w:rPr>
        <w:t xml:space="preserve">ng/mL), bFGF (5 ng/mL). All reagents were sterile filtered prior to use (Table 2.2). </w:t>
      </w:r>
      <w:bookmarkStart w:id="81" w:name="_Toc525553348"/>
    </w:p>
    <w:p w14:paraId="25961772" w14:textId="77777777" w:rsidR="00365E9A" w:rsidRDefault="00365E9A" w:rsidP="0054039C">
      <w:pPr>
        <w:keepNext/>
        <w:spacing w:after="200" w:line="240" w:lineRule="auto"/>
        <w:jc w:val="both"/>
        <w:rPr>
          <w:lang w:val="en-US"/>
        </w:rPr>
      </w:pPr>
    </w:p>
    <w:p w14:paraId="46B986DD" w14:textId="33F3A88E" w:rsidR="0054039C" w:rsidRPr="00F74E5C" w:rsidRDefault="0054039C" w:rsidP="0054039C">
      <w:pPr>
        <w:keepNext/>
        <w:spacing w:after="200" w:line="240" w:lineRule="auto"/>
        <w:jc w:val="both"/>
        <w:rPr>
          <w:rFonts w:ascii="Arial" w:hAnsi="Arial" w:cs="Arial"/>
          <w:b/>
          <w:iCs/>
          <w:color w:val="595959" w:themeColor="text1" w:themeTint="A6"/>
          <w:lang w:val="en-US"/>
        </w:rPr>
      </w:pPr>
      <w:r w:rsidRPr="00F74E5C">
        <w:rPr>
          <w:rFonts w:ascii="Arial" w:hAnsi="Arial" w:cs="Arial"/>
          <w:b/>
          <w:iCs/>
          <w:color w:val="595959" w:themeColor="text1" w:themeTint="A6"/>
          <w:lang w:val="en-US"/>
        </w:rPr>
        <w:t>Table 2.2 Preparation of fibroblast-derived matrix culture media</w:t>
      </w:r>
      <w:bookmarkEnd w:id="81"/>
    </w:p>
    <w:p w14:paraId="398322EF" w14:textId="77777777" w:rsidR="00220314" w:rsidRPr="0054039C" w:rsidRDefault="00220314" w:rsidP="0054039C">
      <w:pPr>
        <w:keepNext/>
        <w:spacing w:after="200" w:line="240" w:lineRule="auto"/>
        <w:jc w:val="both"/>
        <w:rPr>
          <w:rFonts w:ascii="Arial" w:hAnsi="Arial" w:cs="Arial"/>
          <w:b/>
          <w:iCs/>
          <w:color w:val="595959" w:themeColor="text1" w:themeTint="A6"/>
          <w:sz w:val="24"/>
          <w:szCs w:val="24"/>
          <w:lang w:val="en-US"/>
        </w:rPr>
      </w:pPr>
    </w:p>
    <w:tbl>
      <w:tblPr>
        <w:tblStyle w:val="GridTable4-Accent31"/>
        <w:tblW w:w="0" w:type="auto"/>
        <w:tblLook w:val="04A0" w:firstRow="1" w:lastRow="0" w:firstColumn="1" w:lastColumn="0" w:noHBand="0" w:noVBand="1"/>
      </w:tblPr>
      <w:tblGrid>
        <w:gridCol w:w="2730"/>
        <w:gridCol w:w="2350"/>
        <w:gridCol w:w="2284"/>
      </w:tblGrid>
      <w:tr w:rsidR="0054039C" w:rsidRPr="0054039C" w14:paraId="26C9AE10" w14:textId="77777777" w:rsidTr="0022031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0" w:type="dxa"/>
          </w:tcPr>
          <w:p w14:paraId="5677A1A1" w14:textId="77777777" w:rsidR="0054039C" w:rsidRPr="0054039C" w:rsidRDefault="0054039C" w:rsidP="0054039C">
            <w:pPr>
              <w:autoSpaceDE w:val="0"/>
              <w:autoSpaceDN w:val="0"/>
              <w:adjustRightInd w:val="0"/>
              <w:spacing w:line="480" w:lineRule="auto"/>
              <w:jc w:val="center"/>
              <w:rPr>
                <w:rFonts w:ascii="Arial" w:hAnsi="Arial" w:cs="Arial"/>
                <w:color w:val="404040" w:themeColor="text1" w:themeTint="BF"/>
              </w:rPr>
            </w:pPr>
            <w:r w:rsidRPr="0054039C">
              <w:rPr>
                <w:rFonts w:ascii="Arial" w:hAnsi="Arial" w:cs="Arial"/>
                <w:color w:val="404040" w:themeColor="text1" w:themeTint="BF"/>
              </w:rPr>
              <w:t>Constituent</w:t>
            </w:r>
          </w:p>
        </w:tc>
        <w:tc>
          <w:tcPr>
            <w:tcW w:w="2350" w:type="dxa"/>
          </w:tcPr>
          <w:p w14:paraId="4680730E" w14:textId="77777777" w:rsidR="0054039C" w:rsidRPr="0054039C" w:rsidRDefault="0054039C" w:rsidP="0054039C">
            <w:pPr>
              <w:autoSpaceDE w:val="0"/>
              <w:autoSpaceDN w:val="0"/>
              <w:adjustRightInd w:val="0"/>
              <w:spacing w:line="48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404040" w:themeColor="text1" w:themeTint="BF"/>
                <w:vertAlign w:val="superscript"/>
              </w:rPr>
            </w:pPr>
            <w:r w:rsidRPr="0054039C">
              <w:rPr>
                <w:rFonts w:ascii="Arial" w:hAnsi="Arial" w:cs="Arial"/>
                <w:color w:val="404040" w:themeColor="text1" w:themeTint="BF"/>
              </w:rPr>
              <w:t>Vol/stock sol</w:t>
            </w:r>
            <w:r w:rsidRPr="0054039C">
              <w:rPr>
                <w:rFonts w:ascii="Arial" w:hAnsi="Arial" w:cs="Arial"/>
                <w:color w:val="404040" w:themeColor="text1" w:themeTint="BF"/>
                <w:vertAlign w:val="superscript"/>
              </w:rPr>
              <w:t>n</w:t>
            </w:r>
          </w:p>
        </w:tc>
        <w:tc>
          <w:tcPr>
            <w:tcW w:w="2284" w:type="dxa"/>
          </w:tcPr>
          <w:p w14:paraId="48CACA8F" w14:textId="77777777" w:rsidR="0054039C" w:rsidRPr="0054039C" w:rsidRDefault="0054039C" w:rsidP="0054039C">
            <w:pPr>
              <w:autoSpaceDE w:val="0"/>
              <w:autoSpaceDN w:val="0"/>
              <w:adjustRightInd w:val="0"/>
              <w:spacing w:line="48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404040" w:themeColor="text1" w:themeTint="BF"/>
                <w:vertAlign w:val="superscript"/>
              </w:rPr>
            </w:pPr>
            <w:r w:rsidRPr="0054039C">
              <w:rPr>
                <w:rFonts w:ascii="Arial" w:hAnsi="Arial" w:cs="Arial"/>
                <w:color w:val="404040" w:themeColor="text1" w:themeTint="BF"/>
              </w:rPr>
              <w:t>Final Con</w:t>
            </w:r>
            <w:r w:rsidRPr="0054039C">
              <w:rPr>
                <w:rFonts w:ascii="Arial" w:hAnsi="Arial" w:cs="Arial"/>
                <w:color w:val="404040" w:themeColor="text1" w:themeTint="BF"/>
                <w:vertAlign w:val="superscript"/>
              </w:rPr>
              <w:t>c</w:t>
            </w:r>
          </w:p>
        </w:tc>
      </w:tr>
      <w:tr w:rsidR="0054039C" w:rsidRPr="0054039C" w14:paraId="765826A4" w14:textId="77777777" w:rsidTr="00220314">
        <w:trPr>
          <w:cnfStyle w:val="000000100000" w:firstRow="0" w:lastRow="0" w:firstColumn="0" w:lastColumn="0" w:oddVBand="0" w:evenVBand="0" w:oddHBand="1" w:evenHBand="0" w:firstRowFirstColumn="0" w:firstRowLastColumn="0" w:lastRowFirstColumn="0" w:lastRowLastColumn="0"/>
          <w:trHeight w:val="422"/>
        </w:trPr>
        <w:tc>
          <w:tcPr>
            <w:cnfStyle w:val="001000000000" w:firstRow="0" w:lastRow="0" w:firstColumn="1" w:lastColumn="0" w:oddVBand="0" w:evenVBand="0" w:oddHBand="0" w:evenHBand="0" w:firstRowFirstColumn="0" w:firstRowLastColumn="0" w:lastRowFirstColumn="0" w:lastRowLastColumn="0"/>
            <w:tcW w:w="2730" w:type="dxa"/>
          </w:tcPr>
          <w:p w14:paraId="222754AF" w14:textId="77777777" w:rsidR="0054039C" w:rsidRPr="0054039C" w:rsidRDefault="0054039C" w:rsidP="0054039C">
            <w:pPr>
              <w:spacing w:line="480" w:lineRule="auto"/>
              <w:jc w:val="center"/>
              <w:rPr>
                <w:rFonts w:ascii="Arial" w:hAnsi="Arial" w:cs="Arial"/>
                <w:color w:val="595959" w:themeColor="text1" w:themeTint="A6"/>
              </w:rPr>
            </w:pPr>
            <w:r w:rsidRPr="0054039C">
              <w:rPr>
                <w:rFonts w:ascii="Arial" w:hAnsi="Arial" w:cs="Arial"/>
                <w:color w:val="595959" w:themeColor="text1" w:themeTint="A6"/>
              </w:rPr>
              <w:t>DMEM (high glucose)/F-12 HAM (3:1 Mixture)</w:t>
            </w:r>
          </w:p>
        </w:tc>
        <w:tc>
          <w:tcPr>
            <w:tcW w:w="2350" w:type="dxa"/>
          </w:tcPr>
          <w:p w14:paraId="59E8923E" w14:textId="77777777" w:rsidR="0054039C" w:rsidRPr="0054039C" w:rsidRDefault="0054039C" w:rsidP="0054039C">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595959" w:themeColor="text1" w:themeTint="A6"/>
              </w:rPr>
            </w:pPr>
            <w:r w:rsidRPr="0054039C">
              <w:rPr>
                <w:rFonts w:ascii="Arial" w:hAnsi="Arial" w:cs="Arial"/>
                <w:color w:val="595959" w:themeColor="text1" w:themeTint="A6"/>
              </w:rPr>
              <w:t>443.75 mL</w:t>
            </w:r>
          </w:p>
        </w:tc>
        <w:tc>
          <w:tcPr>
            <w:tcW w:w="2284" w:type="dxa"/>
          </w:tcPr>
          <w:p w14:paraId="4A3F381A" w14:textId="77777777" w:rsidR="0054039C" w:rsidRPr="0054039C" w:rsidRDefault="0054039C" w:rsidP="0054039C">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595959" w:themeColor="text1" w:themeTint="A6"/>
              </w:rPr>
            </w:pPr>
            <w:r w:rsidRPr="0054039C">
              <w:rPr>
                <w:rFonts w:ascii="Arial" w:hAnsi="Arial" w:cs="Arial"/>
                <w:color w:val="595959" w:themeColor="text1" w:themeTint="A6"/>
              </w:rPr>
              <w:t>88.75%</w:t>
            </w:r>
          </w:p>
        </w:tc>
      </w:tr>
      <w:tr w:rsidR="0054039C" w:rsidRPr="0054039C" w14:paraId="525090D4" w14:textId="77777777" w:rsidTr="00220314">
        <w:tc>
          <w:tcPr>
            <w:cnfStyle w:val="001000000000" w:firstRow="0" w:lastRow="0" w:firstColumn="1" w:lastColumn="0" w:oddVBand="0" w:evenVBand="0" w:oddHBand="0" w:evenHBand="0" w:firstRowFirstColumn="0" w:firstRowLastColumn="0" w:lastRowFirstColumn="0" w:lastRowLastColumn="0"/>
            <w:tcW w:w="2730" w:type="dxa"/>
          </w:tcPr>
          <w:p w14:paraId="2ECF62AE" w14:textId="77777777" w:rsidR="0054039C" w:rsidRPr="0054039C" w:rsidRDefault="0054039C" w:rsidP="0054039C">
            <w:pPr>
              <w:spacing w:line="480" w:lineRule="auto"/>
              <w:jc w:val="center"/>
              <w:rPr>
                <w:rFonts w:ascii="Arial" w:hAnsi="Arial" w:cs="Arial"/>
                <w:color w:val="595959" w:themeColor="text1" w:themeTint="A6"/>
              </w:rPr>
            </w:pPr>
            <w:r w:rsidRPr="0054039C">
              <w:rPr>
                <w:rFonts w:ascii="Arial" w:hAnsi="Arial" w:cs="Arial"/>
                <w:color w:val="595959" w:themeColor="text1" w:themeTint="A6"/>
              </w:rPr>
              <w:t>FBS</w:t>
            </w:r>
          </w:p>
        </w:tc>
        <w:tc>
          <w:tcPr>
            <w:tcW w:w="2350" w:type="dxa"/>
          </w:tcPr>
          <w:p w14:paraId="650985D9" w14:textId="77777777" w:rsidR="0054039C" w:rsidRPr="0054039C" w:rsidRDefault="0054039C" w:rsidP="0054039C">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595959" w:themeColor="text1" w:themeTint="A6"/>
              </w:rPr>
            </w:pPr>
            <w:r w:rsidRPr="0054039C">
              <w:rPr>
                <w:rFonts w:ascii="Arial" w:hAnsi="Arial" w:cs="Arial"/>
                <w:color w:val="595959" w:themeColor="text1" w:themeTint="A6"/>
              </w:rPr>
              <w:t>50 mL</w:t>
            </w:r>
          </w:p>
        </w:tc>
        <w:tc>
          <w:tcPr>
            <w:tcW w:w="2284" w:type="dxa"/>
          </w:tcPr>
          <w:p w14:paraId="3960D177" w14:textId="77777777" w:rsidR="0054039C" w:rsidRPr="0054039C" w:rsidRDefault="0054039C" w:rsidP="0054039C">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595959" w:themeColor="text1" w:themeTint="A6"/>
              </w:rPr>
            </w:pPr>
            <w:r w:rsidRPr="0054039C">
              <w:rPr>
                <w:rFonts w:ascii="Arial" w:hAnsi="Arial" w:cs="Arial"/>
                <w:color w:val="595959" w:themeColor="text1" w:themeTint="A6"/>
              </w:rPr>
              <w:t>10%</w:t>
            </w:r>
          </w:p>
        </w:tc>
      </w:tr>
      <w:tr w:rsidR="0054039C" w:rsidRPr="0054039C" w14:paraId="6D30DFBE" w14:textId="77777777" w:rsidTr="00220314">
        <w:trPr>
          <w:cnfStyle w:val="000000100000" w:firstRow="0" w:lastRow="0" w:firstColumn="0" w:lastColumn="0" w:oddVBand="0" w:evenVBand="0" w:oddHBand="1" w:evenHBand="0" w:firstRowFirstColumn="0" w:firstRowLastColumn="0" w:lastRowFirstColumn="0" w:lastRowLastColumn="0"/>
          <w:trHeight w:val="734"/>
        </w:trPr>
        <w:tc>
          <w:tcPr>
            <w:cnfStyle w:val="001000000000" w:firstRow="0" w:lastRow="0" w:firstColumn="1" w:lastColumn="0" w:oddVBand="0" w:evenVBand="0" w:oddHBand="0" w:evenHBand="0" w:firstRowFirstColumn="0" w:firstRowLastColumn="0" w:lastRowFirstColumn="0" w:lastRowLastColumn="0"/>
            <w:tcW w:w="2730" w:type="dxa"/>
          </w:tcPr>
          <w:p w14:paraId="77D1039B" w14:textId="77777777" w:rsidR="0054039C" w:rsidRPr="0054039C" w:rsidRDefault="0054039C" w:rsidP="0054039C">
            <w:pPr>
              <w:spacing w:line="480" w:lineRule="auto"/>
              <w:rPr>
                <w:rFonts w:ascii="Arial" w:hAnsi="Arial" w:cs="Arial"/>
                <w:color w:val="595959" w:themeColor="text1" w:themeTint="A6"/>
              </w:rPr>
            </w:pPr>
            <w:r w:rsidRPr="0054039C">
              <w:rPr>
                <w:rFonts w:ascii="Arial" w:hAnsi="Arial" w:cs="Arial"/>
                <w:color w:val="595959" w:themeColor="text1" w:themeTint="A6"/>
              </w:rPr>
              <w:t>Penicillin/ streptomycin</w:t>
            </w:r>
          </w:p>
        </w:tc>
        <w:tc>
          <w:tcPr>
            <w:tcW w:w="2350" w:type="dxa"/>
          </w:tcPr>
          <w:p w14:paraId="28845569" w14:textId="77777777" w:rsidR="0054039C" w:rsidRPr="0054039C" w:rsidRDefault="0054039C" w:rsidP="0054039C">
            <w:pPr>
              <w:autoSpaceDE w:val="0"/>
              <w:autoSpaceDN w:val="0"/>
              <w:adjustRightInd w:val="0"/>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595959" w:themeColor="text1" w:themeTint="A6"/>
              </w:rPr>
            </w:pPr>
            <w:r w:rsidRPr="0054039C">
              <w:rPr>
                <w:rFonts w:ascii="Arial" w:hAnsi="Arial" w:cs="Arial"/>
                <w:color w:val="595959" w:themeColor="text1" w:themeTint="A6"/>
              </w:rPr>
              <w:t>5 mL of 10,000 i.u./mL</w:t>
            </w:r>
          </w:p>
          <w:p w14:paraId="77CD599C" w14:textId="77777777" w:rsidR="0054039C" w:rsidRPr="0054039C" w:rsidRDefault="0054039C" w:rsidP="0054039C">
            <w:pPr>
              <w:autoSpaceDE w:val="0"/>
              <w:autoSpaceDN w:val="0"/>
              <w:adjustRightInd w:val="0"/>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595959" w:themeColor="text1" w:themeTint="A6"/>
              </w:rPr>
            </w:pPr>
            <w:r w:rsidRPr="0054039C">
              <w:rPr>
                <w:rFonts w:ascii="Arial" w:hAnsi="Arial" w:cs="Arial"/>
                <w:color w:val="595959" w:themeColor="text1" w:themeTint="A6"/>
              </w:rPr>
              <w:t>penicillin and 10,000 μg/mL streptomycin</w:t>
            </w:r>
          </w:p>
        </w:tc>
        <w:tc>
          <w:tcPr>
            <w:tcW w:w="2284" w:type="dxa"/>
          </w:tcPr>
          <w:p w14:paraId="1BF3A5EB" w14:textId="77777777" w:rsidR="0054039C" w:rsidRPr="0054039C" w:rsidRDefault="0054039C" w:rsidP="0054039C">
            <w:pPr>
              <w:autoSpaceDE w:val="0"/>
              <w:autoSpaceDN w:val="0"/>
              <w:adjustRightInd w:val="0"/>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595959" w:themeColor="text1" w:themeTint="A6"/>
              </w:rPr>
            </w:pPr>
            <w:r w:rsidRPr="0054039C">
              <w:rPr>
                <w:rFonts w:ascii="Arial" w:hAnsi="Arial" w:cs="Arial"/>
                <w:color w:val="595959" w:themeColor="text1" w:themeTint="A6"/>
              </w:rPr>
              <w:t>100 i.u./mL penicillin and 100 μg/mL streptomycin</w:t>
            </w:r>
          </w:p>
        </w:tc>
      </w:tr>
      <w:tr w:rsidR="0054039C" w:rsidRPr="0054039C" w14:paraId="6284ACD3" w14:textId="77777777" w:rsidTr="00220314">
        <w:tc>
          <w:tcPr>
            <w:cnfStyle w:val="001000000000" w:firstRow="0" w:lastRow="0" w:firstColumn="1" w:lastColumn="0" w:oddVBand="0" w:evenVBand="0" w:oddHBand="0" w:evenHBand="0" w:firstRowFirstColumn="0" w:firstRowLastColumn="0" w:lastRowFirstColumn="0" w:lastRowLastColumn="0"/>
            <w:tcW w:w="2730" w:type="dxa"/>
          </w:tcPr>
          <w:p w14:paraId="07045EC8" w14:textId="77777777" w:rsidR="0054039C" w:rsidRPr="0054039C" w:rsidRDefault="0054039C" w:rsidP="0054039C">
            <w:pPr>
              <w:spacing w:line="480" w:lineRule="auto"/>
              <w:jc w:val="center"/>
              <w:rPr>
                <w:rFonts w:ascii="Arial" w:hAnsi="Arial" w:cs="Arial"/>
                <w:color w:val="595959" w:themeColor="text1" w:themeTint="A6"/>
              </w:rPr>
            </w:pPr>
            <w:r w:rsidRPr="0054039C">
              <w:rPr>
                <w:rFonts w:ascii="Arial" w:hAnsi="Arial" w:cs="Arial"/>
                <w:color w:val="595959" w:themeColor="text1" w:themeTint="A6"/>
              </w:rPr>
              <w:t xml:space="preserve">Amphotericin-B </w:t>
            </w:r>
          </w:p>
        </w:tc>
        <w:tc>
          <w:tcPr>
            <w:tcW w:w="2350" w:type="dxa"/>
          </w:tcPr>
          <w:p w14:paraId="4DB4E1B7" w14:textId="77777777" w:rsidR="0054039C" w:rsidRPr="0054039C" w:rsidRDefault="0054039C" w:rsidP="0054039C">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595959" w:themeColor="text1" w:themeTint="A6"/>
              </w:rPr>
            </w:pPr>
            <w:r w:rsidRPr="0054039C">
              <w:rPr>
                <w:rFonts w:ascii="Arial" w:hAnsi="Arial" w:cs="Arial"/>
                <w:color w:val="595959" w:themeColor="text1" w:themeTint="A6"/>
              </w:rPr>
              <w:t>1.25 mL of 250 μg/mL</w:t>
            </w:r>
          </w:p>
        </w:tc>
        <w:tc>
          <w:tcPr>
            <w:tcW w:w="2284" w:type="dxa"/>
          </w:tcPr>
          <w:p w14:paraId="2F441920" w14:textId="77777777" w:rsidR="0054039C" w:rsidRPr="0054039C" w:rsidRDefault="0054039C" w:rsidP="0054039C">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595959" w:themeColor="text1" w:themeTint="A6"/>
              </w:rPr>
            </w:pPr>
            <w:r w:rsidRPr="0054039C">
              <w:rPr>
                <w:rFonts w:ascii="Arial" w:hAnsi="Arial" w:cs="Arial"/>
                <w:color w:val="595959" w:themeColor="text1" w:themeTint="A6"/>
              </w:rPr>
              <w:t>0.625 μg/mL</w:t>
            </w:r>
          </w:p>
        </w:tc>
      </w:tr>
      <w:tr w:rsidR="0054039C" w:rsidRPr="0054039C" w14:paraId="71BD4DB1" w14:textId="77777777" w:rsidTr="002203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0" w:type="dxa"/>
          </w:tcPr>
          <w:p w14:paraId="16E71071" w14:textId="77777777" w:rsidR="0054039C" w:rsidRPr="0054039C" w:rsidRDefault="0054039C" w:rsidP="0054039C">
            <w:pPr>
              <w:spacing w:line="480" w:lineRule="auto"/>
              <w:jc w:val="center"/>
              <w:rPr>
                <w:rFonts w:ascii="Arial" w:hAnsi="Arial" w:cs="Arial"/>
                <w:color w:val="595959" w:themeColor="text1" w:themeTint="A6"/>
              </w:rPr>
            </w:pPr>
            <w:r w:rsidRPr="0054039C">
              <w:rPr>
                <w:rFonts w:ascii="Arial" w:hAnsi="Arial" w:cs="Arial"/>
                <w:color w:val="595959" w:themeColor="text1" w:themeTint="A6"/>
              </w:rPr>
              <w:lastRenderedPageBreak/>
              <w:t>2-phospho-L-ascorbic acid</w:t>
            </w:r>
          </w:p>
        </w:tc>
        <w:tc>
          <w:tcPr>
            <w:tcW w:w="2350" w:type="dxa"/>
          </w:tcPr>
          <w:p w14:paraId="396E8735" w14:textId="77777777" w:rsidR="0054039C" w:rsidRPr="0054039C" w:rsidRDefault="0054039C" w:rsidP="0054039C">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595959" w:themeColor="text1" w:themeTint="A6"/>
              </w:rPr>
            </w:pPr>
            <w:r w:rsidRPr="0054039C">
              <w:rPr>
                <w:rFonts w:ascii="Arial" w:hAnsi="Arial" w:cs="Arial"/>
                <w:color w:val="595959" w:themeColor="text1" w:themeTint="A6"/>
              </w:rPr>
              <w:t>10 g</w:t>
            </w:r>
          </w:p>
        </w:tc>
        <w:tc>
          <w:tcPr>
            <w:tcW w:w="2284" w:type="dxa"/>
          </w:tcPr>
          <w:p w14:paraId="6045D305" w14:textId="77777777" w:rsidR="0054039C" w:rsidRPr="0054039C" w:rsidRDefault="0054039C" w:rsidP="0054039C">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595959" w:themeColor="text1" w:themeTint="A6"/>
              </w:rPr>
            </w:pPr>
            <w:r w:rsidRPr="0054039C">
              <w:rPr>
                <w:rFonts w:ascii="Arial" w:hAnsi="Arial" w:cs="Arial"/>
                <w:color w:val="595959" w:themeColor="text1" w:themeTint="A6"/>
              </w:rPr>
              <w:t>200 µg/mL</w:t>
            </w:r>
          </w:p>
        </w:tc>
      </w:tr>
      <w:tr w:rsidR="00E92479" w:rsidRPr="0054039C" w14:paraId="7DF80A9F" w14:textId="77777777" w:rsidTr="00220314">
        <w:tc>
          <w:tcPr>
            <w:cnfStyle w:val="001000000000" w:firstRow="0" w:lastRow="0" w:firstColumn="1" w:lastColumn="0" w:oddVBand="0" w:evenVBand="0" w:oddHBand="0" w:evenHBand="0" w:firstRowFirstColumn="0" w:firstRowLastColumn="0" w:lastRowFirstColumn="0" w:lastRowLastColumn="0"/>
            <w:tcW w:w="2730" w:type="dxa"/>
          </w:tcPr>
          <w:p w14:paraId="54408B72" w14:textId="70EA1917" w:rsidR="00E92479" w:rsidRPr="0054039C" w:rsidRDefault="00E92479" w:rsidP="0054039C">
            <w:pPr>
              <w:spacing w:line="480" w:lineRule="auto"/>
              <w:jc w:val="center"/>
              <w:rPr>
                <w:rFonts w:ascii="Arial" w:hAnsi="Arial" w:cs="Arial"/>
                <w:color w:val="595959" w:themeColor="text1" w:themeTint="A6"/>
              </w:rPr>
            </w:pPr>
            <w:r>
              <w:rPr>
                <w:rFonts w:ascii="Arial" w:hAnsi="Arial" w:cs="Arial"/>
                <w:color w:val="595959" w:themeColor="text1" w:themeTint="A6"/>
              </w:rPr>
              <w:t>L-Glutamine</w:t>
            </w:r>
          </w:p>
        </w:tc>
        <w:tc>
          <w:tcPr>
            <w:tcW w:w="2350" w:type="dxa"/>
          </w:tcPr>
          <w:p w14:paraId="4B326BB5" w14:textId="04373A55" w:rsidR="00E92479" w:rsidRPr="0054039C" w:rsidRDefault="003A6026" w:rsidP="0054039C">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595959" w:themeColor="text1" w:themeTint="A6"/>
              </w:rPr>
            </w:pPr>
            <w:r>
              <w:rPr>
                <w:rFonts w:ascii="Arial" w:hAnsi="Arial" w:cs="Arial"/>
                <w:color w:val="595959" w:themeColor="text1" w:themeTint="A6"/>
              </w:rPr>
              <w:t>5 mL</w:t>
            </w:r>
          </w:p>
        </w:tc>
        <w:tc>
          <w:tcPr>
            <w:tcW w:w="2284" w:type="dxa"/>
          </w:tcPr>
          <w:p w14:paraId="685AC9AE" w14:textId="6CB10A9A" w:rsidR="00E92479" w:rsidRPr="0054039C" w:rsidRDefault="00670B7F" w:rsidP="0054039C">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595959" w:themeColor="text1" w:themeTint="A6"/>
              </w:rPr>
            </w:pPr>
            <w:r>
              <w:rPr>
                <w:rFonts w:ascii="Arial" w:hAnsi="Arial" w:cs="Arial"/>
                <w:color w:val="595959" w:themeColor="text1" w:themeTint="A6"/>
              </w:rPr>
              <w:t>2 mM</w:t>
            </w:r>
          </w:p>
        </w:tc>
      </w:tr>
      <w:tr w:rsidR="0054039C" w:rsidRPr="0054039C" w14:paraId="4B2C120F" w14:textId="77777777" w:rsidTr="002203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0" w:type="dxa"/>
          </w:tcPr>
          <w:p w14:paraId="065A6834" w14:textId="77777777" w:rsidR="0054039C" w:rsidRPr="0054039C" w:rsidRDefault="0054039C" w:rsidP="0054039C">
            <w:pPr>
              <w:spacing w:line="480" w:lineRule="auto"/>
              <w:jc w:val="center"/>
              <w:rPr>
                <w:rFonts w:ascii="Arial" w:hAnsi="Arial" w:cs="Arial"/>
                <w:color w:val="595959" w:themeColor="text1" w:themeTint="A6"/>
              </w:rPr>
            </w:pPr>
            <w:r w:rsidRPr="0054039C">
              <w:rPr>
                <w:rFonts w:ascii="Arial" w:hAnsi="Arial" w:cs="Arial"/>
                <w:color w:val="595959" w:themeColor="text1" w:themeTint="A6"/>
              </w:rPr>
              <w:t>TGFβ-1</w:t>
            </w:r>
          </w:p>
        </w:tc>
        <w:tc>
          <w:tcPr>
            <w:tcW w:w="2350" w:type="dxa"/>
          </w:tcPr>
          <w:p w14:paraId="555C51C1" w14:textId="77777777" w:rsidR="0054039C" w:rsidRPr="0054039C" w:rsidRDefault="0054039C" w:rsidP="0054039C">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595959" w:themeColor="text1" w:themeTint="A6"/>
              </w:rPr>
            </w:pPr>
            <w:r w:rsidRPr="0054039C">
              <w:rPr>
                <w:rFonts w:ascii="Arial" w:hAnsi="Arial" w:cs="Arial"/>
                <w:color w:val="595959" w:themeColor="text1" w:themeTint="A6"/>
              </w:rPr>
              <w:t>20 µg/mL</w:t>
            </w:r>
          </w:p>
        </w:tc>
        <w:tc>
          <w:tcPr>
            <w:tcW w:w="2284" w:type="dxa"/>
          </w:tcPr>
          <w:p w14:paraId="51B94229" w14:textId="77777777" w:rsidR="0054039C" w:rsidRPr="0054039C" w:rsidRDefault="0054039C" w:rsidP="0054039C">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595959" w:themeColor="text1" w:themeTint="A6"/>
              </w:rPr>
            </w:pPr>
            <w:r w:rsidRPr="0054039C">
              <w:rPr>
                <w:rFonts w:ascii="Arial" w:hAnsi="Arial" w:cs="Arial"/>
                <w:color w:val="595959" w:themeColor="text1" w:themeTint="A6"/>
              </w:rPr>
              <w:t>1 ng/mL</w:t>
            </w:r>
          </w:p>
        </w:tc>
      </w:tr>
      <w:tr w:rsidR="0054039C" w:rsidRPr="0054039C" w14:paraId="062D3EC7" w14:textId="77777777" w:rsidTr="00220314">
        <w:tc>
          <w:tcPr>
            <w:cnfStyle w:val="001000000000" w:firstRow="0" w:lastRow="0" w:firstColumn="1" w:lastColumn="0" w:oddVBand="0" w:evenVBand="0" w:oddHBand="0" w:evenHBand="0" w:firstRowFirstColumn="0" w:firstRowLastColumn="0" w:lastRowFirstColumn="0" w:lastRowLastColumn="0"/>
            <w:tcW w:w="2730" w:type="dxa"/>
          </w:tcPr>
          <w:p w14:paraId="74BDAA41" w14:textId="77777777" w:rsidR="0054039C" w:rsidRPr="0054039C" w:rsidRDefault="0054039C" w:rsidP="0054039C">
            <w:pPr>
              <w:spacing w:line="480" w:lineRule="auto"/>
              <w:jc w:val="center"/>
              <w:rPr>
                <w:rFonts w:ascii="Arial" w:hAnsi="Arial" w:cs="Arial"/>
                <w:color w:val="595959" w:themeColor="text1" w:themeTint="A6"/>
              </w:rPr>
            </w:pPr>
            <w:r w:rsidRPr="0054039C">
              <w:rPr>
                <w:rFonts w:ascii="Arial" w:hAnsi="Arial" w:cs="Arial"/>
                <w:color w:val="595959" w:themeColor="text1" w:themeTint="A6"/>
              </w:rPr>
              <w:t>EGF</w:t>
            </w:r>
          </w:p>
        </w:tc>
        <w:tc>
          <w:tcPr>
            <w:tcW w:w="2350" w:type="dxa"/>
          </w:tcPr>
          <w:p w14:paraId="2B397387" w14:textId="77777777" w:rsidR="0054039C" w:rsidRPr="0054039C" w:rsidRDefault="0054039C" w:rsidP="0054039C">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595959" w:themeColor="text1" w:themeTint="A6"/>
              </w:rPr>
            </w:pPr>
            <w:r w:rsidRPr="0054039C">
              <w:rPr>
                <w:rFonts w:ascii="Arial" w:hAnsi="Arial" w:cs="Arial"/>
                <w:color w:val="595959" w:themeColor="text1" w:themeTint="A6"/>
              </w:rPr>
              <w:t>50 μL of 100 μg/mL</w:t>
            </w:r>
          </w:p>
        </w:tc>
        <w:tc>
          <w:tcPr>
            <w:tcW w:w="2284" w:type="dxa"/>
          </w:tcPr>
          <w:p w14:paraId="5611DBE2" w14:textId="77777777" w:rsidR="0054039C" w:rsidRPr="0054039C" w:rsidRDefault="0054039C" w:rsidP="0054039C">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595959" w:themeColor="text1" w:themeTint="A6"/>
              </w:rPr>
            </w:pPr>
            <w:r w:rsidRPr="0054039C">
              <w:rPr>
                <w:rFonts w:ascii="Arial" w:hAnsi="Arial" w:cs="Arial"/>
                <w:color w:val="595959" w:themeColor="text1" w:themeTint="A6"/>
              </w:rPr>
              <w:t>10 ng/mL</w:t>
            </w:r>
          </w:p>
        </w:tc>
      </w:tr>
      <w:tr w:rsidR="0054039C" w:rsidRPr="0054039C" w14:paraId="7EFA7D3A" w14:textId="77777777" w:rsidTr="002203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0" w:type="dxa"/>
          </w:tcPr>
          <w:p w14:paraId="10CE0B53" w14:textId="77777777" w:rsidR="0054039C" w:rsidRPr="0054039C" w:rsidRDefault="0054039C" w:rsidP="0054039C">
            <w:pPr>
              <w:spacing w:line="480" w:lineRule="auto"/>
              <w:jc w:val="center"/>
              <w:rPr>
                <w:rFonts w:ascii="Arial" w:hAnsi="Arial" w:cs="Arial"/>
                <w:color w:val="595959" w:themeColor="text1" w:themeTint="A6"/>
              </w:rPr>
            </w:pPr>
            <w:r w:rsidRPr="0054039C">
              <w:rPr>
                <w:rFonts w:ascii="Arial" w:hAnsi="Arial" w:cs="Arial"/>
                <w:i/>
                <w:color w:val="595959" w:themeColor="text1" w:themeTint="A6"/>
              </w:rPr>
              <w:t>b</w:t>
            </w:r>
            <w:r w:rsidRPr="0054039C">
              <w:rPr>
                <w:rFonts w:ascii="Arial" w:hAnsi="Arial" w:cs="Arial"/>
                <w:color w:val="595959" w:themeColor="text1" w:themeTint="A6"/>
              </w:rPr>
              <w:t>FGF</w:t>
            </w:r>
          </w:p>
        </w:tc>
        <w:tc>
          <w:tcPr>
            <w:tcW w:w="2350" w:type="dxa"/>
          </w:tcPr>
          <w:p w14:paraId="4B951704" w14:textId="77777777" w:rsidR="0054039C" w:rsidRPr="0054039C" w:rsidRDefault="0054039C" w:rsidP="0054039C">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595959" w:themeColor="text1" w:themeTint="A6"/>
              </w:rPr>
            </w:pPr>
            <w:r w:rsidRPr="0054039C">
              <w:rPr>
                <w:rFonts w:ascii="Arial" w:hAnsi="Arial" w:cs="Arial"/>
                <w:color w:val="595959" w:themeColor="text1" w:themeTint="A6"/>
              </w:rPr>
              <w:t>100 µg/mL</w:t>
            </w:r>
          </w:p>
        </w:tc>
        <w:tc>
          <w:tcPr>
            <w:tcW w:w="2284" w:type="dxa"/>
          </w:tcPr>
          <w:p w14:paraId="31A0C035" w14:textId="77777777" w:rsidR="0054039C" w:rsidRPr="0054039C" w:rsidRDefault="0054039C" w:rsidP="0054039C">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595959" w:themeColor="text1" w:themeTint="A6"/>
              </w:rPr>
            </w:pPr>
            <w:r w:rsidRPr="0054039C">
              <w:rPr>
                <w:rFonts w:ascii="Arial" w:hAnsi="Arial" w:cs="Arial"/>
                <w:color w:val="595959" w:themeColor="text1" w:themeTint="A6"/>
              </w:rPr>
              <w:t>5 ng/mL</w:t>
            </w:r>
          </w:p>
        </w:tc>
      </w:tr>
      <w:tr w:rsidR="0054039C" w:rsidRPr="0054039C" w14:paraId="6BE14BEA" w14:textId="77777777" w:rsidTr="00220314">
        <w:tc>
          <w:tcPr>
            <w:cnfStyle w:val="001000000000" w:firstRow="0" w:lastRow="0" w:firstColumn="1" w:lastColumn="0" w:oddVBand="0" w:evenVBand="0" w:oddHBand="0" w:evenHBand="0" w:firstRowFirstColumn="0" w:firstRowLastColumn="0" w:lastRowFirstColumn="0" w:lastRowLastColumn="0"/>
            <w:tcW w:w="2730" w:type="dxa"/>
          </w:tcPr>
          <w:p w14:paraId="6AA32150" w14:textId="77777777" w:rsidR="0054039C" w:rsidRPr="0054039C" w:rsidRDefault="0054039C" w:rsidP="0054039C">
            <w:pPr>
              <w:spacing w:line="480" w:lineRule="auto"/>
              <w:jc w:val="center"/>
              <w:rPr>
                <w:rFonts w:ascii="Arial" w:hAnsi="Arial" w:cs="Arial"/>
                <w:color w:val="595959" w:themeColor="text1" w:themeTint="A6"/>
              </w:rPr>
            </w:pPr>
            <w:r w:rsidRPr="0054039C">
              <w:rPr>
                <w:rFonts w:ascii="Arial" w:hAnsi="Arial" w:cs="Arial"/>
                <w:color w:val="595959" w:themeColor="text1" w:themeTint="A6"/>
              </w:rPr>
              <w:t>Human Insulin</w:t>
            </w:r>
          </w:p>
        </w:tc>
        <w:tc>
          <w:tcPr>
            <w:tcW w:w="2350" w:type="dxa"/>
          </w:tcPr>
          <w:p w14:paraId="0F41F506" w14:textId="77777777" w:rsidR="0054039C" w:rsidRPr="0054039C" w:rsidRDefault="0054039C" w:rsidP="0054039C">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595959" w:themeColor="text1" w:themeTint="A6"/>
              </w:rPr>
            </w:pPr>
            <w:r w:rsidRPr="0054039C">
              <w:rPr>
                <w:rFonts w:ascii="Arial" w:hAnsi="Arial" w:cs="Arial"/>
                <w:color w:val="595959" w:themeColor="text1" w:themeTint="A6"/>
              </w:rPr>
              <w:t>1 mg/mL</w:t>
            </w:r>
          </w:p>
        </w:tc>
        <w:tc>
          <w:tcPr>
            <w:tcW w:w="2284" w:type="dxa"/>
          </w:tcPr>
          <w:p w14:paraId="70619D6D" w14:textId="77777777" w:rsidR="0054039C" w:rsidRPr="0054039C" w:rsidRDefault="0054039C" w:rsidP="0054039C">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595959" w:themeColor="text1" w:themeTint="A6"/>
              </w:rPr>
            </w:pPr>
            <w:r w:rsidRPr="0054039C">
              <w:rPr>
                <w:rFonts w:ascii="Arial" w:hAnsi="Arial" w:cs="Arial"/>
                <w:color w:val="595959" w:themeColor="text1" w:themeTint="A6"/>
              </w:rPr>
              <w:t>5 µg/mL</w:t>
            </w:r>
          </w:p>
        </w:tc>
      </w:tr>
    </w:tbl>
    <w:p w14:paraId="3D2A50CF" w14:textId="77777777" w:rsidR="0054039C" w:rsidRPr="0054039C" w:rsidRDefault="0054039C" w:rsidP="0054039C">
      <w:pPr>
        <w:spacing w:after="0" w:line="480" w:lineRule="auto"/>
        <w:jc w:val="both"/>
        <w:rPr>
          <w:rFonts w:asciiTheme="minorBidi" w:hAnsiTheme="minorBidi"/>
          <w:color w:val="595959" w:themeColor="text1" w:themeTint="A6"/>
          <w:lang w:val="en-US"/>
        </w:rPr>
      </w:pPr>
    </w:p>
    <w:p w14:paraId="1B6AF855" w14:textId="77777777" w:rsidR="0054039C" w:rsidRPr="0054039C" w:rsidRDefault="0054039C" w:rsidP="00AA47CD">
      <w:pPr>
        <w:pStyle w:val="Heading4"/>
        <w:rPr>
          <w:rFonts w:ascii="Arial" w:hAnsi="Arial" w:cs="Arial"/>
          <w:color w:val="595959" w:themeColor="text1" w:themeTint="A6"/>
          <w:szCs w:val="24"/>
          <w:lang w:val="en-US"/>
        </w:rPr>
      </w:pPr>
      <w:bookmarkStart w:id="82" w:name="_Toc534278588"/>
      <w:bookmarkStart w:id="83" w:name="_Toc34208295"/>
      <w:bookmarkStart w:id="84" w:name="_Toc515897460"/>
      <w:r w:rsidRPr="0054039C">
        <w:rPr>
          <w:rFonts w:ascii="Arial" w:hAnsi="Arial" w:cs="Arial"/>
          <w:color w:val="595959" w:themeColor="text1" w:themeTint="A6"/>
          <w:szCs w:val="24"/>
          <w:lang w:val="en-US"/>
        </w:rPr>
        <w:t>2.2.2.4 Preparation of cell culture media for oral keratinoctyes</w:t>
      </w:r>
      <w:bookmarkEnd w:id="82"/>
      <w:bookmarkEnd w:id="83"/>
      <w:r w:rsidRPr="0054039C">
        <w:rPr>
          <w:rFonts w:ascii="Arial" w:hAnsi="Arial" w:cs="Arial"/>
          <w:color w:val="595959" w:themeColor="text1" w:themeTint="A6"/>
          <w:szCs w:val="24"/>
          <w:lang w:val="en-US"/>
        </w:rPr>
        <w:t xml:space="preserve"> </w:t>
      </w:r>
      <w:bookmarkEnd w:id="84"/>
    </w:p>
    <w:p w14:paraId="71C59444" w14:textId="77777777" w:rsidR="0054039C" w:rsidRPr="0054039C" w:rsidRDefault="0054039C" w:rsidP="0054039C">
      <w:pPr>
        <w:rPr>
          <w:lang w:val="en-US"/>
        </w:rPr>
      </w:pPr>
    </w:p>
    <w:p w14:paraId="43D5E82B" w14:textId="77777777" w:rsidR="0054039C" w:rsidRPr="0054039C" w:rsidRDefault="0054039C" w:rsidP="0054039C">
      <w:pPr>
        <w:spacing w:after="0" w:line="480" w:lineRule="auto"/>
        <w:jc w:val="both"/>
        <w:rPr>
          <w:rFonts w:ascii="Arial" w:hAnsi="Arial" w:cs="Arial"/>
          <w:color w:val="595959" w:themeColor="text1" w:themeTint="A6"/>
          <w:lang w:val="en-US"/>
        </w:rPr>
      </w:pPr>
      <w:r w:rsidRPr="0054039C">
        <w:rPr>
          <w:rFonts w:ascii="Arial" w:hAnsi="Arial" w:cs="Arial"/>
          <w:color w:val="595959" w:themeColor="text1" w:themeTint="A6"/>
          <w:lang w:val="en-US"/>
        </w:rPr>
        <w:t>The maintenance of keratinocyte cultures (FNB6 and H357) as well as full thickness oral mucosa models were cultured in flavin- and adenine enriched media (Allen-Hoffmann and Rheeinwald, 1984); consisting of DMEM (high glucose) and Ham’s F12 medium in a 3:1 (v/v) ratio supplemented with 10% (v/v) FBS, 0.1 mM cholera toxin, 10 ng/mL EGF, 0.4 μg/mL hydrocortisone, 0.18 mM adenine, 5 μg/mL human insulin, 5 mg/mL transferrin, 2 mM glutamine, 0.2 nM triiodothyronine, 0.625 μg/mL amphotericin B, 100 I.U/mL penicillin, and 100 μg/mL streptomycin and will be referred to as Green’s media (Table 2.3).</w:t>
      </w:r>
    </w:p>
    <w:p w14:paraId="00389005" w14:textId="77777777" w:rsidR="0054039C" w:rsidRPr="0054039C" w:rsidRDefault="0054039C" w:rsidP="0054039C">
      <w:pPr>
        <w:spacing w:after="0" w:line="480" w:lineRule="auto"/>
        <w:jc w:val="both"/>
        <w:rPr>
          <w:rFonts w:ascii="Arial" w:hAnsi="Arial" w:cs="Arial"/>
          <w:color w:val="595959" w:themeColor="text1" w:themeTint="A6"/>
          <w:lang w:val="en-US"/>
        </w:rPr>
      </w:pPr>
    </w:p>
    <w:p w14:paraId="14F9AD7E" w14:textId="77777777" w:rsidR="0054039C" w:rsidRPr="000A6DB4" w:rsidRDefault="0054039C" w:rsidP="0054039C">
      <w:pPr>
        <w:spacing w:after="0" w:line="480" w:lineRule="auto"/>
        <w:jc w:val="both"/>
        <w:rPr>
          <w:rFonts w:ascii="Arial" w:hAnsi="Arial" w:cs="Arial"/>
          <w:b/>
          <w:color w:val="595959" w:themeColor="text1" w:themeTint="A6"/>
          <w:lang w:val="en-US"/>
        </w:rPr>
      </w:pPr>
      <w:r w:rsidRPr="000A6DB4">
        <w:rPr>
          <w:rFonts w:ascii="Arial" w:hAnsi="Arial" w:cs="Arial"/>
          <w:b/>
          <w:color w:val="595959" w:themeColor="text1" w:themeTint="A6"/>
          <w:lang w:val="en-US"/>
        </w:rPr>
        <w:t>Table 2.3 Preparation of oral keratinocyte media (Green’s media)</w:t>
      </w:r>
    </w:p>
    <w:tbl>
      <w:tblPr>
        <w:tblStyle w:val="GridTable4-Accent31"/>
        <w:tblW w:w="0" w:type="auto"/>
        <w:tblLook w:val="04A0" w:firstRow="1" w:lastRow="0" w:firstColumn="1" w:lastColumn="0" w:noHBand="0" w:noVBand="1"/>
      </w:tblPr>
      <w:tblGrid>
        <w:gridCol w:w="2588"/>
        <w:gridCol w:w="2573"/>
        <w:gridCol w:w="2320"/>
      </w:tblGrid>
      <w:tr w:rsidR="0054039C" w:rsidRPr="0054039C" w14:paraId="6519A40D" w14:textId="77777777" w:rsidTr="00220314">
        <w:trPr>
          <w:cnfStyle w:val="100000000000" w:firstRow="1" w:lastRow="0" w:firstColumn="0" w:lastColumn="0" w:oddVBand="0" w:evenVBand="0" w:oddHBand="0" w:evenHBand="0" w:firstRowFirstColumn="0" w:firstRowLastColumn="0" w:lastRowFirstColumn="0" w:lastRowLastColumn="0"/>
          <w:trHeight w:val="222"/>
        </w:trPr>
        <w:tc>
          <w:tcPr>
            <w:cnfStyle w:val="001000000000" w:firstRow="0" w:lastRow="0" w:firstColumn="1" w:lastColumn="0" w:oddVBand="0" w:evenVBand="0" w:oddHBand="0" w:evenHBand="0" w:firstRowFirstColumn="0" w:firstRowLastColumn="0" w:lastRowFirstColumn="0" w:lastRowLastColumn="0"/>
            <w:tcW w:w="2588" w:type="dxa"/>
          </w:tcPr>
          <w:p w14:paraId="49816B8E" w14:textId="77777777" w:rsidR="0054039C" w:rsidRPr="0054039C" w:rsidRDefault="0054039C" w:rsidP="0054039C">
            <w:pPr>
              <w:autoSpaceDE w:val="0"/>
              <w:autoSpaceDN w:val="0"/>
              <w:adjustRightInd w:val="0"/>
              <w:spacing w:line="480" w:lineRule="auto"/>
              <w:jc w:val="center"/>
              <w:rPr>
                <w:rFonts w:ascii="Arial" w:hAnsi="Arial" w:cs="Arial"/>
                <w:color w:val="404040" w:themeColor="text1" w:themeTint="BF"/>
              </w:rPr>
            </w:pPr>
            <w:r w:rsidRPr="0054039C">
              <w:rPr>
                <w:rFonts w:ascii="Arial" w:hAnsi="Arial" w:cs="Arial"/>
                <w:color w:val="404040" w:themeColor="text1" w:themeTint="BF"/>
              </w:rPr>
              <w:t>Constituent</w:t>
            </w:r>
          </w:p>
        </w:tc>
        <w:tc>
          <w:tcPr>
            <w:tcW w:w="2573" w:type="dxa"/>
          </w:tcPr>
          <w:p w14:paraId="0507F1F3" w14:textId="77777777" w:rsidR="0054039C" w:rsidRPr="0054039C" w:rsidRDefault="0054039C" w:rsidP="0054039C">
            <w:pPr>
              <w:autoSpaceDE w:val="0"/>
              <w:autoSpaceDN w:val="0"/>
              <w:adjustRightInd w:val="0"/>
              <w:spacing w:line="48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404040" w:themeColor="text1" w:themeTint="BF"/>
                <w:vertAlign w:val="superscript"/>
              </w:rPr>
            </w:pPr>
            <w:r w:rsidRPr="0054039C">
              <w:rPr>
                <w:rFonts w:ascii="Arial" w:hAnsi="Arial" w:cs="Arial"/>
                <w:color w:val="404040" w:themeColor="text1" w:themeTint="BF"/>
              </w:rPr>
              <w:t>Vol/stock sol</w:t>
            </w:r>
            <w:r w:rsidRPr="0054039C">
              <w:rPr>
                <w:rFonts w:ascii="Arial" w:hAnsi="Arial" w:cs="Arial"/>
                <w:color w:val="404040" w:themeColor="text1" w:themeTint="BF"/>
                <w:vertAlign w:val="superscript"/>
              </w:rPr>
              <w:t>n</w:t>
            </w:r>
          </w:p>
        </w:tc>
        <w:tc>
          <w:tcPr>
            <w:tcW w:w="2320" w:type="dxa"/>
          </w:tcPr>
          <w:p w14:paraId="1CD9A848" w14:textId="77777777" w:rsidR="0054039C" w:rsidRPr="0054039C" w:rsidRDefault="0054039C" w:rsidP="0054039C">
            <w:pPr>
              <w:autoSpaceDE w:val="0"/>
              <w:autoSpaceDN w:val="0"/>
              <w:adjustRightInd w:val="0"/>
              <w:spacing w:line="48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404040" w:themeColor="text1" w:themeTint="BF"/>
                <w:vertAlign w:val="superscript"/>
              </w:rPr>
            </w:pPr>
            <w:r w:rsidRPr="0054039C">
              <w:rPr>
                <w:rFonts w:ascii="Arial" w:hAnsi="Arial" w:cs="Arial"/>
                <w:color w:val="404040" w:themeColor="text1" w:themeTint="BF"/>
              </w:rPr>
              <w:t>Final Con</w:t>
            </w:r>
            <w:r w:rsidRPr="0054039C">
              <w:rPr>
                <w:rFonts w:ascii="Arial" w:hAnsi="Arial" w:cs="Arial"/>
                <w:color w:val="404040" w:themeColor="text1" w:themeTint="BF"/>
                <w:vertAlign w:val="superscript"/>
              </w:rPr>
              <w:t>c</w:t>
            </w:r>
          </w:p>
        </w:tc>
      </w:tr>
      <w:tr w:rsidR="0054039C" w:rsidRPr="0054039C" w14:paraId="274425C5" w14:textId="77777777" w:rsidTr="00220314">
        <w:trPr>
          <w:cnfStyle w:val="000000100000" w:firstRow="0" w:lastRow="0" w:firstColumn="0" w:lastColumn="0" w:oddVBand="0" w:evenVBand="0" w:oddHBand="1" w:evenHBand="0" w:firstRowFirstColumn="0" w:firstRowLastColumn="0" w:lastRowFirstColumn="0" w:lastRowLastColumn="0"/>
          <w:trHeight w:val="190"/>
        </w:trPr>
        <w:tc>
          <w:tcPr>
            <w:cnfStyle w:val="001000000000" w:firstRow="0" w:lastRow="0" w:firstColumn="1" w:lastColumn="0" w:oddVBand="0" w:evenVBand="0" w:oddHBand="0" w:evenHBand="0" w:firstRowFirstColumn="0" w:firstRowLastColumn="0" w:lastRowFirstColumn="0" w:lastRowLastColumn="0"/>
            <w:tcW w:w="2588" w:type="dxa"/>
          </w:tcPr>
          <w:p w14:paraId="23B77505" w14:textId="77777777" w:rsidR="0054039C" w:rsidRPr="0054039C" w:rsidRDefault="0054039C" w:rsidP="0054039C">
            <w:pPr>
              <w:spacing w:line="480" w:lineRule="auto"/>
              <w:jc w:val="center"/>
              <w:rPr>
                <w:rFonts w:ascii="Arial" w:hAnsi="Arial" w:cs="Arial"/>
                <w:color w:val="595959" w:themeColor="text1" w:themeTint="A6"/>
              </w:rPr>
            </w:pPr>
            <w:r w:rsidRPr="0054039C">
              <w:rPr>
                <w:rFonts w:ascii="Arial" w:hAnsi="Arial" w:cs="Arial"/>
                <w:color w:val="595959" w:themeColor="text1" w:themeTint="A6"/>
              </w:rPr>
              <w:t>DMEM (high glucose)</w:t>
            </w:r>
          </w:p>
        </w:tc>
        <w:tc>
          <w:tcPr>
            <w:tcW w:w="2573" w:type="dxa"/>
          </w:tcPr>
          <w:p w14:paraId="501102AD" w14:textId="77777777" w:rsidR="0054039C" w:rsidRPr="0054039C" w:rsidRDefault="0054039C" w:rsidP="0054039C">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595959" w:themeColor="text1" w:themeTint="A6"/>
              </w:rPr>
            </w:pPr>
            <w:r w:rsidRPr="0054039C">
              <w:rPr>
                <w:rFonts w:ascii="Arial" w:hAnsi="Arial" w:cs="Arial"/>
                <w:color w:val="595959" w:themeColor="text1" w:themeTint="A6"/>
              </w:rPr>
              <w:t>330 mL</w:t>
            </w:r>
          </w:p>
        </w:tc>
        <w:tc>
          <w:tcPr>
            <w:tcW w:w="2320" w:type="dxa"/>
          </w:tcPr>
          <w:p w14:paraId="37A09A17" w14:textId="77777777" w:rsidR="0054039C" w:rsidRPr="0054039C" w:rsidRDefault="0054039C" w:rsidP="0054039C">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595959" w:themeColor="text1" w:themeTint="A6"/>
              </w:rPr>
            </w:pPr>
            <w:r w:rsidRPr="0054039C">
              <w:rPr>
                <w:rFonts w:ascii="Arial" w:hAnsi="Arial" w:cs="Arial"/>
                <w:color w:val="595959" w:themeColor="text1" w:themeTint="A6"/>
              </w:rPr>
              <w:t>66%</w:t>
            </w:r>
          </w:p>
        </w:tc>
      </w:tr>
      <w:tr w:rsidR="0054039C" w:rsidRPr="0054039C" w14:paraId="4281D12C" w14:textId="77777777" w:rsidTr="00220314">
        <w:trPr>
          <w:trHeight w:val="190"/>
        </w:trPr>
        <w:tc>
          <w:tcPr>
            <w:cnfStyle w:val="001000000000" w:firstRow="0" w:lastRow="0" w:firstColumn="1" w:lastColumn="0" w:oddVBand="0" w:evenVBand="0" w:oddHBand="0" w:evenHBand="0" w:firstRowFirstColumn="0" w:firstRowLastColumn="0" w:lastRowFirstColumn="0" w:lastRowLastColumn="0"/>
            <w:tcW w:w="2588" w:type="dxa"/>
          </w:tcPr>
          <w:p w14:paraId="7C69BFFE" w14:textId="77777777" w:rsidR="0054039C" w:rsidRPr="0054039C" w:rsidRDefault="0054039C" w:rsidP="0054039C">
            <w:pPr>
              <w:spacing w:line="480" w:lineRule="auto"/>
              <w:jc w:val="center"/>
              <w:rPr>
                <w:rFonts w:ascii="Arial" w:hAnsi="Arial" w:cs="Arial"/>
                <w:color w:val="595959" w:themeColor="text1" w:themeTint="A6"/>
              </w:rPr>
            </w:pPr>
            <w:r w:rsidRPr="0054039C">
              <w:rPr>
                <w:rFonts w:ascii="Arial" w:hAnsi="Arial" w:cs="Arial"/>
                <w:color w:val="595959" w:themeColor="text1" w:themeTint="A6"/>
              </w:rPr>
              <w:t xml:space="preserve">Ham’s F-12 </w:t>
            </w:r>
          </w:p>
        </w:tc>
        <w:tc>
          <w:tcPr>
            <w:tcW w:w="2573" w:type="dxa"/>
          </w:tcPr>
          <w:p w14:paraId="7FF773C6" w14:textId="77777777" w:rsidR="0054039C" w:rsidRPr="0054039C" w:rsidRDefault="0054039C" w:rsidP="0054039C">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595959" w:themeColor="text1" w:themeTint="A6"/>
              </w:rPr>
            </w:pPr>
            <w:r w:rsidRPr="0054039C">
              <w:rPr>
                <w:rFonts w:ascii="Arial" w:hAnsi="Arial" w:cs="Arial"/>
                <w:color w:val="595959" w:themeColor="text1" w:themeTint="A6"/>
              </w:rPr>
              <w:t>108 mL</w:t>
            </w:r>
          </w:p>
        </w:tc>
        <w:tc>
          <w:tcPr>
            <w:tcW w:w="2320" w:type="dxa"/>
          </w:tcPr>
          <w:p w14:paraId="5321608D" w14:textId="77777777" w:rsidR="0054039C" w:rsidRPr="0054039C" w:rsidRDefault="0054039C" w:rsidP="0054039C">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595959" w:themeColor="text1" w:themeTint="A6"/>
              </w:rPr>
            </w:pPr>
            <w:r w:rsidRPr="0054039C">
              <w:rPr>
                <w:rFonts w:ascii="Arial" w:hAnsi="Arial" w:cs="Arial"/>
                <w:color w:val="595959" w:themeColor="text1" w:themeTint="A6"/>
              </w:rPr>
              <w:t>21.60%</w:t>
            </w:r>
          </w:p>
        </w:tc>
      </w:tr>
      <w:tr w:rsidR="0054039C" w:rsidRPr="0054039C" w14:paraId="2A8C8A0E" w14:textId="77777777" w:rsidTr="00220314">
        <w:trPr>
          <w:cnfStyle w:val="000000100000" w:firstRow="0" w:lastRow="0" w:firstColumn="0" w:lastColumn="0" w:oddVBand="0" w:evenVBand="0" w:oddHBand="1" w:evenHBand="0" w:firstRowFirstColumn="0" w:firstRowLastColumn="0" w:lastRowFirstColumn="0" w:lastRowLastColumn="0"/>
          <w:trHeight w:val="229"/>
        </w:trPr>
        <w:tc>
          <w:tcPr>
            <w:cnfStyle w:val="001000000000" w:firstRow="0" w:lastRow="0" w:firstColumn="1" w:lastColumn="0" w:oddVBand="0" w:evenVBand="0" w:oddHBand="0" w:evenHBand="0" w:firstRowFirstColumn="0" w:firstRowLastColumn="0" w:lastRowFirstColumn="0" w:lastRowLastColumn="0"/>
            <w:tcW w:w="2588" w:type="dxa"/>
          </w:tcPr>
          <w:p w14:paraId="0942578F" w14:textId="77777777" w:rsidR="0054039C" w:rsidRPr="0054039C" w:rsidRDefault="0054039C" w:rsidP="0054039C">
            <w:pPr>
              <w:spacing w:line="480" w:lineRule="auto"/>
              <w:jc w:val="center"/>
              <w:rPr>
                <w:rFonts w:ascii="Arial" w:hAnsi="Arial" w:cs="Arial"/>
                <w:color w:val="595959" w:themeColor="text1" w:themeTint="A6"/>
              </w:rPr>
            </w:pPr>
            <w:r w:rsidRPr="0054039C">
              <w:rPr>
                <w:rFonts w:ascii="Arial" w:hAnsi="Arial" w:cs="Arial"/>
                <w:color w:val="595959" w:themeColor="text1" w:themeTint="A6"/>
              </w:rPr>
              <w:t>FBS</w:t>
            </w:r>
          </w:p>
        </w:tc>
        <w:tc>
          <w:tcPr>
            <w:tcW w:w="2573" w:type="dxa"/>
          </w:tcPr>
          <w:p w14:paraId="5125C2DE" w14:textId="77777777" w:rsidR="0054039C" w:rsidRPr="0054039C" w:rsidRDefault="0054039C" w:rsidP="0054039C">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595959" w:themeColor="text1" w:themeTint="A6"/>
              </w:rPr>
            </w:pPr>
            <w:r w:rsidRPr="0054039C">
              <w:rPr>
                <w:rFonts w:ascii="Arial" w:hAnsi="Arial" w:cs="Arial"/>
                <w:color w:val="595959" w:themeColor="text1" w:themeTint="A6"/>
              </w:rPr>
              <w:t>50 mL</w:t>
            </w:r>
          </w:p>
        </w:tc>
        <w:tc>
          <w:tcPr>
            <w:tcW w:w="2320" w:type="dxa"/>
          </w:tcPr>
          <w:p w14:paraId="30B1A826" w14:textId="77777777" w:rsidR="0054039C" w:rsidRPr="0054039C" w:rsidRDefault="0054039C" w:rsidP="0054039C">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595959" w:themeColor="text1" w:themeTint="A6"/>
              </w:rPr>
            </w:pPr>
            <w:r w:rsidRPr="0054039C">
              <w:rPr>
                <w:rFonts w:ascii="Arial" w:hAnsi="Arial" w:cs="Arial"/>
                <w:color w:val="595959" w:themeColor="text1" w:themeTint="A6"/>
              </w:rPr>
              <w:t>10%</w:t>
            </w:r>
          </w:p>
        </w:tc>
      </w:tr>
      <w:tr w:rsidR="0054039C" w:rsidRPr="0054039C" w14:paraId="7838C69F" w14:textId="77777777" w:rsidTr="00220314">
        <w:trPr>
          <w:trHeight w:val="330"/>
        </w:trPr>
        <w:tc>
          <w:tcPr>
            <w:cnfStyle w:val="001000000000" w:firstRow="0" w:lastRow="0" w:firstColumn="1" w:lastColumn="0" w:oddVBand="0" w:evenVBand="0" w:oddHBand="0" w:evenHBand="0" w:firstRowFirstColumn="0" w:firstRowLastColumn="0" w:lastRowFirstColumn="0" w:lastRowLastColumn="0"/>
            <w:tcW w:w="2588" w:type="dxa"/>
          </w:tcPr>
          <w:p w14:paraId="6C99032A" w14:textId="77777777" w:rsidR="0054039C" w:rsidRPr="0054039C" w:rsidRDefault="0054039C" w:rsidP="0054039C">
            <w:pPr>
              <w:spacing w:line="480" w:lineRule="auto"/>
              <w:jc w:val="center"/>
              <w:rPr>
                <w:rFonts w:ascii="Arial" w:hAnsi="Arial" w:cs="Arial"/>
                <w:color w:val="595959" w:themeColor="text1" w:themeTint="A6"/>
              </w:rPr>
            </w:pPr>
            <w:r w:rsidRPr="0054039C">
              <w:rPr>
                <w:rFonts w:ascii="Arial" w:hAnsi="Arial" w:cs="Arial"/>
                <w:color w:val="595959" w:themeColor="text1" w:themeTint="A6"/>
              </w:rPr>
              <w:t>Penicillin/ streptomycin</w:t>
            </w:r>
          </w:p>
        </w:tc>
        <w:tc>
          <w:tcPr>
            <w:tcW w:w="2573" w:type="dxa"/>
          </w:tcPr>
          <w:p w14:paraId="451B586B" w14:textId="77777777" w:rsidR="0054039C" w:rsidRPr="0054039C" w:rsidRDefault="0054039C" w:rsidP="0054039C">
            <w:pPr>
              <w:autoSpaceDE w:val="0"/>
              <w:autoSpaceDN w:val="0"/>
              <w:adjustRightInd w:val="0"/>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595959" w:themeColor="text1" w:themeTint="A6"/>
              </w:rPr>
            </w:pPr>
            <w:r w:rsidRPr="0054039C">
              <w:rPr>
                <w:rFonts w:ascii="Arial" w:hAnsi="Arial" w:cs="Arial"/>
                <w:color w:val="595959" w:themeColor="text1" w:themeTint="A6"/>
              </w:rPr>
              <w:t>5 mL of 10,000 i.u./mL</w:t>
            </w:r>
          </w:p>
          <w:p w14:paraId="451BEBF2" w14:textId="77777777" w:rsidR="0054039C" w:rsidRPr="0054039C" w:rsidRDefault="0054039C" w:rsidP="0054039C">
            <w:pPr>
              <w:autoSpaceDE w:val="0"/>
              <w:autoSpaceDN w:val="0"/>
              <w:adjustRightInd w:val="0"/>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595959" w:themeColor="text1" w:themeTint="A6"/>
              </w:rPr>
            </w:pPr>
            <w:r w:rsidRPr="0054039C">
              <w:rPr>
                <w:rFonts w:ascii="Arial" w:hAnsi="Arial" w:cs="Arial"/>
                <w:color w:val="595959" w:themeColor="text1" w:themeTint="A6"/>
              </w:rPr>
              <w:t>penicillin and 10,000 μg/mL streptomycin</w:t>
            </w:r>
          </w:p>
        </w:tc>
        <w:tc>
          <w:tcPr>
            <w:tcW w:w="2320" w:type="dxa"/>
          </w:tcPr>
          <w:p w14:paraId="5B376C0B" w14:textId="77777777" w:rsidR="0054039C" w:rsidRPr="0054039C" w:rsidRDefault="0054039C" w:rsidP="0054039C">
            <w:pPr>
              <w:autoSpaceDE w:val="0"/>
              <w:autoSpaceDN w:val="0"/>
              <w:adjustRightInd w:val="0"/>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595959" w:themeColor="text1" w:themeTint="A6"/>
              </w:rPr>
            </w:pPr>
            <w:r w:rsidRPr="0054039C">
              <w:rPr>
                <w:rFonts w:ascii="Arial" w:hAnsi="Arial" w:cs="Arial"/>
                <w:color w:val="595959" w:themeColor="text1" w:themeTint="A6"/>
              </w:rPr>
              <w:t>100 i.u./mL penicillin and 100 μg/mL streptomycin</w:t>
            </w:r>
          </w:p>
        </w:tc>
      </w:tr>
      <w:tr w:rsidR="0054039C" w:rsidRPr="0054039C" w14:paraId="26FEBB7A" w14:textId="77777777" w:rsidTr="00220314">
        <w:trPr>
          <w:cnfStyle w:val="000000100000" w:firstRow="0" w:lastRow="0" w:firstColumn="0" w:lastColumn="0" w:oddVBand="0" w:evenVBand="0" w:oddHBand="1" w:evenHBand="0" w:firstRowFirstColumn="0" w:firstRowLastColumn="0" w:lastRowFirstColumn="0" w:lastRowLastColumn="0"/>
          <w:trHeight w:val="229"/>
        </w:trPr>
        <w:tc>
          <w:tcPr>
            <w:cnfStyle w:val="001000000000" w:firstRow="0" w:lastRow="0" w:firstColumn="1" w:lastColumn="0" w:oddVBand="0" w:evenVBand="0" w:oddHBand="0" w:evenHBand="0" w:firstRowFirstColumn="0" w:firstRowLastColumn="0" w:lastRowFirstColumn="0" w:lastRowLastColumn="0"/>
            <w:tcW w:w="2588" w:type="dxa"/>
          </w:tcPr>
          <w:p w14:paraId="3528BFCB" w14:textId="77777777" w:rsidR="0054039C" w:rsidRPr="0054039C" w:rsidRDefault="0054039C" w:rsidP="0054039C">
            <w:pPr>
              <w:spacing w:line="480" w:lineRule="auto"/>
              <w:jc w:val="center"/>
              <w:rPr>
                <w:rFonts w:ascii="Arial" w:hAnsi="Arial" w:cs="Arial"/>
                <w:color w:val="595959" w:themeColor="text1" w:themeTint="A6"/>
              </w:rPr>
            </w:pPr>
            <w:r w:rsidRPr="0054039C">
              <w:rPr>
                <w:rFonts w:ascii="Arial" w:hAnsi="Arial" w:cs="Arial"/>
                <w:color w:val="595959" w:themeColor="text1" w:themeTint="A6"/>
              </w:rPr>
              <w:t xml:space="preserve">Amphotericin B </w:t>
            </w:r>
          </w:p>
        </w:tc>
        <w:tc>
          <w:tcPr>
            <w:tcW w:w="2573" w:type="dxa"/>
          </w:tcPr>
          <w:p w14:paraId="7752964D" w14:textId="77777777" w:rsidR="0054039C" w:rsidRPr="0054039C" w:rsidRDefault="0054039C" w:rsidP="0054039C">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595959" w:themeColor="text1" w:themeTint="A6"/>
              </w:rPr>
            </w:pPr>
            <w:r w:rsidRPr="0054039C">
              <w:rPr>
                <w:rFonts w:ascii="Arial" w:hAnsi="Arial" w:cs="Arial"/>
                <w:color w:val="595959" w:themeColor="text1" w:themeTint="A6"/>
              </w:rPr>
              <w:t>1.25 mL of 250 μg/mL</w:t>
            </w:r>
          </w:p>
        </w:tc>
        <w:tc>
          <w:tcPr>
            <w:tcW w:w="2320" w:type="dxa"/>
          </w:tcPr>
          <w:p w14:paraId="365CF3B8" w14:textId="77777777" w:rsidR="0054039C" w:rsidRPr="0054039C" w:rsidRDefault="0054039C" w:rsidP="0054039C">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595959" w:themeColor="text1" w:themeTint="A6"/>
              </w:rPr>
            </w:pPr>
            <w:r w:rsidRPr="0054039C">
              <w:rPr>
                <w:rFonts w:ascii="Arial" w:hAnsi="Arial" w:cs="Arial"/>
                <w:color w:val="595959" w:themeColor="text1" w:themeTint="A6"/>
              </w:rPr>
              <w:t>0.625 μg/mL</w:t>
            </w:r>
          </w:p>
        </w:tc>
      </w:tr>
      <w:tr w:rsidR="0054039C" w:rsidRPr="0054039C" w14:paraId="5747E7F2" w14:textId="77777777" w:rsidTr="00220314">
        <w:trPr>
          <w:trHeight w:val="222"/>
        </w:trPr>
        <w:tc>
          <w:tcPr>
            <w:cnfStyle w:val="001000000000" w:firstRow="0" w:lastRow="0" w:firstColumn="1" w:lastColumn="0" w:oddVBand="0" w:evenVBand="0" w:oddHBand="0" w:evenHBand="0" w:firstRowFirstColumn="0" w:firstRowLastColumn="0" w:lastRowFirstColumn="0" w:lastRowLastColumn="0"/>
            <w:tcW w:w="2588" w:type="dxa"/>
          </w:tcPr>
          <w:p w14:paraId="156B04CD" w14:textId="77777777" w:rsidR="0054039C" w:rsidRPr="0054039C" w:rsidRDefault="0054039C" w:rsidP="0054039C">
            <w:pPr>
              <w:spacing w:line="480" w:lineRule="auto"/>
              <w:jc w:val="center"/>
              <w:rPr>
                <w:rFonts w:ascii="Arial" w:hAnsi="Arial" w:cs="Arial"/>
                <w:color w:val="595959" w:themeColor="text1" w:themeTint="A6"/>
              </w:rPr>
            </w:pPr>
            <w:r w:rsidRPr="0054039C">
              <w:rPr>
                <w:rFonts w:ascii="Arial" w:hAnsi="Arial" w:cs="Arial"/>
                <w:color w:val="595959" w:themeColor="text1" w:themeTint="A6"/>
              </w:rPr>
              <w:lastRenderedPageBreak/>
              <w:t>Hydrocortisone</w:t>
            </w:r>
          </w:p>
        </w:tc>
        <w:tc>
          <w:tcPr>
            <w:tcW w:w="2573" w:type="dxa"/>
          </w:tcPr>
          <w:p w14:paraId="45A3D8E8" w14:textId="77777777" w:rsidR="0054039C" w:rsidRPr="0054039C" w:rsidRDefault="0054039C" w:rsidP="0054039C">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595959" w:themeColor="text1" w:themeTint="A6"/>
              </w:rPr>
            </w:pPr>
            <w:r w:rsidRPr="0054039C">
              <w:rPr>
                <w:rFonts w:ascii="Arial" w:hAnsi="Arial" w:cs="Arial"/>
                <w:color w:val="595959" w:themeColor="text1" w:themeTint="A6"/>
              </w:rPr>
              <w:t>80 μL of 2.5 mg/mL</w:t>
            </w:r>
          </w:p>
        </w:tc>
        <w:tc>
          <w:tcPr>
            <w:tcW w:w="2320" w:type="dxa"/>
          </w:tcPr>
          <w:p w14:paraId="39C50B1B" w14:textId="77777777" w:rsidR="0054039C" w:rsidRPr="0054039C" w:rsidRDefault="0054039C" w:rsidP="0054039C">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595959" w:themeColor="text1" w:themeTint="A6"/>
              </w:rPr>
            </w:pPr>
            <w:r w:rsidRPr="0054039C">
              <w:rPr>
                <w:rFonts w:ascii="Arial" w:hAnsi="Arial" w:cs="Arial"/>
                <w:color w:val="595959" w:themeColor="text1" w:themeTint="A6"/>
              </w:rPr>
              <w:t>0.4 μg/mL</w:t>
            </w:r>
          </w:p>
        </w:tc>
      </w:tr>
      <w:tr w:rsidR="0054039C" w:rsidRPr="0054039C" w14:paraId="6A6CA853" w14:textId="77777777" w:rsidTr="00220314">
        <w:trPr>
          <w:cnfStyle w:val="000000100000" w:firstRow="0" w:lastRow="0" w:firstColumn="0" w:lastColumn="0" w:oddVBand="0" w:evenVBand="0" w:oddHBand="1" w:evenHBand="0" w:firstRowFirstColumn="0" w:firstRowLastColumn="0" w:lastRowFirstColumn="0" w:lastRowLastColumn="0"/>
          <w:trHeight w:val="229"/>
        </w:trPr>
        <w:tc>
          <w:tcPr>
            <w:cnfStyle w:val="001000000000" w:firstRow="0" w:lastRow="0" w:firstColumn="1" w:lastColumn="0" w:oddVBand="0" w:evenVBand="0" w:oddHBand="0" w:evenHBand="0" w:firstRowFirstColumn="0" w:firstRowLastColumn="0" w:lastRowFirstColumn="0" w:lastRowLastColumn="0"/>
            <w:tcW w:w="2588" w:type="dxa"/>
          </w:tcPr>
          <w:p w14:paraId="7C9A0048" w14:textId="77777777" w:rsidR="0054039C" w:rsidRPr="0054039C" w:rsidRDefault="0054039C" w:rsidP="0054039C">
            <w:pPr>
              <w:spacing w:line="480" w:lineRule="auto"/>
              <w:jc w:val="center"/>
              <w:rPr>
                <w:rFonts w:ascii="Arial" w:hAnsi="Arial" w:cs="Arial"/>
                <w:color w:val="595959" w:themeColor="text1" w:themeTint="A6"/>
              </w:rPr>
            </w:pPr>
            <w:r w:rsidRPr="0054039C">
              <w:rPr>
                <w:rFonts w:ascii="Arial" w:hAnsi="Arial" w:cs="Arial"/>
                <w:color w:val="595959" w:themeColor="text1" w:themeTint="A6"/>
              </w:rPr>
              <w:t>EGF</w:t>
            </w:r>
          </w:p>
        </w:tc>
        <w:tc>
          <w:tcPr>
            <w:tcW w:w="2573" w:type="dxa"/>
          </w:tcPr>
          <w:p w14:paraId="3B09D466" w14:textId="77777777" w:rsidR="0054039C" w:rsidRPr="0054039C" w:rsidRDefault="0054039C" w:rsidP="0054039C">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595959" w:themeColor="text1" w:themeTint="A6"/>
              </w:rPr>
            </w:pPr>
            <w:r w:rsidRPr="0054039C">
              <w:rPr>
                <w:rFonts w:ascii="Arial" w:hAnsi="Arial" w:cs="Arial"/>
                <w:color w:val="595959" w:themeColor="text1" w:themeTint="A6"/>
              </w:rPr>
              <w:t>50 μL of 100 μg/mL</w:t>
            </w:r>
          </w:p>
        </w:tc>
        <w:tc>
          <w:tcPr>
            <w:tcW w:w="2320" w:type="dxa"/>
          </w:tcPr>
          <w:p w14:paraId="03262BD8" w14:textId="77777777" w:rsidR="0054039C" w:rsidRPr="0054039C" w:rsidRDefault="0054039C" w:rsidP="0054039C">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595959" w:themeColor="text1" w:themeTint="A6"/>
              </w:rPr>
            </w:pPr>
            <w:r w:rsidRPr="0054039C">
              <w:rPr>
                <w:rFonts w:ascii="Arial" w:hAnsi="Arial" w:cs="Arial"/>
                <w:color w:val="595959" w:themeColor="text1" w:themeTint="A6"/>
              </w:rPr>
              <w:t>10 ng/mL</w:t>
            </w:r>
          </w:p>
        </w:tc>
      </w:tr>
      <w:tr w:rsidR="0054039C" w:rsidRPr="0054039C" w14:paraId="49B25F44" w14:textId="77777777" w:rsidTr="00220314">
        <w:trPr>
          <w:trHeight w:val="222"/>
        </w:trPr>
        <w:tc>
          <w:tcPr>
            <w:cnfStyle w:val="001000000000" w:firstRow="0" w:lastRow="0" w:firstColumn="1" w:lastColumn="0" w:oddVBand="0" w:evenVBand="0" w:oddHBand="0" w:evenHBand="0" w:firstRowFirstColumn="0" w:firstRowLastColumn="0" w:lastRowFirstColumn="0" w:lastRowLastColumn="0"/>
            <w:tcW w:w="2588" w:type="dxa"/>
          </w:tcPr>
          <w:p w14:paraId="65827475" w14:textId="77777777" w:rsidR="0054039C" w:rsidRPr="0054039C" w:rsidRDefault="0054039C" w:rsidP="0054039C">
            <w:pPr>
              <w:spacing w:line="480" w:lineRule="auto"/>
              <w:jc w:val="center"/>
              <w:rPr>
                <w:rFonts w:ascii="Arial" w:hAnsi="Arial" w:cs="Arial"/>
                <w:color w:val="595959" w:themeColor="text1" w:themeTint="A6"/>
              </w:rPr>
            </w:pPr>
            <w:r w:rsidRPr="0054039C">
              <w:rPr>
                <w:rFonts w:ascii="Arial" w:hAnsi="Arial" w:cs="Arial"/>
                <w:color w:val="595959" w:themeColor="text1" w:themeTint="A6"/>
              </w:rPr>
              <w:t xml:space="preserve">Cholera Toxin </w:t>
            </w:r>
          </w:p>
        </w:tc>
        <w:tc>
          <w:tcPr>
            <w:tcW w:w="2573" w:type="dxa"/>
          </w:tcPr>
          <w:p w14:paraId="58BAAA75" w14:textId="77777777" w:rsidR="0054039C" w:rsidRPr="0054039C" w:rsidRDefault="0054039C" w:rsidP="0054039C">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595959" w:themeColor="text1" w:themeTint="A6"/>
              </w:rPr>
            </w:pPr>
            <w:r w:rsidRPr="0054039C">
              <w:rPr>
                <w:rFonts w:ascii="Arial" w:hAnsi="Arial" w:cs="Arial"/>
                <w:color w:val="595959" w:themeColor="text1" w:themeTint="A6"/>
              </w:rPr>
              <w:t>500 μL of 8.47 μg/mL</w:t>
            </w:r>
          </w:p>
        </w:tc>
        <w:tc>
          <w:tcPr>
            <w:tcW w:w="2320" w:type="dxa"/>
          </w:tcPr>
          <w:p w14:paraId="0C2A314F" w14:textId="77777777" w:rsidR="0054039C" w:rsidRPr="0054039C" w:rsidRDefault="0054039C" w:rsidP="0054039C">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595959" w:themeColor="text1" w:themeTint="A6"/>
              </w:rPr>
            </w:pPr>
            <w:r w:rsidRPr="0054039C">
              <w:rPr>
                <w:rFonts w:ascii="Arial" w:hAnsi="Arial" w:cs="Arial"/>
                <w:color w:val="595959" w:themeColor="text1" w:themeTint="A6"/>
              </w:rPr>
              <w:t>8.47 ng/mL</w:t>
            </w:r>
          </w:p>
        </w:tc>
      </w:tr>
      <w:tr w:rsidR="0054039C" w:rsidRPr="0054039C" w14:paraId="0BFB714B" w14:textId="77777777" w:rsidTr="00220314">
        <w:trPr>
          <w:cnfStyle w:val="000000100000" w:firstRow="0" w:lastRow="0" w:firstColumn="0" w:lastColumn="0" w:oddVBand="0" w:evenVBand="0" w:oddHBand="1" w:evenHBand="0" w:firstRowFirstColumn="0" w:firstRowLastColumn="0" w:lastRowFirstColumn="0" w:lastRowLastColumn="0"/>
          <w:trHeight w:val="222"/>
        </w:trPr>
        <w:tc>
          <w:tcPr>
            <w:cnfStyle w:val="001000000000" w:firstRow="0" w:lastRow="0" w:firstColumn="1" w:lastColumn="0" w:oddVBand="0" w:evenVBand="0" w:oddHBand="0" w:evenHBand="0" w:firstRowFirstColumn="0" w:firstRowLastColumn="0" w:lastRowFirstColumn="0" w:lastRowLastColumn="0"/>
            <w:tcW w:w="2588" w:type="dxa"/>
          </w:tcPr>
          <w:p w14:paraId="5AFD9D0D" w14:textId="77777777" w:rsidR="0054039C" w:rsidRPr="0054039C" w:rsidRDefault="0054039C" w:rsidP="0054039C">
            <w:pPr>
              <w:spacing w:line="480" w:lineRule="auto"/>
              <w:jc w:val="center"/>
              <w:rPr>
                <w:rFonts w:ascii="Arial" w:hAnsi="Arial" w:cs="Arial"/>
                <w:color w:val="595959" w:themeColor="text1" w:themeTint="A6"/>
              </w:rPr>
            </w:pPr>
            <w:r w:rsidRPr="0054039C">
              <w:rPr>
                <w:rFonts w:ascii="Arial" w:hAnsi="Arial" w:cs="Arial"/>
                <w:color w:val="595959" w:themeColor="text1" w:themeTint="A6"/>
              </w:rPr>
              <w:t>Human Insulin</w:t>
            </w:r>
          </w:p>
        </w:tc>
        <w:tc>
          <w:tcPr>
            <w:tcW w:w="2573" w:type="dxa"/>
          </w:tcPr>
          <w:p w14:paraId="4E7EE466" w14:textId="77777777" w:rsidR="0054039C" w:rsidRPr="0054039C" w:rsidRDefault="0054039C" w:rsidP="0054039C">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595959" w:themeColor="text1" w:themeTint="A6"/>
              </w:rPr>
            </w:pPr>
            <w:r w:rsidRPr="0054039C">
              <w:rPr>
                <w:rFonts w:ascii="Arial" w:hAnsi="Arial" w:cs="Arial"/>
                <w:color w:val="595959" w:themeColor="text1" w:themeTint="A6"/>
              </w:rPr>
              <w:t>2.5 mL of 1 mg/mL</w:t>
            </w:r>
          </w:p>
        </w:tc>
        <w:tc>
          <w:tcPr>
            <w:tcW w:w="2320" w:type="dxa"/>
          </w:tcPr>
          <w:p w14:paraId="750CED60" w14:textId="77777777" w:rsidR="0054039C" w:rsidRPr="0054039C" w:rsidRDefault="0054039C" w:rsidP="0054039C">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595959" w:themeColor="text1" w:themeTint="A6"/>
              </w:rPr>
            </w:pPr>
            <w:r w:rsidRPr="0054039C">
              <w:rPr>
                <w:rFonts w:ascii="Arial" w:hAnsi="Arial" w:cs="Arial"/>
                <w:color w:val="595959" w:themeColor="text1" w:themeTint="A6"/>
              </w:rPr>
              <w:t>5 µg/mL</w:t>
            </w:r>
          </w:p>
        </w:tc>
      </w:tr>
      <w:tr w:rsidR="0054039C" w:rsidRPr="0054039C" w14:paraId="4CE3D218" w14:textId="77777777" w:rsidTr="00220314">
        <w:trPr>
          <w:trHeight w:val="229"/>
        </w:trPr>
        <w:tc>
          <w:tcPr>
            <w:cnfStyle w:val="001000000000" w:firstRow="0" w:lastRow="0" w:firstColumn="1" w:lastColumn="0" w:oddVBand="0" w:evenVBand="0" w:oddHBand="0" w:evenHBand="0" w:firstRowFirstColumn="0" w:firstRowLastColumn="0" w:lastRowFirstColumn="0" w:lastRowLastColumn="0"/>
            <w:tcW w:w="2588" w:type="dxa"/>
          </w:tcPr>
          <w:p w14:paraId="4835EFA3" w14:textId="77777777" w:rsidR="0054039C" w:rsidRPr="0054039C" w:rsidRDefault="0054039C" w:rsidP="0054039C">
            <w:pPr>
              <w:spacing w:line="480" w:lineRule="auto"/>
              <w:jc w:val="center"/>
              <w:rPr>
                <w:rFonts w:ascii="Arial" w:hAnsi="Arial" w:cs="Arial"/>
                <w:color w:val="595959" w:themeColor="text1" w:themeTint="A6"/>
              </w:rPr>
            </w:pPr>
            <w:r w:rsidRPr="0054039C">
              <w:rPr>
                <w:rFonts w:ascii="Arial" w:hAnsi="Arial" w:cs="Arial"/>
                <w:color w:val="595959" w:themeColor="text1" w:themeTint="A6"/>
              </w:rPr>
              <w:t>Adenine</w:t>
            </w:r>
          </w:p>
        </w:tc>
        <w:tc>
          <w:tcPr>
            <w:tcW w:w="2573" w:type="dxa"/>
          </w:tcPr>
          <w:p w14:paraId="58370C31" w14:textId="77777777" w:rsidR="0054039C" w:rsidRPr="0054039C" w:rsidRDefault="0054039C" w:rsidP="0054039C">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595959" w:themeColor="text1" w:themeTint="A6"/>
              </w:rPr>
            </w:pPr>
            <w:r w:rsidRPr="0054039C">
              <w:rPr>
                <w:rFonts w:ascii="Arial" w:hAnsi="Arial" w:cs="Arial"/>
                <w:color w:val="595959" w:themeColor="text1" w:themeTint="A6"/>
              </w:rPr>
              <w:t>2 mL of 6.25 μg/mL</w:t>
            </w:r>
          </w:p>
        </w:tc>
        <w:tc>
          <w:tcPr>
            <w:tcW w:w="2320" w:type="dxa"/>
          </w:tcPr>
          <w:p w14:paraId="52DB94AF" w14:textId="77777777" w:rsidR="0054039C" w:rsidRPr="0054039C" w:rsidRDefault="0054039C" w:rsidP="0054039C">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595959" w:themeColor="text1" w:themeTint="A6"/>
              </w:rPr>
            </w:pPr>
            <w:r w:rsidRPr="0054039C">
              <w:rPr>
                <w:rFonts w:ascii="Arial" w:hAnsi="Arial" w:cs="Arial"/>
                <w:color w:val="595959" w:themeColor="text1" w:themeTint="A6"/>
              </w:rPr>
              <w:t>0.025 µg/mL</w:t>
            </w:r>
          </w:p>
        </w:tc>
      </w:tr>
      <w:tr w:rsidR="0054039C" w:rsidRPr="005D40F4" w14:paraId="1E2BABC8" w14:textId="77777777" w:rsidTr="00220314">
        <w:trPr>
          <w:cnfStyle w:val="000000100000" w:firstRow="0" w:lastRow="0" w:firstColumn="0" w:lastColumn="0" w:oddVBand="0" w:evenVBand="0" w:oddHBand="1" w:evenHBand="0" w:firstRowFirstColumn="0" w:firstRowLastColumn="0" w:lastRowFirstColumn="0" w:lastRowLastColumn="0"/>
          <w:trHeight w:val="452"/>
        </w:trPr>
        <w:tc>
          <w:tcPr>
            <w:cnfStyle w:val="001000000000" w:firstRow="0" w:lastRow="0" w:firstColumn="1" w:lastColumn="0" w:oddVBand="0" w:evenVBand="0" w:oddHBand="0" w:evenHBand="0" w:firstRowFirstColumn="0" w:firstRowLastColumn="0" w:lastRowFirstColumn="0" w:lastRowLastColumn="0"/>
            <w:tcW w:w="2588" w:type="dxa"/>
          </w:tcPr>
          <w:p w14:paraId="5AFFB85C" w14:textId="700529F3" w:rsidR="0054039C" w:rsidRPr="0054039C" w:rsidRDefault="00573CFD" w:rsidP="0054039C">
            <w:pPr>
              <w:spacing w:line="480" w:lineRule="auto"/>
              <w:jc w:val="center"/>
              <w:rPr>
                <w:rFonts w:ascii="Arial" w:hAnsi="Arial" w:cs="Arial"/>
                <w:color w:val="595959" w:themeColor="text1" w:themeTint="A6"/>
              </w:rPr>
            </w:pPr>
            <w:r>
              <w:rPr>
                <w:rFonts w:ascii="Arial" w:hAnsi="Arial" w:cs="Arial"/>
                <w:color w:val="595959" w:themeColor="text1" w:themeTint="A6"/>
              </w:rPr>
              <w:t>T-T</w:t>
            </w:r>
          </w:p>
        </w:tc>
        <w:tc>
          <w:tcPr>
            <w:tcW w:w="2573" w:type="dxa"/>
          </w:tcPr>
          <w:p w14:paraId="1F5092DE" w14:textId="77777777" w:rsidR="0054039C" w:rsidRPr="0054039C" w:rsidRDefault="0054039C" w:rsidP="0054039C">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595959" w:themeColor="text1" w:themeTint="A6"/>
              </w:rPr>
            </w:pPr>
            <w:r w:rsidRPr="0054039C">
              <w:rPr>
                <w:rFonts w:ascii="Arial" w:hAnsi="Arial" w:cs="Arial"/>
                <w:color w:val="595959" w:themeColor="text1" w:themeTint="A6"/>
              </w:rPr>
              <w:t>0.5 mL of 1.36 μg/mL T3 and 5 mg/mL Apo-T</w:t>
            </w:r>
          </w:p>
        </w:tc>
        <w:tc>
          <w:tcPr>
            <w:tcW w:w="2320" w:type="dxa"/>
          </w:tcPr>
          <w:p w14:paraId="711F0245" w14:textId="77777777" w:rsidR="0054039C" w:rsidRPr="0054039C" w:rsidRDefault="0054039C" w:rsidP="0054039C">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595959" w:themeColor="text1" w:themeTint="A6"/>
                <w:lang w:val="de-DE"/>
              </w:rPr>
            </w:pPr>
            <w:r w:rsidRPr="0054039C">
              <w:rPr>
                <w:rFonts w:ascii="Arial" w:hAnsi="Arial" w:cs="Arial"/>
                <w:color w:val="595959" w:themeColor="text1" w:themeTint="A6"/>
                <w:lang w:val="de-DE"/>
              </w:rPr>
              <w:t>1.36 ng/mL T3 and</w:t>
            </w:r>
          </w:p>
          <w:p w14:paraId="4DA7170A" w14:textId="77777777" w:rsidR="0054039C" w:rsidRPr="0054039C" w:rsidRDefault="0054039C" w:rsidP="0054039C">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595959" w:themeColor="text1" w:themeTint="A6"/>
                <w:lang w:val="de-DE"/>
              </w:rPr>
            </w:pPr>
            <w:r w:rsidRPr="0054039C">
              <w:rPr>
                <w:rFonts w:ascii="Arial" w:hAnsi="Arial" w:cs="Arial"/>
                <w:color w:val="595959" w:themeColor="text1" w:themeTint="A6"/>
                <w:lang w:val="de-DE"/>
              </w:rPr>
              <w:t xml:space="preserve"> 5 µg/mL Apo-T</w:t>
            </w:r>
          </w:p>
        </w:tc>
      </w:tr>
    </w:tbl>
    <w:p w14:paraId="0C69E6A2" w14:textId="77777777" w:rsidR="0054039C" w:rsidRPr="0054039C" w:rsidRDefault="0054039C" w:rsidP="0054039C">
      <w:pPr>
        <w:spacing w:after="0" w:line="480" w:lineRule="auto"/>
        <w:jc w:val="both"/>
        <w:rPr>
          <w:rFonts w:ascii="Arial" w:hAnsi="Arial" w:cs="Arial"/>
          <w:color w:val="595959" w:themeColor="text1" w:themeTint="A6"/>
          <w:sz w:val="24"/>
          <w:szCs w:val="24"/>
          <w:u w:val="single"/>
          <w:lang w:val="de-DE"/>
        </w:rPr>
      </w:pPr>
    </w:p>
    <w:p w14:paraId="55C1998F" w14:textId="77777777" w:rsidR="0054039C" w:rsidRPr="0054039C" w:rsidRDefault="0054039C" w:rsidP="00AA47CD">
      <w:pPr>
        <w:pStyle w:val="Heading3"/>
        <w:rPr>
          <w:rFonts w:ascii="Arial" w:hAnsi="Arial" w:cs="Arial"/>
          <w:color w:val="595959" w:themeColor="text1" w:themeTint="A6"/>
          <w:lang w:val="en-US"/>
        </w:rPr>
      </w:pPr>
      <w:bookmarkStart w:id="85" w:name="_Toc515897461"/>
      <w:bookmarkStart w:id="86" w:name="_Toc534278589"/>
      <w:bookmarkStart w:id="87" w:name="_Toc34208296"/>
      <w:r w:rsidRPr="0054039C">
        <w:rPr>
          <w:rFonts w:ascii="Arial" w:hAnsi="Arial" w:cs="Arial"/>
          <w:color w:val="595959" w:themeColor="text1" w:themeTint="A6"/>
          <w:lang w:val="en-US"/>
        </w:rPr>
        <w:t>2.2.3 Cell</w:t>
      </w:r>
      <w:bookmarkEnd w:id="85"/>
      <w:r w:rsidRPr="0054039C">
        <w:rPr>
          <w:rFonts w:ascii="Arial" w:hAnsi="Arial" w:cs="Arial"/>
          <w:color w:val="595959" w:themeColor="text1" w:themeTint="A6"/>
          <w:lang w:val="en-US"/>
        </w:rPr>
        <w:t xml:space="preserve"> types</w:t>
      </w:r>
      <w:bookmarkEnd w:id="86"/>
      <w:bookmarkEnd w:id="87"/>
    </w:p>
    <w:p w14:paraId="7F2CF270" w14:textId="77777777" w:rsidR="0054039C" w:rsidRPr="0054039C" w:rsidRDefault="0054039C" w:rsidP="0054039C">
      <w:pPr>
        <w:rPr>
          <w:lang w:val="en-US"/>
        </w:rPr>
      </w:pPr>
    </w:p>
    <w:p w14:paraId="7A5DBDAD" w14:textId="77777777" w:rsidR="0054039C" w:rsidRPr="0054039C" w:rsidRDefault="0054039C" w:rsidP="00AA47CD">
      <w:pPr>
        <w:pStyle w:val="Heading4"/>
        <w:rPr>
          <w:rFonts w:ascii="Arial" w:hAnsi="Arial" w:cs="Arial"/>
          <w:color w:val="595959" w:themeColor="text1" w:themeTint="A6"/>
          <w:szCs w:val="24"/>
          <w:lang w:val="en-US"/>
        </w:rPr>
      </w:pPr>
      <w:bookmarkStart w:id="88" w:name="_Toc515897462"/>
      <w:bookmarkStart w:id="89" w:name="_Toc534278590"/>
      <w:bookmarkStart w:id="90" w:name="_Toc34208297"/>
      <w:r w:rsidRPr="0054039C">
        <w:rPr>
          <w:rFonts w:ascii="Arial" w:hAnsi="Arial" w:cs="Arial"/>
          <w:color w:val="595959" w:themeColor="text1" w:themeTint="A6"/>
          <w:szCs w:val="24"/>
          <w:lang w:val="en-US"/>
        </w:rPr>
        <w:t>2.2.3.1 Isolation of normal and cancer-associated fibroblasts</w:t>
      </w:r>
      <w:bookmarkEnd w:id="88"/>
      <w:bookmarkEnd w:id="89"/>
      <w:bookmarkEnd w:id="90"/>
    </w:p>
    <w:p w14:paraId="794293F3" w14:textId="77777777" w:rsidR="0054039C" w:rsidRPr="0054039C" w:rsidRDefault="0054039C" w:rsidP="0054039C">
      <w:pPr>
        <w:rPr>
          <w:lang w:val="en-US"/>
        </w:rPr>
      </w:pPr>
    </w:p>
    <w:p w14:paraId="58E64116" w14:textId="02CB0C64" w:rsidR="0054039C" w:rsidRPr="0054039C" w:rsidRDefault="0054039C" w:rsidP="0054039C">
      <w:pPr>
        <w:spacing w:after="0" w:line="480" w:lineRule="auto"/>
        <w:jc w:val="both"/>
        <w:rPr>
          <w:rFonts w:ascii="Arial" w:hAnsi="Arial" w:cs="Arial"/>
          <w:color w:val="595959" w:themeColor="text1" w:themeTint="A6"/>
          <w:lang w:val="en-US"/>
        </w:rPr>
      </w:pPr>
      <w:r w:rsidRPr="0054039C">
        <w:rPr>
          <w:rFonts w:ascii="Arial" w:hAnsi="Arial" w:cs="Arial"/>
          <w:color w:val="595959" w:themeColor="text1" w:themeTint="A6"/>
          <w:lang w:val="en-US"/>
        </w:rPr>
        <w:t xml:space="preserve">Human primary NOF were isolated from buccal tissue donated by healthy volunteers with written, informed </w:t>
      </w:r>
      <w:r w:rsidRPr="00E25DF3">
        <w:rPr>
          <w:rFonts w:ascii="Arial" w:hAnsi="Arial" w:cs="Arial"/>
          <w:color w:val="595959" w:themeColor="text1" w:themeTint="A6"/>
          <w:lang w:val="en-US"/>
        </w:rPr>
        <w:t xml:space="preserve">consent and </w:t>
      </w:r>
      <w:r w:rsidR="00157CA6" w:rsidRPr="00E25DF3">
        <w:rPr>
          <w:rFonts w:ascii="Arial" w:hAnsi="Arial" w:cs="Arial"/>
          <w:color w:val="595959" w:themeColor="text1" w:themeTint="A6"/>
          <w:lang w:val="en-US"/>
        </w:rPr>
        <w:t xml:space="preserve">was </w:t>
      </w:r>
      <w:r w:rsidRPr="00E25DF3">
        <w:rPr>
          <w:rFonts w:ascii="Arial" w:hAnsi="Arial" w:cs="Arial"/>
          <w:color w:val="595959" w:themeColor="text1" w:themeTint="A6"/>
          <w:lang w:val="en-US"/>
        </w:rPr>
        <w:t xml:space="preserve">approved by The University </w:t>
      </w:r>
      <w:r w:rsidRPr="0054039C">
        <w:rPr>
          <w:rFonts w:ascii="Arial" w:hAnsi="Arial" w:cs="Arial"/>
          <w:color w:val="595959" w:themeColor="text1" w:themeTint="A6"/>
          <w:lang w:val="en-US"/>
        </w:rPr>
        <w:t xml:space="preserve">of Sheffield Ethics Committee or from the connective tissue of biopsies obtained from the gingival oral mucosa from patients during routine dental procedures with written, informed consent and approved by Sheffield research Ethics committee (Ref 09/H1308/66). Isolation of human primary CAF were isolated from patient OSCC tumour tissue, obtained during surgical procedures with written, informed consent under approval by </w:t>
      </w:r>
      <w:r w:rsidRPr="0054039C">
        <w:rPr>
          <w:rFonts w:ascii="Arial" w:hAnsi="Arial" w:cs="Arial"/>
          <w:color w:val="595959" w:themeColor="text1" w:themeTint="A6"/>
          <w:shd w:val="clear" w:color="auto" w:fill="FFFFFF"/>
          <w:lang w:val="en-US"/>
        </w:rPr>
        <w:t>Sheffield Research Ethics Committee (Ref 13/NS/0120).</w:t>
      </w:r>
      <w:r w:rsidRPr="0054039C">
        <w:rPr>
          <w:rFonts w:ascii="Arial" w:hAnsi="Arial" w:cs="Arial"/>
          <w:color w:val="595959" w:themeColor="text1" w:themeTint="A6"/>
          <w:lang w:val="en-US"/>
        </w:rPr>
        <w:t xml:space="preserve"> </w:t>
      </w:r>
      <w:r w:rsidR="004975A8">
        <w:rPr>
          <w:rFonts w:ascii="Arial" w:hAnsi="Arial" w:cs="Arial"/>
          <w:color w:val="595959" w:themeColor="text1" w:themeTint="A6"/>
          <w:lang w:val="en-US"/>
        </w:rPr>
        <w:t>Biopsies</w:t>
      </w:r>
      <w:r w:rsidR="00A91493">
        <w:rPr>
          <w:rFonts w:ascii="Arial" w:hAnsi="Arial" w:cs="Arial"/>
          <w:color w:val="595959" w:themeColor="text1" w:themeTint="A6"/>
          <w:lang w:val="en-US"/>
        </w:rPr>
        <w:t xml:space="preserve"> </w:t>
      </w:r>
      <w:r w:rsidRPr="0054039C">
        <w:rPr>
          <w:rFonts w:ascii="Arial" w:hAnsi="Arial" w:cs="Arial"/>
          <w:color w:val="595959" w:themeColor="text1" w:themeTint="A6"/>
          <w:lang w:val="en-US"/>
        </w:rPr>
        <w:t>were collected and stored in transport media</w:t>
      </w:r>
      <w:r w:rsidR="00B762E8">
        <w:rPr>
          <w:rFonts w:ascii="Arial" w:hAnsi="Arial" w:cs="Arial"/>
          <w:color w:val="595959" w:themeColor="text1" w:themeTint="A6"/>
          <w:lang w:val="en-US"/>
        </w:rPr>
        <w:t xml:space="preserve"> (section 2.2.2.2)</w:t>
      </w:r>
      <w:r w:rsidRPr="0054039C">
        <w:rPr>
          <w:rFonts w:ascii="Arial" w:hAnsi="Arial" w:cs="Arial"/>
          <w:color w:val="595959" w:themeColor="text1" w:themeTint="A6"/>
          <w:lang w:val="en-US"/>
        </w:rPr>
        <w:t xml:space="preserve"> at 4</w:t>
      </w:r>
      <w:r w:rsidRPr="0054039C">
        <w:rPr>
          <w:rFonts w:ascii="Arial" w:hAnsi="Arial" w:cs="Arial"/>
          <w:color w:val="595959" w:themeColor="text1" w:themeTint="A6"/>
          <w:vertAlign w:val="superscript"/>
          <w:lang w:val="en-US"/>
        </w:rPr>
        <w:t>o</w:t>
      </w:r>
      <w:r w:rsidRPr="0054039C">
        <w:rPr>
          <w:rFonts w:ascii="Arial" w:hAnsi="Arial" w:cs="Arial"/>
          <w:color w:val="595959" w:themeColor="text1" w:themeTint="A6"/>
          <w:lang w:val="en-US"/>
        </w:rPr>
        <w:t xml:space="preserve">C until processing. Samples were minced finely using a scalpel before being incubated in 10 mL of collagenase type 1A extracted from </w:t>
      </w:r>
      <w:r w:rsidRPr="0054039C">
        <w:rPr>
          <w:rFonts w:ascii="Arial" w:hAnsi="Arial" w:cs="Arial"/>
          <w:i/>
          <w:color w:val="595959" w:themeColor="text1" w:themeTint="A6"/>
          <w:lang w:val="en-US"/>
        </w:rPr>
        <w:t xml:space="preserve">clostridium histolyticum </w:t>
      </w:r>
      <w:r w:rsidRPr="0054039C">
        <w:rPr>
          <w:rFonts w:ascii="Arial" w:hAnsi="Arial" w:cs="Arial"/>
          <w:color w:val="595959" w:themeColor="text1" w:themeTint="A6"/>
          <w:lang w:val="en-US"/>
        </w:rPr>
        <w:t>(0.25% (w/v) dissolved in DMEM, 100 I.U/mL penicillin, 100 µg/mL streptomycin and amphotericin-B (0.625 µg/mL)</w:t>
      </w:r>
      <w:r w:rsidRPr="0054039C">
        <w:rPr>
          <w:rFonts w:ascii="Arial" w:hAnsi="Arial" w:cs="Arial"/>
          <w:i/>
          <w:color w:val="595959" w:themeColor="text1" w:themeTint="A6"/>
          <w:lang w:val="en-US"/>
        </w:rPr>
        <w:t xml:space="preserve"> </w:t>
      </w:r>
      <w:r w:rsidRPr="0054039C">
        <w:rPr>
          <w:rFonts w:ascii="Arial" w:hAnsi="Arial" w:cs="Arial"/>
          <w:color w:val="595959" w:themeColor="text1" w:themeTint="A6"/>
          <w:lang w:val="en-US"/>
        </w:rPr>
        <w:t>for 3 h at 37°C in 5% CO</w:t>
      </w:r>
      <w:r w:rsidRPr="0054039C">
        <w:rPr>
          <w:rFonts w:ascii="Arial" w:hAnsi="Arial" w:cs="Arial"/>
          <w:color w:val="595959" w:themeColor="text1" w:themeTint="A6"/>
          <w:vertAlign w:val="subscript"/>
          <w:lang w:val="en-US"/>
        </w:rPr>
        <w:t>2</w:t>
      </w:r>
      <w:r w:rsidRPr="0054039C">
        <w:rPr>
          <w:rFonts w:ascii="Arial" w:hAnsi="Arial" w:cs="Arial"/>
          <w:color w:val="595959" w:themeColor="text1" w:themeTint="A6"/>
          <w:lang w:val="en-US"/>
        </w:rPr>
        <w:t xml:space="preserve">. The sample was then centrifuged at 2000 rpm for 10 minutes. The supernatant was carefully removed and the cellular pellet (including undigested tissue) re-suspended in 5 mL of fibroblast growth media. The </w:t>
      </w:r>
      <w:r w:rsidR="00863FC8">
        <w:rPr>
          <w:rFonts w:ascii="Arial" w:hAnsi="Arial" w:cs="Arial"/>
          <w:color w:val="595959" w:themeColor="text1" w:themeTint="A6"/>
          <w:lang w:val="en-US"/>
        </w:rPr>
        <w:t xml:space="preserve">resultant </w:t>
      </w:r>
      <w:r w:rsidRPr="0054039C">
        <w:rPr>
          <w:rFonts w:ascii="Arial" w:hAnsi="Arial" w:cs="Arial"/>
          <w:color w:val="595959" w:themeColor="text1" w:themeTint="A6"/>
          <w:lang w:val="en-US"/>
        </w:rPr>
        <w:t xml:space="preserve">cell suspension was seeded into a T25 culture flask. </w:t>
      </w:r>
    </w:p>
    <w:p w14:paraId="145BD5F1" w14:textId="77777777" w:rsidR="0054039C" w:rsidRPr="0054039C" w:rsidRDefault="0054039C" w:rsidP="0054039C">
      <w:pPr>
        <w:autoSpaceDE w:val="0"/>
        <w:autoSpaceDN w:val="0"/>
        <w:adjustRightInd w:val="0"/>
        <w:spacing w:after="0" w:line="480" w:lineRule="auto"/>
        <w:jc w:val="both"/>
        <w:rPr>
          <w:rFonts w:asciiTheme="minorBidi" w:hAnsiTheme="minorBidi"/>
          <w:color w:val="595959" w:themeColor="text1" w:themeTint="A6"/>
          <w:shd w:val="clear" w:color="auto" w:fill="FFFFFF"/>
          <w:lang w:val="en-US"/>
        </w:rPr>
      </w:pPr>
    </w:p>
    <w:p w14:paraId="222B3613" w14:textId="77777777" w:rsidR="0054039C" w:rsidRPr="0054039C" w:rsidRDefault="0054039C" w:rsidP="00AA47CD">
      <w:pPr>
        <w:pStyle w:val="Heading4"/>
        <w:rPr>
          <w:rFonts w:ascii="Arial" w:hAnsi="Arial" w:cs="Arial"/>
          <w:color w:val="595959" w:themeColor="text1" w:themeTint="A6"/>
          <w:szCs w:val="24"/>
          <w:shd w:val="clear" w:color="auto" w:fill="FFFFFF"/>
          <w:lang w:val="en-US"/>
        </w:rPr>
      </w:pPr>
      <w:bookmarkStart w:id="91" w:name="_Toc515897463"/>
      <w:bookmarkStart w:id="92" w:name="_Toc534278591"/>
      <w:bookmarkStart w:id="93" w:name="_Toc34208298"/>
      <w:r w:rsidRPr="0054039C">
        <w:rPr>
          <w:rFonts w:ascii="Arial" w:hAnsi="Arial" w:cs="Arial"/>
          <w:color w:val="595959" w:themeColor="text1" w:themeTint="A6"/>
          <w:szCs w:val="24"/>
          <w:shd w:val="clear" w:color="auto" w:fill="FFFFFF"/>
          <w:lang w:val="en-US"/>
        </w:rPr>
        <w:t>2.2.3.2 Cells</w:t>
      </w:r>
      <w:bookmarkEnd w:id="91"/>
      <w:r w:rsidRPr="0054039C">
        <w:rPr>
          <w:rFonts w:ascii="Arial" w:hAnsi="Arial" w:cs="Arial"/>
          <w:color w:val="595959" w:themeColor="text1" w:themeTint="A6"/>
          <w:szCs w:val="24"/>
          <w:shd w:val="clear" w:color="auto" w:fill="FFFFFF"/>
          <w:lang w:val="en-US"/>
        </w:rPr>
        <w:t xml:space="preserve"> used in this study</w:t>
      </w:r>
      <w:bookmarkEnd w:id="92"/>
      <w:bookmarkEnd w:id="93"/>
      <w:r w:rsidRPr="0054039C">
        <w:rPr>
          <w:rFonts w:ascii="Arial" w:hAnsi="Arial" w:cs="Arial"/>
          <w:color w:val="595959" w:themeColor="text1" w:themeTint="A6"/>
          <w:szCs w:val="24"/>
          <w:shd w:val="clear" w:color="auto" w:fill="FFFFFF"/>
          <w:lang w:val="en-US"/>
        </w:rPr>
        <w:t xml:space="preserve"> </w:t>
      </w:r>
    </w:p>
    <w:p w14:paraId="6EC6413B" w14:textId="77777777" w:rsidR="0054039C" w:rsidRPr="0054039C" w:rsidRDefault="0054039C" w:rsidP="0054039C">
      <w:pPr>
        <w:rPr>
          <w:lang w:val="en-US"/>
        </w:rPr>
      </w:pPr>
    </w:p>
    <w:p w14:paraId="46C15577" w14:textId="77777777" w:rsidR="0054039C" w:rsidRPr="0054039C" w:rsidRDefault="0054039C" w:rsidP="0054039C">
      <w:pPr>
        <w:autoSpaceDE w:val="0"/>
        <w:autoSpaceDN w:val="0"/>
        <w:adjustRightInd w:val="0"/>
        <w:spacing w:after="0" w:line="480" w:lineRule="auto"/>
        <w:jc w:val="both"/>
        <w:rPr>
          <w:rFonts w:ascii="Arial" w:hAnsi="Arial" w:cs="Arial"/>
          <w:color w:val="595959" w:themeColor="text1" w:themeTint="A6"/>
          <w:shd w:val="clear" w:color="auto" w:fill="FFFFFF"/>
          <w:lang w:val="en-US"/>
        </w:rPr>
      </w:pPr>
      <w:r w:rsidRPr="0054039C">
        <w:rPr>
          <w:rFonts w:ascii="Arial" w:hAnsi="Arial" w:cs="Arial"/>
          <w:color w:val="595959" w:themeColor="text1" w:themeTint="A6"/>
          <w:shd w:val="clear" w:color="auto" w:fill="FFFFFF"/>
          <w:lang w:val="en-US"/>
        </w:rPr>
        <w:lastRenderedPageBreak/>
        <w:t xml:space="preserve">Human cells and cell lines used in this study and their source are summarised in table 2.4. </w:t>
      </w:r>
    </w:p>
    <w:p w14:paraId="01F898C4" w14:textId="77777777" w:rsidR="0054039C" w:rsidRPr="00885266" w:rsidRDefault="0054039C" w:rsidP="0054039C">
      <w:pPr>
        <w:spacing w:after="0" w:line="480" w:lineRule="auto"/>
        <w:jc w:val="both"/>
        <w:rPr>
          <w:rFonts w:ascii="Arial" w:hAnsi="Arial" w:cs="Arial"/>
          <w:b/>
          <w:color w:val="595959" w:themeColor="text1" w:themeTint="A6"/>
          <w:lang w:val="en-US"/>
        </w:rPr>
      </w:pPr>
    </w:p>
    <w:p w14:paraId="39094536" w14:textId="77777777" w:rsidR="0054039C" w:rsidRPr="00885266" w:rsidRDefault="0054039C" w:rsidP="0054039C">
      <w:pPr>
        <w:spacing w:after="0" w:line="480" w:lineRule="auto"/>
        <w:jc w:val="both"/>
        <w:rPr>
          <w:rFonts w:ascii="Arial" w:hAnsi="Arial" w:cs="Arial"/>
          <w:b/>
          <w:color w:val="595959" w:themeColor="text1" w:themeTint="A6"/>
          <w:lang w:val="en-US"/>
        </w:rPr>
      </w:pPr>
      <w:r w:rsidRPr="00885266">
        <w:rPr>
          <w:rFonts w:ascii="Arial" w:hAnsi="Arial" w:cs="Arial"/>
          <w:b/>
          <w:color w:val="595959" w:themeColor="text1" w:themeTint="A6"/>
          <w:lang w:val="en-US"/>
        </w:rPr>
        <w:t xml:space="preserve">Table 2.4 Cell lines and primary cells cultured </w:t>
      </w:r>
    </w:p>
    <w:tbl>
      <w:tblPr>
        <w:tblStyle w:val="GridTable4-Accent31"/>
        <w:tblW w:w="8926" w:type="dxa"/>
        <w:tblLook w:val="04A0" w:firstRow="1" w:lastRow="0" w:firstColumn="1" w:lastColumn="0" w:noHBand="0" w:noVBand="1"/>
      </w:tblPr>
      <w:tblGrid>
        <w:gridCol w:w="1975"/>
        <w:gridCol w:w="3780"/>
        <w:gridCol w:w="3171"/>
      </w:tblGrid>
      <w:tr w:rsidR="0054039C" w:rsidRPr="0054039C" w14:paraId="4549DB40" w14:textId="77777777" w:rsidTr="0022031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5" w:type="dxa"/>
          </w:tcPr>
          <w:p w14:paraId="33B0F054" w14:textId="77777777" w:rsidR="0054039C" w:rsidRPr="0054039C" w:rsidRDefault="0054039C" w:rsidP="0054039C">
            <w:pPr>
              <w:spacing w:line="480" w:lineRule="auto"/>
              <w:jc w:val="center"/>
              <w:rPr>
                <w:rFonts w:ascii="Arial" w:hAnsi="Arial" w:cs="Arial"/>
                <w:b w:val="0"/>
                <w:sz w:val="20"/>
                <w:szCs w:val="20"/>
              </w:rPr>
            </w:pPr>
            <w:r w:rsidRPr="0054039C">
              <w:rPr>
                <w:rFonts w:ascii="Arial" w:hAnsi="Arial" w:cs="Arial"/>
                <w:b w:val="0"/>
                <w:sz w:val="20"/>
                <w:szCs w:val="20"/>
              </w:rPr>
              <w:t>Cell name</w:t>
            </w:r>
          </w:p>
        </w:tc>
        <w:tc>
          <w:tcPr>
            <w:tcW w:w="3780" w:type="dxa"/>
          </w:tcPr>
          <w:p w14:paraId="26008A7A" w14:textId="77777777" w:rsidR="0054039C" w:rsidRPr="0054039C" w:rsidRDefault="0054039C" w:rsidP="0054039C">
            <w:pPr>
              <w:spacing w:line="48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0"/>
                <w:szCs w:val="20"/>
              </w:rPr>
            </w:pPr>
            <w:r w:rsidRPr="0054039C">
              <w:rPr>
                <w:rFonts w:ascii="Arial" w:hAnsi="Arial" w:cs="Arial"/>
                <w:b w:val="0"/>
                <w:sz w:val="20"/>
                <w:szCs w:val="20"/>
              </w:rPr>
              <w:t>Tissue site origin/ description</w:t>
            </w:r>
          </w:p>
        </w:tc>
        <w:tc>
          <w:tcPr>
            <w:tcW w:w="3171" w:type="dxa"/>
          </w:tcPr>
          <w:p w14:paraId="7DCD3A7D" w14:textId="77777777" w:rsidR="0054039C" w:rsidRPr="0054039C" w:rsidRDefault="0054039C" w:rsidP="0054039C">
            <w:pPr>
              <w:spacing w:line="48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4"/>
                <w:szCs w:val="24"/>
              </w:rPr>
            </w:pPr>
            <w:r w:rsidRPr="0054039C">
              <w:rPr>
                <w:rFonts w:ascii="Arial" w:hAnsi="Arial" w:cs="Arial"/>
                <w:b w:val="0"/>
                <w:sz w:val="24"/>
                <w:szCs w:val="24"/>
              </w:rPr>
              <w:t>Source</w:t>
            </w:r>
          </w:p>
        </w:tc>
      </w:tr>
      <w:tr w:rsidR="0054039C" w:rsidRPr="0054039C" w14:paraId="5714C43C" w14:textId="77777777" w:rsidTr="002203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5" w:type="dxa"/>
          </w:tcPr>
          <w:p w14:paraId="3D6CFA3F" w14:textId="77777777" w:rsidR="0054039C" w:rsidRPr="0054039C" w:rsidRDefault="0054039C" w:rsidP="0054039C">
            <w:pPr>
              <w:spacing w:line="480" w:lineRule="auto"/>
              <w:jc w:val="center"/>
              <w:rPr>
                <w:rFonts w:ascii="Arial" w:hAnsi="Arial" w:cs="Arial"/>
                <w:color w:val="595959" w:themeColor="text1" w:themeTint="A6"/>
                <w:sz w:val="20"/>
                <w:szCs w:val="20"/>
              </w:rPr>
            </w:pPr>
            <w:r w:rsidRPr="0054039C">
              <w:rPr>
                <w:rFonts w:ascii="Arial" w:hAnsi="Arial" w:cs="Arial"/>
                <w:color w:val="595959" w:themeColor="text1" w:themeTint="A6"/>
                <w:sz w:val="20"/>
                <w:szCs w:val="20"/>
              </w:rPr>
              <w:t>NOF316</w:t>
            </w:r>
          </w:p>
        </w:tc>
        <w:tc>
          <w:tcPr>
            <w:tcW w:w="3780" w:type="dxa"/>
          </w:tcPr>
          <w:p w14:paraId="18C90E1E" w14:textId="77777777" w:rsidR="0054039C" w:rsidRPr="0054039C" w:rsidRDefault="0054039C" w:rsidP="0054039C">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595959" w:themeColor="text1" w:themeTint="A6"/>
                <w:sz w:val="20"/>
                <w:szCs w:val="20"/>
              </w:rPr>
            </w:pPr>
            <w:r w:rsidRPr="0054039C">
              <w:rPr>
                <w:rFonts w:ascii="Arial" w:hAnsi="Arial" w:cs="Arial"/>
                <w:color w:val="595959" w:themeColor="text1" w:themeTint="A6"/>
                <w:sz w:val="20"/>
                <w:szCs w:val="20"/>
              </w:rPr>
              <w:t>Normal gingival fibroblast</w:t>
            </w:r>
          </w:p>
        </w:tc>
        <w:tc>
          <w:tcPr>
            <w:tcW w:w="3171" w:type="dxa"/>
          </w:tcPr>
          <w:p w14:paraId="742F5675" w14:textId="200CDCF8" w:rsidR="0054039C" w:rsidRPr="0054039C" w:rsidRDefault="0054039C" w:rsidP="0054039C">
            <w:pPr>
              <w:spacing w:line="480" w:lineRule="auto"/>
              <w:cnfStyle w:val="000000100000" w:firstRow="0" w:lastRow="0" w:firstColumn="0" w:lastColumn="0" w:oddVBand="0" w:evenVBand="0" w:oddHBand="1" w:evenHBand="0" w:firstRowFirstColumn="0" w:firstRowLastColumn="0" w:lastRowFirstColumn="0" w:lastRowLastColumn="0"/>
              <w:rPr>
                <w:rFonts w:ascii="Arial" w:hAnsi="Arial" w:cs="Arial"/>
                <w:color w:val="595959" w:themeColor="text1" w:themeTint="A6"/>
                <w:sz w:val="20"/>
                <w:szCs w:val="20"/>
              </w:rPr>
            </w:pPr>
            <w:r w:rsidRPr="0054039C">
              <w:rPr>
                <w:rFonts w:ascii="Arial" w:hAnsi="Arial" w:cs="Arial"/>
                <w:color w:val="595959" w:themeColor="text1" w:themeTint="A6"/>
                <w:sz w:val="20"/>
                <w:szCs w:val="20"/>
              </w:rPr>
              <w:t xml:space="preserve">Charles Clifford </w:t>
            </w:r>
            <w:r w:rsidR="00EC6313">
              <w:rPr>
                <w:rFonts w:ascii="Arial" w:hAnsi="Arial" w:cs="Arial"/>
                <w:color w:val="595959" w:themeColor="text1" w:themeTint="A6"/>
                <w:sz w:val="20"/>
                <w:szCs w:val="20"/>
              </w:rPr>
              <w:t>D</w:t>
            </w:r>
            <w:r w:rsidRPr="0054039C">
              <w:rPr>
                <w:rFonts w:ascii="Arial" w:hAnsi="Arial" w:cs="Arial"/>
                <w:color w:val="595959" w:themeColor="text1" w:themeTint="A6"/>
                <w:sz w:val="20"/>
                <w:szCs w:val="20"/>
              </w:rPr>
              <w:t xml:space="preserve">ental </w:t>
            </w:r>
            <w:r w:rsidR="00EC6313">
              <w:rPr>
                <w:rFonts w:ascii="Arial" w:hAnsi="Arial" w:cs="Arial"/>
                <w:color w:val="595959" w:themeColor="text1" w:themeTint="A6"/>
                <w:sz w:val="20"/>
                <w:szCs w:val="20"/>
              </w:rPr>
              <w:t>Hospital</w:t>
            </w:r>
            <w:r w:rsidRPr="0054039C">
              <w:rPr>
                <w:rFonts w:ascii="Arial" w:hAnsi="Arial" w:cs="Arial"/>
                <w:color w:val="595959" w:themeColor="text1" w:themeTint="A6"/>
                <w:sz w:val="20"/>
                <w:szCs w:val="20"/>
              </w:rPr>
              <w:t>, The University of Sheffield, UK.</w:t>
            </w:r>
          </w:p>
        </w:tc>
      </w:tr>
      <w:tr w:rsidR="0054039C" w:rsidRPr="0054039C" w14:paraId="693A38B2" w14:textId="77777777" w:rsidTr="00220314">
        <w:tc>
          <w:tcPr>
            <w:cnfStyle w:val="001000000000" w:firstRow="0" w:lastRow="0" w:firstColumn="1" w:lastColumn="0" w:oddVBand="0" w:evenVBand="0" w:oddHBand="0" w:evenHBand="0" w:firstRowFirstColumn="0" w:firstRowLastColumn="0" w:lastRowFirstColumn="0" w:lastRowLastColumn="0"/>
            <w:tcW w:w="1975" w:type="dxa"/>
          </w:tcPr>
          <w:p w14:paraId="52B903D8" w14:textId="77777777" w:rsidR="0054039C" w:rsidRPr="0054039C" w:rsidRDefault="0054039C" w:rsidP="0054039C">
            <w:pPr>
              <w:spacing w:line="480" w:lineRule="auto"/>
              <w:jc w:val="center"/>
              <w:rPr>
                <w:rFonts w:ascii="Arial" w:hAnsi="Arial" w:cs="Arial"/>
                <w:color w:val="595959" w:themeColor="text1" w:themeTint="A6"/>
                <w:sz w:val="20"/>
                <w:szCs w:val="20"/>
              </w:rPr>
            </w:pPr>
            <w:r w:rsidRPr="0054039C">
              <w:rPr>
                <w:rFonts w:ascii="Arial" w:hAnsi="Arial" w:cs="Arial"/>
                <w:color w:val="595959" w:themeColor="text1" w:themeTint="A6"/>
                <w:sz w:val="20"/>
                <w:szCs w:val="20"/>
              </w:rPr>
              <w:t>NOF803, -804, -805, -806</w:t>
            </w:r>
          </w:p>
        </w:tc>
        <w:tc>
          <w:tcPr>
            <w:tcW w:w="3780" w:type="dxa"/>
          </w:tcPr>
          <w:p w14:paraId="1ED54B57" w14:textId="77777777" w:rsidR="0054039C" w:rsidRPr="0054039C" w:rsidRDefault="0054039C" w:rsidP="0054039C">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595959" w:themeColor="text1" w:themeTint="A6"/>
                <w:sz w:val="20"/>
                <w:szCs w:val="20"/>
              </w:rPr>
            </w:pPr>
            <w:r w:rsidRPr="0054039C">
              <w:rPr>
                <w:rFonts w:ascii="Arial" w:hAnsi="Arial" w:cs="Arial"/>
                <w:color w:val="595959" w:themeColor="text1" w:themeTint="A6"/>
                <w:sz w:val="20"/>
                <w:szCs w:val="20"/>
              </w:rPr>
              <w:t>Normal buccal fibroblasts</w:t>
            </w:r>
          </w:p>
        </w:tc>
        <w:tc>
          <w:tcPr>
            <w:tcW w:w="3171" w:type="dxa"/>
          </w:tcPr>
          <w:p w14:paraId="011D6904" w14:textId="77777777" w:rsidR="00F525D1" w:rsidRDefault="002E188E" w:rsidP="0054039C">
            <w:pPr>
              <w:spacing w:line="480" w:lineRule="auto"/>
              <w:cnfStyle w:val="000000000000" w:firstRow="0" w:lastRow="0" w:firstColumn="0" w:lastColumn="0" w:oddVBand="0" w:evenVBand="0" w:oddHBand="0" w:evenHBand="0" w:firstRowFirstColumn="0" w:firstRowLastColumn="0" w:lastRowFirstColumn="0" w:lastRowLastColumn="0"/>
              <w:rPr>
                <w:rFonts w:ascii="Arial" w:hAnsi="Arial" w:cs="Arial"/>
                <w:color w:val="595959" w:themeColor="text1" w:themeTint="A6"/>
                <w:sz w:val="20"/>
                <w:szCs w:val="20"/>
                <w:lang w:val="en-GB"/>
              </w:rPr>
            </w:pPr>
            <w:r w:rsidRPr="002E188E">
              <w:rPr>
                <w:rFonts w:ascii="Arial" w:hAnsi="Arial" w:cs="Arial"/>
                <w:color w:val="595959" w:themeColor="text1" w:themeTint="A6"/>
                <w:sz w:val="20"/>
                <w:szCs w:val="20"/>
                <w:lang w:val="en-GB"/>
              </w:rPr>
              <w:t>UREC ethics Reference Number 003463</w:t>
            </w:r>
            <w:r>
              <w:rPr>
                <w:rFonts w:ascii="Arial" w:hAnsi="Arial" w:cs="Arial"/>
                <w:color w:val="595959" w:themeColor="text1" w:themeTint="A6"/>
                <w:sz w:val="20"/>
                <w:szCs w:val="20"/>
                <w:lang w:val="en-GB"/>
              </w:rPr>
              <w:t>.</w:t>
            </w:r>
          </w:p>
          <w:p w14:paraId="77B80239" w14:textId="6FDCB51F" w:rsidR="0054039C" w:rsidRPr="0054039C" w:rsidRDefault="0054039C" w:rsidP="0054039C">
            <w:pPr>
              <w:spacing w:line="480" w:lineRule="auto"/>
              <w:cnfStyle w:val="000000000000" w:firstRow="0" w:lastRow="0" w:firstColumn="0" w:lastColumn="0" w:oddVBand="0" w:evenVBand="0" w:oddHBand="0" w:evenHBand="0" w:firstRowFirstColumn="0" w:firstRowLastColumn="0" w:lastRowFirstColumn="0" w:lastRowLastColumn="0"/>
              <w:rPr>
                <w:rFonts w:ascii="Arial" w:hAnsi="Arial" w:cs="Arial"/>
                <w:color w:val="595959" w:themeColor="text1" w:themeTint="A6"/>
                <w:sz w:val="20"/>
                <w:szCs w:val="20"/>
              </w:rPr>
            </w:pPr>
            <w:r w:rsidRPr="0054039C">
              <w:rPr>
                <w:rFonts w:ascii="Arial" w:hAnsi="Arial" w:cs="Arial"/>
                <w:color w:val="595959" w:themeColor="text1" w:themeTint="A6"/>
                <w:sz w:val="20"/>
                <w:szCs w:val="20"/>
              </w:rPr>
              <w:t>The University of Sheffield, UK.</w:t>
            </w:r>
          </w:p>
        </w:tc>
      </w:tr>
      <w:tr w:rsidR="0054039C" w:rsidRPr="0054039C" w14:paraId="7F7BE7CC" w14:textId="77777777" w:rsidTr="002203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5" w:type="dxa"/>
          </w:tcPr>
          <w:p w14:paraId="55B716BE" w14:textId="77777777" w:rsidR="0054039C" w:rsidRPr="0054039C" w:rsidRDefault="0054039C" w:rsidP="0054039C">
            <w:pPr>
              <w:spacing w:line="480" w:lineRule="auto"/>
              <w:jc w:val="center"/>
              <w:rPr>
                <w:rFonts w:ascii="Arial" w:hAnsi="Arial" w:cs="Arial"/>
                <w:color w:val="595959" w:themeColor="text1" w:themeTint="A6"/>
                <w:sz w:val="20"/>
                <w:szCs w:val="20"/>
              </w:rPr>
            </w:pPr>
            <w:r w:rsidRPr="0054039C">
              <w:rPr>
                <w:rFonts w:ascii="Arial" w:hAnsi="Arial" w:cs="Arial"/>
                <w:color w:val="595959" w:themeColor="text1" w:themeTint="A6"/>
                <w:sz w:val="20"/>
                <w:szCs w:val="20"/>
              </w:rPr>
              <w:t>CAF002, -003, -004</w:t>
            </w:r>
          </w:p>
        </w:tc>
        <w:tc>
          <w:tcPr>
            <w:tcW w:w="3780" w:type="dxa"/>
          </w:tcPr>
          <w:p w14:paraId="6BF05A3A" w14:textId="77777777" w:rsidR="0054039C" w:rsidRPr="0054039C" w:rsidRDefault="0054039C" w:rsidP="0054039C">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595959" w:themeColor="text1" w:themeTint="A6"/>
                <w:sz w:val="20"/>
                <w:szCs w:val="20"/>
              </w:rPr>
            </w:pPr>
            <w:r w:rsidRPr="0054039C">
              <w:rPr>
                <w:rFonts w:ascii="Arial" w:hAnsi="Arial" w:cs="Arial"/>
                <w:color w:val="595959" w:themeColor="text1" w:themeTint="A6"/>
                <w:sz w:val="20"/>
                <w:szCs w:val="20"/>
              </w:rPr>
              <w:t>Floor of the mouth, gingiva, and lateral tongue fibroblasts</w:t>
            </w:r>
          </w:p>
        </w:tc>
        <w:tc>
          <w:tcPr>
            <w:tcW w:w="3171" w:type="dxa"/>
          </w:tcPr>
          <w:p w14:paraId="7EC24FCA" w14:textId="79375FA9" w:rsidR="0054039C" w:rsidRPr="0054039C" w:rsidRDefault="0054039C" w:rsidP="0054039C">
            <w:pPr>
              <w:spacing w:line="480" w:lineRule="auto"/>
              <w:cnfStyle w:val="000000100000" w:firstRow="0" w:lastRow="0" w:firstColumn="0" w:lastColumn="0" w:oddVBand="0" w:evenVBand="0" w:oddHBand="1" w:evenHBand="0" w:firstRowFirstColumn="0" w:firstRowLastColumn="0" w:lastRowFirstColumn="0" w:lastRowLastColumn="0"/>
              <w:rPr>
                <w:rFonts w:ascii="Arial" w:hAnsi="Arial" w:cs="Arial"/>
                <w:color w:val="595959" w:themeColor="text1" w:themeTint="A6"/>
                <w:sz w:val="20"/>
                <w:szCs w:val="20"/>
              </w:rPr>
            </w:pPr>
            <w:r w:rsidRPr="0054039C">
              <w:rPr>
                <w:rFonts w:ascii="Arial" w:hAnsi="Arial" w:cs="Arial"/>
                <w:color w:val="595959" w:themeColor="text1" w:themeTint="A6"/>
                <w:sz w:val="20"/>
                <w:szCs w:val="20"/>
              </w:rPr>
              <w:t xml:space="preserve">Charles Clifford </w:t>
            </w:r>
            <w:r w:rsidR="00FB0705">
              <w:rPr>
                <w:rFonts w:ascii="Arial" w:hAnsi="Arial" w:cs="Arial"/>
                <w:color w:val="595959" w:themeColor="text1" w:themeTint="A6"/>
                <w:sz w:val="20"/>
                <w:szCs w:val="20"/>
              </w:rPr>
              <w:t>D</w:t>
            </w:r>
            <w:r w:rsidRPr="0054039C">
              <w:rPr>
                <w:rFonts w:ascii="Arial" w:hAnsi="Arial" w:cs="Arial"/>
                <w:color w:val="595959" w:themeColor="text1" w:themeTint="A6"/>
                <w:sz w:val="20"/>
                <w:szCs w:val="20"/>
              </w:rPr>
              <w:t xml:space="preserve">ental </w:t>
            </w:r>
            <w:r w:rsidR="00FB0705">
              <w:rPr>
                <w:rFonts w:ascii="Arial" w:hAnsi="Arial" w:cs="Arial"/>
                <w:color w:val="595959" w:themeColor="text1" w:themeTint="A6"/>
                <w:sz w:val="20"/>
                <w:szCs w:val="20"/>
              </w:rPr>
              <w:t>Hospital</w:t>
            </w:r>
            <w:r w:rsidRPr="0054039C">
              <w:rPr>
                <w:rFonts w:ascii="Arial" w:hAnsi="Arial" w:cs="Arial"/>
                <w:color w:val="595959" w:themeColor="text1" w:themeTint="A6"/>
                <w:sz w:val="20"/>
                <w:szCs w:val="20"/>
              </w:rPr>
              <w:t>, The University of Sheffield, UK.</w:t>
            </w:r>
          </w:p>
        </w:tc>
      </w:tr>
      <w:tr w:rsidR="0054039C" w:rsidRPr="0054039C" w14:paraId="2824E299" w14:textId="77777777" w:rsidTr="00220314">
        <w:tc>
          <w:tcPr>
            <w:cnfStyle w:val="001000000000" w:firstRow="0" w:lastRow="0" w:firstColumn="1" w:lastColumn="0" w:oddVBand="0" w:evenVBand="0" w:oddHBand="0" w:evenHBand="0" w:firstRowFirstColumn="0" w:firstRowLastColumn="0" w:lastRowFirstColumn="0" w:lastRowLastColumn="0"/>
            <w:tcW w:w="1975" w:type="dxa"/>
          </w:tcPr>
          <w:p w14:paraId="4F788135" w14:textId="77777777" w:rsidR="0054039C" w:rsidRPr="0054039C" w:rsidRDefault="0054039C" w:rsidP="0054039C">
            <w:pPr>
              <w:spacing w:line="480" w:lineRule="auto"/>
              <w:jc w:val="center"/>
              <w:rPr>
                <w:rFonts w:ascii="Arial" w:hAnsi="Arial" w:cs="Arial"/>
                <w:color w:val="595959" w:themeColor="text1" w:themeTint="A6"/>
                <w:sz w:val="20"/>
                <w:szCs w:val="20"/>
              </w:rPr>
            </w:pPr>
            <w:r w:rsidRPr="0054039C">
              <w:rPr>
                <w:rFonts w:ascii="Arial" w:hAnsi="Arial" w:cs="Arial"/>
                <w:color w:val="595959" w:themeColor="text1" w:themeTint="A6"/>
                <w:sz w:val="20"/>
                <w:szCs w:val="20"/>
              </w:rPr>
              <w:t>FNB6</w:t>
            </w:r>
          </w:p>
        </w:tc>
        <w:tc>
          <w:tcPr>
            <w:tcW w:w="3780" w:type="dxa"/>
          </w:tcPr>
          <w:p w14:paraId="5D01B115" w14:textId="77777777" w:rsidR="0054039C" w:rsidRPr="0054039C" w:rsidRDefault="0054039C" w:rsidP="0054039C">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595959" w:themeColor="text1" w:themeTint="A6"/>
                <w:sz w:val="20"/>
                <w:szCs w:val="20"/>
              </w:rPr>
            </w:pPr>
            <w:r w:rsidRPr="0054039C">
              <w:rPr>
                <w:rFonts w:ascii="Arial" w:hAnsi="Arial" w:cs="Arial"/>
                <w:color w:val="595959" w:themeColor="text1" w:themeTint="A6"/>
                <w:sz w:val="20"/>
                <w:szCs w:val="20"/>
              </w:rPr>
              <w:t>hTERT atypical immortalised buccal keratinocyte cell line</w:t>
            </w:r>
          </w:p>
        </w:tc>
        <w:tc>
          <w:tcPr>
            <w:tcW w:w="3171" w:type="dxa"/>
          </w:tcPr>
          <w:p w14:paraId="24F362E0" w14:textId="77777777" w:rsidR="0054039C" w:rsidRPr="0054039C" w:rsidRDefault="0054039C" w:rsidP="0054039C">
            <w:pPr>
              <w:spacing w:line="480" w:lineRule="auto"/>
              <w:cnfStyle w:val="000000000000" w:firstRow="0" w:lastRow="0" w:firstColumn="0" w:lastColumn="0" w:oddVBand="0" w:evenVBand="0" w:oddHBand="0" w:evenHBand="0" w:firstRowFirstColumn="0" w:firstRowLastColumn="0" w:lastRowFirstColumn="0" w:lastRowLastColumn="0"/>
              <w:rPr>
                <w:rFonts w:ascii="Arial" w:hAnsi="Arial" w:cs="Arial"/>
                <w:color w:val="595959" w:themeColor="text1" w:themeTint="A6"/>
                <w:sz w:val="20"/>
                <w:szCs w:val="20"/>
              </w:rPr>
            </w:pPr>
            <w:r w:rsidRPr="0054039C">
              <w:rPr>
                <w:rFonts w:ascii="Arial" w:hAnsi="Arial" w:cs="Arial"/>
                <w:color w:val="595959" w:themeColor="text1" w:themeTint="A6"/>
                <w:sz w:val="20"/>
                <w:szCs w:val="20"/>
              </w:rPr>
              <w:t xml:space="preserve">Beatson Institute for cancer research, UK (McGregor </w:t>
            </w:r>
            <w:r w:rsidRPr="0054039C">
              <w:rPr>
                <w:rFonts w:ascii="Arial" w:hAnsi="Arial" w:cs="Arial"/>
                <w:i/>
                <w:color w:val="595959" w:themeColor="text1" w:themeTint="A6"/>
                <w:sz w:val="20"/>
                <w:szCs w:val="20"/>
              </w:rPr>
              <w:t xml:space="preserve">et al., </w:t>
            </w:r>
            <w:r w:rsidRPr="0054039C">
              <w:rPr>
                <w:rFonts w:ascii="Arial" w:hAnsi="Arial" w:cs="Arial"/>
                <w:color w:val="595959" w:themeColor="text1" w:themeTint="A6"/>
                <w:sz w:val="20"/>
                <w:szCs w:val="20"/>
              </w:rPr>
              <w:t>2002)</w:t>
            </w:r>
          </w:p>
        </w:tc>
      </w:tr>
      <w:tr w:rsidR="0054039C" w:rsidRPr="0054039C" w14:paraId="3FC20520" w14:textId="77777777" w:rsidTr="002203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5" w:type="dxa"/>
          </w:tcPr>
          <w:p w14:paraId="2A15DC67" w14:textId="77777777" w:rsidR="0054039C" w:rsidRPr="0054039C" w:rsidRDefault="0054039C" w:rsidP="0054039C">
            <w:pPr>
              <w:spacing w:line="480" w:lineRule="auto"/>
              <w:jc w:val="center"/>
              <w:rPr>
                <w:rFonts w:ascii="Arial" w:hAnsi="Arial" w:cs="Arial"/>
                <w:color w:val="595959" w:themeColor="text1" w:themeTint="A6"/>
                <w:sz w:val="20"/>
                <w:szCs w:val="20"/>
              </w:rPr>
            </w:pPr>
            <w:r w:rsidRPr="0054039C">
              <w:rPr>
                <w:rFonts w:ascii="Arial" w:hAnsi="Arial" w:cs="Arial"/>
                <w:color w:val="595959" w:themeColor="text1" w:themeTint="A6"/>
                <w:sz w:val="20"/>
                <w:szCs w:val="20"/>
              </w:rPr>
              <w:t>H357</w:t>
            </w:r>
          </w:p>
        </w:tc>
        <w:tc>
          <w:tcPr>
            <w:tcW w:w="3780" w:type="dxa"/>
          </w:tcPr>
          <w:p w14:paraId="23B52693" w14:textId="77777777" w:rsidR="0054039C" w:rsidRPr="0054039C" w:rsidRDefault="0054039C" w:rsidP="0054039C">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595959" w:themeColor="text1" w:themeTint="A6"/>
                <w:sz w:val="20"/>
                <w:szCs w:val="20"/>
              </w:rPr>
            </w:pPr>
            <w:r w:rsidRPr="0054039C">
              <w:rPr>
                <w:rFonts w:ascii="Arial" w:hAnsi="Arial" w:cs="Arial"/>
                <w:color w:val="595959" w:themeColor="text1" w:themeTint="A6"/>
                <w:sz w:val="20"/>
                <w:szCs w:val="20"/>
              </w:rPr>
              <w:t xml:space="preserve">OSCC tongue keratinocyte cell line </w:t>
            </w:r>
          </w:p>
        </w:tc>
        <w:tc>
          <w:tcPr>
            <w:tcW w:w="3171" w:type="dxa"/>
          </w:tcPr>
          <w:p w14:paraId="77958FFE" w14:textId="77777777" w:rsidR="0054039C" w:rsidRPr="0054039C" w:rsidRDefault="0054039C" w:rsidP="0054039C">
            <w:pPr>
              <w:spacing w:line="480" w:lineRule="auto"/>
              <w:cnfStyle w:val="000000100000" w:firstRow="0" w:lastRow="0" w:firstColumn="0" w:lastColumn="0" w:oddVBand="0" w:evenVBand="0" w:oddHBand="1" w:evenHBand="0" w:firstRowFirstColumn="0" w:firstRowLastColumn="0" w:lastRowFirstColumn="0" w:lastRowLastColumn="0"/>
              <w:rPr>
                <w:rFonts w:ascii="Arial" w:hAnsi="Arial" w:cs="Arial"/>
                <w:color w:val="595959" w:themeColor="text1" w:themeTint="A6"/>
                <w:sz w:val="20"/>
                <w:szCs w:val="20"/>
              </w:rPr>
            </w:pPr>
            <w:r w:rsidRPr="0054039C">
              <w:rPr>
                <w:rFonts w:ascii="Arial" w:hAnsi="Arial" w:cs="Arial"/>
                <w:color w:val="595959" w:themeColor="text1" w:themeTint="A6"/>
                <w:sz w:val="20"/>
                <w:szCs w:val="20"/>
              </w:rPr>
              <w:t xml:space="preserve">Health protection agency culture collections, Salisbury, UK (Yeudall </w:t>
            </w:r>
            <w:r w:rsidRPr="0054039C">
              <w:rPr>
                <w:rFonts w:ascii="Arial" w:hAnsi="Arial" w:cs="Arial"/>
                <w:i/>
                <w:color w:val="595959" w:themeColor="text1" w:themeTint="A6"/>
                <w:sz w:val="20"/>
                <w:szCs w:val="20"/>
              </w:rPr>
              <w:t>et al.</w:t>
            </w:r>
            <w:r w:rsidRPr="0054039C">
              <w:rPr>
                <w:rFonts w:ascii="Arial" w:hAnsi="Arial" w:cs="Arial"/>
                <w:color w:val="595959" w:themeColor="text1" w:themeTint="A6"/>
                <w:sz w:val="20"/>
                <w:szCs w:val="20"/>
              </w:rPr>
              <w:t xml:space="preserve">, 1993). </w:t>
            </w:r>
          </w:p>
        </w:tc>
      </w:tr>
    </w:tbl>
    <w:p w14:paraId="114B6E3A" w14:textId="77777777" w:rsidR="0054039C" w:rsidRPr="0054039C" w:rsidRDefault="0054039C" w:rsidP="0054039C">
      <w:pPr>
        <w:spacing w:after="0" w:line="480" w:lineRule="auto"/>
        <w:jc w:val="both"/>
        <w:rPr>
          <w:rFonts w:ascii="Arial" w:hAnsi="Arial" w:cs="Arial"/>
          <w:color w:val="595959" w:themeColor="text1" w:themeTint="A6"/>
          <w:sz w:val="24"/>
          <w:szCs w:val="24"/>
          <w:u w:val="single"/>
          <w:lang w:val="en-US"/>
        </w:rPr>
      </w:pPr>
    </w:p>
    <w:p w14:paraId="15D05322" w14:textId="77777777" w:rsidR="0054039C" w:rsidRPr="0054039C" w:rsidRDefault="0054039C" w:rsidP="0054039C">
      <w:pPr>
        <w:spacing w:after="0" w:line="480" w:lineRule="auto"/>
        <w:jc w:val="both"/>
        <w:rPr>
          <w:rFonts w:ascii="Arial" w:hAnsi="Arial" w:cs="Arial"/>
          <w:color w:val="595959" w:themeColor="text1" w:themeTint="A6"/>
          <w:sz w:val="24"/>
          <w:szCs w:val="24"/>
          <w:u w:val="single"/>
          <w:lang w:val="en-US"/>
        </w:rPr>
      </w:pPr>
    </w:p>
    <w:p w14:paraId="7411EB55" w14:textId="77777777" w:rsidR="0054039C" w:rsidRPr="0054039C" w:rsidRDefault="0054039C" w:rsidP="00AA47CD">
      <w:pPr>
        <w:pStyle w:val="Heading3"/>
        <w:rPr>
          <w:rFonts w:ascii="Arial" w:hAnsi="Arial" w:cs="Arial"/>
          <w:color w:val="595959" w:themeColor="text1" w:themeTint="A6"/>
          <w:lang w:val="en-US"/>
        </w:rPr>
      </w:pPr>
      <w:bookmarkStart w:id="94" w:name="_Toc515897464"/>
      <w:bookmarkStart w:id="95" w:name="_Toc534278592"/>
      <w:bookmarkStart w:id="96" w:name="_Toc34208299"/>
      <w:r w:rsidRPr="0054039C">
        <w:rPr>
          <w:rFonts w:ascii="Arial" w:hAnsi="Arial" w:cs="Arial"/>
          <w:color w:val="595959" w:themeColor="text1" w:themeTint="A6"/>
          <w:lang w:val="en-US"/>
        </w:rPr>
        <w:t xml:space="preserve">2.2.4 </w:t>
      </w:r>
      <w:bookmarkEnd w:id="94"/>
      <w:r w:rsidRPr="0054039C">
        <w:rPr>
          <w:rFonts w:ascii="Arial" w:hAnsi="Arial" w:cs="Arial"/>
          <w:color w:val="595959" w:themeColor="text1" w:themeTint="A6"/>
          <w:lang w:val="en-US"/>
        </w:rPr>
        <w:t>Cell maintenance</w:t>
      </w:r>
      <w:bookmarkEnd w:id="95"/>
      <w:bookmarkEnd w:id="96"/>
      <w:r w:rsidRPr="0054039C">
        <w:rPr>
          <w:rFonts w:ascii="Arial" w:hAnsi="Arial" w:cs="Arial"/>
          <w:color w:val="595959" w:themeColor="text1" w:themeTint="A6"/>
          <w:lang w:val="en-US"/>
        </w:rPr>
        <w:t xml:space="preserve"> </w:t>
      </w:r>
    </w:p>
    <w:p w14:paraId="6E7E0D9E" w14:textId="77777777" w:rsidR="0054039C" w:rsidRPr="0054039C" w:rsidRDefault="0054039C" w:rsidP="0054039C">
      <w:pPr>
        <w:keepNext/>
        <w:keepLines/>
        <w:spacing w:before="40" w:after="0"/>
        <w:outlineLvl w:val="2"/>
        <w:rPr>
          <w:rFonts w:ascii="Arial" w:eastAsiaTheme="majorEastAsia" w:hAnsi="Arial" w:cs="Arial"/>
          <w:color w:val="595959" w:themeColor="text1" w:themeTint="A6"/>
          <w:sz w:val="24"/>
          <w:szCs w:val="24"/>
          <w:lang w:val="en-US"/>
        </w:rPr>
      </w:pPr>
    </w:p>
    <w:p w14:paraId="74DD5C68" w14:textId="77777777" w:rsidR="0054039C" w:rsidRPr="0054039C" w:rsidRDefault="0054039C" w:rsidP="00AA47CD">
      <w:pPr>
        <w:pStyle w:val="Heading4"/>
        <w:rPr>
          <w:rFonts w:ascii="Arial" w:hAnsi="Arial" w:cs="Arial"/>
          <w:color w:val="595959" w:themeColor="text1" w:themeTint="A6"/>
          <w:szCs w:val="24"/>
          <w:lang w:val="en-US"/>
        </w:rPr>
      </w:pPr>
      <w:bookmarkStart w:id="97" w:name="_Toc515897465"/>
      <w:bookmarkStart w:id="98" w:name="_Toc534278593"/>
      <w:bookmarkStart w:id="99" w:name="_Toc34208300"/>
      <w:r w:rsidRPr="0054039C">
        <w:rPr>
          <w:rFonts w:ascii="Arial" w:hAnsi="Arial" w:cs="Arial"/>
          <w:color w:val="595959" w:themeColor="text1" w:themeTint="A6"/>
          <w:szCs w:val="24"/>
          <w:lang w:val="en-US"/>
        </w:rPr>
        <w:t>2.2.4.1 Cell passaging</w:t>
      </w:r>
      <w:bookmarkEnd w:id="97"/>
      <w:bookmarkEnd w:id="98"/>
      <w:bookmarkEnd w:id="99"/>
    </w:p>
    <w:p w14:paraId="6B2F0547" w14:textId="77777777" w:rsidR="0054039C" w:rsidRPr="0054039C" w:rsidRDefault="0054039C" w:rsidP="0054039C">
      <w:pPr>
        <w:rPr>
          <w:lang w:val="en-US"/>
        </w:rPr>
      </w:pPr>
    </w:p>
    <w:p w14:paraId="05EA6C9B" w14:textId="77777777" w:rsidR="0054039C" w:rsidRPr="0054039C" w:rsidRDefault="0054039C" w:rsidP="0054039C">
      <w:pPr>
        <w:autoSpaceDE w:val="0"/>
        <w:autoSpaceDN w:val="0"/>
        <w:adjustRightInd w:val="0"/>
        <w:spacing w:after="0" w:line="480" w:lineRule="auto"/>
        <w:jc w:val="both"/>
        <w:rPr>
          <w:rFonts w:ascii="Arial" w:hAnsi="Arial" w:cs="Arial"/>
          <w:color w:val="595959" w:themeColor="text1" w:themeTint="A6"/>
          <w:lang w:val="en-US"/>
        </w:rPr>
      </w:pPr>
      <w:r w:rsidRPr="0054039C">
        <w:rPr>
          <w:rFonts w:ascii="Arial" w:hAnsi="Arial" w:cs="Arial"/>
          <w:color w:val="595959" w:themeColor="text1" w:themeTint="A6"/>
          <w:lang w:val="en-US"/>
        </w:rPr>
        <w:t>When confluent, all primary cells were passaged using trypsin/EDTA. Cultures were washed twice with PBS, and an appropriate amount of trypsin/EDTA was added according to the flask size 2 mL for T175, 1.5 mL for T75, 600 μL for T25 and incubated at 37°C in 5% CO</w:t>
      </w:r>
      <w:r w:rsidRPr="0054039C">
        <w:rPr>
          <w:rFonts w:ascii="Arial" w:hAnsi="Arial" w:cs="Arial"/>
          <w:color w:val="595959" w:themeColor="text1" w:themeTint="A6"/>
          <w:vertAlign w:val="subscript"/>
          <w:lang w:val="en-US"/>
        </w:rPr>
        <w:t>2</w:t>
      </w:r>
      <w:r w:rsidRPr="0054039C">
        <w:rPr>
          <w:rFonts w:ascii="Arial" w:hAnsi="Arial" w:cs="Arial"/>
          <w:color w:val="595959" w:themeColor="text1" w:themeTint="A6"/>
          <w:lang w:val="en-US"/>
        </w:rPr>
        <w:t xml:space="preserve"> for 5 minutes. Light microscopy was used to confirm cell detachment. Cells were re-suspended in media containing FBS (10%), in order to neutralise the enzymatic action of the trypsin/EDTA. The suspension was centrifuged at 1000 rpm for 5 minutes, re-suspended in fresh culture media and the appropriate volume added to a fresh culture plate. </w:t>
      </w:r>
    </w:p>
    <w:p w14:paraId="0D553ADF" w14:textId="77777777" w:rsidR="0054039C" w:rsidRPr="0054039C" w:rsidRDefault="0054039C" w:rsidP="00AA47CD">
      <w:pPr>
        <w:pStyle w:val="Heading4"/>
        <w:rPr>
          <w:rFonts w:ascii="Arial" w:hAnsi="Arial" w:cs="Arial"/>
          <w:bCs/>
          <w:color w:val="595959" w:themeColor="text1" w:themeTint="A6"/>
          <w:szCs w:val="24"/>
          <w:lang w:val="en-US"/>
        </w:rPr>
      </w:pPr>
      <w:bookmarkStart w:id="100" w:name="_Toc515897466"/>
      <w:bookmarkStart w:id="101" w:name="_Toc534278594"/>
      <w:bookmarkStart w:id="102" w:name="_Toc34208301"/>
      <w:r w:rsidRPr="0054039C">
        <w:rPr>
          <w:rFonts w:ascii="Arial" w:hAnsi="Arial" w:cs="Arial"/>
          <w:bCs/>
          <w:color w:val="595959" w:themeColor="text1" w:themeTint="A6"/>
          <w:szCs w:val="24"/>
          <w:lang w:val="en-US"/>
        </w:rPr>
        <w:lastRenderedPageBreak/>
        <w:t>2.2.4.2 Counting cells</w:t>
      </w:r>
      <w:bookmarkEnd w:id="100"/>
      <w:bookmarkEnd w:id="101"/>
      <w:bookmarkEnd w:id="102"/>
    </w:p>
    <w:p w14:paraId="19C03835" w14:textId="77777777" w:rsidR="0054039C" w:rsidRPr="0054039C" w:rsidRDefault="0054039C" w:rsidP="0054039C">
      <w:pPr>
        <w:rPr>
          <w:lang w:val="en-US"/>
        </w:rPr>
      </w:pPr>
    </w:p>
    <w:p w14:paraId="7E390FC2" w14:textId="77777777" w:rsidR="0054039C" w:rsidRPr="0054039C" w:rsidRDefault="0054039C" w:rsidP="0054039C">
      <w:pPr>
        <w:autoSpaceDE w:val="0"/>
        <w:autoSpaceDN w:val="0"/>
        <w:adjustRightInd w:val="0"/>
        <w:spacing w:after="0" w:line="480" w:lineRule="auto"/>
        <w:jc w:val="both"/>
        <w:rPr>
          <w:rFonts w:ascii="Arial" w:hAnsi="Arial" w:cs="Arial"/>
          <w:color w:val="595959" w:themeColor="text1" w:themeTint="A6"/>
          <w:lang w:val="en-US"/>
        </w:rPr>
      </w:pPr>
      <w:r w:rsidRPr="0054039C">
        <w:rPr>
          <w:rFonts w:ascii="Arial" w:hAnsi="Arial" w:cs="Arial"/>
          <w:color w:val="595959" w:themeColor="text1" w:themeTint="A6"/>
          <w:lang w:val="en-US"/>
        </w:rPr>
        <w:t>Cell counts was performed using a modified Neubauer haemocytometer. The number of cells in four 1 mm</w:t>
      </w:r>
      <w:r w:rsidRPr="0054039C">
        <w:rPr>
          <w:rFonts w:ascii="Arial" w:hAnsi="Arial" w:cs="Arial"/>
          <w:color w:val="595959" w:themeColor="text1" w:themeTint="A6"/>
          <w:vertAlign w:val="superscript"/>
          <w:lang w:val="en-US"/>
        </w:rPr>
        <w:t xml:space="preserve">2 </w:t>
      </w:r>
      <w:r w:rsidRPr="0054039C">
        <w:rPr>
          <w:rFonts w:ascii="Arial" w:hAnsi="Arial" w:cs="Arial"/>
          <w:color w:val="595959" w:themeColor="text1" w:themeTint="A6"/>
          <w:lang w:val="en-US"/>
        </w:rPr>
        <w:t>(volume 1 x 10</w:t>
      </w:r>
      <w:r w:rsidRPr="0054039C">
        <w:rPr>
          <w:rFonts w:ascii="Arial" w:hAnsi="Arial" w:cs="Arial"/>
          <w:color w:val="595959" w:themeColor="text1" w:themeTint="A6"/>
          <w:vertAlign w:val="superscript"/>
          <w:lang w:val="en-US"/>
        </w:rPr>
        <w:t>4</w:t>
      </w:r>
      <w:r w:rsidRPr="0054039C">
        <w:rPr>
          <w:rFonts w:ascii="Arial" w:hAnsi="Arial" w:cs="Arial"/>
          <w:color w:val="595959" w:themeColor="text1" w:themeTint="A6"/>
          <w:lang w:val="en-US"/>
        </w:rPr>
        <w:t xml:space="preserve"> mL) squares of the grid were counted and the average taken. Cell number was calculated as follows:</w:t>
      </w:r>
    </w:p>
    <w:p w14:paraId="6E1E82C1" w14:textId="77777777" w:rsidR="0054039C" w:rsidRPr="0054039C" w:rsidRDefault="0054039C" w:rsidP="0054039C">
      <w:pPr>
        <w:autoSpaceDE w:val="0"/>
        <w:autoSpaceDN w:val="0"/>
        <w:adjustRightInd w:val="0"/>
        <w:spacing w:after="0" w:line="480" w:lineRule="auto"/>
        <w:rPr>
          <w:rFonts w:asciiTheme="minorBidi" w:hAnsiTheme="minorBidi"/>
          <w:color w:val="FF0000"/>
          <w:lang w:val="en-US"/>
        </w:rPr>
      </w:pPr>
      <w:r w:rsidRPr="0054039C">
        <w:rPr>
          <w:rFonts w:asciiTheme="minorBidi" w:hAnsiTheme="minorBidi"/>
          <w:noProof/>
          <w:lang w:eastAsia="zh-CN"/>
        </w:rPr>
        <mc:AlternateContent>
          <mc:Choice Requires="wps">
            <w:drawing>
              <wp:anchor distT="0" distB="0" distL="114300" distR="114300" simplePos="0" relativeHeight="251658251" behindDoc="0" locked="0" layoutInCell="1" allowOverlap="1" wp14:anchorId="01282FDF" wp14:editId="7DA39E7D">
                <wp:simplePos x="0" y="0"/>
                <wp:positionH relativeFrom="margin">
                  <wp:posOffset>200025</wp:posOffset>
                </wp:positionH>
                <wp:positionV relativeFrom="paragraph">
                  <wp:posOffset>230505</wp:posOffset>
                </wp:positionV>
                <wp:extent cx="5029200" cy="260985"/>
                <wp:effectExtent l="0" t="0" r="0" b="0"/>
                <wp:wrapNone/>
                <wp:docPr id="6" name="TextBox 3"/>
                <wp:cNvGraphicFramePr/>
                <a:graphic xmlns:a="http://schemas.openxmlformats.org/drawingml/2006/main">
                  <a:graphicData uri="http://schemas.microsoft.com/office/word/2010/wordprocessingShape">
                    <wps:wsp>
                      <wps:cNvSpPr txBox="1"/>
                      <wps:spPr>
                        <a:xfrm>
                          <a:off x="0" y="0"/>
                          <a:ext cx="5029200" cy="260985"/>
                        </a:xfrm>
                        <a:prstGeom prst="rect">
                          <a:avLst/>
                        </a:prstGeom>
                        <a:solidFill>
                          <a:sysClr val="window" lastClr="FFFFFF"/>
                        </a:solidFill>
                        <a:ln w="12700" cap="flat" cmpd="sng" algn="ctr">
                          <a:noFill/>
                          <a:prstDash val="solid"/>
                          <a:miter lim="800000"/>
                        </a:ln>
                        <a:effectLst/>
                      </wps:spPr>
                      <wps:txbx>
                        <w:txbxContent>
                          <w:p w14:paraId="2762D123" w14:textId="77777777" w:rsidR="008A47AC" w:rsidRPr="00E42FB4" w:rsidRDefault="008A47AC" w:rsidP="0054039C">
                            <w:pPr>
                              <w:pStyle w:val="NormalWeb"/>
                              <w:spacing w:after="0"/>
                              <w:jc w:val="center"/>
                              <w:rPr>
                                <w:rFonts w:ascii="Arial" w:hAnsi="Arial" w:cs="Arial"/>
                                <w:color w:val="595959" w:themeColor="text1" w:themeTint="A6"/>
                              </w:rPr>
                            </w:pPr>
                            <w:r w:rsidRPr="00E42FB4">
                              <w:rPr>
                                <w:rFonts w:ascii="Arial" w:hAnsi="Arial" w:cs="Arial"/>
                                <w:color w:val="595959" w:themeColor="text1" w:themeTint="A6"/>
                                <w:kern w:val="24"/>
                                <w:sz w:val="22"/>
                                <w:szCs w:val="22"/>
                              </w:rPr>
                              <w:t>Average N</w:t>
                            </w:r>
                            <w:r w:rsidRPr="00E42FB4">
                              <w:rPr>
                                <w:rFonts w:ascii="Arial" w:hAnsi="Arial" w:cs="Arial"/>
                                <w:color w:val="595959" w:themeColor="text1" w:themeTint="A6"/>
                                <w:kern w:val="24"/>
                                <w:position w:val="7"/>
                                <w:sz w:val="22"/>
                                <w:szCs w:val="22"/>
                                <w:vertAlign w:val="superscript"/>
                              </w:rPr>
                              <w:t>o</w:t>
                            </w:r>
                            <w:r w:rsidRPr="00E42FB4">
                              <w:rPr>
                                <w:rFonts w:ascii="Arial" w:hAnsi="Arial" w:cs="Arial"/>
                                <w:color w:val="595959" w:themeColor="text1" w:themeTint="A6"/>
                                <w:kern w:val="24"/>
                                <w:sz w:val="22"/>
                                <w:szCs w:val="22"/>
                              </w:rPr>
                              <w:t xml:space="preserve"> cells counted per 1mm</w:t>
                            </w:r>
                            <w:r w:rsidRPr="00E42FB4">
                              <w:rPr>
                                <w:rFonts w:ascii="Arial" w:hAnsi="Arial" w:cs="Arial"/>
                                <w:color w:val="595959" w:themeColor="text1" w:themeTint="A6"/>
                                <w:kern w:val="24"/>
                                <w:position w:val="7"/>
                                <w:sz w:val="22"/>
                                <w:szCs w:val="22"/>
                                <w:vertAlign w:val="superscript"/>
                              </w:rPr>
                              <w:t xml:space="preserve">2 </w:t>
                            </w:r>
                            <w:r w:rsidRPr="00E42FB4">
                              <w:rPr>
                                <w:rFonts w:ascii="Arial" w:hAnsi="Arial" w:cs="Arial"/>
                                <w:color w:val="595959" w:themeColor="text1" w:themeTint="A6"/>
                                <w:kern w:val="24"/>
                                <w:sz w:val="22"/>
                                <w:szCs w:val="22"/>
                              </w:rPr>
                              <w:t xml:space="preserve">x </w:t>
                            </w:r>
                            <w:r>
                              <w:rPr>
                                <w:rFonts w:ascii="Arial" w:hAnsi="Arial" w:cs="Arial"/>
                                <w:color w:val="595959" w:themeColor="text1" w:themeTint="A6"/>
                                <w:kern w:val="24"/>
                                <w:sz w:val="22"/>
                                <w:szCs w:val="22"/>
                              </w:rPr>
                              <w:t>d</w:t>
                            </w:r>
                            <w:r w:rsidRPr="00E42FB4">
                              <w:rPr>
                                <w:rFonts w:ascii="Arial" w:hAnsi="Arial" w:cs="Arial"/>
                                <w:color w:val="595959" w:themeColor="text1" w:themeTint="A6"/>
                                <w:kern w:val="24"/>
                                <w:sz w:val="22"/>
                                <w:szCs w:val="22"/>
                              </w:rPr>
                              <w:t>ilution factor = cells/mL</w:t>
                            </w:r>
                          </w:p>
                        </w:txbxContent>
                      </wps:txbx>
                      <wps:bodyPr wrap="square" rtlCol="0">
                        <a:spAutoFit/>
                      </wps:bodyPr>
                    </wps:wsp>
                  </a:graphicData>
                </a:graphic>
                <wp14:sizeRelH relativeFrom="margin">
                  <wp14:pctWidth>0</wp14:pctWidth>
                </wp14:sizeRelH>
              </wp:anchor>
            </w:drawing>
          </mc:Choice>
          <mc:Fallback>
            <w:pict>
              <v:shape w14:anchorId="01282FDF" id="TextBox 3" o:spid="_x0000_s1035" type="#_x0000_t202" style="position:absolute;margin-left:15.75pt;margin-top:18.15pt;width:396pt;height:20.55pt;z-index:251658251;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" fillcolor="window" stroked="f" strokeweight="1pt">
                <v:textbox style="mso-fit-shape-to-text:t">
                  <w:txbxContent>
                    <w:p w14:paraId="2762D123" w14:textId="77777777" w:rsidR="008A47AC" w:rsidRPr="00E42FB4" w:rsidRDefault="008A47AC" w:rsidP="0054039C">
                      <w:pPr>
                        <w:pStyle w:val="NormalWeb"/>
                        <w:spacing w:after="0"/>
                        <w:jc w:val="center"/>
                        <w:rPr>
                          <w:rFonts w:ascii="Arial" w:hAnsi="Arial" w:cs="Arial"/>
                          <w:color w:val="595959" w:themeColor="text1" w:themeTint="A6"/>
                        </w:rPr>
                      </w:pPr>
                      <w:r w:rsidRPr="00E42FB4">
                        <w:rPr>
                          <w:rFonts w:ascii="Arial" w:hAnsi="Arial" w:cs="Arial"/>
                          <w:color w:val="595959" w:themeColor="text1" w:themeTint="A6"/>
                          <w:kern w:val="24"/>
                          <w:sz w:val="22"/>
                          <w:szCs w:val="22"/>
                        </w:rPr>
                        <w:t xml:space="preserve">Average </w:t>
                      </w:r>
                      <w:proofErr w:type="spellStart"/>
                      <w:r w:rsidRPr="00E42FB4">
                        <w:rPr>
                          <w:rFonts w:ascii="Arial" w:hAnsi="Arial" w:cs="Arial"/>
                          <w:color w:val="595959" w:themeColor="text1" w:themeTint="A6"/>
                          <w:kern w:val="24"/>
                          <w:sz w:val="22"/>
                          <w:szCs w:val="22"/>
                        </w:rPr>
                        <w:t>N</w:t>
                      </w:r>
                      <w:r w:rsidRPr="00E42FB4">
                        <w:rPr>
                          <w:rFonts w:ascii="Arial" w:hAnsi="Arial" w:cs="Arial"/>
                          <w:color w:val="595959" w:themeColor="text1" w:themeTint="A6"/>
                          <w:kern w:val="24"/>
                          <w:position w:val="7"/>
                          <w:sz w:val="22"/>
                          <w:szCs w:val="22"/>
                          <w:vertAlign w:val="superscript"/>
                        </w:rPr>
                        <w:t>o</w:t>
                      </w:r>
                      <w:proofErr w:type="spellEnd"/>
                      <w:r w:rsidRPr="00E42FB4">
                        <w:rPr>
                          <w:rFonts w:ascii="Arial" w:hAnsi="Arial" w:cs="Arial"/>
                          <w:color w:val="595959" w:themeColor="text1" w:themeTint="A6"/>
                          <w:kern w:val="24"/>
                          <w:sz w:val="22"/>
                          <w:szCs w:val="22"/>
                        </w:rPr>
                        <w:t xml:space="preserve"> cells counted per 1mm</w:t>
                      </w:r>
                      <w:r w:rsidRPr="00E42FB4">
                        <w:rPr>
                          <w:rFonts w:ascii="Arial" w:hAnsi="Arial" w:cs="Arial"/>
                          <w:color w:val="595959" w:themeColor="text1" w:themeTint="A6"/>
                          <w:kern w:val="24"/>
                          <w:position w:val="7"/>
                          <w:sz w:val="22"/>
                          <w:szCs w:val="22"/>
                          <w:vertAlign w:val="superscript"/>
                        </w:rPr>
                        <w:t xml:space="preserve">2 </w:t>
                      </w:r>
                      <w:r w:rsidRPr="00E42FB4">
                        <w:rPr>
                          <w:rFonts w:ascii="Arial" w:hAnsi="Arial" w:cs="Arial"/>
                          <w:color w:val="595959" w:themeColor="text1" w:themeTint="A6"/>
                          <w:kern w:val="24"/>
                          <w:sz w:val="22"/>
                          <w:szCs w:val="22"/>
                        </w:rPr>
                        <w:t xml:space="preserve">x </w:t>
                      </w:r>
                      <w:r>
                        <w:rPr>
                          <w:rFonts w:ascii="Arial" w:hAnsi="Arial" w:cs="Arial"/>
                          <w:color w:val="595959" w:themeColor="text1" w:themeTint="A6"/>
                          <w:kern w:val="24"/>
                          <w:sz w:val="22"/>
                          <w:szCs w:val="22"/>
                        </w:rPr>
                        <w:t>d</w:t>
                      </w:r>
                      <w:r w:rsidRPr="00E42FB4">
                        <w:rPr>
                          <w:rFonts w:ascii="Arial" w:hAnsi="Arial" w:cs="Arial"/>
                          <w:color w:val="595959" w:themeColor="text1" w:themeTint="A6"/>
                          <w:kern w:val="24"/>
                          <w:sz w:val="22"/>
                          <w:szCs w:val="22"/>
                        </w:rPr>
                        <w:t>ilution factor = cells/mL</w:t>
                      </w:r>
                    </w:p>
                  </w:txbxContent>
                </v:textbox>
                <w10:wrap anchorx="margin"/>
              </v:shape>
            </w:pict>
          </mc:Fallback>
        </mc:AlternateContent>
      </w:r>
      <w:r w:rsidRPr="0054039C">
        <w:rPr>
          <w:rFonts w:asciiTheme="minorBidi" w:hAnsiTheme="minorBidi"/>
          <w:color w:val="FF0000"/>
          <w:lang w:val="en-US"/>
        </w:rPr>
        <w:t xml:space="preserve"> </w:t>
      </w:r>
    </w:p>
    <w:p w14:paraId="238B1AEE" w14:textId="77777777" w:rsidR="0054039C" w:rsidRPr="0054039C" w:rsidRDefault="0054039C" w:rsidP="0054039C">
      <w:pPr>
        <w:autoSpaceDE w:val="0"/>
        <w:autoSpaceDN w:val="0"/>
        <w:adjustRightInd w:val="0"/>
        <w:spacing w:after="0" w:line="480" w:lineRule="auto"/>
        <w:rPr>
          <w:rFonts w:asciiTheme="minorBidi" w:hAnsiTheme="minorBidi"/>
          <w:b/>
          <w:bCs/>
          <w:color w:val="7F7F7F"/>
          <w:lang w:val="en-US"/>
        </w:rPr>
      </w:pPr>
    </w:p>
    <w:p w14:paraId="2A94D6D5" w14:textId="77777777" w:rsidR="0054039C" w:rsidRPr="0054039C" w:rsidRDefault="0054039C" w:rsidP="0054039C">
      <w:pPr>
        <w:autoSpaceDE w:val="0"/>
        <w:autoSpaceDN w:val="0"/>
        <w:adjustRightInd w:val="0"/>
        <w:spacing w:after="0" w:line="480" w:lineRule="auto"/>
        <w:jc w:val="both"/>
        <w:rPr>
          <w:rFonts w:asciiTheme="minorBidi" w:hAnsiTheme="minorBidi"/>
          <w:bCs/>
          <w:color w:val="595959" w:themeColor="text1" w:themeTint="A6"/>
          <w:lang w:val="en-US"/>
        </w:rPr>
      </w:pPr>
    </w:p>
    <w:p w14:paraId="2B026FF7" w14:textId="77777777" w:rsidR="0054039C" w:rsidRPr="0054039C" w:rsidRDefault="0054039C" w:rsidP="00AA47CD">
      <w:pPr>
        <w:pStyle w:val="Heading4"/>
        <w:rPr>
          <w:rFonts w:ascii="Arial" w:hAnsi="Arial" w:cs="Arial"/>
          <w:bCs/>
          <w:color w:val="595959" w:themeColor="text1" w:themeTint="A6"/>
          <w:szCs w:val="24"/>
          <w:lang w:val="en-US"/>
        </w:rPr>
      </w:pPr>
      <w:bookmarkStart w:id="103" w:name="_Toc515897467"/>
      <w:bookmarkStart w:id="104" w:name="_Toc534278595"/>
      <w:bookmarkStart w:id="105" w:name="_Toc34208302"/>
      <w:r w:rsidRPr="0054039C">
        <w:rPr>
          <w:rFonts w:ascii="Arial" w:hAnsi="Arial" w:cs="Arial"/>
          <w:bCs/>
          <w:color w:val="595959" w:themeColor="text1" w:themeTint="A6"/>
          <w:szCs w:val="24"/>
          <w:lang w:val="en-US"/>
        </w:rPr>
        <w:t>2.2.4.3 Freezing cells for cryo-preservation</w:t>
      </w:r>
      <w:bookmarkEnd w:id="103"/>
      <w:bookmarkEnd w:id="104"/>
      <w:bookmarkEnd w:id="105"/>
    </w:p>
    <w:p w14:paraId="178E0E41" w14:textId="77777777" w:rsidR="0054039C" w:rsidRPr="0054039C" w:rsidRDefault="0054039C" w:rsidP="0054039C">
      <w:pPr>
        <w:rPr>
          <w:lang w:val="en-US"/>
        </w:rPr>
      </w:pPr>
    </w:p>
    <w:p w14:paraId="3FC59DF1" w14:textId="7F0A4393" w:rsidR="0054039C" w:rsidRPr="0054039C" w:rsidRDefault="0054039C" w:rsidP="0054039C">
      <w:pPr>
        <w:autoSpaceDE w:val="0"/>
        <w:autoSpaceDN w:val="0"/>
        <w:adjustRightInd w:val="0"/>
        <w:spacing w:after="0" w:line="480" w:lineRule="auto"/>
        <w:jc w:val="both"/>
        <w:rPr>
          <w:rFonts w:asciiTheme="minorBidi" w:hAnsiTheme="minorBidi"/>
          <w:color w:val="595959" w:themeColor="text1" w:themeTint="A6"/>
          <w:lang w:val="en-US"/>
        </w:rPr>
      </w:pPr>
      <w:r w:rsidRPr="0054039C">
        <w:rPr>
          <w:rFonts w:ascii="Arial" w:hAnsi="Arial" w:cs="Arial"/>
          <w:color w:val="595959" w:themeColor="text1" w:themeTint="A6"/>
          <w:lang w:val="en-US"/>
        </w:rPr>
        <w:t xml:space="preserve">For cryopreservation cultures were treated as for passaging (methodology 2.2.3.1). However, rather than re-suspending the cellular pellet in media, cells were re-suspended into cryopreservation media (90% FBS, 10% </w:t>
      </w:r>
      <w:r w:rsidR="008F3604">
        <w:rPr>
          <w:rFonts w:ascii="Arial" w:hAnsi="Arial" w:cs="Arial"/>
          <w:color w:val="595959" w:themeColor="text1" w:themeTint="A6"/>
          <w:lang w:val="en-US"/>
        </w:rPr>
        <w:t>di-methyl sulfoxide (</w:t>
      </w:r>
      <w:r w:rsidRPr="0054039C">
        <w:rPr>
          <w:rFonts w:ascii="Arial" w:hAnsi="Arial" w:cs="Arial"/>
          <w:color w:val="595959" w:themeColor="text1" w:themeTint="A6"/>
          <w:lang w:val="en-US"/>
        </w:rPr>
        <w:t>DMSO). The pellet was re-suspended to give a cell count number of 1 x10</w:t>
      </w:r>
      <w:r w:rsidRPr="0054039C">
        <w:rPr>
          <w:rFonts w:ascii="Arial" w:hAnsi="Arial" w:cs="Arial"/>
          <w:color w:val="595959" w:themeColor="text1" w:themeTint="A6"/>
          <w:vertAlign w:val="superscript"/>
          <w:lang w:val="en-US"/>
        </w:rPr>
        <w:t>6</w:t>
      </w:r>
      <w:r w:rsidRPr="0054039C">
        <w:rPr>
          <w:rFonts w:ascii="Arial" w:hAnsi="Arial" w:cs="Arial"/>
          <w:color w:val="595959" w:themeColor="text1" w:themeTint="A6"/>
          <w:lang w:val="en-US"/>
        </w:rPr>
        <w:t xml:space="preserve">. This cell suspension (1 mL) was transferred into cryovial and placed in a Cryo 1°C freezing container with 250 mL isopropanol in a -80 °C freezer for 24 h. After this time vials were transferred into a liquid nitrogen dewar (196 °C) for long-term storage. </w:t>
      </w:r>
    </w:p>
    <w:p w14:paraId="1B490796" w14:textId="77777777" w:rsidR="0054039C" w:rsidRPr="0054039C" w:rsidRDefault="0054039C" w:rsidP="0054039C">
      <w:pPr>
        <w:autoSpaceDE w:val="0"/>
        <w:autoSpaceDN w:val="0"/>
        <w:adjustRightInd w:val="0"/>
        <w:spacing w:after="0" w:line="480" w:lineRule="auto"/>
        <w:rPr>
          <w:rFonts w:asciiTheme="minorBidi" w:hAnsiTheme="minorBidi"/>
          <w:b/>
          <w:bCs/>
          <w:color w:val="7F7F7F"/>
          <w:lang w:val="en-US"/>
        </w:rPr>
      </w:pPr>
    </w:p>
    <w:p w14:paraId="5BB4C195" w14:textId="77777777" w:rsidR="0054039C" w:rsidRPr="0054039C" w:rsidRDefault="0054039C" w:rsidP="00AA47CD">
      <w:pPr>
        <w:pStyle w:val="Heading4"/>
        <w:rPr>
          <w:rFonts w:ascii="Arial" w:hAnsi="Arial" w:cs="Arial"/>
          <w:bCs/>
          <w:color w:val="595959" w:themeColor="text1" w:themeTint="A6"/>
          <w:szCs w:val="24"/>
          <w:lang w:val="en-US"/>
        </w:rPr>
      </w:pPr>
      <w:bookmarkStart w:id="106" w:name="_Toc515897468"/>
      <w:bookmarkStart w:id="107" w:name="_Toc534278596"/>
      <w:bookmarkStart w:id="108" w:name="_Toc34208303"/>
      <w:r w:rsidRPr="0054039C">
        <w:rPr>
          <w:rFonts w:ascii="Arial" w:hAnsi="Arial" w:cs="Arial"/>
          <w:bCs/>
          <w:color w:val="595959" w:themeColor="text1" w:themeTint="A6"/>
          <w:szCs w:val="24"/>
          <w:lang w:val="en-US"/>
        </w:rPr>
        <w:t>2.2.4.4 Thawing cells</w:t>
      </w:r>
      <w:bookmarkEnd w:id="106"/>
      <w:bookmarkEnd w:id="107"/>
      <w:bookmarkEnd w:id="108"/>
    </w:p>
    <w:p w14:paraId="407364E5" w14:textId="77777777" w:rsidR="0054039C" w:rsidRPr="0054039C" w:rsidRDefault="0054039C" w:rsidP="0054039C">
      <w:pPr>
        <w:rPr>
          <w:lang w:val="en-US"/>
        </w:rPr>
      </w:pPr>
    </w:p>
    <w:p w14:paraId="25F27105" w14:textId="0AA349BF" w:rsidR="0054039C" w:rsidRPr="0054039C" w:rsidRDefault="0054039C" w:rsidP="0054039C">
      <w:pPr>
        <w:autoSpaceDE w:val="0"/>
        <w:autoSpaceDN w:val="0"/>
        <w:adjustRightInd w:val="0"/>
        <w:spacing w:after="0" w:line="480" w:lineRule="auto"/>
        <w:jc w:val="both"/>
        <w:rPr>
          <w:rFonts w:ascii="Arial" w:hAnsi="Arial" w:cs="Arial"/>
          <w:color w:val="595959" w:themeColor="text1" w:themeTint="A6"/>
          <w:lang w:val="en-US"/>
        </w:rPr>
      </w:pPr>
      <w:r w:rsidRPr="0054039C">
        <w:rPr>
          <w:rFonts w:ascii="Arial" w:hAnsi="Arial" w:cs="Arial"/>
          <w:color w:val="595959" w:themeColor="text1" w:themeTint="A6"/>
          <w:lang w:val="en-US"/>
        </w:rPr>
        <w:t xml:space="preserve">Cryovials were removed from liquid nitrogen using appropriate safety precautions and lab safety protocols and quickly thawed in a 37 °C water bath. The cell solution was diluted in cell culture medium appropriate to the cell type and centrifuged </w:t>
      </w:r>
      <w:r w:rsidR="006108D9" w:rsidRPr="0054039C">
        <w:rPr>
          <w:rFonts w:ascii="Arial" w:hAnsi="Arial" w:cs="Arial"/>
          <w:color w:val="595959" w:themeColor="text1" w:themeTint="A6"/>
          <w:lang w:val="en-US"/>
        </w:rPr>
        <w:t xml:space="preserve">at 1000 rpm </w:t>
      </w:r>
      <w:r w:rsidRPr="0054039C">
        <w:rPr>
          <w:rFonts w:ascii="Arial" w:hAnsi="Arial" w:cs="Arial"/>
          <w:color w:val="595959" w:themeColor="text1" w:themeTint="A6"/>
          <w:lang w:val="en-US"/>
        </w:rPr>
        <w:t>for 5 minutes. The supernatant was discarded, and the cellular pellet re-suspended in cell culture medium.</w:t>
      </w:r>
    </w:p>
    <w:p w14:paraId="60E69FC3" w14:textId="77777777" w:rsidR="0054039C" w:rsidRPr="0054039C" w:rsidRDefault="0054039C" w:rsidP="0054039C">
      <w:pPr>
        <w:spacing w:after="0" w:line="480" w:lineRule="auto"/>
        <w:jc w:val="both"/>
        <w:rPr>
          <w:rFonts w:ascii="Arial" w:hAnsi="Arial" w:cs="Arial"/>
          <w:color w:val="595959" w:themeColor="text1" w:themeTint="A6"/>
          <w:sz w:val="24"/>
          <w:szCs w:val="24"/>
          <w:u w:val="single"/>
          <w:lang w:val="en-US"/>
        </w:rPr>
      </w:pPr>
    </w:p>
    <w:p w14:paraId="0A8BD89B" w14:textId="77777777" w:rsidR="0054039C" w:rsidRPr="0054039C" w:rsidRDefault="0054039C" w:rsidP="00AA47CD">
      <w:pPr>
        <w:pStyle w:val="Heading3"/>
        <w:rPr>
          <w:rFonts w:ascii="Arial" w:hAnsi="Arial" w:cs="Arial"/>
          <w:color w:val="595959" w:themeColor="text1" w:themeTint="A6"/>
          <w:lang w:val="en-US"/>
        </w:rPr>
      </w:pPr>
      <w:bookmarkStart w:id="109" w:name="_Toc534278597"/>
      <w:bookmarkStart w:id="110" w:name="_Toc34208304"/>
      <w:r w:rsidRPr="0054039C">
        <w:rPr>
          <w:rFonts w:ascii="Arial" w:hAnsi="Arial" w:cs="Arial"/>
          <w:color w:val="595959" w:themeColor="text1" w:themeTint="A6"/>
          <w:lang w:val="en-US"/>
        </w:rPr>
        <w:t>2.2.5 Fibroblast analysis</w:t>
      </w:r>
      <w:bookmarkEnd w:id="109"/>
      <w:bookmarkEnd w:id="110"/>
    </w:p>
    <w:p w14:paraId="320160D7" w14:textId="77777777" w:rsidR="0054039C" w:rsidRPr="0054039C" w:rsidRDefault="0054039C" w:rsidP="0054039C">
      <w:pPr>
        <w:contextualSpacing/>
        <w:rPr>
          <w:lang w:val="en-US"/>
        </w:rPr>
      </w:pPr>
    </w:p>
    <w:p w14:paraId="79ECEA39" w14:textId="115049E8" w:rsidR="0054039C" w:rsidRDefault="0054039C" w:rsidP="00AA47CD">
      <w:pPr>
        <w:pStyle w:val="Heading4"/>
        <w:rPr>
          <w:rFonts w:ascii="Arial" w:hAnsi="Arial" w:cs="Arial"/>
          <w:bCs/>
          <w:color w:val="595959" w:themeColor="text1" w:themeTint="A6"/>
          <w:lang w:val="en-US"/>
        </w:rPr>
      </w:pPr>
      <w:bookmarkStart w:id="111" w:name="_Toc34208305"/>
      <w:r w:rsidRPr="0054039C">
        <w:rPr>
          <w:rFonts w:ascii="Arial" w:hAnsi="Arial" w:cs="Arial"/>
          <w:bCs/>
          <w:color w:val="595959" w:themeColor="text1" w:themeTint="A6"/>
          <w:lang w:val="en-US"/>
        </w:rPr>
        <w:t>2.2.5.1 Fibroblast differentiation protocol</w:t>
      </w:r>
      <w:bookmarkEnd w:id="111"/>
      <w:r w:rsidRPr="0054039C">
        <w:rPr>
          <w:rFonts w:ascii="Arial" w:hAnsi="Arial" w:cs="Arial"/>
          <w:bCs/>
          <w:color w:val="595959" w:themeColor="text1" w:themeTint="A6"/>
          <w:lang w:val="en-US"/>
        </w:rPr>
        <w:t xml:space="preserve"> </w:t>
      </w:r>
    </w:p>
    <w:p w14:paraId="50300A2B" w14:textId="77777777" w:rsidR="00AA47CD" w:rsidRPr="00AA47CD" w:rsidRDefault="00AA47CD" w:rsidP="00AA47CD">
      <w:pPr>
        <w:rPr>
          <w:lang w:val="en-US"/>
        </w:rPr>
      </w:pPr>
    </w:p>
    <w:p w14:paraId="10E28FE9" w14:textId="7866DB80" w:rsidR="0054039C" w:rsidRDefault="0054039C" w:rsidP="0054039C">
      <w:pPr>
        <w:autoSpaceDE w:val="0"/>
        <w:autoSpaceDN w:val="0"/>
        <w:adjustRightInd w:val="0"/>
        <w:spacing w:after="0" w:line="480" w:lineRule="auto"/>
        <w:jc w:val="both"/>
        <w:rPr>
          <w:rFonts w:ascii="Arial" w:hAnsi="Arial" w:cs="Arial"/>
          <w:color w:val="595959" w:themeColor="text1" w:themeTint="A6"/>
          <w:lang w:val="en-US"/>
        </w:rPr>
      </w:pPr>
      <w:r w:rsidRPr="0054039C">
        <w:rPr>
          <w:rFonts w:ascii="Arial" w:hAnsi="Arial" w:cs="Arial"/>
          <w:color w:val="595959" w:themeColor="text1" w:themeTint="A6"/>
          <w:lang w:val="en-US"/>
        </w:rPr>
        <w:lastRenderedPageBreak/>
        <w:t>Oral fibroblasts were seeded at 2.5 x10</w:t>
      </w:r>
      <w:r w:rsidRPr="0054039C">
        <w:rPr>
          <w:rFonts w:ascii="Arial" w:hAnsi="Arial" w:cs="Arial"/>
          <w:color w:val="595959" w:themeColor="text1" w:themeTint="A6"/>
          <w:vertAlign w:val="superscript"/>
          <w:lang w:val="en-US"/>
        </w:rPr>
        <w:t>5</w:t>
      </w:r>
      <w:r w:rsidRPr="0054039C">
        <w:rPr>
          <w:rFonts w:ascii="Arial" w:hAnsi="Arial" w:cs="Arial"/>
          <w:color w:val="595959" w:themeColor="text1" w:themeTint="A6"/>
          <w:lang w:val="en-US"/>
        </w:rPr>
        <w:t xml:space="preserve"> cells/well in a 6-well plate in fibroblast growth media for 24 h. Media was changed to serum free DMEM and incubated for a further 24 h before being subsequently treated with 5 ng/mL recombinant human TGF-β1 reconstituted in 4 mM HCl containing BSA (1 mg/mL) for the relative experimental time points (Figure 2.1). Vehicle controls used were 4 mM HCl containing BSA (1 mg/mL) at the same volume as treated cultures. </w:t>
      </w:r>
    </w:p>
    <w:p w14:paraId="1CFFC652" w14:textId="27A17BF2" w:rsidR="00D163AF" w:rsidRDefault="00D163AF" w:rsidP="0054039C">
      <w:pPr>
        <w:autoSpaceDE w:val="0"/>
        <w:autoSpaceDN w:val="0"/>
        <w:adjustRightInd w:val="0"/>
        <w:spacing w:after="0" w:line="480" w:lineRule="auto"/>
        <w:jc w:val="both"/>
        <w:rPr>
          <w:rFonts w:ascii="Arial" w:hAnsi="Arial" w:cs="Arial"/>
          <w:color w:val="595959" w:themeColor="text1" w:themeTint="A6"/>
          <w:lang w:val="en-US"/>
        </w:rPr>
      </w:pPr>
    </w:p>
    <w:p w14:paraId="00A1B460" w14:textId="285355FF" w:rsidR="00D163AF" w:rsidRDefault="00D163AF" w:rsidP="0054039C">
      <w:pPr>
        <w:autoSpaceDE w:val="0"/>
        <w:autoSpaceDN w:val="0"/>
        <w:adjustRightInd w:val="0"/>
        <w:spacing w:after="0" w:line="480" w:lineRule="auto"/>
        <w:jc w:val="both"/>
        <w:rPr>
          <w:rFonts w:ascii="Arial" w:hAnsi="Arial" w:cs="Arial"/>
          <w:color w:val="595959" w:themeColor="text1" w:themeTint="A6"/>
          <w:lang w:val="en-US"/>
        </w:rPr>
      </w:pPr>
      <w:r w:rsidRPr="0054039C">
        <w:rPr>
          <w:rFonts w:ascii="Times New Roman" w:eastAsia="Times New Roman" w:hAnsi="Times New Roman" w:cs="Times New Roman"/>
          <w:noProof/>
          <w:color w:val="595959"/>
          <w:sz w:val="24"/>
          <w:szCs w:val="24"/>
          <w:lang w:eastAsia="zh-CN"/>
        </w:rPr>
        <mc:AlternateContent>
          <mc:Choice Requires="wpg">
            <w:drawing>
              <wp:anchor distT="0" distB="0" distL="114300" distR="114300" simplePos="0" relativeHeight="251658262" behindDoc="0" locked="0" layoutInCell="1" allowOverlap="1" wp14:anchorId="7923E81B" wp14:editId="2016DF6C">
                <wp:simplePos x="0" y="0"/>
                <wp:positionH relativeFrom="margin">
                  <wp:align>center</wp:align>
                </wp:positionH>
                <wp:positionV relativeFrom="paragraph">
                  <wp:posOffset>249589</wp:posOffset>
                </wp:positionV>
                <wp:extent cx="4946129" cy="1724659"/>
                <wp:effectExtent l="0" t="0" r="0" b="0"/>
                <wp:wrapNone/>
                <wp:docPr id="10" name="Group 25"/>
                <wp:cNvGraphicFramePr/>
                <a:graphic xmlns:a="http://schemas.openxmlformats.org/drawingml/2006/main">
                  <a:graphicData uri="http://schemas.microsoft.com/office/word/2010/wordprocessingGroup">
                    <wpg:wgp>
                      <wpg:cNvGrpSpPr/>
                      <wpg:grpSpPr>
                        <a:xfrm>
                          <a:off x="0" y="0"/>
                          <a:ext cx="4946129" cy="1724659"/>
                          <a:chOff x="0" y="0"/>
                          <a:chExt cx="4946842" cy="1725075"/>
                        </a:xfrm>
                      </wpg:grpSpPr>
                      <pic:pic xmlns:pic="http://schemas.openxmlformats.org/drawingml/2006/picture">
                        <pic:nvPicPr>
                          <pic:cNvPr id="11" name="Picture 11"/>
                          <pic:cNvPicPr/>
                        </pic:nvPicPr>
                        <pic:blipFill>
                          <a:blip r:embed="rId40">
                            <a:extLst>
                              <a:ext uri="{28A0092B-C50C-407E-A947-70E740481C1C}">
                                <a14:useLocalDpi xmlns:a14="http://schemas.microsoft.com/office/drawing/2010/main" val="0"/>
                              </a:ext>
                            </a:extLst>
                          </a:blip>
                          <a:srcRect/>
                          <a:stretch>
                            <a:fillRect/>
                          </a:stretch>
                        </pic:blipFill>
                        <pic:spPr bwMode="auto">
                          <a:xfrm>
                            <a:off x="0" y="646911"/>
                            <a:ext cx="851535" cy="38227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wps:wsp>
                        <wps:cNvPr id="12" name="Straight Connector 12"/>
                        <wps:cNvCnPr/>
                        <wps:spPr>
                          <a:xfrm>
                            <a:off x="1008112" y="718919"/>
                            <a:ext cx="432048" cy="0"/>
                          </a:xfrm>
                          <a:prstGeom prst="line">
                            <a:avLst/>
                          </a:prstGeom>
                          <a:noFill/>
                          <a:ln w="28575" cap="flat" cmpd="sng" algn="ctr">
                            <a:solidFill>
                              <a:sysClr val="windowText" lastClr="000000"/>
                            </a:solidFill>
                            <a:prstDash val="solid"/>
                            <a:miter lim="800000"/>
                          </a:ln>
                          <a:effectLst/>
                        </wps:spPr>
                        <wps:bodyPr/>
                      </wps:wsp>
                      <wps:wsp>
                        <wps:cNvPr id="13" name="Straight Connector 13"/>
                        <wps:cNvCnPr/>
                        <wps:spPr>
                          <a:xfrm flipV="1">
                            <a:off x="1008109" y="857748"/>
                            <a:ext cx="746340" cy="13571"/>
                          </a:xfrm>
                          <a:prstGeom prst="line">
                            <a:avLst/>
                          </a:prstGeom>
                          <a:noFill/>
                          <a:ln w="28575" cap="flat" cmpd="sng" algn="ctr">
                            <a:solidFill>
                              <a:sysClr val="windowText" lastClr="000000"/>
                            </a:solidFill>
                            <a:prstDash val="solid"/>
                            <a:miter lim="800000"/>
                          </a:ln>
                          <a:effectLst/>
                        </wps:spPr>
                        <wps:bodyPr/>
                      </wps:wsp>
                      <wps:wsp>
                        <wps:cNvPr id="14" name="Straight Connector 14"/>
                        <wps:cNvCnPr/>
                        <wps:spPr>
                          <a:xfrm flipV="1">
                            <a:off x="1008108" y="1033563"/>
                            <a:ext cx="1079909" cy="5211"/>
                          </a:xfrm>
                          <a:prstGeom prst="line">
                            <a:avLst/>
                          </a:prstGeom>
                          <a:noFill/>
                          <a:ln w="28575" cap="flat" cmpd="sng" algn="ctr">
                            <a:solidFill>
                              <a:sysClr val="windowText" lastClr="000000"/>
                            </a:solidFill>
                            <a:prstDash val="solid"/>
                            <a:miter lim="800000"/>
                          </a:ln>
                          <a:effectLst/>
                        </wps:spPr>
                        <wps:bodyPr/>
                      </wps:wsp>
                      <wps:wsp>
                        <wps:cNvPr id="15" name="Straight Connector 15"/>
                        <wps:cNvCnPr/>
                        <wps:spPr>
                          <a:xfrm>
                            <a:off x="2513066" y="430887"/>
                            <a:ext cx="0" cy="864096"/>
                          </a:xfrm>
                          <a:prstGeom prst="line">
                            <a:avLst/>
                          </a:prstGeom>
                          <a:noFill/>
                          <a:ln w="6350" cap="flat" cmpd="sng" algn="ctr">
                            <a:solidFill>
                              <a:sysClr val="windowText" lastClr="000000"/>
                            </a:solidFill>
                            <a:prstDash val="sysDash"/>
                            <a:miter lim="800000"/>
                          </a:ln>
                          <a:effectLst/>
                        </wps:spPr>
                        <wps:bodyPr/>
                      </wps:wsp>
                      <wps:wsp>
                        <wps:cNvPr id="16" name="TextBox 13"/>
                        <wps:cNvSpPr txBox="1"/>
                        <wps:spPr>
                          <a:xfrm>
                            <a:off x="1375258" y="574812"/>
                            <a:ext cx="424876" cy="264224"/>
                          </a:xfrm>
                          <a:prstGeom prst="rect">
                            <a:avLst/>
                          </a:prstGeom>
                          <a:noFill/>
                        </wps:spPr>
                        <wps:txbx>
                          <w:txbxContent>
                            <w:p w14:paraId="6E4D9F98" w14:textId="77777777" w:rsidR="008A47AC" w:rsidRDefault="008A47AC" w:rsidP="0054039C">
                              <w:pPr>
                                <w:pStyle w:val="NormalWeb"/>
                                <w:spacing w:after="0"/>
                              </w:pPr>
                              <w:r>
                                <w:rPr>
                                  <w:rFonts w:ascii="Arial Narrow" w:hAnsi="Arial Narrow" w:cstheme="minorBidi"/>
                                  <w:color w:val="000000" w:themeColor="text1"/>
                                  <w:kern w:val="24"/>
                                  <w:sz w:val="22"/>
                                  <w:szCs w:val="22"/>
                                </w:rPr>
                                <w:t>24 h</w:t>
                              </w:r>
                            </w:p>
                          </w:txbxContent>
                        </wps:txbx>
                        <wps:bodyPr wrap="square" rtlCol="0">
                          <a:spAutoFit/>
                        </wps:bodyPr>
                      </wps:wsp>
                      <wps:wsp>
                        <wps:cNvPr id="18" name="TextBox 14"/>
                        <wps:cNvSpPr txBox="1"/>
                        <wps:spPr>
                          <a:xfrm>
                            <a:off x="1754527" y="732014"/>
                            <a:ext cx="424876" cy="264224"/>
                          </a:xfrm>
                          <a:prstGeom prst="rect">
                            <a:avLst/>
                          </a:prstGeom>
                          <a:noFill/>
                        </wps:spPr>
                        <wps:txbx>
                          <w:txbxContent>
                            <w:p w14:paraId="4F5495EB" w14:textId="77777777" w:rsidR="008A47AC" w:rsidRDefault="008A47AC" w:rsidP="0054039C">
                              <w:pPr>
                                <w:pStyle w:val="NormalWeb"/>
                                <w:spacing w:after="0"/>
                              </w:pPr>
                              <w:r>
                                <w:rPr>
                                  <w:rFonts w:ascii="Arial Narrow" w:hAnsi="Arial Narrow" w:cstheme="minorBidi"/>
                                  <w:color w:val="000000" w:themeColor="text1"/>
                                  <w:kern w:val="24"/>
                                  <w:sz w:val="22"/>
                                  <w:szCs w:val="22"/>
                                </w:rPr>
                                <w:t>48 h</w:t>
                              </w:r>
                            </w:p>
                          </w:txbxContent>
                        </wps:txbx>
                        <wps:bodyPr wrap="square" rtlCol="0">
                          <a:spAutoFit/>
                        </wps:bodyPr>
                      </wps:wsp>
                      <wps:wsp>
                        <wps:cNvPr id="19" name="TextBox 15"/>
                        <wps:cNvSpPr txBox="1"/>
                        <wps:spPr>
                          <a:xfrm>
                            <a:off x="2088108" y="907828"/>
                            <a:ext cx="424876" cy="264224"/>
                          </a:xfrm>
                          <a:prstGeom prst="rect">
                            <a:avLst/>
                          </a:prstGeom>
                          <a:noFill/>
                        </wps:spPr>
                        <wps:txbx>
                          <w:txbxContent>
                            <w:p w14:paraId="033641E8" w14:textId="77777777" w:rsidR="008A47AC" w:rsidRDefault="008A47AC" w:rsidP="0054039C">
                              <w:pPr>
                                <w:pStyle w:val="NormalWeb"/>
                                <w:spacing w:after="0"/>
                              </w:pPr>
                              <w:r>
                                <w:rPr>
                                  <w:rFonts w:ascii="Arial Narrow" w:hAnsi="Arial Narrow" w:cstheme="minorBidi"/>
                                  <w:color w:val="000000" w:themeColor="text1"/>
                                  <w:kern w:val="24"/>
                                  <w:sz w:val="22"/>
                                  <w:szCs w:val="22"/>
                                </w:rPr>
                                <w:t>72 h</w:t>
                              </w:r>
                            </w:p>
                          </w:txbxContent>
                        </wps:txbx>
                        <wps:bodyPr wrap="square" rtlCol="0">
                          <a:spAutoFit/>
                        </wps:bodyPr>
                      </wps:wsp>
                      <wps:wsp>
                        <wps:cNvPr id="20" name="TextBox 16"/>
                        <wps:cNvSpPr txBox="1"/>
                        <wps:spPr>
                          <a:xfrm>
                            <a:off x="986484" y="1287455"/>
                            <a:ext cx="1193337" cy="437620"/>
                          </a:xfrm>
                          <a:prstGeom prst="rect">
                            <a:avLst/>
                          </a:prstGeom>
                          <a:noFill/>
                        </wps:spPr>
                        <wps:txbx>
                          <w:txbxContent>
                            <w:p w14:paraId="1A65DF9E" w14:textId="77777777" w:rsidR="008A47AC" w:rsidRDefault="008A47AC" w:rsidP="0054039C">
                              <w:pPr>
                                <w:pStyle w:val="NormalWeb"/>
                                <w:spacing w:after="0"/>
                                <w:jc w:val="center"/>
                              </w:pPr>
                              <w:r>
                                <w:rPr>
                                  <w:rFonts w:ascii="Arial Narrow" w:hAnsi="Arial Narrow" w:cstheme="minorBidi"/>
                                  <w:color w:val="000000" w:themeColor="text1"/>
                                  <w:kern w:val="24"/>
                                  <w:sz w:val="22"/>
                                  <w:szCs w:val="22"/>
                                </w:rPr>
                                <w:t>5 ng/mL TGF</w:t>
                              </w:r>
                              <w:r>
                                <w:rPr>
                                  <w:rFonts w:ascii="Arial Narrow" w:hAnsi="Arial Narrow" w:cstheme="minorBidi"/>
                                  <w:color w:val="000000" w:themeColor="text1"/>
                                  <w:kern w:val="24"/>
                                  <w:sz w:val="22"/>
                                  <w:szCs w:val="22"/>
                                  <w:lang w:val="el-GR"/>
                                </w:rPr>
                                <w:t>β</w:t>
                              </w:r>
                              <w:r>
                                <w:rPr>
                                  <w:rFonts w:ascii="Arial Narrow" w:hAnsi="Arial Narrow" w:cstheme="minorBidi"/>
                                  <w:color w:val="000000" w:themeColor="text1"/>
                                  <w:kern w:val="24"/>
                                  <w:sz w:val="22"/>
                                  <w:szCs w:val="22"/>
                                </w:rPr>
                                <w:t>-1/ vehicle control</w:t>
                              </w:r>
                            </w:p>
                          </w:txbxContent>
                        </wps:txbx>
                        <wps:bodyPr wrap="square" rtlCol="0">
                          <a:spAutoFit/>
                        </wps:bodyPr>
                      </wps:wsp>
                      <wps:wsp>
                        <wps:cNvPr id="21" name="TextBox 17"/>
                        <wps:cNvSpPr txBox="1"/>
                        <wps:spPr>
                          <a:xfrm>
                            <a:off x="2260861" y="0"/>
                            <a:ext cx="504263" cy="437621"/>
                          </a:xfrm>
                          <a:prstGeom prst="rect">
                            <a:avLst/>
                          </a:prstGeom>
                          <a:noFill/>
                        </wps:spPr>
                        <wps:txbx>
                          <w:txbxContent>
                            <w:p w14:paraId="31215912" w14:textId="77777777" w:rsidR="008A47AC" w:rsidRDefault="008A47AC" w:rsidP="0054039C">
                              <w:pPr>
                                <w:pStyle w:val="NormalWeb"/>
                                <w:spacing w:after="0"/>
                                <w:jc w:val="center"/>
                              </w:pPr>
                              <w:r>
                                <w:rPr>
                                  <w:rFonts w:ascii="Arial Narrow" w:hAnsi="Arial Narrow" w:cstheme="minorBidi"/>
                                  <w:color w:val="000000" w:themeColor="text1"/>
                                  <w:kern w:val="24"/>
                                  <w:sz w:val="22"/>
                                  <w:szCs w:val="22"/>
                                </w:rPr>
                                <w:t>SFM</w:t>
                              </w:r>
                            </w:p>
                            <w:p w14:paraId="6762D1DE" w14:textId="77777777" w:rsidR="008A47AC" w:rsidRDefault="008A47AC" w:rsidP="0054039C">
                              <w:pPr>
                                <w:pStyle w:val="NormalWeb"/>
                                <w:spacing w:after="0"/>
                                <w:jc w:val="center"/>
                              </w:pPr>
                              <w:r>
                                <w:rPr>
                                  <w:rFonts w:ascii="Arial Narrow" w:hAnsi="Arial Narrow" w:cstheme="minorBidi"/>
                                  <w:color w:val="000000" w:themeColor="text1"/>
                                  <w:kern w:val="24"/>
                                  <w:sz w:val="22"/>
                                  <w:szCs w:val="22"/>
                                </w:rPr>
                                <w:t>24 h</w:t>
                              </w:r>
                            </w:p>
                          </w:txbxContent>
                        </wps:txbx>
                        <wps:bodyPr wrap="square" rtlCol="0">
                          <a:spAutoFit/>
                        </wps:bodyPr>
                      </wps:wsp>
                      <wps:wsp>
                        <wps:cNvPr id="22" name="Straight Connector 22"/>
                        <wps:cNvCnPr/>
                        <wps:spPr>
                          <a:xfrm>
                            <a:off x="2565189" y="694876"/>
                            <a:ext cx="1616358" cy="0"/>
                          </a:xfrm>
                          <a:prstGeom prst="line">
                            <a:avLst/>
                          </a:prstGeom>
                          <a:noFill/>
                          <a:ln w="28575" cap="flat" cmpd="sng" algn="ctr">
                            <a:solidFill>
                              <a:sysClr val="windowText" lastClr="000000"/>
                            </a:solidFill>
                            <a:prstDash val="solid"/>
                            <a:miter lim="800000"/>
                          </a:ln>
                          <a:effectLst/>
                        </wps:spPr>
                        <wps:bodyPr/>
                      </wps:wsp>
                      <wps:wsp>
                        <wps:cNvPr id="23" name="Straight Connector 23"/>
                        <wps:cNvCnPr/>
                        <wps:spPr>
                          <a:xfrm>
                            <a:off x="2565408" y="865957"/>
                            <a:ext cx="1616313" cy="0"/>
                          </a:xfrm>
                          <a:prstGeom prst="line">
                            <a:avLst/>
                          </a:prstGeom>
                          <a:noFill/>
                          <a:ln w="28575" cap="flat" cmpd="sng" algn="ctr">
                            <a:solidFill>
                              <a:sysClr val="windowText" lastClr="000000"/>
                            </a:solidFill>
                            <a:prstDash val="solid"/>
                            <a:miter lim="800000"/>
                          </a:ln>
                          <a:effectLst/>
                        </wps:spPr>
                        <wps:bodyPr/>
                      </wps:wsp>
                      <wps:wsp>
                        <wps:cNvPr id="24" name="Straight Connector 24"/>
                        <wps:cNvCnPr/>
                        <wps:spPr>
                          <a:xfrm>
                            <a:off x="2565408" y="1029141"/>
                            <a:ext cx="1616496" cy="0"/>
                          </a:xfrm>
                          <a:prstGeom prst="line">
                            <a:avLst/>
                          </a:prstGeom>
                          <a:noFill/>
                          <a:ln w="28575" cap="flat" cmpd="sng" algn="ctr">
                            <a:solidFill>
                              <a:sysClr val="windowText" lastClr="000000"/>
                            </a:solidFill>
                            <a:prstDash val="solid"/>
                            <a:miter lim="800000"/>
                          </a:ln>
                          <a:effectLst/>
                        </wps:spPr>
                        <wps:bodyPr/>
                      </wps:wsp>
                      <wps:wsp>
                        <wps:cNvPr id="25" name="TextBox 21"/>
                        <wps:cNvSpPr txBox="1"/>
                        <wps:spPr>
                          <a:xfrm>
                            <a:off x="4154883" y="718918"/>
                            <a:ext cx="791959" cy="264224"/>
                          </a:xfrm>
                          <a:prstGeom prst="rect">
                            <a:avLst/>
                          </a:prstGeom>
                          <a:noFill/>
                        </wps:spPr>
                        <wps:txbx>
                          <w:txbxContent>
                            <w:p w14:paraId="644B7FAA" w14:textId="77777777" w:rsidR="008A47AC" w:rsidRDefault="008A47AC" w:rsidP="0054039C">
                              <w:pPr>
                                <w:pStyle w:val="NormalWeb"/>
                                <w:spacing w:after="0"/>
                                <w:jc w:val="center"/>
                              </w:pPr>
                              <w:r>
                                <w:rPr>
                                  <w:rFonts w:ascii="Arial Narrow" w:hAnsi="Arial Narrow" w:cstheme="minorBidi"/>
                                  <w:color w:val="000000" w:themeColor="text1"/>
                                  <w:kern w:val="24"/>
                                  <w:sz w:val="22"/>
                                  <w:szCs w:val="22"/>
                                </w:rPr>
                                <w:t>+ 14 days</w:t>
                              </w:r>
                            </w:p>
                          </w:txbxContent>
                        </wps:txbx>
                        <wps:bodyPr wrap="square" rtlCol="0">
                          <a:spAutoFit/>
                        </wps:bodyPr>
                      </wps:wsp>
                      <wps:wsp>
                        <wps:cNvPr id="26" name="TextBox 22"/>
                        <wps:cNvSpPr txBox="1"/>
                        <wps:spPr>
                          <a:xfrm>
                            <a:off x="2896408" y="1277458"/>
                            <a:ext cx="1199688" cy="437621"/>
                          </a:xfrm>
                          <a:prstGeom prst="rect">
                            <a:avLst/>
                          </a:prstGeom>
                          <a:noFill/>
                        </wps:spPr>
                        <wps:txbx>
                          <w:txbxContent>
                            <w:p w14:paraId="694E3081" w14:textId="77777777" w:rsidR="008A47AC" w:rsidRDefault="008A47AC" w:rsidP="0054039C">
                              <w:pPr>
                                <w:pStyle w:val="NormalWeb"/>
                                <w:spacing w:after="0"/>
                                <w:jc w:val="center"/>
                              </w:pPr>
                              <w:r>
                                <w:rPr>
                                  <w:rFonts w:ascii="Arial Narrow" w:hAnsi="Arial Narrow" w:cstheme="minorBidi"/>
                                  <w:color w:val="000000" w:themeColor="text1"/>
                                  <w:kern w:val="24"/>
                                  <w:sz w:val="22"/>
                                  <w:szCs w:val="22"/>
                                </w:rPr>
                                <w:t>2 ng/mL TGF</w:t>
                              </w:r>
                              <w:r>
                                <w:rPr>
                                  <w:rFonts w:ascii="Arial Narrow" w:hAnsi="Arial Narrow" w:cstheme="minorBidi"/>
                                  <w:color w:val="000000" w:themeColor="text1"/>
                                  <w:kern w:val="24"/>
                                  <w:sz w:val="22"/>
                                  <w:szCs w:val="22"/>
                                  <w:lang w:val="el-GR"/>
                                </w:rPr>
                                <w:t>β</w:t>
                              </w:r>
                              <w:r>
                                <w:rPr>
                                  <w:rFonts w:ascii="Arial Narrow" w:hAnsi="Arial Narrow" w:cstheme="minorBidi"/>
                                  <w:color w:val="000000" w:themeColor="text1"/>
                                  <w:kern w:val="24"/>
                                  <w:sz w:val="22"/>
                                  <w:szCs w:val="22"/>
                                </w:rPr>
                                <w:t>-1/ vehicle control</w:t>
                              </w:r>
                            </w:p>
                          </w:txbxContent>
                        </wps:txbx>
                        <wps:bodyPr wrap="square" rtlCol="0">
                          <a:spAutoFit/>
                        </wps:bodyPr>
                      </wps:wsp>
                      <wps:wsp>
                        <wps:cNvPr id="27" name="TextBox 23"/>
                        <wps:cNvSpPr txBox="1"/>
                        <wps:spPr>
                          <a:xfrm>
                            <a:off x="994027" y="84621"/>
                            <a:ext cx="1080291" cy="264224"/>
                          </a:xfrm>
                          <a:prstGeom prst="rect">
                            <a:avLst/>
                          </a:prstGeom>
                          <a:noFill/>
                        </wps:spPr>
                        <wps:txbx>
                          <w:txbxContent>
                            <w:p w14:paraId="79377ABE" w14:textId="77777777" w:rsidR="008A47AC" w:rsidRDefault="008A47AC" w:rsidP="0054039C">
                              <w:pPr>
                                <w:pStyle w:val="NormalWeb"/>
                                <w:spacing w:after="0"/>
                              </w:pPr>
                              <w:r>
                                <w:rPr>
                                  <w:rFonts w:ascii="Arial Narrow" w:hAnsi="Arial Narrow" w:cstheme="minorBidi"/>
                                  <w:color w:val="000000" w:themeColor="text1"/>
                                  <w:kern w:val="24"/>
                                  <w:sz w:val="22"/>
                                  <w:szCs w:val="22"/>
                                </w:rPr>
                                <w:t>DMEM 10% FBS</w:t>
                              </w:r>
                            </w:p>
                          </w:txbxContent>
                        </wps:txbx>
                        <wps:bodyPr wrap="square" rtlCol="0">
                          <a:spAutoFit/>
                        </wps:bodyPr>
                      </wps:wsp>
                      <wps:wsp>
                        <wps:cNvPr id="28" name="TextBox 24"/>
                        <wps:cNvSpPr txBox="1"/>
                        <wps:spPr>
                          <a:xfrm>
                            <a:off x="2764747" y="84621"/>
                            <a:ext cx="1080291" cy="264224"/>
                          </a:xfrm>
                          <a:prstGeom prst="rect">
                            <a:avLst/>
                          </a:prstGeom>
                          <a:noFill/>
                        </wps:spPr>
                        <wps:txbx>
                          <w:txbxContent>
                            <w:p w14:paraId="48054A18" w14:textId="77777777" w:rsidR="008A47AC" w:rsidRDefault="008A47AC" w:rsidP="0054039C">
                              <w:pPr>
                                <w:pStyle w:val="NormalWeb"/>
                                <w:spacing w:after="0"/>
                              </w:pPr>
                              <w:r>
                                <w:rPr>
                                  <w:rFonts w:ascii="Arial Narrow" w:hAnsi="Arial Narrow" w:cstheme="minorBidi"/>
                                  <w:color w:val="000000" w:themeColor="text1"/>
                                  <w:kern w:val="24"/>
                                  <w:sz w:val="22"/>
                                  <w:szCs w:val="22"/>
                                </w:rPr>
                                <w:t>DMEM 5% FBS</w:t>
                              </w:r>
                            </w:p>
                          </w:txbxContent>
                        </wps:txbx>
                        <wps:bodyPr wrap="square" rtlCol="0">
                          <a:spAutoFit/>
                        </wps:bodyPr>
                      </wps:wsp>
                    </wpg:wgp>
                  </a:graphicData>
                </a:graphic>
                <wp14:sizeRelH relativeFrom="margin">
                  <wp14:pctWidth>0</wp14:pctWidth>
                </wp14:sizeRelH>
              </wp:anchor>
            </w:drawing>
          </mc:Choice>
          <mc:Fallback>
            <w:pict>
              <v:group w14:anchorId="7923E81B" id="Group 25" o:spid="_x0000_s1036" style="position:absolute;left:0;text-align:left;margin-left:0;margin-top:19.65pt;width:389.45pt;height:135.8pt;z-index:251658262;mso-position-horizontal:center;mso-position-horizontal-relative:margin;mso-width-relative:margin" coordsize="49468,172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">
                <v:shape id="Picture 11" o:spid="_x0000_s1037" type="#_x0000_t75" style="position:absolute;top:6469;width:8515;height:38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" fillcolor="#4472c4 [3204]" strokecolor="black [3213]">
                  <v:imagedata r:id="rId41" o:title=""/>
                </v:shape>
                <v:line id="Straight Connector 12" o:spid="_x0000_s1038" style="position:absolute;visibility:visible;mso-wrap-style:square" from="10081,7189" to="14401,71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" strokecolor="windowText" strokeweight="2.25pt">
                  <v:stroke joinstyle="miter"/>
                </v:line>
                <v:line id="Straight Connector 13" o:spid="_x0000_s1039" style="position:absolute;flip:y;visibility:visible;mso-wrap-style:square" from="10081,8577" to="17544,87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" strokecolor="windowText" strokeweight="2.25pt">
                  <v:stroke joinstyle="miter"/>
                </v:line>
                <v:line id="Straight Connector 14" o:spid="_x0000_s1040" style="position:absolute;flip:y;visibility:visible;mso-wrap-style:square" from="10081,10335" to="20880,103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" strokecolor="windowText" strokeweight="2.25pt">
                  <v:stroke joinstyle="miter"/>
                </v:line>
                <v:line id="Straight Connector 15" o:spid="_x0000_s1041" style="position:absolute;visibility:visible;mso-wrap-style:square" from="25130,4308" to="25130,129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" strokecolor="windowText" strokeweight=".5pt">
                  <v:stroke dashstyle="3 1" joinstyle="miter"/>
                </v:line>
                <v:shape id="TextBox 13" o:spid="_x0000_s1042" type="#_x0000_t202" style="position:absolute;left:13752;top:5748;width:4249;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" filled="f" stroked="f">
                  <v:textbox style="mso-fit-shape-to-text:t">
                    <w:txbxContent>
                      <w:p w14:paraId="6E4D9F98" w14:textId="77777777" w:rsidR="008A47AC" w:rsidRDefault="008A47AC" w:rsidP="0054039C">
                        <w:pPr>
                          <w:pStyle w:val="NormalWeb"/>
                          <w:spacing w:after="0"/>
                        </w:pPr>
                        <w:r>
                          <w:rPr>
                            <w:rFonts w:ascii="Arial Narrow" w:hAnsi="Arial Narrow" w:cstheme="minorBidi"/>
                            <w:color w:val="000000" w:themeColor="text1"/>
                            <w:kern w:val="24"/>
                            <w:sz w:val="22"/>
                            <w:szCs w:val="22"/>
                          </w:rPr>
                          <w:t>24 h</w:t>
                        </w:r>
                      </w:p>
                    </w:txbxContent>
                  </v:textbox>
                </v:shape>
                <v:shape id="TextBox 14" o:spid="_x0000_s1043" type="#_x0000_t202" style="position:absolute;left:17545;top:7320;width:4249;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" filled="f" stroked="f">
                  <v:textbox style="mso-fit-shape-to-text:t">
                    <w:txbxContent>
                      <w:p w14:paraId="4F5495EB" w14:textId="77777777" w:rsidR="008A47AC" w:rsidRDefault="008A47AC" w:rsidP="0054039C">
                        <w:pPr>
                          <w:pStyle w:val="NormalWeb"/>
                          <w:spacing w:after="0"/>
                        </w:pPr>
                        <w:r>
                          <w:rPr>
                            <w:rFonts w:ascii="Arial Narrow" w:hAnsi="Arial Narrow" w:cstheme="minorBidi"/>
                            <w:color w:val="000000" w:themeColor="text1"/>
                            <w:kern w:val="24"/>
                            <w:sz w:val="22"/>
                            <w:szCs w:val="22"/>
                          </w:rPr>
                          <w:t>48 h</w:t>
                        </w:r>
                      </w:p>
                    </w:txbxContent>
                  </v:textbox>
                </v:shape>
                <v:shape id="TextBox 15" o:spid="_x0000_s1044" type="#_x0000_t202" style="position:absolute;left:20881;top:9078;width:4248;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" filled="f" stroked="f">
                  <v:textbox style="mso-fit-shape-to-text:t">
                    <w:txbxContent>
                      <w:p w14:paraId="033641E8" w14:textId="77777777" w:rsidR="008A47AC" w:rsidRDefault="008A47AC" w:rsidP="0054039C">
                        <w:pPr>
                          <w:pStyle w:val="NormalWeb"/>
                          <w:spacing w:after="0"/>
                        </w:pPr>
                        <w:r>
                          <w:rPr>
                            <w:rFonts w:ascii="Arial Narrow" w:hAnsi="Arial Narrow" w:cstheme="minorBidi"/>
                            <w:color w:val="000000" w:themeColor="text1"/>
                            <w:kern w:val="24"/>
                            <w:sz w:val="22"/>
                            <w:szCs w:val="22"/>
                          </w:rPr>
                          <w:t>72 h</w:t>
                        </w:r>
                      </w:p>
                    </w:txbxContent>
                  </v:textbox>
                </v:shape>
                <v:shape id="TextBox 16" o:spid="_x0000_s1045" type="#_x0000_t202" style="position:absolute;left:9864;top:12874;width:11934;height:4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" filled="f" stroked="f">
                  <v:textbox style="mso-fit-shape-to-text:t">
                    <w:txbxContent>
                      <w:p w14:paraId="1A65DF9E" w14:textId="77777777" w:rsidR="008A47AC" w:rsidRDefault="008A47AC" w:rsidP="0054039C">
                        <w:pPr>
                          <w:pStyle w:val="NormalWeb"/>
                          <w:spacing w:after="0"/>
                          <w:jc w:val="center"/>
                        </w:pPr>
                        <w:r>
                          <w:rPr>
                            <w:rFonts w:ascii="Arial Narrow" w:hAnsi="Arial Narrow" w:cstheme="minorBidi"/>
                            <w:color w:val="000000" w:themeColor="text1"/>
                            <w:kern w:val="24"/>
                            <w:sz w:val="22"/>
                            <w:szCs w:val="22"/>
                          </w:rPr>
                          <w:t>5 ng/mL TGF</w:t>
                        </w:r>
                        <w:r>
                          <w:rPr>
                            <w:rFonts w:ascii="Arial Narrow" w:hAnsi="Arial Narrow" w:cstheme="minorBidi"/>
                            <w:color w:val="000000" w:themeColor="text1"/>
                            <w:kern w:val="24"/>
                            <w:sz w:val="22"/>
                            <w:szCs w:val="22"/>
                            <w:lang w:val="el-GR"/>
                          </w:rPr>
                          <w:t>β</w:t>
                        </w:r>
                        <w:r>
                          <w:rPr>
                            <w:rFonts w:ascii="Arial Narrow" w:hAnsi="Arial Narrow" w:cstheme="minorBidi"/>
                            <w:color w:val="000000" w:themeColor="text1"/>
                            <w:kern w:val="24"/>
                            <w:sz w:val="22"/>
                            <w:szCs w:val="22"/>
                          </w:rPr>
                          <w:t>-1/ vehicle control</w:t>
                        </w:r>
                      </w:p>
                    </w:txbxContent>
                  </v:textbox>
                </v:shape>
                <v:shape id="TextBox 17" o:spid="_x0000_s1046" type="#_x0000_t202" style="position:absolute;left:22608;width:5043;height:4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" filled="f" stroked="f">
                  <v:textbox style="mso-fit-shape-to-text:t">
                    <w:txbxContent>
                      <w:p w14:paraId="31215912" w14:textId="77777777" w:rsidR="008A47AC" w:rsidRDefault="008A47AC" w:rsidP="0054039C">
                        <w:pPr>
                          <w:pStyle w:val="NormalWeb"/>
                          <w:spacing w:after="0"/>
                          <w:jc w:val="center"/>
                        </w:pPr>
                        <w:r>
                          <w:rPr>
                            <w:rFonts w:ascii="Arial Narrow" w:hAnsi="Arial Narrow" w:cstheme="minorBidi"/>
                            <w:color w:val="000000" w:themeColor="text1"/>
                            <w:kern w:val="24"/>
                            <w:sz w:val="22"/>
                            <w:szCs w:val="22"/>
                          </w:rPr>
                          <w:t>SFM</w:t>
                        </w:r>
                      </w:p>
                      <w:p w14:paraId="6762D1DE" w14:textId="77777777" w:rsidR="008A47AC" w:rsidRDefault="008A47AC" w:rsidP="0054039C">
                        <w:pPr>
                          <w:pStyle w:val="NormalWeb"/>
                          <w:spacing w:after="0"/>
                          <w:jc w:val="center"/>
                        </w:pPr>
                        <w:r>
                          <w:rPr>
                            <w:rFonts w:ascii="Arial Narrow" w:hAnsi="Arial Narrow" w:cstheme="minorBidi"/>
                            <w:color w:val="000000" w:themeColor="text1"/>
                            <w:kern w:val="24"/>
                            <w:sz w:val="22"/>
                            <w:szCs w:val="22"/>
                          </w:rPr>
                          <w:t>24 h</w:t>
                        </w:r>
                      </w:p>
                    </w:txbxContent>
                  </v:textbox>
                </v:shape>
                <v:line id="Straight Connector 22" o:spid="_x0000_s1047" style="position:absolute;visibility:visible;mso-wrap-style:square" from="25651,6948" to="41815,69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" strokecolor="windowText" strokeweight="2.25pt">
                  <v:stroke joinstyle="miter"/>
                </v:line>
                <v:line id="Straight Connector 23" o:spid="_x0000_s1048" style="position:absolute;visibility:visible;mso-wrap-style:square" from="25654,8659" to="41817,86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" strokecolor="windowText" strokeweight="2.25pt">
                  <v:stroke joinstyle="miter"/>
                </v:line>
                <v:line id="Straight Connector 24" o:spid="_x0000_s1049" style="position:absolute;visibility:visible;mso-wrap-style:square" from="25654,10291" to="41819,102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" strokecolor="windowText" strokeweight="2.25pt">
                  <v:stroke joinstyle="miter"/>
                </v:line>
                <v:shape id="_x0000_s1050" type="#_x0000_t202" style="position:absolute;left:41548;top:7189;width:7920;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" filled="f" stroked="f">
                  <v:textbox style="mso-fit-shape-to-text:t">
                    <w:txbxContent>
                      <w:p w14:paraId="644B7FAA" w14:textId="77777777" w:rsidR="008A47AC" w:rsidRDefault="008A47AC" w:rsidP="0054039C">
                        <w:pPr>
                          <w:pStyle w:val="NormalWeb"/>
                          <w:spacing w:after="0"/>
                          <w:jc w:val="center"/>
                        </w:pPr>
                        <w:r>
                          <w:rPr>
                            <w:rFonts w:ascii="Arial Narrow" w:hAnsi="Arial Narrow" w:cstheme="minorBidi"/>
                            <w:color w:val="000000" w:themeColor="text1"/>
                            <w:kern w:val="24"/>
                            <w:sz w:val="22"/>
                            <w:szCs w:val="22"/>
                          </w:rPr>
                          <w:t>+ 14 days</w:t>
                        </w:r>
                      </w:p>
                    </w:txbxContent>
                  </v:textbox>
                </v:shape>
                <v:shape id="TextBox 22" o:spid="_x0000_s1051" type="#_x0000_t202" style="position:absolute;left:28964;top:12774;width:11996;height:4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" filled="f" stroked="f">
                  <v:textbox style="mso-fit-shape-to-text:t">
                    <w:txbxContent>
                      <w:p w14:paraId="694E3081" w14:textId="77777777" w:rsidR="008A47AC" w:rsidRDefault="008A47AC" w:rsidP="0054039C">
                        <w:pPr>
                          <w:pStyle w:val="NormalWeb"/>
                          <w:spacing w:after="0"/>
                          <w:jc w:val="center"/>
                        </w:pPr>
                        <w:r>
                          <w:rPr>
                            <w:rFonts w:ascii="Arial Narrow" w:hAnsi="Arial Narrow" w:cstheme="minorBidi"/>
                            <w:color w:val="000000" w:themeColor="text1"/>
                            <w:kern w:val="24"/>
                            <w:sz w:val="22"/>
                            <w:szCs w:val="22"/>
                          </w:rPr>
                          <w:t>2 ng/mL TGF</w:t>
                        </w:r>
                        <w:r>
                          <w:rPr>
                            <w:rFonts w:ascii="Arial Narrow" w:hAnsi="Arial Narrow" w:cstheme="minorBidi"/>
                            <w:color w:val="000000" w:themeColor="text1"/>
                            <w:kern w:val="24"/>
                            <w:sz w:val="22"/>
                            <w:szCs w:val="22"/>
                            <w:lang w:val="el-GR"/>
                          </w:rPr>
                          <w:t>β</w:t>
                        </w:r>
                        <w:r>
                          <w:rPr>
                            <w:rFonts w:ascii="Arial Narrow" w:hAnsi="Arial Narrow" w:cstheme="minorBidi"/>
                            <w:color w:val="000000" w:themeColor="text1"/>
                            <w:kern w:val="24"/>
                            <w:sz w:val="22"/>
                            <w:szCs w:val="22"/>
                          </w:rPr>
                          <w:t>-1/ vehicle control</w:t>
                        </w:r>
                      </w:p>
                    </w:txbxContent>
                  </v:textbox>
                </v:shape>
                <v:shape id="TextBox 23" o:spid="_x0000_s1052" type="#_x0000_t202" style="position:absolute;left:9940;top:846;width:10803;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" filled="f" stroked="f">
                  <v:textbox style="mso-fit-shape-to-text:t">
                    <w:txbxContent>
                      <w:p w14:paraId="79377ABE" w14:textId="77777777" w:rsidR="008A47AC" w:rsidRDefault="008A47AC" w:rsidP="0054039C">
                        <w:pPr>
                          <w:pStyle w:val="NormalWeb"/>
                          <w:spacing w:after="0"/>
                        </w:pPr>
                        <w:r>
                          <w:rPr>
                            <w:rFonts w:ascii="Arial Narrow" w:hAnsi="Arial Narrow" w:cstheme="minorBidi"/>
                            <w:color w:val="000000" w:themeColor="text1"/>
                            <w:kern w:val="24"/>
                            <w:sz w:val="22"/>
                            <w:szCs w:val="22"/>
                          </w:rPr>
                          <w:t>DMEM 10% FBS</w:t>
                        </w:r>
                      </w:p>
                    </w:txbxContent>
                  </v:textbox>
                </v:shape>
                <v:shape id="TextBox 24" o:spid="_x0000_s1053" type="#_x0000_t202" style="position:absolute;left:27647;top:846;width:10803;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" filled="f" stroked="f">
                  <v:textbox style="mso-fit-shape-to-text:t">
                    <w:txbxContent>
                      <w:p w14:paraId="48054A18" w14:textId="77777777" w:rsidR="008A47AC" w:rsidRDefault="008A47AC" w:rsidP="0054039C">
                        <w:pPr>
                          <w:pStyle w:val="NormalWeb"/>
                          <w:spacing w:after="0"/>
                        </w:pPr>
                        <w:r>
                          <w:rPr>
                            <w:rFonts w:ascii="Arial Narrow" w:hAnsi="Arial Narrow" w:cstheme="minorBidi"/>
                            <w:color w:val="000000" w:themeColor="text1"/>
                            <w:kern w:val="24"/>
                            <w:sz w:val="22"/>
                            <w:szCs w:val="22"/>
                          </w:rPr>
                          <w:t>DMEM 5% FBS</w:t>
                        </w:r>
                      </w:p>
                    </w:txbxContent>
                  </v:textbox>
                </v:shape>
                <w10:wrap anchorx="margin"/>
              </v:group>
            </w:pict>
          </mc:Fallback>
        </mc:AlternateContent>
      </w:r>
    </w:p>
    <w:p w14:paraId="23CAFA7F" w14:textId="3CF88D17" w:rsidR="00D163AF" w:rsidRDefault="00D163AF" w:rsidP="0054039C">
      <w:pPr>
        <w:autoSpaceDE w:val="0"/>
        <w:autoSpaceDN w:val="0"/>
        <w:adjustRightInd w:val="0"/>
        <w:spacing w:after="0" w:line="480" w:lineRule="auto"/>
        <w:jc w:val="both"/>
        <w:rPr>
          <w:rFonts w:ascii="Arial" w:hAnsi="Arial" w:cs="Arial"/>
          <w:color w:val="595959" w:themeColor="text1" w:themeTint="A6"/>
          <w:lang w:val="en-US"/>
        </w:rPr>
      </w:pPr>
    </w:p>
    <w:p w14:paraId="2649729D" w14:textId="7E5022DE" w:rsidR="00D163AF" w:rsidRDefault="00D163AF" w:rsidP="0054039C">
      <w:pPr>
        <w:autoSpaceDE w:val="0"/>
        <w:autoSpaceDN w:val="0"/>
        <w:adjustRightInd w:val="0"/>
        <w:spacing w:after="0" w:line="480" w:lineRule="auto"/>
        <w:jc w:val="both"/>
        <w:rPr>
          <w:rFonts w:ascii="Arial" w:hAnsi="Arial" w:cs="Arial"/>
          <w:color w:val="595959" w:themeColor="text1" w:themeTint="A6"/>
          <w:lang w:val="en-US"/>
        </w:rPr>
      </w:pPr>
    </w:p>
    <w:p w14:paraId="32FB7640" w14:textId="3D8F75F4" w:rsidR="00D163AF" w:rsidRDefault="00D163AF" w:rsidP="0054039C">
      <w:pPr>
        <w:autoSpaceDE w:val="0"/>
        <w:autoSpaceDN w:val="0"/>
        <w:adjustRightInd w:val="0"/>
        <w:spacing w:after="0" w:line="480" w:lineRule="auto"/>
        <w:jc w:val="both"/>
        <w:rPr>
          <w:rFonts w:ascii="Arial" w:hAnsi="Arial" w:cs="Arial"/>
          <w:color w:val="595959" w:themeColor="text1" w:themeTint="A6"/>
          <w:lang w:val="en-US"/>
        </w:rPr>
      </w:pPr>
    </w:p>
    <w:p w14:paraId="7A608701" w14:textId="64282B92" w:rsidR="00D163AF" w:rsidRDefault="00D163AF" w:rsidP="0054039C">
      <w:pPr>
        <w:autoSpaceDE w:val="0"/>
        <w:autoSpaceDN w:val="0"/>
        <w:adjustRightInd w:val="0"/>
        <w:spacing w:after="0" w:line="480" w:lineRule="auto"/>
        <w:jc w:val="both"/>
        <w:rPr>
          <w:rFonts w:ascii="Arial" w:hAnsi="Arial" w:cs="Arial"/>
          <w:color w:val="595959" w:themeColor="text1" w:themeTint="A6"/>
          <w:lang w:val="en-US"/>
        </w:rPr>
      </w:pPr>
    </w:p>
    <w:p w14:paraId="741C63C4" w14:textId="002C4D58" w:rsidR="00D163AF" w:rsidRDefault="00D163AF" w:rsidP="0054039C">
      <w:pPr>
        <w:autoSpaceDE w:val="0"/>
        <w:autoSpaceDN w:val="0"/>
        <w:adjustRightInd w:val="0"/>
        <w:spacing w:after="0" w:line="480" w:lineRule="auto"/>
        <w:jc w:val="both"/>
        <w:rPr>
          <w:rFonts w:ascii="Arial" w:hAnsi="Arial" w:cs="Arial"/>
          <w:color w:val="595959" w:themeColor="text1" w:themeTint="A6"/>
          <w:lang w:val="en-US"/>
        </w:rPr>
      </w:pPr>
    </w:p>
    <w:p w14:paraId="3E9FD540" w14:textId="14C4DF81" w:rsidR="00D163AF" w:rsidRDefault="00D163AF" w:rsidP="0054039C">
      <w:pPr>
        <w:autoSpaceDE w:val="0"/>
        <w:autoSpaceDN w:val="0"/>
        <w:adjustRightInd w:val="0"/>
        <w:spacing w:after="0" w:line="480" w:lineRule="auto"/>
        <w:jc w:val="both"/>
        <w:rPr>
          <w:rFonts w:ascii="Arial" w:hAnsi="Arial" w:cs="Arial"/>
          <w:color w:val="595959" w:themeColor="text1" w:themeTint="A6"/>
          <w:lang w:val="en-US"/>
        </w:rPr>
      </w:pPr>
    </w:p>
    <w:p w14:paraId="5FBF2543" w14:textId="2504F320" w:rsidR="00D163AF" w:rsidRPr="0054039C" w:rsidRDefault="00D163AF" w:rsidP="0054039C">
      <w:pPr>
        <w:autoSpaceDE w:val="0"/>
        <w:autoSpaceDN w:val="0"/>
        <w:adjustRightInd w:val="0"/>
        <w:spacing w:after="0" w:line="480" w:lineRule="auto"/>
        <w:jc w:val="both"/>
        <w:rPr>
          <w:rFonts w:ascii="Arial" w:hAnsi="Arial" w:cs="Arial"/>
          <w:color w:val="595959" w:themeColor="text1" w:themeTint="A6"/>
          <w:lang w:val="en-US"/>
        </w:rPr>
      </w:pPr>
      <w:r w:rsidRPr="0054039C">
        <w:rPr>
          <w:rFonts w:ascii="Arial" w:hAnsi="Arial" w:cs="Arial"/>
          <w:noProof/>
          <w:color w:val="595959" w:themeColor="text1" w:themeTint="A6"/>
          <w:sz w:val="24"/>
          <w:szCs w:val="24"/>
          <w:lang w:eastAsia="zh-CN"/>
        </w:rPr>
        <mc:AlternateContent>
          <mc:Choice Requires="wps">
            <w:drawing>
              <wp:anchor distT="0" distB="0" distL="114300" distR="114300" simplePos="0" relativeHeight="251658263" behindDoc="0" locked="0" layoutInCell="1" allowOverlap="1" wp14:anchorId="2BD0F342" wp14:editId="49EFCA5F">
                <wp:simplePos x="0" y="0"/>
                <wp:positionH relativeFrom="margin">
                  <wp:align>right</wp:align>
                </wp:positionH>
                <wp:positionV relativeFrom="paragraph">
                  <wp:posOffset>209416</wp:posOffset>
                </wp:positionV>
                <wp:extent cx="5734050" cy="819150"/>
                <wp:effectExtent l="0" t="0" r="0" b="0"/>
                <wp:wrapNone/>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819150"/>
                        </a:xfrm>
                        <a:prstGeom prst="rect">
                          <a:avLst/>
                        </a:prstGeom>
                        <a:solidFill>
                          <a:srgbClr val="FFFFFF"/>
                        </a:solidFill>
                        <a:ln w="9525">
                          <a:noFill/>
                          <a:miter lim="800000"/>
                          <a:headEnd/>
                          <a:tailEnd/>
                        </a:ln>
                      </wps:spPr>
                      <wps:txbx>
                        <w:txbxContent>
                          <w:p w14:paraId="0B12E0A6" w14:textId="77777777" w:rsidR="008A47AC" w:rsidRDefault="008A47AC" w:rsidP="0054039C">
                            <w:pPr>
                              <w:pStyle w:val="Caption"/>
                              <w:jc w:val="both"/>
                              <w:rPr>
                                <w:rFonts w:ascii="Arial Narrow" w:hAnsi="Arial Narrow"/>
                                <w:b/>
                                <w:i w:val="0"/>
                                <w:color w:val="595959" w:themeColor="text1" w:themeTint="A6"/>
                                <w:sz w:val="24"/>
                                <w:szCs w:val="24"/>
                              </w:rPr>
                            </w:pPr>
                            <w:r w:rsidRPr="006B7937">
                              <w:rPr>
                                <w:rFonts w:ascii="Arial Narrow" w:hAnsi="Arial Narrow"/>
                                <w:b/>
                                <w:i w:val="0"/>
                                <w:color w:val="595959" w:themeColor="text1" w:themeTint="A6"/>
                                <w:sz w:val="24"/>
                                <w:szCs w:val="24"/>
                              </w:rPr>
                              <w:t xml:space="preserve">Figure </w:t>
                            </w:r>
                            <w:r>
                              <w:rPr>
                                <w:rFonts w:ascii="Arial Narrow" w:hAnsi="Arial Narrow"/>
                                <w:b/>
                                <w:i w:val="0"/>
                                <w:color w:val="595959" w:themeColor="text1" w:themeTint="A6"/>
                                <w:sz w:val="24"/>
                                <w:szCs w:val="24"/>
                              </w:rPr>
                              <w:t>2.1</w:t>
                            </w:r>
                            <w:r w:rsidRPr="006B7937">
                              <w:rPr>
                                <w:rFonts w:ascii="Arial Narrow" w:hAnsi="Arial Narrow"/>
                                <w:b/>
                                <w:i w:val="0"/>
                                <w:color w:val="595959" w:themeColor="text1" w:themeTint="A6"/>
                                <w:sz w:val="24"/>
                                <w:szCs w:val="24"/>
                              </w:rPr>
                              <w:t xml:space="preserve"> </w:t>
                            </w:r>
                            <w:r>
                              <w:rPr>
                                <w:rFonts w:ascii="Arial Narrow" w:hAnsi="Arial Narrow"/>
                                <w:b/>
                                <w:i w:val="0"/>
                                <w:color w:val="595959" w:themeColor="text1" w:themeTint="A6"/>
                                <w:sz w:val="24"/>
                                <w:szCs w:val="24"/>
                              </w:rPr>
                              <w:t>Fibroblast differentiation protocol</w:t>
                            </w:r>
                          </w:p>
                          <w:p w14:paraId="6E4107A2" w14:textId="77777777" w:rsidR="008A47AC" w:rsidRDefault="008A47AC" w:rsidP="0054039C">
                            <w:pPr>
                              <w:spacing w:line="276" w:lineRule="auto"/>
                              <w:jc w:val="both"/>
                              <w:rPr>
                                <w:rFonts w:ascii="Arial Narrow" w:hAnsi="Arial Narrow" w:cs="Arial"/>
                                <w:color w:val="595959" w:themeColor="text1" w:themeTint="A6"/>
                              </w:rPr>
                            </w:pPr>
                            <w:r>
                              <w:rPr>
                                <w:rFonts w:ascii="Arial Narrow" w:hAnsi="Arial Narrow" w:cs="Arial"/>
                                <w:color w:val="595959" w:themeColor="text1" w:themeTint="A6"/>
                              </w:rPr>
                              <w:t xml:space="preserve">Schematic showing the experimental protocol used for short- and long-term differentiation experiment. RNA/protein lysate was extracted after each time point indicated. </w:t>
                            </w:r>
                          </w:p>
                          <w:p w14:paraId="4FCECF0E" w14:textId="77777777" w:rsidR="008A47AC" w:rsidRPr="00B401D0" w:rsidRDefault="008A47AC" w:rsidP="0054039C"/>
                          <w:p w14:paraId="4BEA3A01" w14:textId="77777777" w:rsidR="008A47AC" w:rsidRPr="00E72F77" w:rsidRDefault="008A47AC" w:rsidP="0054039C">
                            <w:pPr>
                              <w:pStyle w:val="NormalWeb"/>
                              <w:spacing w:after="200" w:line="276" w:lineRule="auto"/>
                              <w:jc w:val="both"/>
                              <w:rPr>
                                <w:rFonts w:ascii="Arial Narrow" w:hAnsi="Arial Narrow"/>
                                <w:color w:val="595959" w:themeColor="text1" w:themeTint="A6"/>
                                <w:sz w:val="22"/>
                                <w:szCs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D0F342" id="_x0000_s1054" type="#_x0000_t202" style="position:absolute;left:0;text-align:left;margin-left:400.3pt;margin-top:16.5pt;width:451.5pt;height:64.5pt;z-index:251658263;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" stroked="f">
                <v:textbox>
                  <w:txbxContent>
                    <w:p w14:paraId="0B12E0A6" w14:textId="77777777" w:rsidR="008A47AC" w:rsidRDefault="008A47AC" w:rsidP="0054039C">
                      <w:pPr>
                        <w:pStyle w:val="Caption"/>
                        <w:jc w:val="both"/>
                        <w:rPr>
                          <w:rFonts w:ascii="Arial Narrow" w:hAnsi="Arial Narrow"/>
                          <w:b/>
                          <w:i w:val="0"/>
                          <w:color w:val="595959" w:themeColor="text1" w:themeTint="A6"/>
                          <w:sz w:val="24"/>
                          <w:szCs w:val="24"/>
                        </w:rPr>
                      </w:pPr>
                      <w:r w:rsidRPr="006B7937">
                        <w:rPr>
                          <w:rFonts w:ascii="Arial Narrow" w:hAnsi="Arial Narrow"/>
                          <w:b/>
                          <w:i w:val="0"/>
                          <w:color w:val="595959" w:themeColor="text1" w:themeTint="A6"/>
                          <w:sz w:val="24"/>
                          <w:szCs w:val="24"/>
                        </w:rPr>
                        <w:t xml:space="preserve">Figure </w:t>
                      </w:r>
                      <w:r>
                        <w:rPr>
                          <w:rFonts w:ascii="Arial Narrow" w:hAnsi="Arial Narrow"/>
                          <w:b/>
                          <w:i w:val="0"/>
                          <w:color w:val="595959" w:themeColor="text1" w:themeTint="A6"/>
                          <w:sz w:val="24"/>
                          <w:szCs w:val="24"/>
                        </w:rPr>
                        <w:t>2.1</w:t>
                      </w:r>
                      <w:r w:rsidRPr="006B7937">
                        <w:rPr>
                          <w:rFonts w:ascii="Arial Narrow" w:hAnsi="Arial Narrow"/>
                          <w:b/>
                          <w:i w:val="0"/>
                          <w:color w:val="595959" w:themeColor="text1" w:themeTint="A6"/>
                          <w:sz w:val="24"/>
                          <w:szCs w:val="24"/>
                        </w:rPr>
                        <w:t xml:space="preserve"> </w:t>
                      </w:r>
                      <w:r>
                        <w:rPr>
                          <w:rFonts w:ascii="Arial Narrow" w:hAnsi="Arial Narrow"/>
                          <w:b/>
                          <w:i w:val="0"/>
                          <w:color w:val="595959" w:themeColor="text1" w:themeTint="A6"/>
                          <w:sz w:val="24"/>
                          <w:szCs w:val="24"/>
                        </w:rPr>
                        <w:t>Fibroblast differentiation protocol</w:t>
                      </w:r>
                    </w:p>
                    <w:p w14:paraId="6E4107A2" w14:textId="77777777" w:rsidR="008A47AC" w:rsidRDefault="008A47AC" w:rsidP="0054039C">
                      <w:pPr>
                        <w:spacing w:line="276" w:lineRule="auto"/>
                        <w:jc w:val="both"/>
                        <w:rPr>
                          <w:rFonts w:ascii="Arial Narrow" w:hAnsi="Arial Narrow" w:cs="Arial"/>
                          <w:color w:val="595959" w:themeColor="text1" w:themeTint="A6"/>
                        </w:rPr>
                      </w:pPr>
                      <w:r>
                        <w:rPr>
                          <w:rFonts w:ascii="Arial Narrow" w:hAnsi="Arial Narrow" w:cs="Arial"/>
                          <w:color w:val="595959" w:themeColor="text1" w:themeTint="A6"/>
                        </w:rPr>
                        <w:t xml:space="preserve">Schematic showing the experimental protocol used for short- and long-term differentiation experiment. RNA/protein lysate was extracted after each time point indicated. </w:t>
                      </w:r>
                    </w:p>
                    <w:p w14:paraId="4FCECF0E" w14:textId="77777777" w:rsidR="008A47AC" w:rsidRPr="00B401D0" w:rsidRDefault="008A47AC" w:rsidP="0054039C"/>
                    <w:p w14:paraId="4BEA3A01" w14:textId="77777777" w:rsidR="008A47AC" w:rsidRPr="00E72F77" w:rsidRDefault="008A47AC" w:rsidP="0054039C">
                      <w:pPr>
                        <w:pStyle w:val="NormalWeb"/>
                        <w:spacing w:after="200" w:line="276" w:lineRule="auto"/>
                        <w:jc w:val="both"/>
                        <w:rPr>
                          <w:rFonts w:ascii="Arial Narrow" w:hAnsi="Arial Narrow"/>
                          <w:color w:val="595959" w:themeColor="text1" w:themeTint="A6"/>
                          <w:sz w:val="22"/>
                          <w:szCs w:val="22"/>
                        </w:rPr>
                      </w:pPr>
                    </w:p>
                  </w:txbxContent>
                </v:textbox>
                <w10:wrap anchorx="margin"/>
              </v:shape>
            </w:pict>
          </mc:Fallback>
        </mc:AlternateContent>
      </w:r>
    </w:p>
    <w:p w14:paraId="5EB79337" w14:textId="1AB8E543" w:rsidR="0054039C" w:rsidRDefault="0054039C" w:rsidP="0054039C">
      <w:pPr>
        <w:autoSpaceDE w:val="0"/>
        <w:autoSpaceDN w:val="0"/>
        <w:adjustRightInd w:val="0"/>
        <w:spacing w:after="0" w:line="480" w:lineRule="auto"/>
        <w:jc w:val="both"/>
        <w:rPr>
          <w:rFonts w:ascii="Arial" w:hAnsi="Arial" w:cs="Arial"/>
          <w:color w:val="595959" w:themeColor="text1" w:themeTint="A6"/>
          <w:lang w:val="en-US"/>
        </w:rPr>
      </w:pPr>
    </w:p>
    <w:p w14:paraId="374E0050" w14:textId="5B7AD93E" w:rsidR="00D163AF" w:rsidRDefault="00D163AF" w:rsidP="0054039C">
      <w:pPr>
        <w:autoSpaceDE w:val="0"/>
        <w:autoSpaceDN w:val="0"/>
        <w:adjustRightInd w:val="0"/>
        <w:spacing w:after="0" w:line="480" w:lineRule="auto"/>
        <w:jc w:val="both"/>
        <w:rPr>
          <w:rFonts w:ascii="Arial" w:hAnsi="Arial" w:cs="Arial"/>
          <w:color w:val="595959" w:themeColor="text1" w:themeTint="A6"/>
          <w:lang w:val="en-US"/>
        </w:rPr>
      </w:pPr>
    </w:p>
    <w:p w14:paraId="4777475D" w14:textId="7CF28F58" w:rsidR="00D163AF" w:rsidRDefault="00D163AF" w:rsidP="0054039C">
      <w:pPr>
        <w:autoSpaceDE w:val="0"/>
        <w:autoSpaceDN w:val="0"/>
        <w:adjustRightInd w:val="0"/>
        <w:spacing w:after="0" w:line="480" w:lineRule="auto"/>
        <w:jc w:val="both"/>
        <w:rPr>
          <w:rFonts w:ascii="Arial" w:hAnsi="Arial" w:cs="Arial"/>
          <w:color w:val="595959" w:themeColor="text1" w:themeTint="A6"/>
          <w:lang w:val="en-US"/>
        </w:rPr>
      </w:pPr>
    </w:p>
    <w:p w14:paraId="00721769" w14:textId="77777777" w:rsidR="00D163AF" w:rsidRPr="0054039C" w:rsidRDefault="00D163AF" w:rsidP="0054039C">
      <w:pPr>
        <w:autoSpaceDE w:val="0"/>
        <w:autoSpaceDN w:val="0"/>
        <w:adjustRightInd w:val="0"/>
        <w:spacing w:after="0" w:line="480" w:lineRule="auto"/>
        <w:jc w:val="both"/>
        <w:rPr>
          <w:rFonts w:ascii="Arial" w:hAnsi="Arial" w:cs="Arial"/>
          <w:color w:val="595959" w:themeColor="text1" w:themeTint="A6"/>
          <w:lang w:val="en-US"/>
        </w:rPr>
      </w:pPr>
    </w:p>
    <w:p w14:paraId="4397A050" w14:textId="5E02F8FF" w:rsidR="0054039C" w:rsidRDefault="0054039C" w:rsidP="00AA47CD">
      <w:pPr>
        <w:pStyle w:val="Heading4"/>
        <w:rPr>
          <w:rFonts w:ascii="Arial" w:hAnsi="Arial" w:cs="Arial"/>
          <w:bCs/>
          <w:color w:val="595959" w:themeColor="text1" w:themeTint="A6"/>
        </w:rPr>
      </w:pPr>
      <w:bookmarkStart w:id="112" w:name="_Toc34208306"/>
      <w:r w:rsidRPr="0054039C">
        <w:rPr>
          <w:rFonts w:ascii="Arial" w:hAnsi="Arial" w:cs="Arial"/>
          <w:bCs/>
          <w:color w:val="595959" w:themeColor="text1" w:themeTint="A6"/>
        </w:rPr>
        <w:t>2.2.5.2 Drug assay development on 2D fibroblast cultures</w:t>
      </w:r>
      <w:bookmarkEnd w:id="112"/>
    </w:p>
    <w:p w14:paraId="331745A0" w14:textId="77777777" w:rsidR="00AA47CD" w:rsidRPr="00AA47CD" w:rsidRDefault="00AA47CD" w:rsidP="00AA47CD"/>
    <w:p w14:paraId="264AAB4F" w14:textId="02256AC3" w:rsidR="00CB5159" w:rsidRPr="00D163AF" w:rsidRDefault="0054039C" w:rsidP="00D163AF">
      <w:pPr>
        <w:autoSpaceDE w:val="0"/>
        <w:autoSpaceDN w:val="0"/>
        <w:adjustRightInd w:val="0"/>
        <w:spacing w:after="0" w:line="480" w:lineRule="auto"/>
        <w:jc w:val="both"/>
        <w:rPr>
          <w:rFonts w:ascii="Arial" w:hAnsi="Arial" w:cs="Arial"/>
          <w:bCs/>
          <w:iCs/>
          <w:color w:val="595959" w:themeColor="text1" w:themeTint="A6"/>
        </w:rPr>
      </w:pPr>
      <w:bookmarkStart w:id="113" w:name="_Hlk535589004"/>
      <w:r w:rsidRPr="0054039C">
        <w:rPr>
          <w:rFonts w:ascii="Arial" w:hAnsi="Arial" w:cs="Arial"/>
          <w:bCs/>
          <w:iCs/>
          <w:color w:val="595959" w:themeColor="text1" w:themeTint="A6"/>
        </w:rPr>
        <w:t>The effects of stromal inhibitors Batimastat and Scriptaid was assessed on 2D NOF and CAF cultures. 2.5 x 10</w:t>
      </w:r>
      <w:r w:rsidRPr="0054039C">
        <w:rPr>
          <w:rFonts w:ascii="Arial" w:hAnsi="Arial" w:cs="Arial"/>
          <w:bCs/>
          <w:iCs/>
          <w:color w:val="595959" w:themeColor="text1" w:themeTint="A6"/>
          <w:vertAlign w:val="superscript"/>
        </w:rPr>
        <w:t xml:space="preserve">5 </w:t>
      </w:r>
      <w:r w:rsidRPr="0054039C">
        <w:rPr>
          <w:rFonts w:ascii="Arial" w:hAnsi="Arial" w:cs="Arial"/>
          <w:bCs/>
          <w:iCs/>
          <w:color w:val="595959" w:themeColor="text1" w:themeTint="A6"/>
        </w:rPr>
        <w:t xml:space="preserve">oral fibroblast were seeded in 6-well plates in fibroblast-growth media </w:t>
      </w:r>
      <w:r w:rsidRPr="0054039C">
        <w:rPr>
          <w:rFonts w:ascii="Arial" w:hAnsi="Arial" w:cs="Arial"/>
          <w:color w:val="595959" w:themeColor="text1" w:themeTint="A6"/>
          <w:lang w:val="en-US"/>
        </w:rPr>
        <w:t xml:space="preserve">for 24 h. Media was changed to serum free DMEM and incubated for a further 24 h before being subsequently treated with </w:t>
      </w:r>
      <w:r w:rsidRPr="0054039C">
        <w:rPr>
          <w:rFonts w:ascii="Arial" w:hAnsi="Arial" w:cs="Arial"/>
          <w:bCs/>
          <w:iCs/>
          <w:color w:val="595959" w:themeColor="text1" w:themeTint="A6"/>
        </w:rPr>
        <w:t>either a vehicle control (</w:t>
      </w:r>
      <w:r w:rsidRPr="0054039C">
        <w:rPr>
          <w:rFonts w:ascii="Arial" w:hAnsi="Arial" w:cs="Arial"/>
          <w:color w:val="595959" w:themeColor="text1" w:themeTint="A6"/>
          <w:lang w:val="en-US"/>
        </w:rPr>
        <w:t>4 mM HCl containing BSA (1 mg/mL)</w:t>
      </w:r>
      <w:r w:rsidRPr="0054039C">
        <w:rPr>
          <w:rFonts w:ascii="Arial" w:hAnsi="Arial" w:cs="Arial"/>
          <w:bCs/>
          <w:iCs/>
          <w:color w:val="595959" w:themeColor="text1" w:themeTint="A6"/>
        </w:rPr>
        <w:t>), 10 ng/mL TGFβ-1, 10 ng/mL scriptaid, or 10 ng/mL Batimastat or the drugs in combination with TGFβ-1</w:t>
      </w:r>
      <w:r w:rsidRPr="0054039C">
        <w:rPr>
          <w:rFonts w:ascii="Arial" w:hAnsi="Arial" w:cs="Arial"/>
          <w:color w:val="595959" w:themeColor="text1" w:themeTint="A6"/>
          <w:lang w:val="en-US"/>
        </w:rPr>
        <w:t xml:space="preserve"> for 48 h. </w:t>
      </w:r>
      <w:r w:rsidRPr="0054039C">
        <w:rPr>
          <w:rFonts w:ascii="Arial" w:hAnsi="Arial" w:cs="Arial"/>
          <w:bCs/>
          <w:iCs/>
          <w:color w:val="595959" w:themeColor="text1" w:themeTint="A6"/>
        </w:rPr>
        <w:t xml:space="preserve">RNA and protein was collected from all samples for further analysis of ECM expression and composition (Sections 2.27 </w:t>
      </w:r>
      <w:r w:rsidR="004D2EB8">
        <w:rPr>
          <w:rFonts w:ascii="Arial" w:hAnsi="Arial" w:cs="Arial"/>
          <w:bCs/>
          <w:iCs/>
          <w:color w:val="595959" w:themeColor="text1" w:themeTint="A6"/>
        </w:rPr>
        <w:t>and</w:t>
      </w:r>
      <w:r w:rsidRPr="0054039C">
        <w:rPr>
          <w:rFonts w:ascii="Arial" w:hAnsi="Arial" w:cs="Arial"/>
          <w:bCs/>
          <w:iCs/>
          <w:color w:val="595959" w:themeColor="text1" w:themeTint="A6"/>
        </w:rPr>
        <w:t xml:space="preserve"> 2.29)</w:t>
      </w:r>
      <w:bookmarkStart w:id="114" w:name="_Toc534278598"/>
      <w:bookmarkEnd w:id="113"/>
    </w:p>
    <w:p w14:paraId="2412AAC4" w14:textId="39893183" w:rsidR="0054039C" w:rsidRPr="0054039C" w:rsidRDefault="0054039C" w:rsidP="00CB5159">
      <w:pPr>
        <w:pStyle w:val="Heading3"/>
        <w:rPr>
          <w:rFonts w:ascii="Arial" w:hAnsi="Arial" w:cs="Arial"/>
          <w:color w:val="595959" w:themeColor="text1" w:themeTint="A6"/>
          <w:lang w:val="en-US"/>
        </w:rPr>
      </w:pPr>
      <w:bookmarkStart w:id="115" w:name="_Toc34208307"/>
      <w:r w:rsidRPr="0054039C">
        <w:rPr>
          <w:rFonts w:ascii="Arial" w:hAnsi="Arial" w:cs="Arial"/>
          <w:color w:val="595959" w:themeColor="text1" w:themeTint="A6"/>
          <w:lang w:val="en-US"/>
        </w:rPr>
        <w:lastRenderedPageBreak/>
        <w:t>2.2.6 Development of tissue-engineered models</w:t>
      </w:r>
      <w:bookmarkEnd w:id="114"/>
      <w:bookmarkEnd w:id="115"/>
    </w:p>
    <w:p w14:paraId="7B2DF006" w14:textId="77777777" w:rsidR="0054039C" w:rsidRPr="0054039C" w:rsidRDefault="0054039C" w:rsidP="0054039C">
      <w:pPr>
        <w:spacing w:after="0" w:line="480" w:lineRule="auto"/>
        <w:jc w:val="both"/>
        <w:rPr>
          <w:rFonts w:asciiTheme="minorBidi" w:hAnsiTheme="minorBidi"/>
          <w:color w:val="595959" w:themeColor="text1" w:themeTint="A6"/>
          <w:sz w:val="24"/>
          <w:szCs w:val="24"/>
          <w:u w:val="single"/>
          <w:lang w:val="en-US"/>
        </w:rPr>
      </w:pPr>
    </w:p>
    <w:p w14:paraId="2C5E19AE" w14:textId="77777777" w:rsidR="0054039C" w:rsidRPr="0054039C" w:rsidRDefault="0054039C" w:rsidP="00AA47CD">
      <w:pPr>
        <w:pStyle w:val="Heading4"/>
        <w:rPr>
          <w:rFonts w:ascii="Arial" w:hAnsi="Arial" w:cs="Arial"/>
          <w:color w:val="595959" w:themeColor="text1" w:themeTint="A6"/>
          <w:lang w:val="en-US"/>
        </w:rPr>
      </w:pPr>
      <w:bookmarkStart w:id="116" w:name="_Toc515897470"/>
      <w:bookmarkStart w:id="117" w:name="_Toc534278599"/>
      <w:bookmarkStart w:id="118" w:name="_Toc34208308"/>
      <w:r w:rsidRPr="0054039C">
        <w:rPr>
          <w:rFonts w:ascii="Arial" w:hAnsi="Arial" w:cs="Arial"/>
          <w:color w:val="595959" w:themeColor="text1" w:themeTint="A6"/>
          <w:lang w:val="en-US"/>
        </w:rPr>
        <w:t>2.2.6.1 Generation of fibroblast-derived matrices</w:t>
      </w:r>
      <w:bookmarkEnd w:id="116"/>
      <w:bookmarkEnd w:id="117"/>
      <w:bookmarkEnd w:id="118"/>
      <w:r w:rsidRPr="0054039C">
        <w:rPr>
          <w:rFonts w:ascii="Arial" w:hAnsi="Arial" w:cs="Arial"/>
          <w:color w:val="595959" w:themeColor="text1" w:themeTint="A6"/>
          <w:lang w:val="en-US"/>
        </w:rPr>
        <w:t xml:space="preserve"> </w:t>
      </w:r>
    </w:p>
    <w:p w14:paraId="310BF9A9" w14:textId="77777777" w:rsidR="0054039C" w:rsidRPr="0054039C" w:rsidRDefault="0054039C" w:rsidP="0054039C">
      <w:pPr>
        <w:rPr>
          <w:lang w:val="en-US"/>
        </w:rPr>
      </w:pPr>
    </w:p>
    <w:p w14:paraId="33758CE1" w14:textId="051C3953" w:rsidR="0054039C" w:rsidRPr="0054039C" w:rsidRDefault="0054039C" w:rsidP="0054039C">
      <w:pPr>
        <w:spacing w:after="0" w:line="480" w:lineRule="auto"/>
        <w:jc w:val="both"/>
        <w:rPr>
          <w:rFonts w:ascii="Arial" w:hAnsi="Arial" w:cs="Arial"/>
          <w:color w:val="595959" w:themeColor="text1" w:themeTint="A6"/>
          <w:lang w:val="en-US"/>
        </w:rPr>
      </w:pPr>
      <w:r w:rsidRPr="0054039C">
        <w:rPr>
          <w:rFonts w:ascii="Arial" w:hAnsi="Arial" w:cs="Arial"/>
          <w:color w:val="595959" w:themeColor="text1" w:themeTint="A6"/>
          <w:lang w:val="en-US"/>
        </w:rPr>
        <w:t>Human NOF or CAF were seeded in a three-step seeding process by seeding 5 x10</w:t>
      </w:r>
      <w:r w:rsidRPr="0054039C">
        <w:rPr>
          <w:rFonts w:ascii="Arial" w:hAnsi="Arial" w:cs="Arial"/>
          <w:color w:val="595959" w:themeColor="text1" w:themeTint="A6"/>
          <w:vertAlign w:val="superscript"/>
          <w:lang w:val="en-US"/>
        </w:rPr>
        <w:t>5</w:t>
      </w:r>
      <w:r w:rsidRPr="0054039C">
        <w:rPr>
          <w:rFonts w:ascii="Arial" w:hAnsi="Arial" w:cs="Arial"/>
          <w:color w:val="595959" w:themeColor="text1" w:themeTint="A6"/>
          <w:lang w:val="en-US"/>
        </w:rPr>
        <w:t xml:space="preserve"> cells on days 1, 3, and 5 resulting in 1.5 x10</w:t>
      </w:r>
      <w:r w:rsidRPr="0054039C">
        <w:rPr>
          <w:rFonts w:ascii="Arial" w:hAnsi="Arial" w:cs="Arial"/>
          <w:color w:val="595959" w:themeColor="text1" w:themeTint="A6"/>
          <w:vertAlign w:val="superscript"/>
          <w:lang w:val="en-US"/>
        </w:rPr>
        <w:t xml:space="preserve">6 </w:t>
      </w:r>
      <w:r w:rsidRPr="0054039C">
        <w:rPr>
          <w:rFonts w:ascii="Arial" w:hAnsi="Arial" w:cs="Arial"/>
          <w:color w:val="595959" w:themeColor="text1" w:themeTint="A6"/>
          <w:lang w:val="en-US"/>
        </w:rPr>
        <w:t>cells in total onto a 12-well translucent insert with high-density 0.4 mm pores (culture surface 113.1 mm</w:t>
      </w:r>
      <w:r w:rsidRPr="0054039C">
        <w:rPr>
          <w:rFonts w:ascii="Arial" w:hAnsi="Arial" w:cs="Arial"/>
          <w:color w:val="595959" w:themeColor="text1" w:themeTint="A6"/>
          <w:vertAlign w:val="superscript"/>
          <w:lang w:val="en-US"/>
        </w:rPr>
        <w:t>2</w:t>
      </w:r>
      <w:r w:rsidRPr="0054039C">
        <w:rPr>
          <w:rFonts w:ascii="Arial" w:hAnsi="Arial" w:cs="Arial"/>
          <w:color w:val="595959" w:themeColor="text1" w:themeTint="A6"/>
          <w:lang w:val="en-US"/>
        </w:rPr>
        <w:t>) cultured in 12-deep-well plates. Cells were seeded in 500 µL of fibroblast-derived matrix (FDM) media onto the insert membrane and incubated for 1 h. A further 5 mL media was added to the well beneath the insert and allowed to equilibrate. Two different culture mediums were used to optimise the matrix densities and ECM compositional capabilities; media 1 (DMEM) described in section 2.2.1.1 and media 2 (FDM) described in section 2.2.1.3. Media 2 (FDM media) was used as the primary media for culturing matrices. The media was replaced every three days with additional renewed human recombinant proteins (TGFβ-1 (1 ng/mL), EGF (10 ng/mL), bFGF (5 ng/mL) and 200 µg/mL 2-phospho-L-ascorbic acid in order to limit degradation. Matrices were maintained for 4 weeks at 37°C in 5% CO</w:t>
      </w:r>
      <w:r w:rsidRPr="0054039C">
        <w:rPr>
          <w:rFonts w:ascii="Arial" w:hAnsi="Arial" w:cs="Arial"/>
          <w:color w:val="595959" w:themeColor="text1" w:themeTint="A6"/>
          <w:vertAlign w:val="subscript"/>
          <w:lang w:val="en-US"/>
        </w:rPr>
        <w:t>2</w:t>
      </w:r>
      <w:r w:rsidRPr="0054039C">
        <w:rPr>
          <w:rFonts w:ascii="Arial" w:hAnsi="Arial" w:cs="Arial"/>
          <w:color w:val="595959" w:themeColor="text1" w:themeTint="A6"/>
          <w:lang w:val="en-US"/>
        </w:rPr>
        <w:t xml:space="preserve"> (Figure 2.2). </w:t>
      </w:r>
    </w:p>
    <w:p w14:paraId="3FAA6E54" w14:textId="77777777" w:rsidR="0054039C" w:rsidRPr="0054039C" w:rsidRDefault="0054039C" w:rsidP="0054039C">
      <w:pPr>
        <w:spacing w:after="0" w:line="480" w:lineRule="auto"/>
        <w:jc w:val="both"/>
        <w:rPr>
          <w:rFonts w:ascii="Arial" w:hAnsi="Arial" w:cs="Arial"/>
          <w:color w:val="595959" w:themeColor="text1" w:themeTint="A6"/>
          <w:lang w:val="en-US"/>
        </w:rPr>
      </w:pPr>
    </w:p>
    <w:p w14:paraId="08575726" w14:textId="77777777" w:rsidR="0054039C" w:rsidRPr="0054039C" w:rsidRDefault="0054039C" w:rsidP="0054039C">
      <w:pPr>
        <w:spacing w:after="0" w:line="480" w:lineRule="auto"/>
        <w:jc w:val="both"/>
        <w:rPr>
          <w:rFonts w:ascii="Arial" w:hAnsi="Arial" w:cs="Arial"/>
          <w:color w:val="595959" w:themeColor="text1" w:themeTint="A6"/>
          <w:lang w:val="en-US"/>
        </w:rPr>
      </w:pPr>
    </w:p>
    <w:p w14:paraId="19B6FCFC" w14:textId="77777777" w:rsidR="0054039C" w:rsidRPr="0054039C" w:rsidRDefault="0054039C" w:rsidP="0054039C">
      <w:pPr>
        <w:spacing w:after="0" w:line="480" w:lineRule="auto"/>
        <w:jc w:val="both"/>
        <w:rPr>
          <w:rFonts w:ascii="Arial" w:hAnsi="Arial" w:cs="Arial"/>
          <w:color w:val="595959" w:themeColor="text1" w:themeTint="A6"/>
          <w:lang w:val="en-US"/>
        </w:rPr>
      </w:pPr>
    </w:p>
    <w:p w14:paraId="1C142185" w14:textId="77777777" w:rsidR="0054039C" w:rsidRPr="0054039C" w:rsidRDefault="0054039C" w:rsidP="0054039C">
      <w:pPr>
        <w:spacing w:after="0" w:line="480" w:lineRule="auto"/>
        <w:jc w:val="both"/>
        <w:rPr>
          <w:rFonts w:ascii="Arial" w:hAnsi="Arial" w:cs="Arial"/>
          <w:color w:val="595959" w:themeColor="text1" w:themeTint="A6"/>
          <w:lang w:val="en-US"/>
        </w:rPr>
      </w:pPr>
    </w:p>
    <w:p w14:paraId="4B56BA37" w14:textId="77777777" w:rsidR="0054039C" w:rsidRPr="0054039C" w:rsidRDefault="0054039C" w:rsidP="0054039C">
      <w:pPr>
        <w:spacing w:after="0" w:line="480" w:lineRule="auto"/>
        <w:jc w:val="both"/>
        <w:rPr>
          <w:rFonts w:ascii="Arial" w:hAnsi="Arial" w:cs="Arial"/>
          <w:color w:val="595959" w:themeColor="text1" w:themeTint="A6"/>
          <w:lang w:val="en-US"/>
        </w:rPr>
      </w:pPr>
    </w:p>
    <w:p w14:paraId="5932B415" w14:textId="0628C860" w:rsidR="0054039C" w:rsidRDefault="0054039C" w:rsidP="0054039C">
      <w:pPr>
        <w:spacing w:after="0" w:line="480" w:lineRule="auto"/>
        <w:jc w:val="both"/>
        <w:rPr>
          <w:rFonts w:ascii="Arial" w:hAnsi="Arial" w:cs="Arial"/>
          <w:color w:val="595959" w:themeColor="text1" w:themeTint="A6"/>
          <w:lang w:val="en-US"/>
        </w:rPr>
      </w:pPr>
    </w:p>
    <w:p w14:paraId="659BC265" w14:textId="4D352E4F" w:rsidR="00AA47CD" w:rsidRDefault="00AA47CD" w:rsidP="0054039C">
      <w:pPr>
        <w:spacing w:after="0" w:line="480" w:lineRule="auto"/>
        <w:jc w:val="both"/>
        <w:rPr>
          <w:rFonts w:ascii="Arial" w:hAnsi="Arial" w:cs="Arial"/>
          <w:color w:val="595959" w:themeColor="text1" w:themeTint="A6"/>
          <w:lang w:val="en-US"/>
        </w:rPr>
      </w:pPr>
    </w:p>
    <w:p w14:paraId="0C3E5A1B" w14:textId="4F136346" w:rsidR="00AA47CD" w:rsidRDefault="00AA47CD" w:rsidP="0054039C">
      <w:pPr>
        <w:spacing w:after="0" w:line="480" w:lineRule="auto"/>
        <w:jc w:val="both"/>
        <w:rPr>
          <w:rFonts w:ascii="Arial" w:hAnsi="Arial" w:cs="Arial"/>
          <w:color w:val="595959" w:themeColor="text1" w:themeTint="A6"/>
          <w:lang w:val="en-US"/>
        </w:rPr>
      </w:pPr>
    </w:p>
    <w:p w14:paraId="35D44760" w14:textId="2BC30AA3" w:rsidR="00AA47CD" w:rsidRDefault="00AA47CD" w:rsidP="0054039C">
      <w:pPr>
        <w:spacing w:after="0" w:line="480" w:lineRule="auto"/>
        <w:jc w:val="both"/>
        <w:rPr>
          <w:rFonts w:ascii="Arial" w:hAnsi="Arial" w:cs="Arial"/>
          <w:color w:val="595959" w:themeColor="text1" w:themeTint="A6"/>
          <w:lang w:val="en-US"/>
        </w:rPr>
      </w:pPr>
    </w:p>
    <w:p w14:paraId="747BE41B" w14:textId="77777777" w:rsidR="00AA47CD" w:rsidRPr="0054039C" w:rsidRDefault="00AA47CD" w:rsidP="0054039C">
      <w:pPr>
        <w:spacing w:after="0" w:line="480" w:lineRule="auto"/>
        <w:jc w:val="both"/>
        <w:rPr>
          <w:rFonts w:ascii="Arial" w:hAnsi="Arial" w:cs="Arial"/>
          <w:color w:val="595959" w:themeColor="text1" w:themeTint="A6"/>
          <w:lang w:val="en-US"/>
        </w:rPr>
      </w:pPr>
    </w:p>
    <w:p w14:paraId="3CC3887B" w14:textId="77777777" w:rsidR="0054039C" w:rsidRPr="0054039C" w:rsidRDefault="0054039C" w:rsidP="0054039C">
      <w:pPr>
        <w:spacing w:after="0" w:line="480" w:lineRule="auto"/>
        <w:jc w:val="both"/>
        <w:rPr>
          <w:rFonts w:ascii="Arial" w:hAnsi="Arial" w:cs="Arial"/>
          <w:color w:val="595959" w:themeColor="text1" w:themeTint="A6"/>
          <w:lang w:val="en-US"/>
        </w:rPr>
      </w:pPr>
    </w:p>
    <w:p w14:paraId="3457B2B2" w14:textId="77777777" w:rsidR="0054039C" w:rsidRPr="0054039C" w:rsidRDefault="0054039C" w:rsidP="0054039C">
      <w:pPr>
        <w:spacing w:after="0" w:line="480" w:lineRule="auto"/>
        <w:jc w:val="both"/>
        <w:rPr>
          <w:rFonts w:ascii="Arial" w:hAnsi="Arial" w:cs="Arial"/>
          <w:color w:val="595959" w:themeColor="text1" w:themeTint="A6"/>
          <w:lang w:val="en-US"/>
        </w:rPr>
      </w:pPr>
    </w:p>
    <w:p w14:paraId="236F329A" w14:textId="601B0A15" w:rsidR="0054039C" w:rsidRPr="0054039C" w:rsidRDefault="003759EE" w:rsidP="0054039C">
      <w:pPr>
        <w:spacing w:after="0" w:line="480" w:lineRule="auto"/>
        <w:jc w:val="both"/>
        <w:rPr>
          <w:rFonts w:ascii="Arial" w:hAnsi="Arial" w:cs="Arial"/>
          <w:color w:val="595959" w:themeColor="text1" w:themeTint="A6"/>
          <w:lang w:val="en-US"/>
        </w:rPr>
      </w:pPr>
      <w:r w:rsidRPr="0054039C">
        <w:rPr>
          <w:rFonts w:ascii="Arial" w:hAnsi="Arial" w:cs="Arial"/>
          <w:noProof/>
          <w:color w:val="595959" w:themeColor="text1" w:themeTint="A6"/>
          <w:lang w:eastAsia="zh-CN"/>
        </w:rPr>
        <w:lastRenderedPageBreak/>
        <w:drawing>
          <wp:anchor distT="0" distB="0" distL="114300" distR="114300" simplePos="0" relativeHeight="251658252" behindDoc="0" locked="0" layoutInCell="1" allowOverlap="1" wp14:anchorId="4688BEEA" wp14:editId="509240E3">
            <wp:simplePos x="0" y="0"/>
            <wp:positionH relativeFrom="margin">
              <wp:posOffset>101600</wp:posOffset>
            </wp:positionH>
            <wp:positionV relativeFrom="paragraph">
              <wp:posOffset>116840</wp:posOffset>
            </wp:positionV>
            <wp:extent cx="5750761" cy="6972300"/>
            <wp:effectExtent l="0" t="0" r="0" b="0"/>
            <wp:wrapNone/>
            <wp:docPr id="1569" name="Picture 1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50761" cy="6972300"/>
                    </a:xfrm>
                    <a:prstGeom prst="rect">
                      <a:avLst/>
                    </a:prstGeom>
                    <a:noFill/>
                  </pic:spPr>
                </pic:pic>
              </a:graphicData>
            </a:graphic>
            <wp14:sizeRelH relativeFrom="margin">
              <wp14:pctWidth>0</wp14:pctWidth>
            </wp14:sizeRelH>
            <wp14:sizeRelV relativeFrom="margin">
              <wp14:pctHeight>0</wp14:pctHeight>
            </wp14:sizeRelV>
          </wp:anchor>
        </w:drawing>
      </w:r>
    </w:p>
    <w:p w14:paraId="7BF512E9" w14:textId="234B9034" w:rsidR="0054039C" w:rsidRDefault="0054039C" w:rsidP="0054039C">
      <w:pPr>
        <w:spacing w:after="0" w:line="480" w:lineRule="auto"/>
        <w:jc w:val="both"/>
        <w:rPr>
          <w:rFonts w:ascii="Arial" w:hAnsi="Arial" w:cs="Arial"/>
          <w:color w:val="595959" w:themeColor="text1" w:themeTint="A6"/>
          <w:lang w:val="en-US"/>
        </w:rPr>
      </w:pPr>
    </w:p>
    <w:p w14:paraId="5DACAA6E" w14:textId="44132D4E" w:rsidR="008D0E0F" w:rsidRDefault="008D0E0F" w:rsidP="0054039C">
      <w:pPr>
        <w:spacing w:after="0" w:line="480" w:lineRule="auto"/>
        <w:jc w:val="both"/>
        <w:rPr>
          <w:rFonts w:ascii="Arial" w:hAnsi="Arial" w:cs="Arial"/>
          <w:color w:val="595959" w:themeColor="text1" w:themeTint="A6"/>
          <w:lang w:val="en-US"/>
        </w:rPr>
      </w:pPr>
    </w:p>
    <w:p w14:paraId="2EBDE008" w14:textId="3FDE7615" w:rsidR="008D0E0F" w:rsidRPr="0054039C" w:rsidRDefault="008D0E0F" w:rsidP="0054039C">
      <w:pPr>
        <w:spacing w:after="0" w:line="480" w:lineRule="auto"/>
        <w:jc w:val="both"/>
        <w:rPr>
          <w:rFonts w:ascii="Arial" w:hAnsi="Arial" w:cs="Arial"/>
          <w:color w:val="595959" w:themeColor="text1" w:themeTint="A6"/>
          <w:lang w:val="en-US"/>
        </w:rPr>
      </w:pPr>
    </w:p>
    <w:p w14:paraId="03E3741A" w14:textId="2D959FAA" w:rsidR="0054039C" w:rsidRPr="0054039C" w:rsidRDefault="0054039C" w:rsidP="0054039C">
      <w:pPr>
        <w:spacing w:after="0" w:line="480" w:lineRule="auto"/>
        <w:jc w:val="both"/>
        <w:rPr>
          <w:rFonts w:ascii="Arial" w:hAnsi="Arial" w:cs="Arial"/>
          <w:color w:val="595959" w:themeColor="text1" w:themeTint="A6"/>
          <w:lang w:val="en-US"/>
        </w:rPr>
      </w:pPr>
    </w:p>
    <w:p w14:paraId="47E9BBDF" w14:textId="77777777" w:rsidR="0054039C" w:rsidRPr="0054039C" w:rsidRDefault="0054039C" w:rsidP="0054039C">
      <w:pPr>
        <w:spacing w:after="0" w:line="480" w:lineRule="auto"/>
        <w:jc w:val="both"/>
        <w:rPr>
          <w:rFonts w:ascii="Arial" w:hAnsi="Arial" w:cs="Arial"/>
          <w:color w:val="595959" w:themeColor="text1" w:themeTint="A6"/>
          <w:lang w:val="en-US"/>
        </w:rPr>
      </w:pPr>
    </w:p>
    <w:p w14:paraId="6CD93D37" w14:textId="77777777" w:rsidR="0054039C" w:rsidRPr="0054039C" w:rsidRDefault="0054039C" w:rsidP="0054039C">
      <w:pPr>
        <w:spacing w:after="0" w:line="480" w:lineRule="auto"/>
        <w:jc w:val="both"/>
        <w:rPr>
          <w:rFonts w:ascii="Arial" w:hAnsi="Arial" w:cs="Arial"/>
          <w:color w:val="595959" w:themeColor="text1" w:themeTint="A6"/>
          <w:lang w:val="en-US"/>
        </w:rPr>
      </w:pPr>
    </w:p>
    <w:p w14:paraId="650E53B3" w14:textId="77777777" w:rsidR="0054039C" w:rsidRPr="0054039C" w:rsidRDefault="0054039C" w:rsidP="0054039C">
      <w:pPr>
        <w:spacing w:after="0" w:line="480" w:lineRule="auto"/>
        <w:jc w:val="both"/>
        <w:rPr>
          <w:rFonts w:ascii="Arial" w:hAnsi="Arial" w:cs="Arial"/>
          <w:color w:val="595959" w:themeColor="text1" w:themeTint="A6"/>
          <w:lang w:val="en-US"/>
        </w:rPr>
      </w:pPr>
    </w:p>
    <w:p w14:paraId="71ADE971" w14:textId="77777777" w:rsidR="0054039C" w:rsidRPr="0054039C" w:rsidRDefault="0054039C" w:rsidP="0054039C">
      <w:pPr>
        <w:spacing w:after="0" w:line="480" w:lineRule="auto"/>
        <w:jc w:val="both"/>
        <w:rPr>
          <w:rFonts w:ascii="Arial" w:hAnsi="Arial" w:cs="Arial"/>
          <w:color w:val="595959" w:themeColor="text1" w:themeTint="A6"/>
          <w:lang w:val="en-US"/>
        </w:rPr>
      </w:pPr>
    </w:p>
    <w:p w14:paraId="37E19813" w14:textId="77777777" w:rsidR="0054039C" w:rsidRPr="0054039C" w:rsidRDefault="0054039C" w:rsidP="0054039C">
      <w:pPr>
        <w:spacing w:after="0" w:line="480" w:lineRule="auto"/>
        <w:jc w:val="both"/>
        <w:rPr>
          <w:rFonts w:ascii="Arial" w:hAnsi="Arial" w:cs="Arial"/>
          <w:color w:val="595959" w:themeColor="text1" w:themeTint="A6"/>
          <w:lang w:val="en-US"/>
        </w:rPr>
      </w:pPr>
    </w:p>
    <w:p w14:paraId="6493ECD6" w14:textId="77777777" w:rsidR="0054039C" w:rsidRPr="0054039C" w:rsidRDefault="0054039C" w:rsidP="0054039C">
      <w:pPr>
        <w:spacing w:after="0" w:line="480" w:lineRule="auto"/>
        <w:jc w:val="both"/>
        <w:rPr>
          <w:rFonts w:ascii="Arial" w:hAnsi="Arial" w:cs="Arial"/>
          <w:color w:val="595959" w:themeColor="text1" w:themeTint="A6"/>
          <w:lang w:val="en-US"/>
        </w:rPr>
      </w:pPr>
    </w:p>
    <w:p w14:paraId="19F1C914" w14:textId="77777777" w:rsidR="0054039C" w:rsidRPr="0054039C" w:rsidRDefault="0054039C" w:rsidP="0054039C">
      <w:pPr>
        <w:spacing w:after="0" w:line="480" w:lineRule="auto"/>
        <w:jc w:val="both"/>
        <w:rPr>
          <w:rFonts w:ascii="Arial" w:hAnsi="Arial" w:cs="Arial"/>
          <w:color w:val="595959" w:themeColor="text1" w:themeTint="A6"/>
          <w:lang w:val="en-US"/>
        </w:rPr>
      </w:pPr>
    </w:p>
    <w:p w14:paraId="6BBBB6FD" w14:textId="77777777" w:rsidR="0054039C" w:rsidRPr="0054039C" w:rsidRDefault="0054039C" w:rsidP="0054039C">
      <w:pPr>
        <w:spacing w:after="0" w:line="480" w:lineRule="auto"/>
        <w:jc w:val="both"/>
        <w:rPr>
          <w:rFonts w:ascii="Arial" w:hAnsi="Arial" w:cs="Arial"/>
          <w:color w:val="595959" w:themeColor="text1" w:themeTint="A6"/>
          <w:lang w:val="en-US"/>
        </w:rPr>
      </w:pPr>
    </w:p>
    <w:p w14:paraId="1B6806FE" w14:textId="77777777" w:rsidR="0054039C" w:rsidRPr="0054039C" w:rsidRDefault="0054039C" w:rsidP="0054039C">
      <w:pPr>
        <w:spacing w:after="0" w:line="480" w:lineRule="auto"/>
        <w:jc w:val="both"/>
        <w:rPr>
          <w:rFonts w:ascii="Arial" w:hAnsi="Arial" w:cs="Arial"/>
          <w:color w:val="595959" w:themeColor="text1" w:themeTint="A6"/>
          <w:lang w:val="en-US"/>
        </w:rPr>
      </w:pPr>
    </w:p>
    <w:p w14:paraId="00E0F427" w14:textId="77777777" w:rsidR="0054039C" w:rsidRPr="0054039C" w:rsidRDefault="0054039C" w:rsidP="0054039C">
      <w:pPr>
        <w:spacing w:after="0" w:line="480" w:lineRule="auto"/>
        <w:jc w:val="both"/>
        <w:rPr>
          <w:rFonts w:ascii="Arial" w:hAnsi="Arial" w:cs="Arial"/>
          <w:color w:val="595959" w:themeColor="text1" w:themeTint="A6"/>
          <w:lang w:val="en-US"/>
        </w:rPr>
      </w:pPr>
    </w:p>
    <w:p w14:paraId="51032048" w14:textId="77777777" w:rsidR="0054039C" w:rsidRPr="0054039C" w:rsidRDefault="0054039C" w:rsidP="0054039C">
      <w:pPr>
        <w:spacing w:after="0" w:line="480" w:lineRule="auto"/>
        <w:jc w:val="both"/>
        <w:rPr>
          <w:rFonts w:ascii="Arial" w:hAnsi="Arial" w:cs="Arial"/>
          <w:color w:val="595959" w:themeColor="text1" w:themeTint="A6"/>
          <w:lang w:val="en-US"/>
        </w:rPr>
      </w:pPr>
    </w:p>
    <w:p w14:paraId="7FFA591F" w14:textId="77777777" w:rsidR="0054039C" w:rsidRPr="0054039C" w:rsidRDefault="0054039C" w:rsidP="0054039C">
      <w:pPr>
        <w:spacing w:after="0" w:line="480" w:lineRule="auto"/>
        <w:jc w:val="both"/>
        <w:rPr>
          <w:rFonts w:ascii="Arial" w:hAnsi="Arial" w:cs="Arial"/>
          <w:color w:val="595959" w:themeColor="text1" w:themeTint="A6"/>
          <w:lang w:val="en-US"/>
        </w:rPr>
      </w:pPr>
    </w:p>
    <w:p w14:paraId="423A064E" w14:textId="77777777" w:rsidR="0054039C" w:rsidRPr="0054039C" w:rsidRDefault="0054039C" w:rsidP="0054039C">
      <w:pPr>
        <w:spacing w:after="0" w:line="480" w:lineRule="auto"/>
        <w:jc w:val="both"/>
        <w:rPr>
          <w:rFonts w:ascii="Arial" w:hAnsi="Arial" w:cs="Arial"/>
          <w:color w:val="595959" w:themeColor="text1" w:themeTint="A6"/>
          <w:lang w:val="en-US"/>
        </w:rPr>
      </w:pPr>
    </w:p>
    <w:p w14:paraId="4710A48B" w14:textId="77777777" w:rsidR="0054039C" w:rsidRPr="0054039C" w:rsidRDefault="0054039C" w:rsidP="0054039C">
      <w:pPr>
        <w:spacing w:after="0" w:line="480" w:lineRule="auto"/>
        <w:jc w:val="both"/>
        <w:rPr>
          <w:rFonts w:ascii="Arial" w:hAnsi="Arial" w:cs="Arial"/>
          <w:color w:val="595959" w:themeColor="text1" w:themeTint="A6"/>
          <w:lang w:val="en-US"/>
        </w:rPr>
      </w:pPr>
    </w:p>
    <w:p w14:paraId="648549E7" w14:textId="7CC93EFF" w:rsidR="0054039C" w:rsidRPr="0054039C" w:rsidRDefault="003759EE" w:rsidP="0054039C">
      <w:pPr>
        <w:spacing w:after="0" w:line="480" w:lineRule="auto"/>
        <w:jc w:val="both"/>
        <w:rPr>
          <w:rFonts w:ascii="Arial" w:hAnsi="Arial" w:cs="Arial"/>
          <w:color w:val="595959" w:themeColor="text1" w:themeTint="A6"/>
          <w:lang w:val="en-US"/>
        </w:rPr>
      </w:pPr>
      <w:r w:rsidRPr="0054039C">
        <w:rPr>
          <w:rFonts w:ascii="Arial" w:hAnsi="Arial" w:cs="Arial"/>
          <w:noProof/>
          <w:color w:val="595959" w:themeColor="text1" w:themeTint="A6"/>
          <w:sz w:val="24"/>
          <w:szCs w:val="24"/>
          <w:lang w:eastAsia="zh-CN"/>
        </w:rPr>
        <mc:AlternateContent>
          <mc:Choice Requires="wps">
            <w:drawing>
              <wp:anchor distT="0" distB="0" distL="114300" distR="114300" simplePos="0" relativeHeight="251658253" behindDoc="0" locked="0" layoutInCell="1" allowOverlap="1" wp14:anchorId="2DE95E0B" wp14:editId="4F82BF76">
                <wp:simplePos x="0" y="0"/>
                <wp:positionH relativeFrom="margin">
                  <wp:align>right</wp:align>
                </wp:positionH>
                <wp:positionV relativeFrom="paragraph">
                  <wp:posOffset>254635</wp:posOffset>
                </wp:positionV>
                <wp:extent cx="5724525" cy="1571625"/>
                <wp:effectExtent l="0" t="0" r="9525" b="9525"/>
                <wp:wrapNone/>
                <wp:docPr id="20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1571625"/>
                        </a:xfrm>
                        <a:prstGeom prst="rect">
                          <a:avLst/>
                        </a:prstGeom>
                        <a:solidFill>
                          <a:srgbClr val="FFFFFF"/>
                        </a:solidFill>
                        <a:ln w="9525">
                          <a:noFill/>
                          <a:miter lim="800000"/>
                          <a:headEnd/>
                          <a:tailEnd/>
                        </a:ln>
                      </wps:spPr>
                      <wps:txbx>
                        <w:txbxContent>
                          <w:p w14:paraId="2D3627A8" w14:textId="77777777" w:rsidR="008A47AC" w:rsidRPr="006B7937" w:rsidRDefault="008A47AC" w:rsidP="0054039C">
                            <w:pPr>
                              <w:pStyle w:val="Caption"/>
                              <w:jc w:val="both"/>
                              <w:rPr>
                                <w:rFonts w:ascii="Arial Narrow" w:hAnsi="Arial Narrow"/>
                                <w:b/>
                                <w:i w:val="0"/>
                                <w:sz w:val="24"/>
                                <w:szCs w:val="24"/>
                              </w:rPr>
                            </w:pPr>
                            <w:r w:rsidRPr="006B7937">
                              <w:rPr>
                                <w:rFonts w:ascii="Arial Narrow" w:hAnsi="Arial Narrow"/>
                                <w:b/>
                                <w:i w:val="0"/>
                                <w:color w:val="595959" w:themeColor="text1" w:themeTint="A6"/>
                                <w:sz w:val="24"/>
                                <w:szCs w:val="24"/>
                              </w:rPr>
                              <w:t xml:space="preserve">Figure </w:t>
                            </w:r>
                            <w:r>
                              <w:rPr>
                                <w:rFonts w:ascii="Arial Narrow" w:hAnsi="Arial Narrow"/>
                                <w:b/>
                                <w:i w:val="0"/>
                                <w:color w:val="595959" w:themeColor="text1" w:themeTint="A6"/>
                                <w:sz w:val="24"/>
                                <w:szCs w:val="24"/>
                              </w:rPr>
                              <w:t>2.2</w:t>
                            </w:r>
                            <w:r w:rsidRPr="006B7937">
                              <w:rPr>
                                <w:rFonts w:ascii="Arial Narrow" w:hAnsi="Arial Narrow"/>
                                <w:b/>
                                <w:i w:val="0"/>
                                <w:color w:val="595959" w:themeColor="text1" w:themeTint="A6"/>
                                <w:sz w:val="24"/>
                                <w:szCs w:val="24"/>
                              </w:rPr>
                              <w:t xml:space="preserve"> </w:t>
                            </w:r>
                            <w:r>
                              <w:rPr>
                                <w:rFonts w:ascii="Arial Narrow" w:hAnsi="Arial Narrow"/>
                                <w:b/>
                                <w:i w:val="0"/>
                                <w:color w:val="595959" w:themeColor="text1" w:themeTint="A6"/>
                                <w:sz w:val="24"/>
                                <w:szCs w:val="24"/>
                              </w:rPr>
                              <w:t>Schematic of fibroblast-derived matrix development</w:t>
                            </w:r>
                          </w:p>
                          <w:p w14:paraId="119C17A6" w14:textId="4486B420" w:rsidR="008A47AC" w:rsidRPr="00E72F77" w:rsidRDefault="008A47AC" w:rsidP="0054039C">
                            <w:pPr>
                              <w:pStyle w:val="NormalWeb"/>
                              <w:spacing w:after="200" w:line="276" w:lineRule="auto"/>
                              <w:jc w:val="both"/>
                              <w:rPr>
                                <w:rFonts w:ascii="Arial Narrow" w:hAnsi="Arial Narrow"/>
                                <w:color w:val="595959" w:themeColor="text1" w:themeTint="A6"/>
                                <w:sz w:val="22"/>
                                <w:szCs w:val="22"/>
                              </w:rPr>
                            </w:pPr>
                            <w:r w:rsidRPr="00E72F77">
                              <w:rPr>
                                <w:rFonts w:ascii="Arial Narrow" w:hAnsi="Arial Narrow"/>
                                <w:color w:val="595959" w:themeColor="text1" w:themeTint="A6"/>
                                <w:sz w:val="22"/>
                                <w:szCs w:val="22"/>
                              </w:rPr>
                              <w:t>NOF</w:t>
                            </w:r>
                            <w:r>
                              <w:rPr>
                                <w:rFonts w:ascii="Arial Narrow" w:hAnsi="Arial Narrow"/>
                                <w:color w:val="595959" w:themeColor="text1" w:themeTint="A6"/>
                                <w:sz w:val="22"/>
                                <w:szCs w:val="22"/>
                              </w:rPr>
                              <w:t>/ CAF isolated from patient biopsies. Once expanded, the cells were seeded (1.5 x10</w:t>
                            </w:r>
                            <w:r>
                              <w:rPr>
                                <w:rFonts w:ascii="Arial Narrow" w:hAnsi="Arial Narrow"/>
                                <w:color w:val="595959" w:themeColor="text1" w:themeTint="A6"/>
                                <w:sz w:val="22"/>
                                <w:szCs w:val="22"/>
                                <w:vertAlign w:val="superscript"/>
                              </w:rPr>
                              <w:t xml:space="preserve">6 </w:t>
                            </w:r>
                            <w:r>
                              <w:rPr>
                                <w:rFonts w:ascii="Arial Narrow" w:hAnsi="Arial Narrow"/>
                                <w:color w:val="595959" w:themeColor="text1" w:themeTint="A6"/>
                                <w:sz w:val="22"/>
                                <w:szCs w:val="22"/>
                              </w:rPr>
                              <w:t xml:space="preserve">total) onto pore lined inserts and those inserts maintained in deep-well plates for efficient long-term culturing. </w:t>
                            </w:r>
                            <w:r w:rsidRPr="00E72F77">
                              <w:rPr>
                                <w:rFonts w:ascii="Arial Narrow" w:hAnsi="Arial Narrow"/>
                                <w:color w:val="595959" w:themeColor="text1" w:themeTint="A6"/>
                                <w:sz w:val="22"/>
                                <w:szCs w:val="22"/>
                              </w:rPr>
                              <w:t xml:space="preserve"> </w:t>
                            </w:r>
                            <w:r>
                              <w:rPr>
                                <w:rFonts w:ascii="Arial Narrow" w:hAnsi="Arial Narrow"/>
                                <w:color w:val="595959" w:themeColor="text1" w:themeTint="A6"/>
                                <w:sz w:val="22"/>
                                <w:szCs w:val="22"/>
                              </w:rPr>
                              <w:t>Fibroblast-derived growth media with/</w:t>
                            </w:r>
                            <w:r w:rsidRPr="00E72F77">
                              <w:rPr>
                                <w:rFonts w:ascii="Arial Narrow" w:hAnsi="Arial Narrow"/>
                                <w:color w:val="595959" w:themeColor="text1" w:themeTint="A6"/>
                                <w:sz w:val="22"/>
                                <w:szCs w:val="22"/>
                              </w:rPr>
                              <w:t xml:space="preserve">without the addition of growth factors </w:t>
                            </w:r>
                            <w:r>
                              <w:rPr>
                                <w:rFonts w:ascii="Arial Narrow" w:hAnsi="Arial Narrow"/>
                                <w:color w:val="595959" w:themeColor="text1" w:themeTint="A6"/>
                                <w:sz w:val="22"/>
                                <w:szCs w:val="22"/>
                              </w:rPr>
                              <w:t xml:space="preserve">was added to the outer well of plate and to insert up to day 7. From day 7 to 28, media was added to the outside well only. Media was changed every 3 days. Scale bar = 50 µm.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E95E0B" id="_x0000_s1055" type="#_x0000_t202" style="position:absolute;left:0;text-align:left;margin-left:399.55pt;margin-top:20.05pt;width:450.75pt;height:123.75pt;z-index:251658253;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" stroked="f">
                <v:textbox>
                  <w:txbxContent>
                    <w:p w14:paraId="2D3627A8" w14:textId="77777777" w:rsidR="008A47AC" w:rsidRPr="006B7937" w:rsidRDefault="008A47AC" w:rsidP="0054039C">
                      <w:pPr>
                        <w:pStyle w:val="Caption"/>
                        <w:jc w:val="both"/>
                        <w:rPr>
                          <w:rFonts w:ascii="Arial Narrow" w:hAnsi="Arial Narrow"/>
                          <w:b/>
                          <w:i w:val="0"/>
                          <w:sz w:val="24"/>
                          <w:szCs w:val="24"/>
                        </w:rPr>
                      </w:pPr>
                      <w:r w:rsidRPr="006B7937">
                        <w:rPr>
                          <w:rFonts w:ascii="Arial Narrow" w:hAnsi="Arial Narrow"/>
                          <w:b/>
                          <w:i w:val="0"/>
                          <w:color w:val="595959" w:themeColor="text1" w:themeTint="A6"/>
                          <w:sz w:val="24"/>
                          <w:szCs w:val="24"/>
                        </w:rPr>
                        <w:t xml:space="preserve">Figure </w:t>
                      </w:r>
                      <w:r>
                        <w:rPr>
                          <w:rFonts w:ascii="Arial Narrow" w:hAnsi="Arial Narrow"/>
                          <w:b/>
                          <w:i w:val="0"/>
                          <w:color w:val="595959" w:themeColor="text1" w:themeTint="A6"/>
                          <w:sz w:val="24"/>
                          <w:szCs w:val="24"/>
                        </w:rPr>
                        <w:t>2.2</w:t>
                      </w:r>
                      <w:r w:rsidRPr="006B7937">
                        <w:rPr>
                          <w:rFonts w:ascii="Arial Narrow" w:hAnsi="Arial Narrow"/>
                          <w:b/>
                          <w:i w:val="0"/>
                          <w:color w:val="595959" w:themeColor="text1" w:themeTint="A6"/>
                          <w:sz w:val="24"/>
                          <w:szCs w:val="24"/>
                        </w:rPr>
                        <w:t xml:space="preserve"> </w:t>
                      </w:r>
                      <w:r>
                        <w:rPr>
                          <w:rFonts w:ascii="Arial Narrow" w:hAnsi="Arial Narrow"/>
                          <w:b/>
                          <w:i w:val="0"/>
                          <w:color w:val="595959" w:themeColor="text1" w:themeTint="A6"/>
                          <w:sz w:val="24"/>
                          <w:szCs w:val="24"/>
                        </w:rPr>
                        <w:t>Schematic of fibroblast-derived matrix development</w:t>
                      </w:r>
                    </w:p>
                    <w:p w14:paraId="119C17A6" w14:textId="4486B420" w:rsidR="008A47AC" w:rsidRPr="00E72F77" w:rsidRDefault="008A47AC" w:rsidP="0054039C">
                      <w:pPr>
                        <w:pStyle w:val="NormalWeb"/>
                        <w:spacing w:after="200" w:line="276" w:lineRule="auto"/>
                        <w:jc w:val="both"/>
                        <w:rPr>
                          <w:rFonts w:ascii="Arial Narrow" w:hAnsi="Arial Narrow"/>
                          <w:color w:val="595959" w:themeColor="text1" w:themeTint="A6"/>
                          <w:sz w:val="22"/>
                          <w:szCs w:val="22"/>
                        </w:rPr>
                      </w:pPr>
                      <w:r w:rsidRPr="00E72F77">
                        <w:rPr>
                          <w:rFonts w:ascii="Arial Narrow" w:hAnsi="Arial Narrow"/>
                          <w:color w:val="595959" w:themeColor="text1" w:themeTint="A6"/>
                          <w:sz w:val="22"/>
                          <w:szCs w:val="22"/>
                        </w:rPr>
                        <w:t>NOF</w:t>
                      </w:r>
                      <w:r>
                        <w:rPr>
                          <w:rFonts w:ascii="Arial Narrow" w:hAnsi="Arial Narrow"/>
                          <w:color w:val="595959" w:themeColor="text1" w:themeTint="A6"/>
                          <w:sz w:val="22"/>
                          <w:szCs w:val="22"/>
                        </w:rPr>
                        <w:t>/ CAF isolated from patient biopsies. Once expanded, the cells were seeded (1.5 x10</w:t>
                      </w:r>
                      <w:r>
                        <w:rPr>
                          <w:rFonts w:ascii="Arial Narrow" w:hAnsi="Arial Narrow"/>
                          <w:color w:val="595959" w:themeColor="text1" w:themeTint="A6"/>
                          <w:sz w:val="22"/>
                          <w:szCs w:val="22"/>
                          <w:vertAlign w:val="superscript"/>
                        </w:rPr>
                        <w:t xml:space="preserve">6 </w:t>
                      </w:r>
                      <w:r>
                        <w:rPr>
                          <w:rFonts w:ascii="Arial Narrow" w:hAnsi="Arial Narrow"/>
                          <w:color w:val="595959" w:themeColor="text1" w:themeTint="A6"/>
                          <w:sz w:val="22"/>
                          <w:szCs w:val="22"/>
                        </w:rPr>
                        <w:t xml:space="preserve">total) onto pore lined inserts and those inserts maintained in deep-well plates for efficient long-term culturing. </w:t>
                      </w:r>
                      <w:r w:rsidRPr="00E72F77">
                        <w:rPr>
                          <w:rFonts w:ascii="Arial Narrow" w:hAnsi="Arial Narrow"/>
                          <w:color w:val="595959" w:themeColor="text1" w:themeTint="A6"/>
                          <w:sz w:val="22"/>
                          <w:szCs w:val="22"/>
                        </w:rPr>
                        <w:t xml:space="preserve"> </w:t>
                      </w:r>
                      <w:r>
                        <w:rPr>
                          <w:rFonts w:ascii="Arial Narrow" w:hAnsi="Arial Narrow"/>
                          <w:color w:val="595959" w:themeColor="text1" w:themeTint="A6"/>
                          <w:sz w:val="22"/>
                          <w:szCs w:val="22"/>
                        </w:rPr>
                        <w:t>Fibroblast-derived growth media with/</w:t>
                      </w:r>
                      <w:r w:rsidRPr="00E72F77">
                        <w:rPr>
                          <w:rFonts w:ascii="Arial Narrow" w:hAnsi="Arial Narrow"/>
                          <w:color w:val="595959" w:themeColor="text1" w:themeTint="A6"/>
                          <w:sz w:val="22"/>
                          <w:szCs w:val="22"/>
                        </w:rPr>
                        <w:t xml:space="preserve">without the addition of growth factors </w:t>
                      </w:r>
                      <w:r>
                        <w:rPr>
                          <w:rFonts w:ascii="Arial Narrow" w:hAnsi="Arial Narrow"/>
                          <w:color w:val="595959" w:themeColor="text1" w:themeTint="A6"/>
                          <w:sz w:val="22"/>
                          <w:szCs w:val="22"/>
                        </w:rPr>
                        <w:t xml:space="preserve">was added to the outer well of plate and to insert up to day 7. From day 7 to 28, media was added to the outside well only. Media was changed every 3 days. Scale bar = 50 µm. </w:t>
                      </w:r>
                    </w:p>
                  </w:txbxContent>
                </v:textbox>
                <w10:wrap anchorx="margin"/>
              </v:shape>
            </w:pict>
          </mc:Fallback>
        </mc:AlternateContent>
      </w:r>
    </w:p>
    <w:p w14:paraId="687101DA" w14:textId="73BF760B" w:rsidR="0054039C" w:rsidRPr="0054039C" w:rsidRDefault="0054039C" w:rsidP="0054039C">
      <w:pPr>
        <w:spacing w:after="0" w:line="480" w:lineRule="auto"/>
        <w:jc w:val="both"/>
        <w:rPr>
          <w:rFonts w:ascii="Arial" w:hAnsi="Arial" w:cs="Arial"/>
          <w:color w:val="595959" w:themeColor="text1" w:themeTint="A6"/>
          <w:lang w:val="en-US"/>
        </w:rPr>
      </w:pPr>
    </w:p>
    <w:p w14:paraId="5260E75A" w14:textId="19921367" w:rsidR="0054039C" w:rsidRPr="0054039C" w:rsidRDefault="0054039C" w:rsidP="0054039C">
      <w:pPr>
        <w:spacing w:after="0" w:line="480" w:lineRule="auto"/>
        <w:jc w:val="both"/>
        <w:rPr>
          <w:rFonts w:ascii="Arial" w:hAnsi="Arial" w:cs="Arial"/>
          <w:color w:val="595959" w:themeColor="text1" w:themeTint="A6"/>
          <w:lang w:val="en-US"/>
        </w:rPr>
      </w:pPr>
    </w:p>
    <w:p w14:paraId="6A985BC2" w14:textId="1CAF1D9E" w:rsidR="0054039C" w:rsidRPr="0054039C" w:rsidRDefault="0054039C" w:rsidP="0054039C">
      <w:pPr>
        <w:spacing w:after="0" w:line="480" w:lineRule="auto"/>
        <w:jc w:val="both"/>
        <w:rPr>
          <w:rFonts w:ascii="Arial" w:hAnsi="Arial" w:cs="Arial"/>
          <w:color w:val="595959" w:themeColor="text1" w:themeTint="A6"/>
          <w:lang w:val="en-US"/>
        </w:rPr>
      </w:pPr>
    </w:p>
    <w:p w14:paraId="7205092D" w14:textId="77777777" w:rsidR="0054039C" w:rsidRPr="0054039C" w:rsidRDefault="0054039C" w:rsidP="0054039C">
      <w:pPr>
        <w:spacing w:after="0" w:line="480" w:lineRule="auto"/>
        <w:jc w:val="both"/>
        <w:rPr>
          <w:rFonts w:ascii="Arial" w:hAnsi="Arial" w:cs="Arial"/>
          <w:color w:val="595959" w:themeColor="text1" w:themeTint="A6"/>
          <w:lang w:val="en-US"/>
        </w:rPr>
      </w:pPr>
    </w:p>
    <w:p w14:paraId="463DEC2C" w14:textId="2841BBAA" w:rsidR="0054039C" w:rsidRPr="0054039C" w:rsidRDefault="0054039C" w:rsidP="0054039C">
      <w:pPr>
        <w:spacing w:after="0" w:line="480" w:lineRule="auto"/>
        <w:jc w:val="both"/>
        <w:rPr>
          <w:rFonts w:ascii="Arial" w:hAnsi="Arial" w:cs="Arial"/>
          <w:color w:val="595959" w:themeColor="text1" w:themeTint="A6"/>
          <w:lang w:val="en-US"/>
        </w:rPr>
      </w:pPr>
    </w:p>
    <w:p w14:paraId="509A3252" w14:textId="77777777" w:rsidR="0054039C" w:rsidRPr="0054039C" w:rsidRDefault="0054039C" w:rsidP="0054039C">
      <w:pPr>
        <w:spacing w:after="0" w:line="480" w:lineRule="auto"/>
        <w:jc w:val="both"/>
        <w:rPr>
          <w:rFonts w:ascii="Arial" w:hAnsi="Arial" w:cs="Arial"/>
          <w:color w:val="595959" w:themeColor="text1" w:themeTint="A6"/>
          <w:lang w:val="en-US"/>
        </w:rPr>
      </w:pPr>
    </w:p>
    <w:p w14:paraId="01A9C4CD" w14:textId="7E657EE1" w:rsidR="008D0E0F" w:rsidRDefault="008D0E0F" w:rsidP="0054039C">
      <w:pPr>
        <w:spacing w:after="0" w:line="480" w:lineRule="auto"/>
        <w:jc w:val="both"/>
        <w:rPr>
          <w:rFonts w:ascii="Arial" w:hAnsi="Arial" w:cs="Arial"/>
          <w:color w:val="595959" w:themeColor="text1" w:themeTint="A6"/>
          <w:lang w:val="en-US"/>
        </w:rPr>
      </w:pPr>
    </w:p>
    <w:p w14:paraId="16C17434" w14:textId="77777777" w:rsidR="00AA47CD" w:rsidRPr="0054039C" w:rsidRDefault="00AA47CD" w:rsidP="0054039C">
      <w:pPr>
        <w:spacing w:after="0" w:line="480" w:lineRule="auto"/>
        <w:jc w:val="both"/>
        <w:rPr>
          <w:rFonts w:ascii="Arial" w:hAnsi="Arial" w:cs="Arial"/>
          <w:color w:val="595959" w:themeColor="text1" w:themeTint="A6"/>
          <w:lang w:val="en-US"/>
        </w:rPr>
      </w:pPr>
    </w:p>
    <w:p w14:paraId="56EC53D7" w14:textId="1FF92619" w:rsidR="0054039C" w:rsidRPr="0054039C" w:rsidRDefault="00CB5159" w:rsidP="00AA47CD">
      <w:pPr>
        <w:pStyle w:val="Heading4"/>
        <w:rPr>
          <w:rFonts w:ascii="Arial" w:hAnsi="Arial" w:cs="Arial"/>
          <w:color w:val="595959" w:themeColor="text1" w:themeTint="A6"/>
          <w:lang w:val="en-US"/>
        </w:rPr>
      </w:pPr>
      <w:bookmarkStart w:id="119" w:name="_Toc515897471"/>
      <w:bookmarkStart w:id="120" w:name="_Toc534278600"/>
      <w:bookmarkStart w:id="121" w:name="_Toc34208309"/>
      <w:r>
        <w:rPr>
          <w:rFonts w:ascii="Arial" w:hAnsi="Arial" w:cs="Arial"/>
          <w:color w:val="595959" w:themeColor="text1" w:themeTint="A6"/>
          <w:lang w:val="en-US"/>
        </w:rPr>
        <w:lastRenderedPageBreak/>
        <w:t>2.2.</w:t>
      </w:r>
      <w:r w:rsidR="007B0653">
        <w:rPr>
          <w:rFonts w:ascii="Arial" w:hAnsi="Arial" w:cs="Arial"/>
          <w:color w:val="595959" w:themeColor="text1" w:themeTint="A6"/>
          <w:lang w:val="en-US"/>
        </w:rPr>
        <w:t xml:space="preserve">6.2 </w:t>
      </w:r>
      <w:r w:rsidR="0054039C" w:rsidRPr="0054039C">
        <w:rPr>
          <w:rFonts w:ascii="Arial" w:hAnsi="Arial" w:cs="Arial"/>
          <w:color w:val="595959" w:themeColor="text1" w:themeTint="A6"/>
          <w:lang w:val="en-US"/>
        </w:rPr>
        <w:t>Generation of fibroblast-derived matrices for large organotypic inserts</w:t>
      </w:r>
      <w:bookmarkEnd w:id="119"/>
      <w:bookmarkEnd w:id="120"/>
      <w:bookmarkEnd w:id="121"/>
    </w:p>
    <w:p w14:paraId="43594DC6" w14:textId="77777777" w:rsidR="0054039C" w:rsidRPr="0054039C" w:rsidRDefault="0054039C" w:rsidP="0054039C">
      <w:pPr>
        <w:spacing w:after="0" w:line="240" w:lineRule="auto"/>
        <w:jc w:val="both"/>
        <w:outlineLvl w:val="2"/>
        <w:rPr>
          <w:rFonts w:ascii="Arial" w:hAnsi="Arial" w:cs="Arial"/>
          <w:color w:val="595959" w:themeColor="text1" w:themeTint="A6"/>
          <w:lang w:val="en-US"/>
        </w:rPr>
      </w:pPr>
    </w:p>
    <w:p w14:paraId="540989A2" w14:textId="74587EE7" w:rsidR="0054039C" w:rsidRPr="0054039C" w:rsidRDefault="0054039C" w:rsidP="0054039C">
      <w:pPr>
        <w:spacing w:line="480" w:lineRule="auto"/>
        <w:jc w:val="both"/>
        <w:rPr>
          <w:rFonts w:ascii="Arial" w:hAnsi="Arial" w:cs="Arial"/>
          <w:color w:val="595959" w:themeColor="text1" w:themeTint="A6"/>
          <w:lang w:val="en-US"/>
        </w:rPr>
      </w:pPr>
      <w:r w:rsidRPr="0054039C">
        <w:rPr>
          <w:rFonts w:ascii="Arial" w:hAnsi="Arial" w:cs="Arial"/>
          <w:color w:val="595959" w:themeColor="text1" w:themeTint="A6"/>
          <w:lang w:val="en-US"/>
        </w:rPr>
        <w:t xml:space="preserve">To generate matrices which could be adapted to live-cell imaging capabilities and for atomic force microscopy; matrices were developed on large, sterile organotypic inserts 0.4 μm, 20 mm diameter, PTFE and placed into either a 35 x10 mm petri or a 6-well plate These inserts are optically transparent, so have a low protein binding surface. In order for matrices to remain attached to the insert, prior to seeding, 168 μL of poly-L-Lysine solution (0.1% w/v), was added to the insert and rocked gently to </w:t>
      </w:r>
      <w:r w:rsidRPr="00A03706">
        <w:rPr>
          <w:rFonts w:ascii="Arial" w:hAnsi="Arial" w:cs="Arial"/>
          <w:color w:val="595959" w:themeColor="text1" w:themeTint="A6"/>
          <w:lang w:val="en-US"/>
        </w:rPr>
        <w:t>ensure an even coating and incubated at 3</w:t>
      </w:r>
      <w:r w:rsidR="004C18B0" w:rsidRPr="00A03706">
        <w:rPr>
          <w:rFonts w:ascii="Arial" w:hAnsi="Arial" w:cs="Arial"/>
          <w:color w:val="595959" w:themeColor="text1" w:themeTint="A6"/>
          <w:lang w:val="en-US"/>
        </w:rPr>
        <w:t>7</w:t>
      </w:r>
      <w:r w:rsidRPr="00A03706">
        <w:rPr>
          <w:rFonts w:ascii="Arial" w:hAnsi="Arial" w:cs="Arial"/>
          <w:color w:val="595959" w:themeColor="text1" w:themeTint="A6"/>
          <w:lang w:val="en-US"/>
        </w:rPr>
        <w:t xml:space="preserve"> </w:t>
      </w:r>
      <w:r w:rsidRPr="00A03706">
        <w:rPr>
          <w:rFonts w:ascii="Arial" w:hAnsi="Arial" w:cs="Arial"/>
          <w:color w:val="595959" w:themeColor="text1" w:themeTint="A6"/>
          <w:vertAlign w:val="superscript"/>
          <w:lang w:val="en-US"/>
        </w:rPr>
        <w:t>o</w:t>
      </w:r>
      <w:r w:rsidRPr="00A03706">
        <w:rPr>
          <w:rFonts w:ascii="Arial" w:hAnsi="Arial" w:cs="Arial"/>
          <w:color w:val="595959" w:themeColor="text1" w:themeTint="A6"/>
          <w:lang w:val="en-US"/>
        </w:rPr>
        <w:t>C for 30 minutes. These were washed with dH</w:t>
      </w:r>
      <w:r w:rsidRPr="00A03706">
        <w:rPr>
          <w:rFonts w:ascii="Arial" w:hAnsi="Arial" w:cs="Arial"/>
          <w:color w:val="595959" w:themeColor="text1" w:themeTint="A6"/>
          <w:vertAlign w:val="subscript"/>
          <w:lang w:val="en-US"/>
        </w:rPr>
        <w:t>2</w:t>
      </w:r>
      <w:r w:rsidRPr="00A03706">
        <w:rPr>
          <w:rFonts w:ascii="Arial" w:hAnsi="Arial" w:cs="Arial"/>
          <w:color w:val="595959" w:themeColor="text1" w:themeTint="A6"/>
          <w:lang w:val="en-US"/>
        </w:rPr>
        <w:t xml:space="preserve">O and left to </w:t>
      </w:r>
      <w:r w:rsidR="001201D3" w:rsidRPr="00A03706">
        <w:rPr>
          <w:rFonts w:ascii="Arial" w:hAnsi="Arial" w:cs="Arial"/>
          <w:color w:val="595959" w:themeColor="text1" w:themeTint="A6"/>
          <w:lang w:val="en-US"/>
        </w:rPr>
        <w:t>d</w:t>
      </w:r>
      <w:r w:rsidRPr="00A03706">
        <w:rPr>
          <w:rFonts w:ascii="Arial" w:hAnsi="Arial" w:cs="Arial"/>
          <w:color w:val="595959" w:themeColor="text1" w:themeTint="A6"/>
          <w:lang w:val="en-US"/>
        </w:rPr>
        <w:t xml:space="preserve">ry overnight at room </w:t>
      </w:r>
      <w:r w:rsidRPr="0054039C">
        <w:rPr>
          <w:rFonts w:ascii="Arial" w:hAnsi="Arial" w:cs="Arial"/>
          <w:color w:val="595959" w:themeColor="text1" w:themeTint="A6"/>
          <w:lang w:val="en-US"/>
        </w:rPr>
        <w:t>temperature. The same seeding protocol and media described in section 2.2.6.1 was used and scaled up for these larger inserts. Cell number was increased to a total of 5.5 x 10</w:t>
      </w:r>
      <w:r w:rsidRPr="0054039C">
        <w:rPr>
          <w:rFonts w:ascii="Arial" w:hAnsi="Arial" w:cs="Arial"/>
          <w:color w:val="595959" w:themeColor="text1" w:themeTint="A6"/>
          <w:vertAlign w:val="superscript"/>
          <w:lang w:val="en-US"/>
        </w:rPr>
        <w:t>6</w:t>
      </w:r>
      <w:r w:rsidRPr="0054039C">
        <w:rPr>
          <w:rFonts w:ascii="Arial" w:hAnsi="Arial" w:cs="Arial"/>
          <w:color w:val="595959" w:themeColor="text1" w:themeTint="A6"/>
          <w:lang w:val="en-US"/>
        </w:rPr>
        <w:t xml:space="preserve"> due to the increase in insert surface area. The volume of media was adjusted for the larger inserts with 1.2 mL of media added to the outside of the insert surface and was changed daily (Figure 2.3).  </w:t>
      </w:r>
    </w:p>
    <w:p w14:paraId="0CF1EA7D" w14:textId="77777777" w:rsidR="0054039C" w:rsidRPr="0054039C" w:rsidRDefault="0054039C" w:rsidP="0054039C">
      <w:pPr>
        <w:spacing w:line="480" w:lineRule="auto"/>
        <w:jc w:val="both"/>
        <w:rPr>
          <w:rFonts w:ascii="Arial" w:hAnsi="Arial" w:cs="Arial"/>
          <w:bCs/>
          <w:iCs/>
          <w:color w:val="595959" w:themeColor="text1" w:themeTint="A6"/>
        </w:rPr>
      </w:pPr>
    </w:p>
    <w:p w14:paraId="37BD80B2" w14:textId="77777777" w:rsidR="0054039C" w:rsidRPr="0054039C" w:rsidRDefault="0054039C" w:rsidP="0054039C">
      <w:pPr>
        <w:spacing w:line="480" w:lineRule="auto"/>
        <w:jc w:val="both"/>
        <w:rPr>
          <w:rFonts w:ascii="Arial" w:hAnsi="Arial" w:cs="Arial"/>
          <w:bCs/>
          <w:iCs/>
          <w:color w:val="595959" w:themeColor="text1" w:themeTint="A6"/>
        </w:rPr>
      </w:pPr>
    </w:p>
    <w:p w14:paraId="7BFF0AD8" w14:textId="77777777" w:rsidR="0054039C" w:rsidRPr="0054039C" w:rsidRDefault="0054039C" w:rsidP="0054039C">
      <w:pPr>
        <w:spacing w:line="480" w:lineRule="auto"/>
        <w:jc w:val="both"/>
        <w:rPr>
          <w:rFonts w:ascii="Arial" w:hAnsi="Arial" w:cs="Arial"/>
          <w:bCs/>
          <w:iCs/>
          <w:color w:val="595959" w:themeColor="text1" w:themeTint="A6"/>
        </w:rPr>
      </w:pPr>
    </w:p>
    <w:p w14:paraId="02500D0A" w14:textId="77777777" w:rsidR="0054039C" w:rsidRPr="0054039C" w:rsidRDefault="0054039C" w:rsidP="0054039C">
      <w:pPr>
        <w:spacing w:line="480" w:lineRule="auto"/>
        <w:jc w:val="both"/>
        <w:rPr>
          <w:rFonts w:ascii="Arial" w:hAnsi="Arial" w:cs="Arial"/>
          <w:bCs/>
          <w:iCs/>
          <w:color w:val="595959" w:themeColor="text1" w:themeTint="A6"/>
        </w:rPr>
      </w:pPr>
    </w:p>
    <w:p w14:paraId="5410E2D1" w14:textId="77777777" w:rsidR="0054039C" w:rsidRPr="0054039C" w:rsidRDefault="0054039C" w:rsidP="0054039C">
      <w:pPr>
        <w:spacing w:line="480" w:lineRule="auto"/>
        <w:jc w:val="both"/>
        <w:rPr>
          <w:rFonts w:ascii="Arial" w:hAnsi="Arial" w:cs="Arial"/>
          <w:bCs/>
          <w:iCs/>
          <w:color w:val="595959" w:themeColor="text1" w:themeTint="A6"/>
        </w:rPr>
      </w:pPr>
    </w:p>
    <w:p w14:paraId="26DA4FE2" w14:textId="77777777" w:rsidR="0054039C" w:rsidRPr="0054039C" w:rsidRDefault="0054039C" w:rsidP="0054039C">
      <w:pPr>
        <w:spacing w:line="480" w:lineRule="auto"/>
        <w:jc w:val="both"/>
        <w:rPr>
          <w:rFonts w:ascii="Arial" w:hAnsi="Arial" w:cs="Arial"/>
          <w:color w:val="595959" w:themeColor="text1" w:themeTint="A6"/>
          <w:lang w:val="en-US"/>
        </w:rPr>
      </w:pPr>
    </w:p>
    <w:p w14:paraId="2037676C" w14:textId="77777777" w:rsidR="0054039C" w:rsidRPr="0054039C" w:rsidRDefault="0054039C" w:rsidP="0054039C">
      <w:pPr>
        <w:spacing w:line="480" w:lineRule="auto"/>
        <w:jc w:val="both"/>
        <w:rPr>
          <w:rFonts w:ascii="Arial" w:hAnsi="Arial" w:cs="Arial"/>
          <w:color w:val="595959" w:themeColor="text1" w:themeTint="A6"/>
          <w:lang w:val="en-US"/>
        </w:rPr>
      </w:pPr>
    </w:p>
    <w:p w14:paraId="0887574E" w14:textId="77777777" w:rsidR="0054039C" w:rsidRPr="0054039C" w:rsidRDefault="0054039C" w:rsidP="0054039C">
      <w:pPr>
        <w:spacing w:line="480" w:lineRule="auto"/>
        <w:jc w:val="both"/>
        <w:rPr>
          <w:rFonts w:ascii="Arial" w:hAnsi="Arial" w:cs="Arial"/>
          <w:color w:val="595959" w:themeColor="text1" w:themeTint="A6"/>
          <w:lang w:val="en-US"/>
        </w:rPr>
      </w:pPr>
    </w:p>
    <w:p w14:paraId="4B2D003C" w14:textId="77777777" w:rsidR="0054039C" w:rsidRPr="0054039C" w:rsidRDefault="0054039C" w:rsidP="0054039C">
      <w:pPr>
        <w:spacing w:line="480" w:lineRule="auto"/>
        <w:jc w:val="both"/>
        <w:rPr>
          <w:rFonts w:ascii="Arial" w:hAnsi="Arial" w:cs="Arial"/>
          <w:color w:val="595959" w:themeColor="text1" w:themeTint="A6"/>
          <w:lang w:val="en-US"/>
        </w:rPr>
      </w:pPr>
    </w:p>
    <w:p w14:paraId="186EE0C8" w14:textId="77777777" w:rsidR="0054039C" w:rsidRPr="0054039C" w:rsidRDefault="0054039C" w:rsidP="0054039C">
      <w:pPr>
        <w:spacing w:line="480" w:lineRule="auto"/>
        <w:jc w:val="both"/>
        <w:rPr>
          <w:rFonts w:ascii="Arial" w:hAnsi="Arial" w:cs="Arial"/>
          <w:color w:val="595959" w:themeColor="text1" w:themeTint="A6"/>
          <w:lang w:val="en-US"/>
        </w:rPr>
      </w:pPr>
    </w:p>
    <w:p w14:paraId="70B20A1B" w14:textId="77777777" w:rsidR="0054039C" w:rsidRPr="0054039C" w:rsidRDefault="0054039C" w:rsidP="0054039C">
      <w:pPr>
        <w:spacing w:after="0" w:line="480" w:lineRule="auto"/>
        <w:jc w:val="both"/>
        <w:rPr>
          <w:rFonts w:ascii="Arial" w:hAnsi="Arial" w:cs="Arial"/>
          <w:bCs/>
          <w:iCs/>
          <w:color w:val="595959" w:themeColor="text1" w:themeTint="A6"/>
          <w:lang w:val="en-US"/>
        </w:rPr>
      </w:pPr>
    </w:p>
    <w:p w14:paraId="793AA983" w14:textId="77777777" w:rsidR="0054039C" w:rsidRPr="0054039C" w:rsidRDefault="0054039C" w:rsidP="0054039C">
      <w:pPr>
        <w:spacing w:after="0" w:line="480" w:lineRule="auto"/>
        <w:jc w:val="both"/>
        <w:rPr>
          <w:rFonts w:ascii="Arial" w:hAnsi="Arial" w:cs="Arial"/>
          <w:bCs/>
          <w:iCs/>
          <w:color w:val="595959" w:themeColor="text1" w:themeTint="A6"/>
          <w:lang w:val="en-US"/>
        </w:rPr>
      </w:pPr>
    </w:p>
    <w:p w14:paraId="5A860298" w14:textId="77777777" w:rsidR="0054039C" w:rsidRPr="0054039C" w:rsidRDefault="0054039C" w:rsidP="0054039C">
      <w:pPr>
        <w:autoSpaceDE w:val="0"/>
        <w:autoSpaceDN w:val="0"/>
        <w:adjustRightInd w:val="0"/>
        <w:spacing w:after="0" w:line="480" w:lineRule="auto"/>
        <w:jc w:val="both"/>
        <w:rPr>
          <w:rFonts w:ascii="Arial" w:hAnsi="Arial" w:cs="Arial"/>
          <w:bCs/>
          <w:iCs/>
          <w:color w:val="595959" w:themeColor="text1" w:themeTint="A6"/>
        </w:rPr>
      </w:pPr>
      <w:r w:rsidRPr="0054039C">
        <w:rPr>
          <w:rFonts w:ascii="Arial" w:hAnsi="Arial" w:cs="Arial"/>
          <w:bCs/>
          <w:iCs/>
          <w:noProof/>
          <w:color w:val="595959" w:themeColor="text1" w:themeTint="A6"/>
          <w:lang w:eastAsia="zh-CN"/>
        </w:rPr>
        <w:lastRenderedPageBreak/>
        <w:drawing>
          <wp:anchor distT="0" distB="0" distL="114300" distR="114300" simplePos="0" relativeHeight="251658254" behindDoc="0" locked="0" layoutInCell="1" allowOverlap="1" wp14:anchorId="0C4572F0" wp14:editId="3F255FC7">
            <wp:simplePos x="0" y="0"/>
            <wp:positionH relativeFrom="margin">
              <wp:align>right</wp:align>
            </wp:positionH>
            <wp:positionV relativeFrom="paragraph">
              <wp:posOffset>9525</wp:posOffset>
            </wp:positionV>
            <wp:extent cx="5734050" cy="5636299"/>
            <wp:effectExtent l="0" t="0" r="0" b="2540"/>
            <wp:wrapNone/>
            <wp:docPr id="1570" name="Picture 1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34050" cy="5636299"/>
                    </a:xfrm>
                    <a:prstGeom prst="rect">
                      <a:avLst/>
                    </a:prstGeom>
                    <a:noFill/>
                  </pic:spPr>
                </pic:pic>
              </a:graphicData>
            </a:graphic>
            <wp14:sizeRelH relativeFrom="margin">
              <wp14:pctWidth>0</wp14:pctWidth>
            </wp14:sizeRelH>
            <wp14:sizeRelV relativeFrom="margin">
              <wp14:pctHeight>0</wp14:pctHeight>
            </wp14:sizeRelV>
          </wp:anchor>
        </w:drawing>
      </w:r>
    </w:p>
    <w:p w14:paraId="621E72BC" w14:textId="77777777" w:rsidR="0054039C" w:rsidRPr="0054039C" w:rsidRDefault="0054039C" w:rsidP="0054039C">
      <w:pPr>
        <w:autoSpaceDE w:val="0"/>
        <w:autoSpaceDN w:val="0"/>
        <w:adjustRightInd w:val="0"/>
        <w:spacing w:after="0" w:line="480" w:lineRule="auto"/>
        <w:jc w:val="both"/>
        <w:rPr>
          <w:rFonts w:ascii="Arial" w:hAnsi="Arial" w:cs="Arial"/>
          <w:bCs/>
          <w:iCs/>
          <w:color w:val="595959" w:themeColor="text1" w:themeTint="A6"/>
        </w:rPr>
      </w:pPr>
    </w:p>
    <w:p w14:paraId="45247741" w14:textId="77777777" w:rsidR="0054039C" w:rsidRPr="0054039C" w:rsidRDefault="0054039C" w:rsidP="0054039C">
      <w:pPr>
        <w:autoSpaceDE w:val="0"/>
        <w:autoSpaceDN w:val="0"/>
        <w:adjustRightInd w:val="0"/>
        <w:spacing w:after="0" w:line="480" w:lineRule="auto"/>
        <w:jc w:val="both"/>
        <w:rPr>
          <w:rFonts w:ascii="Arial" w:hAnsi="Arial" w:cs="Arial"/>
          <w:bCs/>
          <w:iCs/>
          <w:color w:val="595959" w:themeColor="text1" w:themeTint="A6"/>
        </w:rPr>
      </w:pPr>
    </w:p>
    <w:p w14:paraId="22FFD41A" w14:textId="77777777" w:rsidR="0054039C" w:rsidRPr="0054039C" w:rsidRDefault="0054039C" w:rsidP="0054039C">
      <w:pPr>
        <w:autoSpaceDE w:val="0"/>
        <w:autoSpaceDN w:val="0"/>
        <w:adjustRightInd w:val="0"/>
        <w:spacing w:after="0" w:line="480" w:lineRule="auto"/>
        <w:jc w:val="both"/>
        <w:rPr>
          <w:rFonts w:ascii="Arial" w:hAnsi="Arial" w:cs="Arial"/>
          <w:bCs/>
          <w:iCs/>
          <w:color w:val="595959" w:themeColor="text1" w:themeTint="A6"/>
        </w:rPr>
      </w:pPr>
    </w:p>
    <w:p w14:paraId="4B78BAF8" w14:textId="77777777" w:rsidR="0054039C" w:rsidRPr="0054039C" w:rsidRDefault="0054039C" w:rsidP="0054039C">
      <w:pPr>
        <w:autoSpaceDE w:val="0"/>
        <w:autoSpaceDN w:val="0"/>
        <w:adjustRightInd w:val="0"/>
        <w:spacing w:after="0" w:line="480" w:lineRule="auto"/>
        <w:jc w:val="both"/>
        <w:rPr>
          <w:rFonts w:ascii="Arial" w:hAnsi="Arial" w:cs="Arial"/>
          <w:bCs/>
          <w:iCs/>
          <w:color w:val="595959" w:themeColor="text1" w:themeTint="A6"/>
        </w:rPr>
      </w:pPr>
    </w:p>
    <w:p w14:paraId="71A9878B" w14:textId="77777777" w:rsidR="0054039C" w:rsidRPr="0054039C" w:rsidRDefault="0054039C" w:rsidP="0054039C">
      <w:pPr>
        <w:autoSpaceDE w:val="0"/>
        <w:autoSpaceDN w:val="0"/>
        <w:adjustRightInd w:val="0"/>
        <w:spacing w:after="0" w:line="480" w:lineRule="auto"/>
        <w:jc w:val="both"/>
        <w:rPr>
          <w:rFonts w:ascii="Arial" w:hAnsi="Arial" w:cs="Arial"/>
          <w:bCs/>
          <w:iCs/>
          <w:color w:val="595959" w:themeColor="text1" w:themeTint="A6"/>
        </w:rPr>
      </w:pPr>
    </w:p>
    <w:p w14:paraId="0FC1DC54" w14:textId="77777777" w:rsidR="0054039C" w:rsidRPr="0054039C" w:rsidRDefault="0054039C" w:rsidP="0054039C">
      <w:pPr>
        <w:autoSpaceDE w:val="0"/>
        <w:autoSpaceDN w:val="0"/>
        <w:adjustRightInd w:val="0"/>
        <w:spacing w:after="0" w:line="480" w:lineRule="auto"/>
        <w:jc w:val="both"/>
        <w:rPr>
          <w:rFonts w:ascii="Arial" w:hAnsi="Arial" w:cs="Arial"/>
          <w:bCs/>
          <w:iCs/>
          <w:color w:val="595959" w:themeColor="text1" w:themeTint="A6"/>
        </w:rPr>
      </w:pPr>
    </w:p>
    <w:p w14:paraId="1B2E4DAC" w14:textId="77777777" w:rsidR="0054039C" w:rsidRPr="0054039C" w:rsidRDefault="0054039C" w:rsidP="0054039C">
      <w:pPr>
        <w:autoSpaceDE w:val="0"/>
        <w:autoSpaceDN w:val="0"/>
        <w:adjustRightInd w:val="0"/>
        <w:spacing w:after="0" w:line="480" w:lineRule="auto"/>
        <w:jc w:val="both"/>
        <w:rPr>
          <w:rFonts w:ascii="Arial" w:hAnsi="Arial" w:cs="Arial"/>
          <w:bCs/>
          <w:iCs/>
          <w:color w:val="595959" w:themeColor="text1" w:themeTint="A6"/>
        </w:rPr>
      </w:pPr>
    </w:p>
    <w:p w14:paraId="5A667A14" w14:textId="77777777" w:rsidR="0054039C" w:rsidRPr="0054039C" w:rsidRDefault="0054039C" w:rsidP="0054039C">
      <w:pPr>
        <w:autoSpaceDE w:val="0"/>
        <w:autoSpaceDN w:val="0"/>
        <w:adjustRightInd w:val="0"/>
        <w:spacing w:after="0" w:line="480" w:lineRule="auto"/>
        <w:jc w:val="both"/>
        <w:rPr>
          <w:rFonts w:ascii="Arial" w:hAnsi="Arial" w:cs="Arial"/>
          <w:bCs/>
          <w:iCs/>
          <w:color w:val="595959" w:themeColor="text1" w:themeTint="A6"/>
        </w:rPr>
      </w:pPr>
    </w:p>
    <w:p w14:paraId="28662CC1" w14:textId="77777777" w:rsidR="0054039C" w:rsidRPr="0054039C" w:rsidRDefault="0054039C" w:rsidP="0054039C">
      <w:pPr>
        <w:autoSpaceDE w:val="0"/>
        <w:autoSpaceDN w:val="0"/>
        <w:adjustRightInd w:val="0"/>
        <w:spacing w:after="0" w:line="480" w:lineRule="auto"/>
        <w:jc w:val="both"/>
        <w:rPr>
          <w:rFonts w:ascii="Arial" w:hAnsi="Arial" w:cs="Arial"/>
          <w:bCs/>
          <w:iCs/>
          <w:color w:val="595959" w:themeColor="text1" w:themeTint="A6"/>
        </w:rPr>
      </w:pPr>
    </w:p>
    <w:p w14:paraId="72CFB9A2" w14:textId="77777777" w:rsidR="0054039C" w:rsidRPr="0054039C" w:rsidRDefault="0054039C" w:rsidP="0054039C">
      <w:pPr>
        <w:autoSpaceDE w:val="0"/>
        <w:autoSpaceDN w:val="0"/>
        <w:adjustRightInd w:val="0"/>
        <w:spacing w:after="0" w:line="480" w:lineRule="auto"/>
        <w:jc w:val="both"/>
        <w:rPr>
          <w:rFonts w:ascii="Arial" w:hAnsi="Arial" w:cs="Arial"/>
          <w:bCs/>
          <w:iCs/>
          <w:color w:val="595959" w:themeColor="text1" w:themeTint="A6"/>
        </w:rPr>
      </w:pPr>
    </w:p>
    <w:p w14:paraId="26116DAB" w14:textId="77777777" w:rsidR="0054039C" w:rsidRPr="0054039C" w:rsidRDefault="0054039C" w:rsidP="0054039C">
      <w:pPr>
        <w:autoSpaceDE w:val="0"/>
        <w:autoSpaceDN w:val="0"/>
        <w:adjustRightInd w:val="0"/>
        <w:spacing w:after="0" w:line="480" w:lineRule="auto"/>
        <w:jc w:val="both"/>
        <w:rPr>
          <w:rFonts w:ascii="Arial" w:hAnsi="Arial" w:cs="Arial"/>
          <w:bCs/>
          <w:iCs/>
          <w:color w:val="595959" w:themeColor="text1" w:themeTint="A6"/>
        </w:rPr>
      </w:pPr>
    </w:p>
    <w:p w14:paraId="05A90FAB" w14:textId="77777777" w:rsidR="0054039C" w:rsidRPr="0054039C" w:rsidRDefault="0054039C" w:rsidP="0054039C">
      <w:pPr>
        <w:autoSpaceDE w:val="0"/>
        <w:autoSpaceDN w:val="0"/>
        <w:adjustRightInd w:val="0"/>
        <w:spacing w:after="0" w:line="480" w:lineRule="auto"/>
        <w:jc w:val="both"/>
        <w:rPr>
          <w:rFonts w:ascii="Arial" w:hAnsi="Arial" w:cs="Arial"/>
          <w:bCs/>
          <w:iCs/>
          <w:color w:val="595959" w:themeColor="text1" w:themeTint="A6"/>
        </w:rPr>
      </w:pPr>
    </w:p>
    <w:p w14:paraId="41CABEBB" w14:textId="77777777" w:rsidR="0054039C" w:rsidRPr="0054039C" w:rsidRDefault="0054039C" w:rsidP="0054039C">
      <w:pPr>
        <w:autoSpaceDE w:val="0"/>
        <w:autoSpaceDN w:val="0"/>
        <w:adjustRightInd w:val="0"/>
        <w:spacing w:after="0" w:line="480" w:lineRule="auto"/>
        <w:jc w:val="both"/>
        <w:rPr>
          <w:rFonts w:ascii="Arial" w:hAnsi="Arial" w:cs="Arial"/>
          <w:bCs/>
          <w:iCs/>
          <w:color w:val="595959" w:themeColor="text1" w:themeTint="A6"/>
        </w:rPr>
      </w:pPr>
    </w:p>
    <w:p w14:paraId="1A03DAD6" w14:textId="77777777" w:rsidR="0054039C" w:rsidRPr="0054039C" w:rsidRDefault="0054039C" w:rsidP="0054039C">
      <w:pPr>
        <w:autoSpaceDE w:val="0"/>
        <w:autoSpaceDN w:val="0"/>
        <w:adjustRightInd w:val="0"/>
        <w:spacing w:after="0" w:line="480" w:lineRule="auto"/>
        <w:jc w:val="both"/>
        <w:rPr>
          <w:rFonts w:ascii="Arial" w:hAnsi="Arial" w:cs="Arial"/>
          <w:bCs/>
          <w:iCs/>
          <w:color w:val="595959" w:themeColor="text1" w:themeTint="A6"/>
        </w:rPr>
      </w:pPr>
    </w:p>
    <w:p w14:paraId="20EF017C" w14:textId="77777777" w:rsidR="0054039C" w:rsidRPr="0054039C" w:rsidRDefault="0054039C" w:rsidP="0054039C">
      <w:pPr>
        <w:autoSpaceDE w:val="0"/>
        <w:autoSpaceDN w:val="0"/>
        <w:adjustRightInd w:val="0"/>
        <w:spacing w:after="0" w:line="480" w:lineRule="auto"/>
        <w:jc w:val="both"/>
        <w:rPr>
          <w:rFonts w:ascii="Arial" w:hAnsi="Arial" w:cs="Arial"/>
          <w:bCs/>
          <w:iCs/>
          <w:color w:val="595959" w:themeColor="text1" w:themeTint="A6"/>
        </w:rPr>
      </w:pPr>
    </w:p>
    <w:p w14:paraId="0C18BF4D" w14:textId="77777777" w:rsidR="0054039C" w:rsidRPr="0054039C" w:rsidRDefault="0054039C" w:rsidP="0054039C">
      <w:pPr>
        <w:autoSpaceDE w:val="0"/>
        <w:autoSpaceDN w:val="0"/>
        <w:adjustRightInd w:val="0"/>
        <w:spacing w:after="0" w:line="480" w:lineRule="auto"/>
        <w:jc w:val="both"/>
        <w:rPr>
          <w:rFonts w:ascii="Arial" w:hAnsi="Arial" w:cs="Arial"/>
          <w:bCs/>
          <w:iCs/>
          <w:color w:val="595959" w:themeColor="text1" w:themeTint="A6"/>
        </w:rPr>
      </w:pPr>
    </w:p>
    <w:p w14:paraId="2C6FAADD" w14:textId="77777777" w:rsidR="0054039C" w:rsidRPr="0054039C" w:rsidRDefault="0054039C" w:rsidP="0054039C">
      <w:pPr>
        <w:autoSpaceDE w:val="0"/>
        <w:autoSpaceDN w:val="0"/>
        <w:adjustRightInd w:val="0"/>
        <w:spacing w:after="0" w:line="480" w:lineRule="auto"/>
        <w:jc w:val="both"/>
        <w:rPr>
          <w:rFonts w:ascii="Arial" w:hAnsi="Arial" w:cs="Arial"/>
          <w:bCs/>
          <w:iCs/>
          <w:color w:val="595959" w:themeColor="text1" w:themeTint="A6"/>
        </w:rPr>
      </w:pPr>
    </w:p>
    <w:p w14:paraId="52FABB79" w14:textId="77777777" w:rsidR="0054039C" w:rsidRPr="0054039C" w:rsidRDefault="0054039C" w:rsidP="0054039C">
      <w:pPr>
        <w:autoSpaceDE w:val="0"/>
        <w:autoSpaceDN w:val="0"/>
        <w:adjustRightInd w:val="0"/>
        <w:spacing w:after="0" w:line="480" w:lineRule="auto"/>
        <w:jc w:val="both"/>
        <w:rPr>
          <w:rFonts w:ascii="Arial" w:hAnsi="Arial" w:cs="Arial"/>
          <w:bCs/>
          <w:iCs/>
          <w:color w:val="595959" w:themeColor="text1" w:themeTint="A6"/>
        </w:rPr>
      </w:pPr>
    </w:p>
    <w:p w14:paraId="77F6ECF7" w14:textId="77777777" w:rsidR="0054039C" w:rsidRPr="0054039C" w:rsidRDefault="0054039C" w:rsidP="0054039C">
      <w:pPr>
        <w:autoSpaceDE w:val="0"/>
        <w:autoSpaceDN w:val="0"/>
        <w:adjustRightInd w:val="0"/>
        <w:spacing w:after="0" w:line="480" w:lineRule="auto"/>
        <w:jc w:val="both"/>
        <w:rPr>
          <w:rFonts w:ascii="Arial" w:hAnsi="Arial" w:cs="Arial"/>
          <w:bCs/>
          <w:iCs/>
          <w:color w:val="595959" w:themeColor="text1" w:themeTint="A6"/>
        </w:rPr>
      </w:pPr>
    </w:p>
    <w:p w14:paraId="56EDC208" w14:textId="77777777" w:rsidR="0054039C" w:rsidRPr="0054039C" w:rsidRDefault="0054039C" w:rsidP="0054039C">
      <w:pPr>
        <w:autoSpaceDE w:val="0"/>
        <w:autoSpaceDN w:val="0"/>
        <w:adjustRightInd w:val="0"/>
        <w:spacing w:after="0" w:line="480" w:lineRule="auto"/>
        <w:jc w:val="both"/>
        <w:rPr>
          <w:rFonts w:ascii="Arial" w:hAnsi="Arial" w:cs="Arial"/>
          <w:bCs/>
          <w:iCs/>
          <w:color w:val="595959" w:themeColor="text1" w:themeTint="A6"/>
        </w:rPr>
      </w:pPr>
    </w:p>
    <w:p w14:paraId="7A3981F2" w14:textId="77777777" w:rsidR="0054039C" w:rsidRPr="0054039C" w:rsidRDefault="0054039C" w:rsidP="0054039C">
      <w:pPr>
        <w:autoSpaceDE w:val="0"/>
        <w:autoSpaceDN w:val="0"/>
        <w:adjustRightInd w:val="0"/>
        <w:spacing w:after="0" w:line="480" w:lineRule="auto"/>
        <w:jc w:val="both"/>
        <w:rPr>
          <w:rFonts w:ascii="Arial" w:hAnsi="Arial" w:cs="Arial"/>
          <w:bCs/>
          <w:iCs/>
          <w:color w:val="595959" w:themeColor="text1" w:themeTint="A6"/>
        </w:rPr>
      </w:pPr>
      <w:r w:rsidRPr="0054039C">
        <w:rPr>
          <w:rFonts w:ascii="Arial" w:hAnsi="Arial" w:cs="Arial"/>
          <w:noProof/>
          <w:color w:val="595959" w:themeColor="text1" w:themeTint="A6"/>
          <w:sz w:val="24"/>
          <w:szCs w:val="24"/>
          <w:lang w:eastAsia="zh-CN"/>
        </w:rPr>
        <mc:AlternateContent>
          <mc:Choice Requires="wps">
            <w:drawing>
              <wp:anchor distT="0" distB="0" distL="114300" distR="114300" simplePos="0" relativeHeight="251658255" behindDoc="0" locked="0" layoutInCell="1" allowOverlap="1" wp14:anchorId="2CBA78AB" wp14:editId="17D8397A">
                <wp:simplePos x="0" y="0"/>
                <wp:positionH relativeFrom="margin">
                  <wp:align>right</wp:align>
                </wp:positionH>
                <wp:positionV relativeFrom="paragraph">
                  <wp:posOffset>301625</wp:posOffset>
                </wp:positionV>
                <wp:extent cx="5724525" cy="1504950"/>
                <wp:effectExtent l="0" t="0" r="9525" b="0"/>
                <wp:wrapNone/>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1504950"/>
                        </a:xfrm>
                        <a:prstGeom prst="rect">
                          <a:avLst/>
                        </a:prstGeom>
                        <a:solidFill>
                          <a:srgbClr val="FFFFFF"/>
                        </a:solidFill>
                        <a:ln w="9525">
                          <a:noFill/>
                          <a:miter lim="800000"/>
                          <a:headEnd/>
                          <a:tailEnd/>
                        </a:ln>
                      </wps:spPr>
                      <wps:txbx>
                        <w:txbxContent>
                          <w:p w14:paraId="4665923B" w14:textId="77777777" w:rsidR="008A47AC" w:rsidRPr="006B7937" w:rsidRDefault="008A47AC" w:rsidP="0054039C">
                            <w:pPr>
                              <w:pStyle w:val="Caption"/>
                              <w:jc w:val="both"/>
                              <w:rPr>
                                <w:rFonts w:ascii="Arial Narrow" w:hAnsi="Arial Narrow"/>
                                <w:b/>
                                <w:i w:val="0"/>
                                <w:sz w:val="24"/>
                                <w:szCs w:val="24"/>
                              </w:rPr>
                            </w:pPr>
                            <w:r w:rsidRPr="006B7937">
                              <w:rPr>
                                <w:rFonts w:ascii="Arial Narrow" w:hAnsi="Arial Narrow"/>
                                <w:b/>
                                <w:i w:val="0"/>
                                <w:color w:val="595959" w:themeColor="text1" w:themeTint="A6"/>
                                <w:sz w:val="24"/>
                                <w:szCs w:val="24"/>
                              </w:rPr>
                              <w:t xml:space="preserve">Figure </w:t>
                            </w:r>
                            <w:r>
                              <w:rPr>
                                <w:rFonts w:ascii="Arial Narrow" w:hAnsi="Arial Narrow"/>
                                <w:b/>
                                <w:i w:val="0"/>
                                <w:color w:val="595959" w:themeColor="text1" w:themeTint="A6"/>
                                <w:sz w:val="24"/>
                                <w:szCs w:val="24"/>
                              </w:rPr>
                              <w:t>2.3</w:t>
                            </w:r>
                            <w:r w:rsidRPr="006B7937">
                              <w:rPr>
                                <w:rFonts w:ascii="Arial Narrow" w:hAnsi="Arial Narrow"/>
                                <w:b/>
                                <w:i w:val="0"/>
                                <w:color w:val="595959" w:themeColor="text1" w:themeTint="A6"/>
                                <w:sz w:val="24"/>
                                <w:szCs w:val="24"/>
                              </w:rPr>
                              <w:t xml:space="preserve"> </w:t>
                            </w:r>
                            <w:r>
                              <w:rPr>
                                <w:rFonts w:ascii="Arial Narrow" w:hAnsi="Arial Narrow"/>
                                <w:b/>
                                <w:i w:val="0"/>
                                <w:color w:val="595959" w:themeColor="text1" w:themeTint="A6"/>
                                <w:sz w:val="24"/>
                                <w:szCs w:val="24"/>
                              </w:rPr>
                              <w:t>Schematic of fibroblast-derived matrix development for large organotypic inserts</w:t>
                            </w:r>
                          </w:p>
                          <w:p w14:paraId="41A7C5FD" w14:textId="72140CE5" w:rsidR="008A47AC" w:rsidRPr="00E72F77" w:rsidRDefault="008A47AC" w:rsidP="0054039C">
                            <w:pPr>
                              <w:pStyle w:val="NormalWeb"/>
                              <w:spacing w:after="200" w:line="276" w:lineRule="auto"/>
                              <w:jc w:val="both"/>
                              <w:rPr>
                                <w:rFonts w:ascii="Arial Narrow" w:hAnsi="Arial Narrow"/>
                                <w:color w:val="595959" w:themeColor="text1" w:themeTint="A6"/>
                                <w:sz w:val="22"/>
                                <w:szCs w:val="22"/>
                              </w:rPr>
                            </w:pPr>
                            <w:r w:rsidRPr="00E72F77">
                              <w:rPr>
                                <w:rFonts w:ascii="Arial Narrow" w:hAnsi="Arial Narrow"/>
                                <w:color w:val="595959" w:themeColor="text1" w:themeTint="A6"/>
                                <w:sz w:val="22"/>
                                <w:szCs w:val="22"/>
                              </w:rPr>
                              <w:t>NOF</w:t>
                            </w:r>
                            <w:r>
                              <w:rPr>
                                <w:rFonts w:ascii="Arial Narrow" w:hAnsi="Arial Narrow"/>
                                <w:color w:val="595959" w:themeColor="text1" w:themeTint="A6"/>
                                <w:sz w:val="22"/>
                                <w:szCs w:val="22"/>
                              </w:rPr>
                              <w:t xml:space="preserve">/ CAF isolated from patient biopsies. Organotypic inserts were prepared by coating insert surface with </w:t>
                            </w:r>
                            <w:r w:rsidRPr="0029371C">
                              <w:rPr>
                                <w:rFonts w:ascii="Arial Narrow" w:hAnsi="Arial Narrow"/>
                                <w:color w:val="595959" w:themeColor="text1" w:themeTint="A6"/>
                                <w:sz w:val="22"/>
                                <w:szCs w:val="22"/>
                                <w:lang w:val="en-US"/>
                              </w:rPr>
                              <w:t>poly-L-Lysine solution (0.1% w/v)</w:t>
                            </w:r>
                            <w:r>
                              <w:rPr>
                                <w:rFonts w:ascii="Arial Narrow" w:hAnsi="Arial Narrow"/>
                                <w:color w:val="595959" w:themeColor="text1" w:themeTint="A6"/>
                                <w:sz w:val="22"/>
                                <w:szCs w:val="22"/>
                                <w:lang w:val="en-US"/>
                              </w:rPr>
                              <w:t xml:space="preserve"> and incubated @ 37</w:t>
                            </w:r>
                            <w:r w:rsidRPr="004F7649">
                              <w:rPr>
                                <w:rFonts w:ascii="Arial Narrow" w:hAnsi="Arial Narrow"/>
                                <w:color w:val="595959" w:themeColor="text1" w:themeTint="A6"/>
                                <w:sz w:val="22"/>
                                <w:szCs w:val="22"/>
                                <w:vertAlign w:val="superscript"/>
                                <w:lang w:val="en-US"/>
                              </w:rPr>
                              <w:t>o</w:t>
                            </w:r>
                            <w:r>
                              <w:rPr>
                                <w:rFonts w:ascii="Arial Narrow" w:hAnsi="Arial Narrow"/>
                                <w:color w:val="595959" w:themeColor="text1" w:themeTint="A6"/>
                                <w:sz w:val="22"/>
                                <w:szCs w:val="22"/>
                                <w:lang w:val="en-US"/>
                              </w:rPr>
                              <w:t xml:space="preserve">C </w:t>
                            </w:r>
                            <w:r w:rsidRPr="004F7649">
                              <w:rPr>
                                <w:rFonts w:ascii="Arial Narrow" w:hAnsi="Arial Narrow"/>
                                <w:color w:val="595959" w:themeColor="text1" w:themeTint="A6"/>
                                <w:sz w:val="22"/>
                                <w:szCs w:val="22"/>
                                <w:lang w:val="en-US"/>
                              </w:rPr>
                              <w:t>for</w:t>
                            </w:r>
                            <w:r>
                              <w:rPr>
                                <w:rFonts w:ascii="Arial Narrow" w:hAnsi="Arial Narrow"/>
                                <w:color w:val="595959" w:themeColor="text1" w:themeTint="A6"/>
                                <w:sz w:val="22"/>
                                <w:szCs w:val="22"/>
                                <w:lang w:val="en-US"/>
                              </w:rPr>
                              <w:t xml:space="preserve"> 30 minutes. The inserts were washed with </w:t>
                            </w:r>
                            <w:r w:rsidRPr="004F7649">
                              <w:rPr>
                                <w:rFonts w:ascii="Arial Narrow" w:hAnsi="Arial Narrow" w:cs="Arial"/>
                                <w:color w:val="595959" w:themeColor="text1" w:themeTint="A6"/>
                                <w:sz w:val="22"/>
                                <w:szCs w:val="22"/>
                              </w:rPr>
                              <w:t>dH</w:t>
                            </w:r>
                            <w:r w:rsidRPr="004F7649">
                              <w:rPr>
                                <w:rFonts w:ascii="Arial Narrow" w:hAnsi="Arial Narrow" w:cs="Arial"/>
                                <w:color w:val="595959" w:themeColor="text1" w:themeTint="A6"/>
                                <w:sz w:val="22"/>
                                <w:szCs w:val="22"/>
                                <w:vertAlign w:val="subscript"/>
                              </w:rPr>
                              <w:t>2</w:t>
                            </w:r>
                            <w:r w:rsidRPr="004F7649">
                              <w:rPr>
                                <w:rFonts w:ascii="Arial Narrow" w:hAnsi="Arial Narrow" w:cs="Arial"/>
                                <w:color w:val="595959" w:themeColor="text1" w:themeTint="A6"/>
                                <w:sz w:val="22"/>
                                <w:szCs w:val="22"/>
                              </w:rPr>
                              <w:t>O</w:t>
                            </w:r>
                            <w:r>
                              <w:rPr>
                                <w:rFonts w:ascii="Arial Narrow" w:hAnsi="Arial Narrow"/>
                                <w:color w:val="595959" w:themeColor="text1" w:themeTint="A6"/>
                                <w:sz w:val="22"/>
                                <w:szCs w:val="22"/>
                                <w:lang w:val="en-US"/>
                              </w:rPr>
                              <w:t xml:space="preserve"> and dried overnight.</w:t>
                            </w:r>
                            <w:r w:rsidRPr="0029371C">
                              <w:rPr>
                                <w:rFonts w:ascii="Arial Narrow" w:hAnsi="Arial Narrow"/>
                                <w:color w:val="595959" w:themeColor="text1" w:themeTint="A6"/>
                                <w:sz w:val="22"/>
                                <w:szCs w:val="22"/>
                                <w:lang w:val="en-US"/>
                              </w:rPr>
                              <w:t xml:space="preserve"> </w:t>
                            </w:r>
                            <w:r>
                              <w:rPr>
                                <w:rFonts w:ascii="Arial Narrow" w:hAnsi="Arial Narrow"/>
                                <w:color w:val="595959" w:themeColor="text1" w:themeTint="A6"/>
                                <w:sz w:val="22"/>
                                <w:szCs w:val="22"/>
                              </w:rPr>
                              <w:t xml:space="preserve"> Cells were then seeded (5.55 x10</w:t>
                            </w:r>
                            <w:r>
                              <w:rPr>
                                <w:rFonts w:ascii="Arial Narrow" w:hAnsi="Arial Narrow"/>
                                <w:color w:val="595959" w:themeColor="text1" w:themeTint="A6"/>
                                <w:sz w:val="22"/>
                                <w:szCs w:val="22"/>
                                <w:vertAlign w:val="superscript"/>
                              </w:rPr>
                              <w:t xml:space="preserve">6 </w:t>
                            </w:r>
                            <w:r>
                              <w:rPr>
                                <w:rFonts w:ascii="Arial Narrow" w:hAnsi="Arial Narrow"/>
                                <w:color w:val="595959" w:themeColor="text1" w:themeTint="A6"/>
                                <w:sz w:val="22"/>
                                <w:szCs w:val="22"/>
                              </w:rPr>
                              <w:t xml:space="preserve">total) onto coated inserts and maintained in 35 x10 mm petri dishes or 6-well plates. </w:t>
                            </w:r>
                            <w:r w:rsidRPr="00E72F77">
                              <w:rPr>
                                <w:rFonts w:ascii="Arial Narrow" w:hAnsi="Arial Narrow"/>
                                <w:color w:val="595959" w:themeColor="text1" w:themeTint="A6"/>
                                <w:sz w:val="22"/>
                                <w:szCs w:val="22"/>
                              </w:rPr>
                              <w:t xml:space="preserve"> </w:t>
                            </w:r>
                            <w:r>
                              <w:rPr>
                                <w:rFonts w:ascii="Arial Narrow" w:hAnsi="Arial Narrow"/>
                                <w:color w:val="595959" w:themeColor="text1" w:themeTint="A6"/>
                                <w:sz w:val="22"/>
                                <w:szCs w:val="22"/>
                              </w:rPr>
                              <w:t>Fibroblast-derived growth media with/</w:t>
                            </w:r>
                            <w:r w:rsidRPr="00E72F77">
                              <w:rPr>
                                <w:rFonts w:ascii="Arial Narrow" w:hAnsi="Arial Narrow"/>
                                <w:color w:val="595959" w:themeColor="text1" w:themeTint="A6"/>
                                <w:sz w:val="22"/>
                                <w:szCs w:val="22"/>
                              </w:rPr>
                              <w:t xml:space="preserve">without the addition of growth factors </w:t>
                            </w:r>
                            <w:r>
                              <w:rPr>
                                <w:rFonts w:ascii="Arial Narrow" w:hAnsi="Arial Narrow"/>
                                <w:color w:val="595959" w:themeColor="text1" w:themeTint="A6"/>
                                <w:sz w:val="22"/>
                                <w:szCs w:val="22"/>
                              </w:rPr>
                              <w:t>was added to the outer well of plate and to insert up to day 7. From day 7 to 28, media was added to the outside well only. Media was changed every day for long-term culturing Scale bar = 50 µm.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BA78AB" id="_x0000_s1056" type="#_x0000_t202" style="position:absolute;left:0;text-align:left;margin-left:399.55pt;margin-top:23.75pt;width:450.75pt;height:118.5pt;z-index:251658255;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" stroked="f">
                <v:textbox>
                  <w:txbxContent>
                    <w:p w14:paraId="4665923B" w14:textId="77777777" w:rsidR="008A47AC" w:rsidRPr="006B7937" w:rsidRDefault="008A47AC" w:rsidP="0054039C">
                      <w:pPr>
                        <w:pStyle w:val="Caption"/>
                        <w:jc w:val="both"/>
                        <w:rPr>
                          <w:rFonts w:ascii="Arial Narrow" w:hAnsi="Arial Narrow"/>
                          <w:b/>
                          <w:i w:val="0"/>
                          <w:sz w:val="24"/>
                          <w:szCs w:val="24"/>
                        </w:rPr>
                      </w:pPr>
                      <w:r w:rsidRPr="006B7937">
                        <w:rPr>
                          <w:rFonts w:ascii="Arial Narrow" w:hAnsi="Arial Narrow"/>
                          <w:b/>
                          <w:i w:val="0"/>
                          <w:color w:val="595959" w:themeColor="text1" w:themeTint="A6"/>
                          <w:sz w:val="24"/>
                          <w:szCs w:val="24"/>
                        </w:rPr>
                        <w:t xml:space="preserve">Figure </w:t>
                      </w:r>
                      <w:r>
                        <w:rPr>
                          <w:rFonts w:ascii="Arial Narrow" w:hAnsi="Arial Narrow"/>
                          <w:b/>
                          <w:i w:val="0"/>
                          <w:color w:val="595959" w:themeColor="text1" w:themeTint="A6"/>
                          <w:sz w:val="24"/>
                          <w:szCs w:val="24"/>
                        </w:rPr>
                        <w:t>2.3</w:t>
                      </w:r>
                      <w:r w:rsidRPr="006B7937">
                        <w:rPr>
                          <w:rFonts w:ascii="Arial Narrow" w:hAnsi="Arial Narrow"/>
                          <w:b/>
                          <w:i w:val="0"/>
                          <w:color w:val="595959" w:themeColor="text1" w:themeTint="A6"/>
                          <w:sz w:val="24"/>
                          <w:szCs w:val="24"/>
                        </w:rPr>
                        <w:t xml:space="preserve"> </w:t>
                      </w:r>
                      <w:r>
                        <w:rPr>
                          <w:rFonts w:ascii="Arial Narrow" w:hAnsi="Arial Narrow"/>
                          <w:b/>
                          <w:i w:val="0"/>
                          <w:color w:val="595959" w:themeColor="text1" w:themeTint="A6"/>
                          <w:sz w:val="24"/>
                          <w:szCs w:val="24"/>
                        </w:rPr>
                        <w:t>Schematic of fibroblast-derived matrix development for large organotypic inserts</w:t>
                      </w:r>
                    </w:p>
                    <w:p w14:paraId="41A7C5FD" w14:textId="72140CE5" w:rsidR="008A47AC" w:rsidRPr="00E72F77" w:rsidRDefault="008A47AC" w:rsidP="0054039C">
                      <w:pPr>
                        <w:pStyle w:val="NormalWeb"/>
                        <w:spacing w:after="200" w:line="276" w:lineRule="auto"/>
                        <w:jc w:val="both"/>
                        <w:rPr>
                          <w:rFonts w:ascii="Arial Narrow" w:hAnsi="Arial Narrow"/>
                          <w:color w:val="595959" w:themeColor="text1" w:themeTint="A6"/>
                          <w:sz w:val="22"/>
                          <w:szCs w:val="22"/>
                        </w:rPr>
                      </w:pPr>
                      <w:r w:rsidRPr="00E72F77">
                        <w:rPr>
                          <w:rFonts w:ascii="Arial Narrow" w:hAnsi="Arial Narrow"/>
                          <w:color w:val="595959" w:themeColor="text1" w:themeTint="A6"/>
                          <w:sz w:val="22"/>
                          <w:szCs w:val="22"/>
                        </w:rPr>
                        <w:t>NOF</w:t>
                      </w:r>
                      <w:r>
                        <w:rPr>
                          <w:rFonts w:ascii="Arial Narrow" w:hAnsi="Arial Narrow"/>
                          <w:color w:val="595959" w:themeColor="text1" w:themeTint="A6"/>
                          <w:sz w:val="22"/>
                          <w:szCs w:val="22"/>
                        </w:rPr>
                        <w:t xml:space="preserve">/ CAF isolated from patient biopsies. Organotypic inserts were prepared by coating insert surface with </w:t>
                      </w:r>
                      <w:r w:rsidRPr="0029371C">
                        <w:rPr>
                          <w:rFonts w:ascii="Arial Narrow" w:hAnsi="Arial Narrow"/>
                          <w:color w:val="595959" w:themeColor="text1" w:themeTint="A6"/>
                          <w:sz w:val="22"/>
                          <w:szCs w:val="22"/>
                          <w:lang w:val="en-US"/>
                        </w:rPr>
                        <w:t>poly-L-Lysine solution (0.1% w/v)</w:t>
                      </w:r>
                      <w:r>
                        <w:rPr>
                          <w:rFonts w:ascii="Arial Narrow" w:hAnsi="Arial Narrow"/>
                          <w:color w:val="595959" w:themeColor="text1" w:themeTint="A6"/>
                          <w:sz w:val="22"/>
                          <w:szCs w:val="22"/>
                          <w:lang w:val="en-US"/>
                        </w:rPr>
                        <w:t xml:space="preserve"> and incubated @ 37</w:t>
                      </w:r>
                      <w:r w:rsidRPr="004F7649">
                        <w:rPr>
                          <w:rFonts w:ascii="Arial Narrow" w:hAnsi="Arial Narrow"/>
                          <w:color w:val="595959" w:themeColor="text1" w:themeTint="A6"/>
                          <w:sz w:val="22"/>
                          <w:szCs w:val="22"/>
                          <w:vertAlign w:val="superscript"/>
                          <w:lang w:val="en-US"/>
                        </w:rPr>
                        <w:t>o</w:t>
                      </w:r>
                      <w:r>
                        <w:rPr>
                          <w:rFonts w:ascii="Arial Narrow" w:hAnsi="Arial Narrow"/>
                          <w:color w:val="595959" w:themeColor="text1" w:themeTint="A6"/>
                          <w:sz w:val="22"/>
                          <w:szCs w:val="22"/>
                          <w:lang w:val="en-US"/>
                        </w:rPr>
                        <w:t xml:space="preserve">C </w:t>
                      </w:r>
                      <w:r w:rsidRPr="004F7649">
                        <w:rPr>
                          <w:rFonts w:ascii="Arial Narrow" w:hAnsi="Arial Narrow"/>
                          <w:color w:val="595959" w:themeColor="text1" w:themeTint="A6"/>
                          <w:sz w:val="22"/>
                          <w:szCs w:val="22"/>
                          <w:lang w:val="en-US"/>
                        </w:rPr>
                        <w:t>for</w:t>
                      </w:r>
                      <w:r>
                        <w:rPr>
                          <w:rFonts w:ascii="Arial Narrow" w:hAnsi="Arial Narrow"/>
                          <w:color w:val="595959" w:themeColor="text1" w:themeTint="A6"/>
                          <w:sz w:val="22"/>
                          <w:szCs w:val="22"/>
                          <w:lang w:val="en-US"/>
                        </w:rPr>
                        <w:t xml:space="preserve"> 30 minutes. The inserts were washed with </w:t>
                      </w:r>
                      <w:r w:rsidRPr="004F7649">
                        <w:rPr>
                          <w:rFonts w:ascii="Arial Narrow" w:hAnsi="Arial Narrow" w:cs="Arial"/>
                          <w:color w:val="595959" w:themeColor="text1" w:themeTint="A6"/>
                          <w:sz w:val="22"/>
                          <w:szCs w:val="22"/>
                        </w:rPr>
                        <w:t>dH</w:t>
                      </w:r>
                      <w:r w:rsidRPr="004F7649">
                        <w:rPr>
                          <w:rFonts w:ascii="Arial Narrow" w:hAnsi="Arial Narrow" w:cs="Arial"/>
                          <w:color w:val="595959" w:themeColor="text1" w:themeTint="A6"/>
                          <w:sz w:val="22"/>
                          <w:szCs w:val="22"/>
                          <w:vertAlign w:val="subscript"/>
                        </w:rPr>
                        <w:t>2</w:t>
                      </w:r>
                      <w:r w:rsidRPr="004F7649">
                        <w:rPr>
                          <w:rFonts w:ascii="Arial Narrow" w:hAnsi="Arial Narrow" w:cs="Arial"/>
                          <w:color w:val="595959" w:themeColor="text1" w:themeTint="A6"/>
                          <w:sz w:val="22"/>
                          <w:szCs w:val="22"/>
                        </w:rPr>
                        <w:t>O</w:t>
                      </w:r>
                      <w:r>
                        <w:rPr>
                          <w:rFonts w:ascii="Arial Narrow" w:hAnsi="Arial Narrow"/>
                          <w:color w:val="595959" w:themeColor="text1" w:themeTint="A6"/>
                          <w:sz w:val="22"/>
                          <w:szCs w:val="22"/>
                          <w:lang w:val="en-US"/>
                        </w:rPr>
                        <w:t xml:space="preserve"> and dried overnight.</w:t>
                      </w:r>
                      <w:r w:rsidRPr="0029371C">
                        <w:rPr>
                          <w:rFonts w:ascii="Arial Narrow" w:hAnsi="Arial Narrow"/>
                          <w:color w:val="595959" w:themeColor="text1" w:themeTint="A6"/>
                          <w:sz w:val="22"/>
                          <w:szCs w:val="22"/>
                          <w:lang w:val="en-US"/>
                        </w:rPr>
                        <w:t xml:space="preserve"> </w:t>
                      </w:r>
                      <w:r>
                        <w:rPr>
                          <w:rFonts w:ascii="Arial Narrow" w:hAnsi="Arial Narrow"/>
                          <w:color w:val="595959" w:themeColor="text1" w:themeTint="A6"/>
                          <w:sz w:val="22"/>
                          <w:szCs w:val="22"/>
                        </w:rPr>
                        <w:t xml:space="preserve"> Cells were then seeded (5.55 x10</w:t>
                      </w:r>
                      <w:r>
                        <w:rPr>
                          <w:rFonts w:ascii="Arial Narrow" w:hAnsi="Arial Narrow"/>
                          <w:color w:val="595959" w:themeColor="text1" w:themeTint="A6"/>
                          <w:sz w:val="22"/>
                          <w:szCs w:val="22"/>
                          <w:vertAlign w:val="superscript"/>
                        </w:rPr>
                        <w:t xml:space="preserve">6 </w:t>
                      </w:r>
                      <w:r>
                        <w:rPr>
                          <w:rFonts w:ascii="Arial Narrow" w:hAnsi="Arial Narrow"/>
                          <w:color w:val="595959" w:themeColor="text1" w:themeTint="A6"/>
                          <w:sz w:val="22"/>
                          <w:szCs w:val="22"/>
                        </w:rPr>
                        <w:t xml:space="preserve">total) onto coated inserts and maintained in 35 x10 mm petri dishes or 6-well plates. </w:t>
                      </w:r>
                      <w:r w:rsidRPr="00E72F77">
                        <w:rPr>
                          <w:rFonts w:ascii="Arial Narrow" w:hAnsi="Arial Narrow"/>
                          <w:color w:val="595959" w:themeColor="text1" w:themeTint="A6"/>
                          <w:sz w:val="22"/>
                          <w:szCs w:val="22"/>
                        </w:rPr>
                        <w:t xml:space="preserve"> </w:t>
                      </w:r>
                      <w:r>
                        <w:rPr>
                          <w:rFonts w:ascii="Arial Narrow" w:hAnsi="Arial Narrow"/>
                          <w:color w:val="595959" w:themeColor="text1" w:themeTint="A6"/>
                          <w:sz w:val="22"/>
                          <w:szCs w:val="22"/>
                        </w:rPr>
                        <w:t>Fibroblast-derived growth media with/</w:t>
                      </w:r>
                      <w:r w:rsidRPr="00E72F77">
                        <w:rPr>
                          <w:rFonts w:ascii="Arial Narrow" w:hAnsi="Arial Narrow"/>
                          <w:color w:val="595959" w:themeColor="text1" w:themeTint="A6"/>
                          <w:sz w:val="22"/>
                          <w:szCs w:val="22"/>
                        </w:rPr>
                        <w:t xml:space="preserve">without the addition of growth factors </w:t>
                      </w:r>
                      <w:r>
                        <w:rPr>
                          <w:rFonts w:ascii="Arial Narrow" w:hAnsi="Arial Narrow"/>
                          <w:color w:val="595959" w:themeColor="text1" w:themeTint="A6"/>
                          <w:sz w:val="22"/>
                          <w:szCs w:val="22"/>
                        </w:rPr>
                        <w:t>was added to the outer well of plate and to insert up to day 7. From day 7 to 28, media was added to the outside well only. Media was changed every day for long-term culturing Scale bar = 50 µm.</w:t>
                      </w:r>
                    </w:p>
                  </w:txbxContent>
                </v:textbox>
                <w10:wrap anchorx="margin"/>
              </v:shape>
            </w:pict>
          </mc:Fallback>
        </mc:AlternateContent>
      </w:r>
    </w:p>
    <w:p w14:paraId="0B3B2757" w14:textId="77777777" w:rsidR="0054039C" w:rsidRPr="0054039C" w:rsidRDefault="0054039C" w:rsidP="0054039C">
      <w:pPr>
        <w:autoSpaceDE w:val="0"/>
        <w:autoSpaceDN w:val="0"/>
        <w:adjustRightInd w:val="0"/>
        <w:spacing w:after="0" w:line="480" w:lineRule="auto"/>
        <w:jc w:val="both"/>
        <w:rPr>
          <w:rFonts w:ascii="Arial" w:hAnsi="Arial" w:cs="Arial"/>
          <w:bCs/>
          <w:iCs/>
          <w:color w:val="595959" w:themeColor="text1" w:themeTint="A6"/>
        </w:rPr>
      </w:pPr>
    </w:p>
    <w:p w14:paraId="7760E2FC" w14:textId="77777777" w:rsidR="0054039C" w:rsidRPr="0054039C" w:rsidRDefault="0054039C" w:rsidP="0054039C">
      <w:pPr>
        <w:autoSpaceDE w:val="0"/>
        <w:autoSpaceDN w:val="0"/>
        <w:adjustRightInd w:val="0"/>
        <w:spacing w:after="0" w:line="480" w:lineRule="auto"/>
        <w:jc w:val="both"/>
        <w:rPr>
          <w:rFonts w:ascii="Arial" w:hAnsi="Arial" w:cs="Arial"/>
          <w:bCs/>
          <w:iCs/>
          <w:color w:val="595959" w:themeColor="text1" w:themeTint="A6"/>
        </w:rPr>
      </w:pPr>
    </w:p>
    <w:p w14:paraId="5AF0C818" w14:textId="77777777" w:rsidR="0054039C" w:rsidRPr="0054039C" w:rsidRDefault="0054039C" w:rsidP="0054039C">
      <w:pPr>
        <w:autoSpaceDE w:val="0"/>
        <w:autoSpaceDN w:val="0"/>
        <w:adjustRightInd w:val="0"/>
        <w:spacing w:after="0" w:line="480" w:lineRule="auto"/>
        <w:jc w:val="both"/>
        <w:rPr>
          <w:rFonts w:ascii="Arial" w:hAnsi="Arial" w:cs="Arial"/>
          <w:bCs/>
          <w:iCs/>
          <w:color w:val="595959" w:themeColor="text1" w:themeTint="A6"/>
        </w:rPr>
      </w:pPr>
    </w:p>
    <w:p w14:paraId="623925F2" w14:textId="77777777" w:rsidR="0054039C" w:rsidRPr="0054039C" w:rsidRDefault="0054039C" w:rsidP="0054039C">
      <w:pPr>
        <w:autoSpaceDE w:val="0"/>
        <w:autoSpaceDN w:val="0"/>
        <w:adjustRightInd w:val="0"/>
        <w:spacing w:after="0" w:line="480" w:lineRule="auto"/>
        <w:jc w:val="both"/>
        <w:rPr>
          <w:rFonts w:ascii="Arial" w:hAnsi="Arial" w:cs="Arial"/>
          <w:bCs/>
          <w:iCs/>
          <w:color w:val="595959" w:themeColor="text1" w:themeTint="A6"/>
        </w:rPr>
      </w:pPr>
    </w:p>
    <w:p w14:paraId="45719DF7" w14:textId="77777777" w:rsidR="0054039C" w:rsidRPr="0054039C" w:rsidRDefault="0054039C" w:rsidP="0054039C">
      <w:pPr>
        <w:autoSpaceDE w:val="0"/>
        <w:autoSpaceDN w:val="0"/>
        <w:adjustRightInd w:val="0"/>
        <w:spacing w:after="0" w:line="480" w:lineRule="auto"/>
        <w:jc w:val="both"/>
        <w:rPr>
          <w:rFonts w:ascii="Arial" w:hAnsi="Arial" w:cs="Arial"/>
          <w:bCs/>
          <w:iCs/>
          <w:color w:val="595959" w:themeColor="text1" w:themeTint="A6"/>
        </w:rPr>
      </w:pPr>
    </w:p>
    <w:p w14:paraId="32C5D988" w14:textId="77777777" w:rsidR="0054039C" w:rsidRPr="0054039C" w:rsidRDefault="0054039C" w:rsidP="007B0653">
      <w:pPr>
        <w:pStyle w:val="Heading4"/>
        <w:rPr>
          <w:rFonts w:ascii="Arial" w:hAnsi="Arial" w:cs="Arial"/>
          <w:bCs/>
          <w:iCs w:val="0"/>
          <w:color w:val="595959" w:themeColor="text1" w:themeTint="A6"/>
        </w:rPr>
      </w:pPr>
      <w:bookmarkStart w:id="122" w:name="_Toc515897473"/>
      <w:bookmarkStart w:id="123" w:name="_Toc534278601"/>
      <w:bookmarkStart w:id="124" w:name="_Toc34208310"/>
      <w:r w:rsidRPr="0054039C">
        <w:rPr>
          <w:rFonts w:ascii="Arial" w:hAnsi="Arial" w:cs="Arial"/>
          <w:bCs/>
          <w:color w:val="595959" w:themeColor="text1" w:themeTint="A6"/>
        </w:rPr>
        <w:lastRenderedPageBreak/>
        <w:t xml:space="preserve">2.2.6.3 Generation of full thickness fibroblast-derived matrix oral mucosa equivalents </w:t>
      </w:r>
      <w:bookmarkEnd w:id="122"/>
      <w:r w:rsidRPr="0054039C">
        <w:rPr>
          <w:rFonts w:ascii="Arial" w:hAnsi="Arial" w:cs="Arial"/>
          <w:bCs/>
          <w:color w:val="595959" w:themeColor="text1" w:themeTint="A6"/>
        </w:rPr>
        <w:t>using fibroblast-derived matrices</w:t>
      </w:r>
      <w:bookmarkEnd w:id="123"/>
      <w:bookmarkEnd w:id="124"/>
    </w:p>
    <w:p w14:paraId="6B371736" w14:textId="77777777" w:rsidR="0054039C" w:rsidRPr="00A03706" w:rsidRDefault="0054039C" w:rsidP="0054039C">
      <w:pPr>
        <w:autoSpaceDE w:val="0"/>
        <w:autoSpaceDN w:val="0"/>
        <w:adjustRightInd w:val="0"/>
        <w:spacing w:after="0" w:line="480" w:lineRule="auto"/>
        <w:jc w:val="both"/>
        <w:rPr>
          <w:rFonts w:ascii="Arial" w:hAnsi="Arial" w:cs="Arial"/>
          <w:bCs/>
          <w:iCs/>
          <w:color w:val="595959" w:themeColor="text1" w:themeTint="A6"/>
        </w:rPr>
      </w:pPr>
    </w:p>
    <w:p w14:paraId="3B826688" w14:textId="4B3A5BFB" w:rsidR="0054039C" w:rsidRPr="0054039C" w:rsidRDefault="0054039C" w:rsidP="0054039C">
      <w:pPr>
        <w:autoSpaceDE w:val="0"/>
        <w:autoSpaceDN w:val="0"/>
        <w:adjustRightInd w:val="0"/>
        <w:spacing w:after="0" w:line="480" w:lineRule="auto"/>
        <w:jc w:val="both"/>
        <w:rPr>
          <w:rFonts w:ascii="Arial" w:hAnsi="Arial" w:cs="Arial"/>
          <w:bCs/>
          <w:iCs/>
          <w:color w:val="595959" w:themeColor="text1" w:themeTint="A6"/>
          <w:lang w:val="en-US"/>
        </w:rPr>
      </w:pPr>
      <w:r w:rsidRPr="00A03706">
        <w:rPr>
          <w:rFonts w:ascii="Arial" w:hAnsi="Arial" w:cs="Arial"/>
          <w:bCs/>
          <w:iCs/>
          <w:color w:val="595959" w:themeColor="text1" w:themeTint="A6"/>
        </w:rPr>
        <w:t>After the 28</w:t>
      </w:r>
      <w:r w:rsidR="008B3F0D" w:rsidRPr="00A03706">
        <w:rPr>
          <w:rFonts w:ascii="Arial" w:hAnsi="Arial" w:cs="Arial"/>
          <w:bCs/>
          <w:iCs/>
          <w:color w:val="595959" w:themeColor="text1" w:themeTint="A6"/>
        </w:rPr>
        <w:t>-</w:t>
      </w:r>
      <w:r w:rsidRPr="00A03706">
        <w:rPr>
          <w:rFonts w:ascii="Arial" w:hAnsi="Arial" w:cs="Arial"/>
          <w:bCs/>
          <w:iCs/>
          <w:color w:val="595959" w:themeColor="text1" w:themeTint="A6"/>
        </w:rPr>
        <w:t>day development of fibroblast-derived matrices</w:t>
      </w:r>
      <w:r w:rsidR="005A43A4" w:rsidRPr="00A03706">
        <w:rPr>
          <w:rFonts w:ascii="Arial" w:hAnsi="Arial" w:cs="Arial"/>
          <w:bCs/>
          <w:iCs/>
          <w:color w:val="595959" w:themeColor="text1" w:themeTint="A6"/>
        </w:rPr>
        <w:t xml:space="preserve"> (FDM)</w:t>
      </w:r>
      <w:r w:rsidRPr="00A03706">
        <w:rPr>
          <w:rFonts w:ascii="Arial" w:hAnsi="Arial" w:cs="Arial"/>
          <w:bCs/>
          <w:iCs/>
          <w:color w:val="595959" w:themeColor="text1" w:themeTint="A6"/>
        </w:rPr>
        <w:t xml:space="preserve">, </w:t>
      </w:r>
      <w:r w:rsidR="008B3F0D" w:rsidRPr="00A03706">
        <w:rPr>
          <w:rFonts w:ascii="Arial" w:hAnsi="Arial" w:cs="Arial"/>
          <w:bCs/>
          <w:iCs/>
          <w:color w:val="595959" w:themeColor="text1" w:themeTint="A6"/>
        </w:rPr>
        <w:t>normal</w:t>
      </w:r>
      <w:r w:rsidRPr="00A03706">
        <w:rPr>
          <w:rFonts w:ascii="Arial" w:hAnsi="Arial" w:cs="Arial"/>
          <w:bCs/>
          <w:iCs/>
          <w:color w:val="595959" w:themeColor="text1" w:themeTint="A6"/>
        </w:rPr>
        <w:t xml:space="preserve"> immortalised </w:t>
      </w:r>
      <w:r w:rsidR="008B3F0D" w:rsidRPr="00A03706">
        <w:rPr>
          <w:rFonts w:ascii="Arial" w:hAnsi="Arial" w:cs="Arial"/>
          <w:bCs/>
          <w:iCs/>
          <w:color w:val="595959" w:themeColor="text1" w:themeTint="A6"/>
        </w:rPr>
        <w:t xml:space="preserve">oral </w:t>
      </w:r>
      <w:r w:rsidR="0012507F" w:rsidRPr="00A03706">
        <w:rPr>
          <w:rFonts w:ascii="Arial" w:hAnsi="Arial" w:cs="Arial"/>
          <w:bCs/>
          <w:iCs/>
          <w:color w:val="595959" w:themeColor="text1" w:themeTint="A6"/>
        </w:rPr>
        <w:t>keratinocytes</w:t>
      </w:r>
      <w:r w:rsidR="008B3F0D" w:rsidRPr="00A03706">
        <w:rPr>
          <w:rFonts w:ascii="Arial" w:hAnsi="Arial" w:cs="Arial"/>
          <w:bCs/>
          <w:iCs/>
          <w:color w:val="595959" w:themeColor="text1" w:themeTint="A6"/>
        </w:rPr>
        <w:t xml:space="preserve"> (</w:t>
      </w:r>
      <w:r w:rsidRPr="00A03706">
        <w:rPr>
          <w:rFonts w:ascii="Arial" w:hAnsi="Arial" w:cs="Arial"/>
          <w:bCs/>
          <w:iCs/>
          <w:color w:val="595959" w:themeColor="text1" w:themeTint="A6"/>
        </w:rPr>
        <w:t>FNB6</w:t>
      </w:r>
      <w:r w:rsidR="008B3F0D" w:rsidRPr="00A03706">
        <w:rPr>
          <w:rFonts w:ascii="Arial" w:hAnsi="Arial" w:cs="Arial"/>
          <w:bCs/>
          <w:iCs/>
          <w:color w:val="595959" w:themeColor="text1" w:themeTint="A6"/>
        </w:rPr>
        <w:t>)</w:t>
      </w:r>
      <w:r w:rsidRPr="00A03706">
        <w:rPr>
          <w:rFonts w:ascii="Arial" w:hAnsi="Arial" w:cs="Arial"/>
          <w:bCs/>
          <w:iCs/>
          <w:color w:val="595959" w:themeColor="text1" w:themeTint="A6"/>
        </w:rPr>
        <w:t xml:space="preserve"> or OSCC keratinocytes</w:t>
      </w:r>
      <w:r w:rsidR="00F25685" w:rsidRPr="00A03706">
        <w:rPr>
          <w:rFonts w:ascii="Arial" w:hAnsi="Arial" w:cs="Arial"/>
          <w:bCs/>
          <w:iCs/>
          <w:color w:val="595959" w:themeColor="text1" w:themeTint="A6"/>
        </w:rPr>
        <w:t xml:space="preserve"> (H357)</w:t>
      </w:r>
      <w:r w:rsidRPr="00A03706">
        <w:rPr>
          <w:rFonts w:ascii="Arial" w:hAnsi="Arial" w:cs="Arial"/>
          <w:bCs/>
          <w:iCs/>
          <w:color w:val="595959" w:themeColor="text1" w:themeTint="A6"/>
        </w:rPr>
        <w:t xml:space="preserve"> were seeded</w:t>
      </w:r>
      <w:r w:rsidR="00F25685" w:rsidRPr="00A03706">
        <w:rPr>
          <w:rFonts w:ascii="Arial" w:hAnsi="Arial" w:cs="Arial"/>
          <w:bCs/>
          <w:iCs/>
          <w:color w:val="595959" w:themeColor="text1" w:themeTint="A6"/>
        </w:rPr>
        <w:t xml:space="preserve"> on to the surface</w:t>
      </w:r>
      <w:r w:rsidRPr="00A03706">
        <w:rPr>
          <w:rFonts w:ascii="Arial" w:hAnsi="Arial" w:cs="Arial"/>
          <w:bCs/>
          <w:iCs/>
          <w:color w:val="595959" w:themeColor="text1" w:themeTint="A6"/>
        </w:rPr>
        <w:t xml:space="preserve"> at a density of 2.5 x10</w:t>
      </w:r>
      <w:r w:rsidRPr="00A03706">
        <w:rPr>
          <w:rFonts w:ascii="Arial" w:hAnsi="Arial" w:cs="Arial"/>
          <w:bCs/>
          <w:iCs/>
          <w:color w:val="595959" w:themeColor="text1" w:themeTint="A6"/>
          <w:vertAlign w:val="superscript"/>
        </w:rPr>
        <w:t>5</w:t>
      </w:r>
      <w:r w:rsidRPr="00A03706">
        <w:rPr>
          <w:rFonts w:ascii="Arial" w:hAnsi="Arial" w:cs="Arial"/>
          <w:bCs/>
          <w:iCs/>
          <w:color w:val="595959" w:themeColor="text1" w:themeTint="A6"/>
        </w:rPr>
        <w:t xml:space="preserve">.  </w:t>
      </w:r>
      <w:r w:rsidRPr="00A03706">
        <w:rPr>
          <w:rFonts w:ascii="Arial" w:hAnsi="Arial" w:cs="Arial"/>
          <w:bCs/>
          <w:iCs/>
          <w:color w:val="595959" w:themeColor="text1" w:themeTint="A6"/>
          <w:lang w:val="en-US"/>
        </w:rPr>
        <w:t>These cells were kept submerged for two days in Green’s media, before lifting the models to an air</w:t>
      </w:r>
      <w:r w:rsidR="00C03328" w:rsidRPr="00A03706">
        <w:rPr>
          <w:rFonts w:ascii="Arial" w:hAnsi="Arial" w:cs="Arial"/>
          <w:bCs/>
          <w:iCs/>
          <w:color w:val="595959" w:themeColor="text1" w:themeTint="A6"/>
          <w:lang w:val="en-US"/>
        </w:rPr>
        <w:t>-to-</w:t>
      </w:r>
      <w:r w:rsidRPr="00A03706">
        <w:rPr>
          <w:rFonts w:ascii="Arial" w:hAnsi="Arial" w:cs="Arial"/>
          <w:bCs/>
          <w:iCs/>
          <w:color w:val="595959" w:themeColor="text1" w:themeTint="A6"/>
          <w:lang w:val="en-US"/>
        </w:rPr>
        <w:t>liquid interface (ALI</w:t>
      </w:r>
      <w:r w:rsidRPr="0054039C">
        <w:rPr>
          <w:rFonts w:ascii="Arial" w:hAnsi="Arial" w:cs="Arial"/>
          <w:bCs/>
          <w:iCs/>
          <w:color w:val="595959" w:themeColor="text1" w:themeTint="A6"/>
          <w:lang w:val="en-US"/>
        </w:rPr>
        <w:t>) for a further 12 days in culture. Submerging the cells in the first instance is important in providing conditions appropriate for epithelial proliferation and the capability to produce a confluent monolayer across the matrix; and time to ensure adhesive connections are formed with the fibroblast-matrix below. Lifting the models to an ALI allows differentiation to ensue and time for the distinct stratification of cell layers, from the basal compartment through to a para-keratinised surface layer. The media</w:t>
      </w:r>
      <w:r w:rsidR="009E6E02">
        <w:rPr>
          <w:rFonts w:ascii="Arial" w:hAnsi="Arial" w:cs="Arial"/>
          <w:bCs/>
          <w:iCs/>
          <w:color w:val="595959" w:themeColor="text1" w:themeTint="A6"/>
          <w:lang w:val="en-US"/>
        </w:rPr>
        <w:t xml:space="preserve"> (Green’s)</w:t>
      </w:r>
      <w:r w:rsidRPr="0054039C">
        <w:rPr>
          <w:rFonts w:ascii="Arial" w:hAnsi="Arial" w:cs="Arial"/>
          <w:bCs/>
          <w:iCs/>
          <w:color w:val="595959" w:themeColor="text1" w:themeTint="A6"/>
          <w:lang w:val="en-US"/>
        </w:rPr>
        <w:t xml:space="preserve"> was changed every two days (Figure 2.4). </w:t>
      </w:r>
    </w:p>
    <w:p w14:paraId="14A44940" w14:textId="77777777" w:rsidR="0054039C" w:rsidRPr="0054039C" w:rsidRDefault="0054039C" w:rsidP="0054039C">
      <w:pPr>
        <w:autoSpaceDE w:val="0"/>
        <w:autoSpaceDN w:val="0"/>
        <w:adjustRightInd w:val="0"/>
        <w:spacing w:after="0" w:line="480" w:lineRule="auto"/>
        <w:jc w:val="both"/>
        <w:rPr>
          <w:rFonts w:ascii="Arial" w:hAnsi="Arial" w:cs="Arial"/>
          <w:bCs/>
          <w:iCs/>
          <w:color w:val="595959" w:themeColor="text1" w:themeTint="A6"/>
          <w:lang w:val="en-US"/>
        </w:rPr>
      </w:pPr>
    </w:p>
    <w:p w14:paraId="7D9AC78E" w14:textId="77777777" w:rsidR="0054039C" w:rsidRPr="0054039C" w:rsidRDefault="0054039C" w:rsidP="0054039C">
      <w:pPr>
        <w:autoSpaceDE w:val="0"/>
        <w:autoSpaceDN w:val="0"/>
        <w:adjustRightInd w:val="0"/>
        <w:spacing w:after="0" w:line="480" w:lineRule="auto"/>
        <w:jc w:val="both"/>
        <w:rPr>
          <w:rFonts w:ascii="Arial" w:hAnsi="Arial" w:cs="Arial"/>
          <w:bCs/>
          <w:iCs/>
          <w:color w:val="595959" w:themeColor="text1" w:themeTint="A6"/>
          <w:lang w:val="en-US"/>
        </w:rPr>
      </w:pPr>
    </w:p>
    <w:p w14:paraId="35E69257" w14:textId="77777777" w:rsidR="0054039C" w:rsidRPr="0054039C" w:rsidRDefault="0054039C" w:rsidP="0054039C">
      <w:pPr>
        <w:autoSpaceDE w:val="0"/>
        <w:autoSpaceDN w:val="0"/>
        <w:adjustRightInd w:val="0"/>
        <w:spacing w:after="0" w:line="480" w:lineRule="auto"/>
        <w:jc w:val="both"/>
        <w:rPr>
          <w:rFonts w:ascii="Arial" w:hAnsi="Arial" w:cs="Arial"/>
          <w:bCs/>
          <w:iCs/>
          <w:color w:val="595959" w:themeColor="text1" w:themeTint="A6"/>
          <w:lang w:val="en-US"/>
        </w:rPr>
      </w:pPr>
    </w:p>
    <w:p w14:paraId="6988E1E7" w14:textId="77777777" w:rsidR="0054039C" w:rsidRPr="0054039C" w:rsidRDefault="0054039C" w:rsidP="0054039C">
      <w:pPr>
        <w:autoSpaceDE w:val="0"/>
        <w:autoSpaceDN w:val="0"/>
        <w:adjustRightInd w:val="0"/>
        <w:spacing w:after="0" w:line="480" w:lineRule="auto"/>
        <w:jc w:val="both"/>
        <w:rPr>
          <w:rFonts w:ascii="Arial" w:hAnsi="Arial" w:cs="Arial"/>
          <w:bCs/>
          <w:iCs/>
          <w:color w:val="595959" w:themeColor="text1" w:themeTint="A6"/>
          <w:lang w:val="en-US"/>
        </w:rPr>
      </w:pPr>
    </w:p>
    <w:p w14:paraId="434F5401" w14:textId="77777777" w:rsidR="0054039C" w:rsidRPr="0054039C" w:rsidRDefault="0054039C" w:rsidP="0054039C">
      <w:pPr>
        <w:autoSpaceDE w:val="0"/>
        <w:autoSpaceDN w:val="0"/>
        <w:adjustRightInd w:val="0"/>
        <w:spacing w:after="0" w:line="480" w:lineRule="auto"/>
        <w:jc w:val="both"/>
        <w:rPr>
          <w:rFonts w:ascii="Arial" w:hAnsi="Arial" w:cs="Arial"/>
          <w:bCs/>
          <w:iCs/>
          <w:color w:val="595959" w:themeColor="text1" w:themeTint="A6"/>
          <w:lang w:val="en-US"/>
        </w:rPr>
      </w:pPr>
    </w:p>
    <w:p w14:paraId="55567238" w14:textId="77777777" w:rsidR="0054039C" w:rsidRPr="0054039C" w:rsidRDefault="0054039C" w:rsidP="0054039C">
      <w:pPr>
        <w:autoSpaceDE w:val="0"/>
        <w:autoSpaceDN w:val="0"/>
        <w:adjustRightInd w:val="0"/>
        <w:spacing w:after="0" w:line="480" w:lineRule="auto"/>
        <w:jc w:val="both"/>
        <w:rPr>
          <w:rFonts w:ascii="Arial" w:hAnsi="Arial" w:cs="Arial"/>
          <w:bCs/>
          <w:iCs/>
          <w:color w:val="595959" w:themeColor="text1" w:themeTint="A6"/>
          <w:lang w:val="en-US"/>
        </w:rPr>
      </w:pPr>
    </w:p>
    <w:p w14:paraId="7068AF99" w14:textId="77777777" w:rsidR="0054039C" w:rsidRPr="0054039C" w:rsidRDefault="0054039C" w:rsidP="0054039C">
      <w:pPr>
        <w:autoSpaceDE w:val="0"/>
        <w:autoSpaceDN w:val="0"/>
        <w:adjustRightInd w:val="0"/>
        <w:spacing w:after="0" w:line="480" w:lineRule="auto"/>
        <w:jc w:val="both"/>
        <w:rPr>
          <w:rFonts w:ascii="Arial" w:hAnsi="Arial" w:cs="Arial"/>
          <w:bCs/>
          <w:iCs/>
          <w:color w:val="595959" w:themeColor="text1" w:themeTint="A6"/>
          <w:lang w:val="en-US"/>
        </w:rPr>
      </w:pPr>
    </w:p>
    <w:p w14:paraId="7B2577F1" w14:textId="77777777" w:rsidR="0054039C" w:rsidRPr="0054039C" w:rsidRDefault="0054039C" w:rsidP="0054039C">
      <w:pPr>
        <w:autoSpaceDE w:val="0"/>
        <w:autoSpaceDN w:val="0"/>
        <w:adjustRightInd w:val="0"/>
        <w:spacing w:after="0" w:line="480" w:lineRule="auto"/>
        <w:jc w:val="both"/>
        <w:rPr>
          <w:rFonts w:ascii="Arial" w:hAnsi="Arial" w:cs="Arial"/>
          <w:bCs/>
          <w:iCs/>
          <w:color w:val="595959" w:themeColor="text1" w:themeTint="A6"/>
          <w:lang w:val="en-US"/>
        </w:rPr>
      </w:pPr>
    </w:p>
    <w:p w14:paraId="67774006" w14:textId="77777777" w:rsidR="0054039C" w:rsidRPr="0054039C" w:rsidRDefault="0054039C" w:rsidP="0054039C">
      <w:pPr>
        <w:autoSpaceDE w:val="0"/>
        <w:autoSpaceDN w:val="0"/>
        <w:adjustRightInd w:val="0"/>
        <w:spacing w:after="0" w:line="480" w:lineRule="auto"/>
        <w:jc w:val="both"/>
        <w:rPr>
          <w:rFonts w:ascii="Arial" w:hAnsi="Arial" w:cs="Arial"/>
          <w:bCs/>
          <w:iCs/>
          <w:color w:val="595959" w:themeColor="text1" w:themeTint="A6"/>
          <w:lang w:val="en-US"/>
        </w:rPr>
      </w:pPr>
    </w:p>
    <w:p w14:paraId="64E02089" w14:textId="77777777" w:rsidR="0054039C" w:rsidRPr="0054039C" w:rsidRDefault="0054039C" w:rsidP="0054039C">
      <w:pPr>
        <w:autoSpaceDE w:val="0"/>
        <w:autoSpaceDN w:val="0"/>
        <w:adjustRightInd w:val="0"/>
        <w:spacing w:after="0" w:line="480" w:lineRule="auto"/>
        <w:jc w:val="both"/>
        <w:rPr>
          <w:rFonts w:ascii="Arial" w:hAnsi="Arial" w:cs="Arial"/>
          <w:bCs/>
          <w:iCs/>
          <w:color w:val="595959" w:themeColor="text1" w:themeTint="A6"/>
          <w:lang w:val="en-US"/>
        </w:rPr>
      </w:pPr>
    </w:p>
    <w:p w14:paraId="054D195D" w14:textId="77777777" w:rsidR="0054039C" w:rsidRPr="0054039C" w:rsidRDefault="0054039C" w:rsidP="0054039C">
      <w:pPr>
        <w:autoSpaceDE w:val="0"/>
        <w:autoSpaceDN w:val="0"/>
        <w:adjustRightInd w:val="0"/>
        <w:spacing w:after="0" w:line="480" w:lineRule="auto"/>
        <w:jc w:val="both"/>
        <w:rPr>
          <w:rFonts w:ascii="Arial" w:hAnsi="Arial" w:cs="Arial"/>
          <w:bCs/>
          <w:iCs/>
          <w:color w:val="595959" w:themeColor="text1" w:themeTint="A6"/>
          <w:lang w:val="en-US"/>
        </w:rPr>
      </w:pPr>
    </w:p>
    <w:p w14:paraId="79D2C658" w14:textId="77777777" w:rsidR="0054039C" w:rsidRPr="0054039C" w:rsidRDefault="0054039C" w:rsidP="0054039C">
      <w:pPr>
        <w:autoSpaceDE w:val="0"/>
        <w:autoSpaceDN w:val="0"/>
        <w:adjustRightInd w:val="0"/>
        <w:spacing w:after="0" w:line="480" w:lineRule="auto"/>
        <w:jc w:val="both"/>
        <w:rPr>
          <w:rFonts w:ascii="Arial" w:hAnsi="Arial" w:cs="Arial"/>
          <w:bCs/>
          <w:iCs/>
          <w:color w:val="595959" w:themeColor="text1" w:themeTint="A6"/>
          <w:lang w:val="en-US"/>
        </w:rPr>
      </w:pPr>
    </w:p>
    <w:p w14:paraId="26101BB3" w14:textId="77777777" w:rsidR="0054039C" w:rsidRPr="0054039C" w:rsidRDefault="0054039C" w:rsidP="0054039C">
      <w:pPr>
        <w:autoSpaceDE w:val="0"/>
        <w:autoSpaceDN w:val="0"/>
        <w:adjustRightInd w:val="0"/>
        <w:spacing w:after="0" w:line="480" w:lineRule="auto"/>
        <w:jc w:val="both"/>
        <w:rPr>
          <w:rFonts w:ascii="Arial" w:hAnsi="Arial" w:cs="Arial"/>
          <w:bCs/>
          <w:iCs/>
          <w:color w:val="595959" w:themeColor="text1" w:themeTint="A6"/>
          <w:lang w:val="en-US"/>
        </w:rPr>
      </w:pPr>
    </w:p>
    <w:p w14:paraId="53037413" w14:textId="77777777" w:rsidR="0054039C" w:rsidRPr="0054039C" w:rsidRDefault="0054039C" w:rsidP="0054039C">
      <w:pPr>
        <w:autoSpaceDE w:val="0"/>
        <w:autoSpaceDN w:val="0"/>
        <w:adjustRightInd w:val="0"/>
        <w:spacing w:after="0" w:line="480" w:lineRule="auto"/>
        <w:jc w:val="both"/>
        <w:rPr>
          <w:rFonts w:ascii="Arial" w:hAnsi="Arial" w:cs="Arial"/>
          <w:bCs/>
          <w:iCs/>
          <w:color w:val="595959" w:themeColor="text1" w:themeTint="A6"/>
          <w:lang w:val="en-US"/>
        </w:rPr>
      </w:pPr>
    </w:p>
    <w:p w14:paraId="4688D2C5" w14:textId="77777777" w:rsidR="0054039C" w:rsidRPr="0054039C" w:rsidRDefault="0054039C" w:rsidP="0054039C">
      <w:pPr>
        <w:autoSpaceDE w:val="0"/>
        <w:autoSpaceDN w:val="0"/>
        <w:adjustRightInd w:val="0"/>
        <w:spacing w:after="0" w:line="480" w:lineRule="auto"/>
        <w:jc w:val="both"/>
        <w:rPr>
          <w:rFonts w:ascii="Arial" w:hAnsi="Arial" w:cs="Arial"/>
          <w:bCs/>
          <w:iCs/>
          <w:color w:val="595959" w:themeColor="text1" w:themeTint="A6"/>
        </w:rPr>
      </w:pPr>
    </w:p>
    <w:p w14:paraId="0A0AAF8E" w14:textId="77777777" w:rsidR="0054039C" w:rsidRPr="0054039C" w:rsidRDefault="0054039C" w:rsidP="0054039C">
      <w:pPr>
        <w:autoSpaceDE w:val="0"/>
        <w:autoSpaceDN w:val="0"/>
        <w:adjustRightInd w:val="0"/>
        <w:spacing w:after="0" w:line="480" w:lineRule="auto"/>
        <w:jc w:val="both"/>
        <w:rPr>
          <w:rFonts w:ascii="Arial" w:hAnsi="Arial" w:cs="Arial"/>
          <w:bCs/>
          <w:iCs/>
          <w:color w:val="595959" w:themeColor="text1" w:themeTint="A6"/>
        </w:rPr>
      </w:pPr>
    </w:p>
    <w:p w14:paraId="56FD81D9" w14:textId="77777777" w:rsidR="0054039C" w:rsidRPr="0054039C" w:rsidRDefault="0054039C" w:rsidP="0054039C">
      <w:pPr>
        <w:autoSpaceDE w:val="0"/>
        <w:autoSpaceDN w:val="0"/>
        <w:adjustRightInd w:val="0"/>
        <w:spacing w:after="0" w:line="480" w:lineRule="auto"/>
        <w:jc w:val="both"/>
        <w:rPr>
          <w:rFonts w:ascii="Arial" w:hAnsi="Arial" w:cs="Arial"/>
          <w:bCs/>
          <w:iCs/>
          <w:color w:val="595959" w:themeColor="text1" w:themeTint="A6"/>
        </w:rPr>
      </w:pPr>
    </w:p>
    <w:p w14:paraId="566B4290" w14:textId="77777777" w:rsidR="0054039C" w:rsidRPr="0054039C" w:rsidRDefault="0054039C" w:rsidP="0054039C">
      <w:pPr>
        <w:autoSpaceDE w:val="0"/>
        <w:autoSpaceDN w:val="0"/>
        <w:adjustRightInd w:val="0"/>
        <w:spacing w:after="0" w:line="480" w:lineRule="auto"/>
        <w:jc w:val="both"/>
        <w:rPr>
          <w:rFonts w:ascii="Arial" w:hAnsi="Arial" w:cs="Arial"/>
          <w:bCs/>
          <w:iCs/>
          <w:color w:val="595959" w:themeColor="text1" w:themeTint="A6"/>
        </w:rPr>
      </w:pPr>
      <w:r w:rsidRPr="0054039C">
        <w:rPr>
          <w:rFonts w:ascii="Arial" w:hAnsi="Arial" w:cs="Arial"/>
          <w:bCs/>
          <w:iCs/>
          <w:noProof/>
          <w:color w:val="595959" w:themeColor="text1" w:themeTint="A6"/>
          <w:lang w:eastAsia="zh-CN"/>
        </w:rPr>
        <w:drawing>
          <wp:anchor distT="0" distB="0" distL="114300" distR="114300" simplePos="0" relativeHeight="251658256" behindDoc="0" locked="0" layoutInCell="1" allowOverlap="1" wp14:anchorId="7F9A969B" wp14:editId="5D21AB2D">
            <wp:simplePos x="0" y="0"/>
            <wp:positionH relativeFrom="margin">
              <wp:align>right</wp:align>
            </wp:positionH>
            <wp:positionV relativeFrom="paragraph">
              <wp:posOffset>5080</wp:posOffset>
            </wp:positionV>
            <wp:extent cx="5734506" cy="4629150"/>
            <wp:effectExtent l="0" t="0" r="0" b="0"/>
            <wp:wrapNone/>
            <wp:docPr id="1571" name="Picture 1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34506" cy="4629150"/>
                    </a:xfrm>
                    <a:prstGeom prst="rect">
                      <a:avLst/>
                    </a:prstGeom>
                    <a:noFill/>
                  </pic:spPr>
                </pic:pic>
              </a:graphicData>
            </a:graphic>
            <wp14:sizeRelH relativeFrom="margin">
              <wp14:pctWidth>0</wp14:pctWidth>
            </wp14:sizeRelH>
            <wp14:sizeRelV relativeFrom="margin">
              <wp14:pctHeight>0</wp14:pctHeight>
            </wp14:sizeRelV>
          </wp:anchor>
        </w:drawing>
      </w:r>
    </w:p>
    <w:p w14:paraId="6BE57B42" w14:textId="77777777" w:rsidR="0054039C" w:rsidRPr="0054039C" w:rsidRDefault="0054039C" w:rsidP="0054039C">
      <w:pPr>
        <w:autoSpaceDE w:val="0"/>
        <w:autoSpaceDN w:val="0"/>
        <w:adjustRightInd w:val="0"/>
        <w:spacing w:after="0" w:line="480" w:lineRule="auto"/>
        <w:jc w:val="both"/>
        <w:rPr>
          <w:rFonts w:ascii="Arial" w:hAnsi="Arial" w:cs="Arial"/>
          <w:bCs/>
          <w:iCs/>
          <w:color w:val="595959" w:themeColor="text1" w:themeTint="A6"/>
        </w:rPr>
      </w:pPr>
    </w:p>
    <w:p w14:paraId="5DB670DC" w14:textId="77777777" w:rsidR="0054039C" w:rsidRPr="0054039C" w:rsidRDefault="0054039C" w:rsidP="0054039C">
      <w:pPr>
        <w:autoSpaceDE w:val="0"/>
        <w:autoSpaceDN w:val="0"/>
        <w:adjustRightInd w:val="0"/>
        <w:spacing w:after="0" w:line="480" w:lineRule="auto"/>
        <w:jc w:val="both"/>
        <w:rPr>
          <w:rFonts w:ascii="Arial" w:hAnsi="Arial" w:cs="Arial"/>
          <w:bCs/>
          <w:iCs/>
          <w:color w:val="595959" w:themeColor="text1" w:themeTint="A6"/>
        </w:rPr>
      </w:pPr>
    </w:p>
    <w:p w14:paraId="3B1498B1" w14:textId="77777777" w:rsidR="0054039C" w:rsidRPr="0054039C" w:rsidRDefault="0054039C" w:rsidP="0054039C">
      <w:pPr>
        <w:autoSpaceDE w:val="0"/>
        <w:autoSpaceDN w:val="0"/>
        <w:adjustRightInd w:val="0"/>
        <w:spacing w:after="0" w:line="480" w:lineRule="auto"/>
        <w:jc w:val="both"/>
        <w:rPr>
          <w:rFonts w:ascii="Arial" w:hAnsi="Arial" w:cs="Arial"/>
          <w:bCs/>
          <w:iCs/>
          <w:color w:val="595959" w:themeColor="text1" w:themeTint="A6"/>
        </w:rPr>
      </w:pPr>
    </w:p>
    <w:p w14:paraId="20327FF1" w14:textId="77777777" w:rsidR="0054039C" w:rsidRPr="0054039C" w:rsidRDefault="0054039C" w:rsidP="0054039C">
      <w:pPr>
        <w:autoSpaceDE w:val="0"/>
        <w:autoSpaceDN w:val="0"/>
        <w:adjustRightInd w:val="0"/>
        <w:spacing w:after="0" w:line="480" w:lineRule="auto"/>
        <w:jc w:val="both"/>
        <w:rPr>
          <w:rFonts w:ascii="Arial" w:hAnsi="Arial" w:cs="Arial"/>
          <w:bCs/>
          <w:iCs/>
          <w:color w:val="595959" w:themeColor="text1" w:themeTint="A6"/>
        </w:rPr>
      </w:pPr>
    </w:p>
    <w:p w14:paraId="4C62F886" w14:textId="77777777" w:rsidR="0054039C" w:rsidRPr="0054039C" w:rsidRDefault="0054039C" w:rsidP="0054039C">
      <w:pPr>
        <w:autoSpaceDE w:val="0"/>
        <w:autoSpaceDN w:val="0"/>
        <w:adjustRightInd w:val="0"/>
        <w:spacing w:after="0" w:line="480" w:lineRule="auto"/>
        <w:jc w:val="both"/>
        <w:rPr>
          <w:rFonts w:ascii="Arial" w:hAnsi="Arial" w:cs="Arial"/>
          <w:bCs/>
          <w:iCs/>
          <w:color w:val="595959" w:themeColor="text1" w:themeTint="A6"/>
        </w:rPr>
      </w:pPr>
    </w:p>
    <w:p w14:paraId="0BE4FA75" w14:textId="77777777" w:rsidR="0054039C" w:rsidRPr="0054039C" w:rsidRDefault="0054039C" w:rsidP="0054039C">
      <w:pPr>
        <w:autoSpaceDE w:val="0"/>
        <w:autoSpaceDN w:val="0"/>
        <w:adjustRightInd w:val="0"/>
        <w:spacing w:after="0" w:line="480" w:lineRule="auto"/>
        <w:jc w:val="both"/>
        <w:rPr>
          <w:rFonts w:ascii="Arial" w:hAnsi="Arial" w:cs="Arial"/>
          <w:bCs/>
          <w:iCs/>
          <w:color w:val="595959" w:themeColor="text1" w:themeTint="A6"/>
        </w:rPr>
      </w:pPr>
    </w:p>
    <w:p w14:paraId="6A6922CF" w14:textId="77777777" w:rsidR="0054039C" w:rsidRPr="0054039C" w:rsidRDefault="0054039C" w:rsidP="0054039C">
      <w:pPr>
        <w:autoSpaceDE w:val="0"/>
        <w:autoSpaceDN w:val="0"/>
        <w:adjustRightInd w:val="0"/>
        <w:spacing w:after="0" w:line="480" w:lineRule="auto"/>
        <w:jc w:val="both"/>
        <w:rPr>
          <w:rFonts w:ascii="Arial" w:hAnsi="Arial" w:cs="Arial"/>
          <w:bCs/>
          <w:iCs/>
          <w:color w:val="595959" w:themeColor="text1" w:themeTint="A6"/>
        </w:rPr>
      </w:pPr>
    </w:p>
    <w:p w14:paraId="5E6943E7" w14:textId="77777777" w:rsidR="0054039C" w:rsidRPr="0054039C" w:rsidRDefault="0054039C" w:rsidP="0054039C">
      <w:pPr>
        <w:autoSpaceDE w:val="0"/>
        <w:autoSpaceDN w:val="0"/>
        <w:adjustRightInd w:val="0"/>
        <w:spacing w:after="0" w:line="480" w:lineRule="auto"/>
        <w:jc w:val="both"/>
        <w:rPr>
          <w:rFonts w:ascii="Arial" w:hAnsi="Arial" w:cs="Arial"/>
          <w:bCs/>
          <w:iCs/>
          <w:color w:val="595959" w:themeColor="text1" w:themeTint="A6"/>
        </w:rPr>
      </w:pPr>
    </w:p>
    <w:p w14:paraId="075ED38E" w14:textId="77777777" w:rsidR="0054039C" w:rsidRPr="0054039C" w:rsidRDefault="0054039C" w:rsidP="0054039C">
      <w:pPr>
        <w:autoSpaceDE w:val="0"/>
        <w:autoSpaceDN w:val="0"/>
        <w:adjustRightInd w:val="0"/>
        <w:spacing w:after="0" w:line="480" w:lineRule="auto"/>
        <w:jc w:val="both"/>
        <w:rPr>
          <w:rFonts w:ascii="Arial" w:hAnsi="Arial" w:cs="Arial"/>
          <w:bCs/>
          <w:iCs/>
          <w:color w:val="595959" w:themeColor="text1" w:themeTint="A6"/>
        </w:rPr>
      </w:pPr>
    </w:p>
    <w:p w14:paraId="5BE6B1DF" w14:textId="77777777" w:rsidR="0054039C" w:rsidRPr="0054039C" w:rsidRDefault="0054039C" w:rsidP="0054039C">
      <w:pPr>
        <w:autoSpaceDE w:val="0"/>
        <w:autoSpaceDN w:val="0"/>
        <w:adjustRightInd w:val="0"/>
        <w:spacing w:after="0" w:line="480" w:lineRule="auto"/>
        <w:jc w:val="both"/>
        <w:rPr>
          <w:rFonts w:ascii="Arial" w:hAnsi="Arial" w:cs="Arial"/>
          <w:bCs/>
          <w:iCs/>
          <w:color w:val="595959" w:themeColor="text1" w:themeTint="A6"/>
        </w:rPr>
      </w:pPr>
    </w:p>
    <w:p w14:paraId="3C429632" w14:textId="77777777" w:rsidR="0054039C" w:rsidRPr="0054039C" w:rsidRDefault="0054039C" w:rsidP="0054039C">
      <w:pPr>
        <w:autoSpaceDE w:val="0"/>
        <w:autoSpaceDN w:val="0"/>
        <w:adjustRightInd w:val="0"/>
        <w:spacing w:after="0" w:line="480" w:lineRule="auto"/>
        <w:jc w:val="both"/>
        <w:rPr>
          <w:rFonts w:ascii="Arial" w:hAnsi="Arial" w:cs="Arial"/>
          <w:bCs/>
          <w:iCs/>
          <w:color w:val="595959" w:themeColor="text1" w:themeTint="A6"/>
        </w:rPr>
      </w:pPr>
    </w:p>
    <w:p w14:paraId="6188E25D" w14:textId="77777777" w:rsidR="0054039C" w:rsidRPr="0054039C" w:rsidRDefault="0054039C" w:rsidP="0054039C">
      <w:pPr>
        <w:autoSpaceDE w:val="0"/>
        <w:autoSpaceDN w:val="0"/>
        <w:adjustRightInd w:val="0"/>
        <w:spacing w:after="0" w:line="480" w:lineRule="auto"/>
        <w:jc w:val="both"/>
        <w:rPr>
          <w:rFonts w:ascii="Arial" w:hAnsi="Arial" w:cs="Arial"/>
          <w:bCs/>
          <w:iCs/>
          <w:color w:val="595959" w:themeColor="text1" w:themeTint="A6"/>
        </w:rPr>
      </w:pPr>
    </w:p>
    <w:p w14:paraId="5B6100B2" w14:textId="77777777" w:rsidR="0054039C" w:rsidRPr="0054039C" w:rsidRDefault="0054039C" w:rsidP="0054039C">
      <w:pPr>
        <w:autoSpaceDE w:val="0"/>
        <w:autoSpaceDN w:val="0"/>
        <w:adjustRightInd w:val="0"/>
        <w:spacing w:after="0" w:line="480" w:lineRule="auto"/>
        <w:jc w:val="both"/>
        <w:rPr>
          <w:rFonts w:ascii="Arial" w:hAnsi="Arial" w:cs="Arial"/>
          <w:bCs/>
          <w:iCs/>
          <w:color w:val="595959" w:themeColor="text1" w:themeTint="A6"/>
        </w:rPr>
      </w:pPr>
    </w:p>
    <w:p w14:paraId="3364909F" w14:textId="77777777" w:rsidR="0054039C" w:rsidRPr="0054039C" w:rsidRDefault="0054039C" w:rsidP="0054039C">
      <w:pPr>
        <w:autoSpaceDE w:val="0"/>
        <w:autoSpaceDN w:val="0"/>
        <w:adjustRightInd w:val="0"/>
        <w:spacing w:after="0" w:line="480" w:lineRule="auto"/>
        <w:jc w:val="both"/>
        <w:rPr>
          <w:rFonts w:ascii="Arial" w:hAnsi="Arial" w:cs="Arial"/>
          <w:bCs/>
          <w:iCs/>
          <w:color w:val="595959" w:themeColor="text1" w:themeTint="A6"/>
        </w:rPr>
      </w:pPr>
    </w:p>
    <w:p w14:paraId="340CE314" w14:textId="77777777" w:rsidR="0054039C" w:rsidRPr="0054039C" w:rsidRDefault="0054039C" w:rsidP="0054039C">
      <w:pPr>
        <w:autoSpaceDE w:val="0"/>
        <w:autoSpaceDN w:val="0"/>
        <w:adjustRightInd w:val="0"/>
        <w:spacing w:after="0" w:line="480" w:lineRule="auto"/>
        <w:jc w:val="both"/>
        <w:rPr>
          <w:rFonts w:ascii="Arial" w:hAnsi="Arial" w:cs="Arial"/>
          <w:bCs/>
          <w:iCs/>
          <w:color w:val="595959" w:themeColor="text1" w:themeTint="A6"/>
        </w:rPr>
      </w:pPr>
    </w:p>
    <w:p w14:paraId="6D703C65" w14:textId="77777777" w:rsidR="0054039C" w:rsidRPr="0054039C" w:rsidRDefault="0054039C" w:rsidP="0054039C">
      <w:pPr>
        <w:autoSpaceDE w:val="0"/>
        <w:autoSpaceDN w:val="0"/>
        <w:adjustRightInd w:val="0"/>
        <w:spacing w:after="0" w:line="480" w:lineRule="auto"/>
        <w:jc w:val="both"/>
        <w:rPr>
          <w:rFonts w:ascii="Arial" w:hAnsi="Arial" w:cs="Arial"/>
          <w:bCs/>
          <w:iCs/>
          <w:color w:val="595959" w:themeColor="text1" w:themeTint="A6"/>
        </w:rPr>
      </w:pPr>
    </w:p>
    <w:p w14:paraId="05C9EF7F" w14:textId="77777777" w:rsidR="0054039C" w:rsidRPr="0054039C" w:rsidRDefault="0054039C" w:rsidP="0054039C">
      <w:pPr>
        <w:autoSpaceDE w:val="0"/>
        <w:autoSpaceDN w:val="0"/>
        <w:adjustRightInd w:val="0"/>
        <w:spacing w:after="0" w:line="480" w:lineRule="auto"/>
        <w:jc w:val="both"/>
        <w:rPr>
          <w:rFonts w:ascii="Arial" w:hAnsi="Arial" w:cs="Arial"/>
          <w:bCs/>
          <w:iCs/>
          <w:color w:val="595959" w:themeColor="text1" w:themeTint="A6"/>
        </w:rPr>
      </w:pPr>
      <w:r w:rsidRPr="0054039C">
        <w:rPr>
          <w:rFonts w:ascii="Arial" w:hAnsi="Arial" w:cs="Arial"/>
          <w:noProof/>
          <w:color w:val="595959" w:themeColor="text1" w:themeTint="A6"/>
          <w:sz w:val="24"/>
          <w:szCs w:val="24"/>
          <w:lang w:eastAsia="zh-CN"/>
        </w:rPr>
        <mc:AlternateContent>
          <mc:Choice Requires="wps">
            <w:drawing>
              <wp:anchor distT="0" distB="0" distL="114300" distR="114300" simplePos="0" relativeHeight="251658257" behindDoc="0" locked="0" layoutInCell="1" allowOverlap="1" wp14:anchorId="1000EE00" wp14:editId="6FB0BD7A">
                <wp:simplePos x="0" y="0"/>
                <wp:positionH relativeFrom="margin">
                  <wp:align>right</wp:align>
                </wp:positionH>
                <wp:positionV relativeFrom="paragraph">
                  <wp:posOffset>10795</wp:posOffset>
                </wp:positionV>
                <wp:extent cx="5724525" cy="1466850"/>
                <wp:effectExtent l="0" t="0" r="9525" b="0"/>
                <wp:wrapNone/>
                <wp:docPr id="194" name="Text Box 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1466850"/>
                        </a:xfrm>
                        <a:prstGeom prst="rect">
                          <a:avLst/>
                        </a:prstGeom>
                        <a:solidFill>
                          <a:srgbClr val="FFFFFF"/>
                        </a:solidFill>
                        <a:ln w="9525">
                          <a:noFill/>
                          <a:miter lim="800000"/>
                          <a:headEnd/>
                          <a:tailEnd/>
                        </a:ln>
                      </wps:spPr>
                      <wps:txbx>
                        <w:txbxContent>
                          <w:p w14:paraId="68586B33" w14:textId="77777777" w:rsidR="008A47AC" w:rsidRPr="006B7937" w:rsidRDefault="008A47AC" w:rsidP="0054039C">
                            <w:pPr>
                              <w:pStyle w:val="Caption"/>
                              <w:keepNext/>
                              <w:jc w:val="both"/>
                              <w:rPr>
                                <w:rFonts w:ascii="Arial Narrow" w:hAnsi="Arial Narrow"/>
                                <w:b/>
                                <w:i w:val="0"/>
                                <w:sz w:val="24"/>
                                <w:szCs w:val="24"/>
                              </w:rPr>
                            </w:pPr>
                            <w:r w:rsidRPr="006B7937">
                              <w:rPr>
                                <w:rFonts w:ascii="Arial Narrow" w:hAnsi="Arial Narrow"/>
                                <w:b/>
                                <w:i w:val="0"/>
                                <w:color w:val="595959" w:themeColor="text1" w:themeTint="A6"/>
                                <w:sz w:val="24"/>
                                <w:szCs w:val="24"/>
                              </w:rPr>
                              <w:t>Figure</w:t>
                            </w:r>
                            <w:r>
                              <w:rPr>
                                <w:rFonts w:ascii="Arial Narrow" w:hAnsi="Arial Narrow"/>
                                <w:b/>
                                <w:i w:val="0"/>
                                <w:color w:val="595959" w:themeColor="text1" w:themeTint="A6"/>
                                <w:sz w:val="24"/>
                                <w:szCs w:val="24"/>
                              </w:rPr>
                              <w:t xml:space="preserve"> 2.4 Schematic of the generation of full thickness oral mucosa models</w:t>
                            </w:r>
                          </w:p>
                          <w:p w14:paraId="231560F7" w14:textId="3F579A0E" w:rsidR="008A47AC" w:rsidRPr="00575592" w:rsidRDefault="008A47AC" w:rsidP="0054039C">
                            <w:pPr>
                              <w:pStyle w:val="NormalWeb"/>
                              <w:spacing w:after="200" w:line="276" w:lineRule="auto"/>
                              <w:jc w:val="both"/>
                            </w:pPr>
                            <w:r w:rsidRPr="00EB2AF8">
                              <w:rPr>
                                <w:rFonts w:ascii="Arial Narrow" w:eastAsia="SimSun" w:hAnsi="Arial Narrow" w:cs="Arial"/>
                                <w:color w:val="595959"/>
                                <w:kern w:val="24"/>
                                <w:sz w:val="22"/>
                                <w:szCs w:val="22"/>
                              </w:rPr>
                              <w:t>A</w:t>
                            </w:r>
                            <w:r>
                              <w:rPr>
                                <w:rFonts w:ascii="Arial Narrow" w:eastAsia="SimSun" w:hAnsi="Arial Narrow" w:cs="Arial"/>
                                <w:color w:val="595959"/>
                                <w:kern w:val="24"/>
                                <w:sz w:val="22"/>
                                <w:szCs w:val="22"/>
                              </w:rPr>
                              <w:t>fter a 28-day</w:t>
                            </w:r>
                            <w:r w:rsidRPr="00EB2AF8">
                              <w:rPr>
                                <w:rFonts w:ascii="Arial Narrow" w:eastAsia="SimSun" w:hAnsi="Arial Narrow" w:cs="Arial"/>
                                <w:color w:val="595959"/>
                                <w:kern w:val="24"/>
                                <w:sz w:val="22"/>
                                <w:szCs w:val="22"/>
                              </w:rPr>
                              <w:t xml:space="preserve"> growth period native </w:t>
                            </w:r>
                            <w:r>
                              <w:rPr>
                                <w:rFonts w:ascii="Arial Narrow" w:eastAsia="SimSun" w:hAnsi="Arial Narrow" w:cs="Arial"/>
                                <w:color w:val="595959"/>
                                <w:kern w:val="24"/>
                                <w:sz w:val="22"/>
                                <w:szCs w:val="22"/>
                              </w:rPr>
                              <w:t xml:space="preserve">fibroblast-derived </w:t>
                            </w:r>
                            <w:r w:rsidRPr="00EB2AF8">
                              <w:rPr>
                                <w:rFonts w:ascii="Arial Narrow" w:eastAsia="SimSun" w:hAnsi="Arial Narrow" w:cs="Arial"/>
                                <w:color w:val="595959"/>
                                <w:kern w:val="24"/>
                                <w:sz w:val="22"/>
                                <w:szCs w:val="22"/>
                              </w:rPr>
                              <w:t xml:space="preserve">ECM </w:t>
                            </w:r>
                            <w:r>
                              <w:rPr>
                                <w:rFonts w:ascii="Arial Narrow" w:eastAsia="SimSun" w:hAnsi="Arial Narrow" w:cs="Arial"/>
                                <w:color w:val="595959"/>
                                <w:kern w:val="24"/>
                                <w:sz w:val="22"/>
                                <w:szCs w:val="22"/>
                              </w:rPr>
                              <w:t xml:space="preserve">was </w:t>
                            </w:r>
                            <w:r w:rsidRPr="00EB2AF8">
                              <w:rPr>
                                <w:rFonts w:ascii="Arial Narrow" w:eastAsia="SimSun" w:hAnsi="Arial Narrow" w:cs="Arial"/>
                                <w:color w:val="595959"/>
                                <w:kern w:val="24"/>
                                <w:sz w:val="22"/>
                                <w:szCs w:val="22"/>
                              </w:rPr>
                              <w:t>deposited over-time.</w:t>
                            </w:r>
                            <w:r>
                              <w:rPr>
                                <w:rFonts w:ascii="Arial Narrow" w:eastAsia="SimSun" w:hAnsi="Arial Narrow" w:cs="Arial"/>
                                <w:color w:val="595959"/>
                                <w:kern w:val="24"/>
                                <w:sz w:val="22"/>
                                <w:szCs w:val="22"/>
                              </w:rPr>
                              <w:t xml:space="preserve"> The addition of 2.5 x10</w:t>
                            </w:r>
                            <w:r>
                              <w:rPr>
                                <w:rFonts w:ascii="Arial Narrow" w:eastAsia="SimSun" w:hAnsi="Arial Narrow" w:cs="Arial"/>
                                <w:color w:val="595959"/>
                                <w:kern w:val="24"/>
                                <w:sz w:val="22"/>
                                <w:szCs w:val="22"/>
                                <w:vertAlign w:val="superscript"/>
                              </w:rPr>
                              <w:t>5</w:t>
                            </w:r>
                            <w:r>
                              <w:rPr>
                                <w:rFonts w:ascii="Arial Narrow" w:eastAsia="SimSun" w:hAnsi="Arial Narrow" w:cs="Arial"/>
                                <w:color w:val="595959"/>
                                <w:kern w:val="24"/>
                                <w:sz w:val="22"/>
                                <w:szCs w:val="22"/>
                              </w:rPr>
                              <w:t xml:space="preserve"> of either OSCC keratinoctyes; H357 and/or normal, immortalised oral keratinocytes FNB6 were added to the established matrices. The media was changed to Green’s media to support keratinocyte proliferation. Cells were submerged in media for two days, then raised to an air-to-liquid interface for a further 12 days. Media was changed every two days. </w:t>
                            </w:r>
                            <w:r>
                              <w:rPr>
                                <w:rFonts w:ascii="Arial Narrow" w:eastAsia="SimSun" w:hAnsi="Arial Narrow" w:cs="Arial"/>
                                <w:color w:val="595959"/>
                                <w:kern w:val="24"/>
                                <w:sz w:val="22"/>
                                <w:szCs w:val="22"/>
                              </w:rPr>
                              <w:tab/>
                            </w:r>
                            <w:r>
                              <w:rPr>
                                <w:rFonts w:ascii="Arial Narrow" w:eastAsia="SimSun" w:hAnsi="Arial Narrow" w:cs="Arial"/>
                                <w:color w:val="595959"/>
                                <w:kern w:val="24"/>
                                <w:sz w:val="22"/>
                                <w:szCs w:val="22"/>
                              </w:rPr>
                              <w:tab/>
                            </w:r>
                            <w:r>
                              <w:rPr>
                                <w:rFonts w:ascii="Arial Narrow" w:eastAsia="SimSun" w:hAnsi="Arial Narrow" w:cs="Arial"/>
                                <w:color w:val="595959"/>
                                <w:kern w:val="24"/>
                                <w:sz w:val="22"/>
                                <w:szCs w:val="22"/>
                              </w:rPr>
                              <w:tab/>
                            </w:r>
                            <w:r>
                              <w:rPr>
                                <w:rFonts w:ascii="Arial Narrow" w:eastAsia="SimSun" w:hAnsi="Arial Narrow" w:cs="Arial"/>
                                <w:color w:val="595959"/>
                                <w:kern w:val="24"/>
                                <w:sz w:val="22"/>
                                <w:szCs w:val="22"/>
                              </w:rPr>
                              <w:tab/>
                            </w:r>
                            <w:r>
                              <w:rPr>
                                <w:rFonts w:ascii="Arial Narrow" w:eastAsia="SimSun" w:hAnsi="Arial Narrow" w:cs="Arial"/>
                                <w:color w:val="595959"/>
                                <w:kern w:val="24"/>
                                <w:sz w:val="22"/>
                                <w:szCs w:val="22"/>
                              </w:rPr>
                              <w:tab/>
                            </w:r>
                            <w:r>
                              <w:rPr>
                                <w:rFonts w:ascii="Arial Narrow" w:eastAsia="SimSun" w:hAnsi="Arial Narrow" w:cs="Arial"/>
                                <w:color w:val="595959"/>
                                <w:kern w:val="24"/>
                                <w:sz w:val="22"/>
                                <w:szCs w:val="22"/>
                              </w:rPr>
                              <w:tab/>
                            </w:r>
                          </w:p>
                          <w:p w14:paraId="0635AA9E" w14:textId="77777777" w:rsidR="008A47AC" w:rsidRPr="009C15E0" w:rsidRDefault="008A47AC" w:rsidP="0054039C">
                            <w:pPr>
                              <w:pStyle w:val="NormalWeb"/>
                              <w:spacing w:after="200"/>
                              <w:ind w:left="7920"/>
                              <w:jc w:val="both"/>
                              <w:rPr>
                                <w:rFonts w:ascii="Arial Narrow" w:eastAsia="SimSun" w:hAnsi="Arial Narrow" w:cs="Arial"/>
                                <w:color w:val="595959" w:themeColor="text1" w:themeTint="A6"/>
                                <w:kern w:val="24"/>
                                <w:sz w:val="22"/>
                                <w:szCs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00EE00" id="Text Box 194" o:spid="_x0000_s1057" type="#_x0000_t202" style="position:absolute;left:0;text-align:left;margin-left:399.55pt;margin-top:.85pt;width:450.75pt;height:115.5pt;z-index:251658257;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" stroked="f">
                <v:textbox>
                  <w:txbxContent>
                    <w:p w14:paraId="68586B33" w14:textId="77777777" w:rsidR="008A47AC" w:rsidRPr="006B7937" w:rsidRDefault="008A47AC" w:rsidP="0054039C">
                      <w:pPr>
                        <w:pStyle w:val="Caption"/>
                        <w:keepNext/>
                        <w:jc w:val="both"/>
                        <w:rPr>
                          <w:rFonts w:ascii="Arial Narrow" w:hAnsi="Arial Narrow"/>
                          <w:b/>
                          <w:i w:val="0"/>
                          <w:sz w:val="24"/>
                          <w:szCs w:val="24"/>
                        </w:rPr>
                      </w:pPr>
                      <w:r w:rsidRPr="006B7937">
                        <w:rPr>
                          <w:rFonts w:ascii="Arial Narrow" w:hAnsi="Arial Narrow"/>
                          <w:b/>
                          <w:i w:val="0"/>
                          <w:color w:val="595959" w:themeColor="text1" w:themeTint="A6"/>
                          <w:sz w:val="24"/>
                          <w:szCs w:val="24"/>
                        </w:rPr>
                        <w:t>Figure</w:t>
                      </w:r>
                      <w:r>
                        <w:rPr>
                          <w:rFonts w:ascii="Arial Narrow" w:hAnsi="Arial Narrow"/>
                          <w:b/>
                          <w:i w:val="0"/>
                          <w:color w:val="595959" w:themeColor="text1" w:themeTint="A6"/>
                          <w:sz w:val="24"/>
                          <w:szCs w:val="24"/>
                        </w:rPr>
                        <w:t xml:space="preserve"> 2.4 Schematic of the generation of full thickness oral mucosa models</w:t>
                      </w:r>
                    </w:p>
                    <w:p w14:paraId="231560F7" w14:textId="3F579A0E" w:rsidR="008A47AC" w:rsidRPr="00575592" w:rsidRDefault="008A47AC" w:rsidP="0054039C">
                      <w:pPr>
                        <w:pStyle w:val="NormalWeb"/>
                        <w:spacing w:after="200" w:line="276" w:lineRule="auto"/>
                        <w:jc w:val="both"/>
                      </w:pPr>
                      <w:r w:rsidRPr="00EB2AF8">
                        <w:rPr>
                          <w:rFonts w:ascii="Arial Narrow" w:eastAsia="SimSun" w:hAnsi="Arial Narrow" w:cs="Arial"/>
                          <w:color w:val="595959"/>
                          <w:kern w:val="24"/>
                          <w:sz w:val="22"/>
                          <w:szCs w:val="22"/>
                        </w:rPr>
                        <w:t>A</w:t>
                      </w:r>
                      <w:r>
                        <w:rPr>
                          <w:rFonts w:ascii="Arial Narrow" w:eastAsia="SimSun" w:hAnsi="Arial Narrow" w:cs="Arial"/>
                          <w:color w:val="595959"/>
                          <w:kern w:val="24"/>
                          <w:sz w:val="22"/>
                          <w:szCs w:val="22"/>
                        </w:rPr>
                        <w:t>fter a 28-day</w:t>
                      </w:r>
                      <w:r w:rsidRPr="00EB2AF8">
                        <w:rPr>
                          <w:rFonts w:ascii="Arial Narrow" w:eastAsia="SimSun" w:hAnsi="Arial Narrow" w:cs="Arial"/>
                          <w:color w:val="595959"/>
                          <w:kern w:val="24"/>
                          <w:sz w:val="22"/>
                          <w:szCs w:val="22"/>
                        </w:rPr>
                        <w:t xml:space="preserve"> growth period native </w:t>
                      </w:r>
                      <w:r>
                        <w:rPr>
                          <w:rFonts w:ascii="Arial Narrow" w:eastAsia="SimSun" w:hAnsi="Arial Narrow" w:cs="Arial"/>
                          <w:color w:val="595959"/>
                          <w:kern w:val="24"/>
                          <w:sz w:val="22"/>
                          <w:szCs w:val="22"/>
                        </w:rPr>
                        <w:t xml:space="preserve">fibroblast-derived </w:t>
                      </w:r>
                      <w:r w:rsidRPr="00EB2AF8">
                        <w:rPr>
                          <w:rFonts w:ascii="Arial Narrow" w:eastAsia="SimSun" w:hAnsi="Arial Narrow" w:cs="Arial"/>
                          <w:color w:val="595959"/>
                          <w:kern w:val="24"/>
                          <w:sz w:val="22"/>
                          <w:szCs w:val="22"/>
                        </w:rPr>
                        <w:t xml:space="preserve">ECM </w:t>
                      </w:r>
                      <w:r>
                        <w:rPr>
                          <w:rFonts w:ascii="Arial Narrow" w:eastAsia="SimSun" w:hAnsi="Arial Narrow" w:cs="Arial"/>
                          <w:color w:val="595959"/>
                          <w:kern w:val="24"/>
                          <w:sz w:val="22"/>
                          <w:szCs w:val="22"/>
                        </w:rPr>
                        <w:t xml:space="preserve">was </w:t>
                      </w:r>
                      <w:r w:rsidRPr="00EB2AF8">
                        <w:rPr>
                          <w:rFonts w:ascii="Arial Narrow" w:eastAsia="SimSun" w:hAnsi="Arial Narrow" w:cs="Arial"/>
                          <w:color w:val="595959"/>
                          <w:kern w:val="24"/>
                          <w:sz w:val="22"/>
                          <w:szCs w:val="22"/>
                        </w:rPr>
                        <w:t>deposited over-time.</w:t>
                      </w:r>
                      <w:r>
                        <w:rPr>
                          <w:rFonts w:ascii="Arial Narrow" w:eastAsia="SimSun" w:hAnsi="Arial Narrow" w:cs="Arial"/>
                          <w:color w:val="595959"/>
                          <w:kern w:val="24"/>
                          <w:sz w:val="22"/>
                          <w:szCs w:val="22"/>
                        </w:rPr>
                        <w:t xml:space="preserve"> The addition of 2.5 x10</w:t>
                      </w:r>
                      <w:r>
                        <w:rPr>
                          <w:rFonts w:ascii="Arial Narrow" w:eastAsia="SimSun" w:hAnsi="Arial Narrow" w:cs="Arial"/>
                          <w:color w:val="595959"/>
                          <w:kern w:val="24"/>
                          <w:sz w:val="22"/>
                          <w:szCs w:val="22"/>
                          <w:vertAlign w:val="superscript"/>
                        </w:rPr>
                        <w:t>5</w:t>
                      </w:r>
                      <w:r>
                        <w:rPr>
                          <w:rFonts w:ascii="Arial Narrow" w:eastAsia="SimSun" w:hAnsi="Arial Narrow" w:cs="Arial"/>
                          <w:color w:val="595959"/>
                          <w:kern w:val="24"/>
                          <w:sz w:val="22"/>
                          <w:szCs w:val="22"/>
                        </w:rPr>
                        <w:t xml:space="preserve"> of either OSCC </w:t>
                      </w:r>
                      <w:proofErr w:type="spellStart"/>
                      <w:r>
                        <w:rPr>
                          <w:rFonts w:ascii="Arial Narrow" w:eastAsia="SimSun" w:hAnsi="Arial Narrow" w:cs="Arial"/>
                          <w:color w:val="595959"/>
                          <w:kern w:val="24"/>
                          <w:sz w:val="22"/>
                          <w:szCs w:val="22"/>
                        </w:rPr>
                        <w:t>keratinoctyes</w:t>
                      </w:r>
                      <w:proofErr w:type="spellEnd"/>
                      <w:r>
                        <w:rPr>
                          <w:rFonts w:ascii="Arial Narrow" w:eastAsia="SimSun" w:hAnsi="Arial Narrow" w:cs="Arial"/>
                          <w:color w:val="595959"/>
                          <w:kern w:val="24"/>
                          <w:sz w:val="22"/>
                          <w:szCs w:val="22"/>
                        </w:rPr>
                        <w:t xml:space="preserve">; H357 and/or normal, immortalised oral keratinocytes FNB6 were added to the established matrices. The media was changed to Green’s media to support keratinocyte proliferation. Cells were submerged in media for two days, then raised to an air-to-liquid interface for a further 12 days. Media was changed every two days. </w:t>
                      </w:r>
                      <w:r>
                        <w:rPr>
                          <w:rFonts w:ascii="Arial Narrow" w:eastAsia="SimSun" w:hAnsi="Arial Narrow" w:cs="Arial"/>
                          <w:color w:val="595959"/>
                          <w:kern w:val="24"/>
                          <w:sz w:val="22"/>
                          <w:szCs w:val="22"/>
                        </w:rPr>
                        <w:tab/>
                      </w:r>
                      <w:r>
                        <w:rPr>
                          <w:rFonts w:ascii="Arial Narrow" w:eastAsia="SimSun" w:hAnsi="Arial Narrow" w:cs="Arial"/>
                          <w:color w:val="595959"/>
                          <w:kern w:val="24"/>
                          <w:sz w:val="22"/>
                          <w:szCs w:val="22"/>
                        </w:rPr>
                        <w:tab/>
                      </w:r>
                      <w:r>
                        <w:rPr>
                          <w:rFonts w:ascii="Arial Narrow" w:eastAsia="SimSun" w:hAnsi="Arial Narrow" w:cs="Arial"/>
                          <w:color w:val="595959"/>
                          <w:kern w:val="24"/>
                          <w:sz w:val="22"/>
                          <w:szCs w:val="22"/>
                        </w:rPr>
                        <w:tab/>
                      </w:r>
                      <w:r>
                        <w:rPr>
                          <w:rFonts w:ascii="Arial Narrow" w:eastAsia="SimSun" w:hAnsi="Arial Narrow" w:cs="Arial"/>
                          <w:color w:val="595959"/>
                          <w:kern w:val="24"/>
                          <w:sz w:val="22"/>
                          <w:szCs w:val="22"/>
                        </w:rPr>
                        <w:tab/>
                      </w:r>
                      <w:r>
                        <w:rPr>
                          <w:rFonts w:ascii="Arial Narrow" w:eastAsia="SimSun" w:hAnsi="Arial Narrow" w:cs="Arial"/>
                          <w:color w:val="595959"/>
                          <w:kern w:val="24"/>
                          <w:sz w:val="22"/>
                          <w:szCs w:val="22"/>
                        </w:rPr>
                        <w:tab/>
                      </w:r>
                      <w:r>
                        <w:rPr>
                          <w:rFonts w:ascii="Arial Narrow" w:eastAsia="SimSun" w:hAnsi="Arial Narrow" w:cs="Arial"/>
                          <w:color w:val="595959"/>
                          <w:kern w:val="24"/>
                          <w:sz w:val="22"/>
                          <w:szCs w:val="22"/>
                        </w:rPr>
                        <w:tab/>
                      </w:r>
                    </w:p>
                    <w:p w14:paraId="0635AA9E" w14:textId="77777777" w:rsidR="008A47AC" w:rsidRPr="009C15E0" w:rsidRDefault="008A47AC" w:rsidP="0054039C">
                      <w:pPr>
                        <w:pStyle w:val="NormalWeb"/>
                        <w:spacing w:after="200"/>
                        <w:ind w:left="7920"/>
                        <w:jc w:val="both"/>
                        <w:rPr>
                          <w:rFonts w:ascii="Arial Narrow" w:eastAsia="SimSun" w:hAnsi="Arial Narrow" w:cs="Arial"/>
                          <w:color w:val="595959" w:themeColor="text1" w:themeTint="A6"/>
                          <w:kern w:val="24"/>
                          <w:sz w:val="22"/>
                          <w:szCs w:val="22"/>
                        </w:rPr>
                      </w:pPr>
                    </w:p>
                  </w:txbxContent>
                </v:textbox>
                <w10:wrap anchorx="margin"/>
              </v:shape>
            </w:pict>
          </mc:Fallback>
        </mc:AlternateContent>
      </w:r>
    </w:p>
    <w:p w14:paraId="2EF597E8" w14:textId="77777777" w:rsidR="0054039C" w:rsidRPr="0054039C" w:rsidRDefault="0054039C" w:rsidP="0054039C">
      <w:pPr>
        <w:autoSpaceDE w:val="0"/>
        <w:autoSpaceDN w:val="0"/>
        <w:adjustRightInd w:val="0"/>
        <w:spacing w:after="0" w:line="480" w:lineRule="auto"/>
        <w:jc w:val="both"/>
        <w:rPr>
          <w:rFonts w:ascii="Arial" w:hAnsi="Arial" w:cs="Arial"/>
          <w:bCs/>
          <w:iCs/>
          <w:color w:val="595959" w:themeColor="text1" w:themeTint="A6"/>
        </w:rPr>
      </w:pPr>
    </w:p>
    <w:p w14:paraId="1ED15EAC" w14:textId="77777777" w:rsidR="0054039C" w:rsidRPr="0054039C" w:rsidRDefault="0054039C" w:rsidP="0054039C">
      <w:pPr>
        <w:autoSpaceDE w:val="0"/>
        <w:autoSpaceDN w:val="0"/>
        <w:adjustRightInd w:val="0"/>
        <w:spacing w:after="0" w:line="480" w:lineRule="auto"/>
        <w:jc w:val="both"/>
        <w:rPr>
          <w:rFonts w:ascii="Arial" w:hAnsi="Arial" w:cs="Arial"/>
          <w:bCs/>
          <w:iCs/>
          <w:color w:val="595959" w:themeColor="text1" w:themeTint="A6"/>
        </w:rPr>
      </w:pPr>
    </w:p>
    <w:p w14:paraId="6129B995" w14:textId="77777777" w:rsidR="0054039C" w:rsidRPr="0054039C" w:rsidRDefault="0054039C" w:rsidP="0054039C">
      <w:pPr>
        <w:autoSpaceDE w:val="0"/>
        <w:autoSpaceDN w:val="0"/>
        <w:adjustRightInd w:val="0"/>
        <w:spacing w:after="0" w:line="480" w:lineRule="auto"/>
        <w:jc w:val="both"/>
        <w:rPr>
          <w:rFonts w:ascii="Arial" w:hAnsi="Arial" w:cs="Arial"/>
          <w:bCs/>
          <w:iCs/>
          <w:color w:val="595959" w:themeColor="text1" w:themeTint="A6"/>
        </w:rPr>
      </w:pPr>
    </w:p>
    <w:p w14:paraId="18C185D0" w14:textId="77777777" w:rsidR="0054039C" w:rsidRPr="0054039C" w:rsidRDefault="0054039C" w:rsidP="0054039C">
      <w:pPr>
        <w:autoSpaceDE w:val="0"/>
        <w:autoSpaceDN w:val="0"/>
        <w:adjustRightInd w:val="0"/>
        <w:spacing w:after="0" w:line="480" w:lineRule="auto"/>
        <w:jc w:val="both"/>
        <w:rPr>
          <w:rFonts w:ascii="Arial" w:hAnsi="Arial" w:cs="Arial"/>
          <w:bCs/>
          <w:iCs/>
          <w:color w:val="595959" w:themeColor="text1" w:themeTint="A6"/>
        </w:rPr>
      </w:pPr>
    </w:p>
    <w:p w14:paraId="533739A1" w14:textId="77777777" w:rsidR="0054039C" w:rsidRPr="0054039C" w:rsidRDefault="0054039C" w:rsidP="0054039C">
      <w:pPr>
        <w:autoSpaceDE w:val="0"/>
        <w:autoSpaceDN w:val="0"/>
        <w:adjustRightInd w:val="0"/>
        <w:spacing w:after="0" w:line="480" w:lineRule="auto"/>
        <w:jc w:val="both"/>
        <w:rPr>
          <w:rFonts w:ascii="Arial" w:hAnsi="Arial" w:cs="Arial"/>
          <w:color w:val="595959" w:themeColor="text1" w:themeTint="A6"/>
          <w:lang w:val="en-US"/>
        </w:rPr>
      </w:pPr>
    </w:p>
    <w:p w14:paraId="08AAB0C1" w14:textId="77777777" w:rsidR="0054039C" w:rsidRPr="0054039C" w:rsidRDefault="0054039C" w:rsidP="0054039C">
      <w:pPr>
        <w:autoSpaceDE w:val="0"/>
        <w:autoSpaceDN w:val="0"/>
        <w:adjustRightInd w:val="0"/>
        <w:spacing w:after="0" w:line="480" w:lineRule="auto"/>
        <w:jc w:val="both"/>
        <w:rPr>
          <w:rFonts w:ascii="Arial" w:hAnsi="Arial" w:cs="Arial"/>
          <w:color w:val="595959" w:themeColor="text1" w:themeTint="A6"/>
          <w:lang w:val="en-US"/>
        </w:rPr>
      </w:pPr>
    </w:p>
    <w:p w14:paraId="174B98BC" w14:textId="77777777" w:rsidR="0054039C" w:rsidRPr="0054039C" w:rsidRDefault="0054039C" w:rsidP="0054039C">
      <w:pPr>
        <w:autoSpaceDE w:val="0"/>
        <w:autoSpaceDN w:val="0"/>
        <w:adjustRightInd w:val="0"/>
        <w:spacing w:after="0" w:line="480" w:lineRule="auto"/>
        <w:jc w:val="both"/>
        <w:rPr>
          <w:rFonts w:ascii="Arial" w:hAnsi="Arial" w:cs="Arial"/>
          <w:color w:val="595959" w:themeColor="text1" w:themeTint="A6"/>
          <w:lang w:val="en-US"/>
        </w:rPr>
      </w:pPr>
    </w:p>
    <w:p w14:paraId="4A2F15C0" w14:textId="77777777" w:rsidR="0054039C" w:rsidRPr="0054039C" w:rsidRDefault="0054039C" w:rsidP="0054039C">
      <w:pPr>
        <w:autoSpaceDE w:val="0"/>
        <w:autoSpaceDN w:val="0"/>
        <w:adjustRightInd w:val="0"/>
        <w:spacing w:after="0" w:line="480" w:lineRule="auto"/>
        <w:jc w:val="both"/>
        <w:rPr>
          <w:rFonts w:ascii="Arial" w:hAnsi="Arial" w:cs="Arial"/>
          <w:color w:val="595959" w:themeColor="text1" w:themeTint="A6"/>
          <w:lang w:val="en-US"/>
        </w:rPr>
      </w:pPr>
    </w:p>
    <w:p w14:paraId="0B623C19" w14:textId="77A99D20" w:rsidR="0054039C" w:rsidRPr="0054039C" w:rsidRDefault="007B0653" w:rsidP="007B0653">
      <w:pPr>
        <w:pStyle w:val="Heading3"/>
        <w:rPr>
          <w:rFonts w:ascii="Arial" w:hAnsi="Arial" w:cs="Arial"/>
          <w:color w:val="595959" w:themeColor="text1" w:themeTint="A6"/>
          <w:lang w:val="en-US"/>
        </w:rPr>
      </w:pPr>
      <w:bookmarkStart w:id="125" w:name="_Toc515897474"/>
      <w:bookmarkStart w:id="126" w:name="_Toc534278602"/>
      <w:bookmarkStart w:id="127" w:name="_Toc34208311"/>
      <w:r>
        <w:rPr>
          <w:rFonts w:ascii="Arial" w:hAnsi="Arial" w:cs="Arial"/>
          <w:color w:val="595959" w:themeColor="text1" w:themeTint="A6"/>
          <w:lang w:val="en-US"/>
        </w:rPr>
        <w:lastRenderedPageBreak/>
        <w:t xml:space="preserve">2.2.7 </w:t>
      </w:r>
      <w:r w:rsidR="0054039C" w:rsidRPr="0054039C">
        <w:rPr>
          <w:rFonts w:ascii="Arial" w:hAnsi="Arial" w:cs="Arial"/>
          <w:color w:val="595959" w:themeColor="text1" w:themeTint="A6"/>
          <w:lang w:val="en-US"/>
        </w:rPr>
        <w:t>Molecular analysis</w:t>
      </w:r>
      <w:bookmarkEnd w:id="125"/>
      <w:bookmarkEnd w:id="126"/>
      <w:bookmarkEnd w:id="127"/>
    </w:p>
    <w:p w14:paraId="52A83A49" w14:textId="77777777" w:rsidR="0054039C" w:rsidRPr="0054039C" w:rsidRDefault="0054039C" w:rsidP="0054039C">
      <w:pPr>
        <w:ind w:left="480"/>
        <w:contextualSpacing/>
        <w:rPr>
          <w:lang w:val="en-US"/>
        </w:rPr>
      </w:pPr>
    </w:p>
    <w:p w14:paraId="1AD0ECFF" w14:textId="77777777" w:rsidR="0054039C" w:rsidRPr="0054039C" w:rsidRDefault="0054039C" w:rsidP="007B0653">
      <w:pPr>
        <w:pStyle w:val="Heading4"/>
        <w:rPr>
          <w:rFonts w:ascii="Arial" w:hAnsi="Arial" w:cs="Arial"/>
          <w:color w:val="595959" w:themeColor="text1" w:themeTint="A6"/>
          <w:lang w:val="en-US"/>
        </w:rPr>
      </w:pPr>
      <w:bookmarkStart w:id="128" w:name="_Toc515897475"/>
      <w:bookmarkStart w:id="129" w:name="_Toc534278603"/>
      <w:bookmarkStart w:id="130" w:name="_Toc34208312"/>
      <w:r w:rsidRPr="0054039C">
        <w:rPr>
          <w:rFonts w:ascii="Arial" w:hAnsi="Arial" w:cs="Arial"/>
          <w:color w:val="595959" w:themeColor="text1" w:themeTint="A6"/>
          <w:lang w:val="en-US"/>
        </w:rPr>
        <w:t xml:space="preserve">2.2.7.1 </w:t>
      </w:r>
      <w:bookmarkEnd w:id="128"/>
      <w:r w:rsidRPr="0054039C">
        <w:rPr>
          <w:rFonts w:ascii="Arial" w:hAnsi="Arial" w:cs="Arial"/>
          <w:color w:val="595959" w:themeColor="text1" w:themeTint="A6"/>
          <w:lang w:val="en-US"/>
        </w:rPr>
        <w:t>Isolating RNA</w:t>
      </w:r>
      <w:bookmarkEnd w:id="129"/>
      <w:bookmarkEnd w:id="130"/>
    </w:p>
    <w:p w14:paraId="5C20AA62" w14:textId="77777777" w:rsidR="0054039C" w:rsidRPr="0054039C" w:rsidRDefault="0054039C" w:rsidP="0054039C">
      <w:pPr>
        <w:keepNext/>
        <w:keepLines/>
        <w:spacing w:before="40" w:after="0"/>
        <w:outlineLvl w:val="2"/>
        <w:rPr>
          <w:rFonts w:ascii="Arial" w:eastAsiaTheme="majorEastAsia" w:hAnsi="Arial" w:cs="Arial"/>
          <w:color w:val="595959" w:themeColor="text1" w:themeTint="A6"/>
          <w:lang w:val="en-US"/>
        </w:rPr>
      </w:pPr>
    </w:p>
    <w:p w14:paraId="6C3550D5" w14:textId="77777777" w:rsidR="0054039C" w:rsidRPr="0054039C" w:rsidRDefault="0054039C" w:rsidP="007B0653">
      <w:pPr>
        <w:pStyle w:val="Heading5"/>
        <w:rPr>
          <w:rFonts w:ascii="Arial" w:hAnsi="Arial" w:cs="Arial"/>
          <w:iCs/>
          <w:color w:val="595959" w:themeColor="text1" w:themeTint="A6"/>
          <w:lang w:val="en-US"/>
        </w:rPr>
      </w:pPr>
      <w:bookmarkStart w:id="131" w:name="_Toc534278604"/>
      <w:bookmarkStart w:id="132" w:name="_Toc34208313"/>
      <w:r w:rsidRPr="0054039C">
        <w:rPr>
          <w:rFonts w:ascii="Arial" w:hAnsi="Arial" w:cs="Arial"/>
          <w:iCs/>
          <w:color w:val="595959" w:themeColor="text1" w:themeTint="A6"/>
          <w:lang w:val="en-US"/>
        </w:rPr>
        <w:t>2.2.7.1.1 RNA extraction on monolayers</w:t>
      </w:r>
      <w:bookmarkEnd w:id="131"/>
      <w:bookmarkEnd w:id="132"/>
    </w:p>
    <w:p w14:paraId="546AF669" w14:textId="77777777" w:rsidR="0054039C" w:rsidRPr="0054039C" w:rsidRDefault="0054039C" w:rsidP="0054039C">
      <w:pPr>
        <w:rPr>
          <w:lang w:val="en-US"/>
        </w:rPr>
      </w:pPr>
    </w:p>
    <w:p w14:paraId="267BFDE0" w14:textId="6386FD67" w:rsidR="0054039C" w:rsidRPr="00A03706" w:rsidRDefault="0054039C" w:rsidP="0054039C">
      <w:pPr>
        <w:autoSpaceDE w:val="0"/>
        <w:autoSpaceDN w:val="0"/>
        <w:adjustRightInd w:val="0"/>
        <w:spacing w:after="0" w:line="480" w:lineRule="auto"/>
        <w:jc w:val="both"/>
        <w:rPr>
          <w:rFonts w:ascii="Arial" w:hAnsi="Arial" w:cs="Arial"/>
          <w:color w:val="595959" w:themeColor="text1" w:themeTint="A6"/>
          <w:lang w:val="en-US"/>
        </w:rPr>
      </w:pPr>
      <w:r w:rsidRPr="00A03706">
        <w:rPr>
          <w:rFonts w:ascii="Arial" w:hAnsi="Arial" w:cs="Arial"/>
          <w:color w:val="595959" w:themeColor="text1" w:themeTint="A6"/>
          <w:lang w:val="en-US"/>
        </w:rPr>
        <w:t xml:space="preserve">Media was aspirated, and cells washed twice in PBS, </w:t>
      </w:r>
      <w:bookmarkStart w:id="133" w:name="_Hlk535587180"/>
      <w:r w:rsidRPr="00A03706">
        <w:rPr>
          <w:rFonts w:ascii="Arial" w:hAnsi="Arial" w:cs="Arial"/>
          <w:color w:val="595959" w:themeColor="text1" w:themeTint="A6"/>
          <w:lang w:val="en-US"/>
        </w:rPr>
        <w:t xml:space="preserve">350 µL of RNA lysis buffer (RLT lysis buffer) containing β-mercaptoethanol (10 µL/mL) </w:t>
      </w:r>
      <w:r w:rsidR="001201D3" w:rsidRPr="00A03706">
        <w:rPr>
          <w:rFonts w:ascii="Arial" w:hAnsi="Arial" w:cs="Arial"/>
          <w:color w:val="595959" w:themeColor="text1" w:themeTint="A6"/>
          <w:lang w:val="en-US"/>
        </w:rPr>
        <w:t xml:space="preserve">was added </w:t>
      </w:r>
      <w:r w:rsidRPr="00A03706">
        <w:rPr>
          <w:rFonts w:ascii="Arial" w:hAnsi="Arial" w:cs="Arial"/>
          <w:color w:val="595959" w:themeColor="text1" w:themeTint="A6"/>
          <w:lang w:val="en-US"/>
        </w:rPr>
        <w:t xml:space="preserve">and cells harvested by using a cell scraper. </w:t>
      </w:r>
      <w:bookmarkEnd w:id="133"/>
      <w:r w:rsidRPr="00A03706">
        <w:rPr>
          <w:rFonts w:ascii="Arial" w:hAnsi="Arial" w:cs="Arial"/>
          <w:color w:val="595959" w:themeColor="text1" w:themeTint="A6"/>
          <w:lang w:val="en-US"/>
        </w:rPr>
        <w:t xml:space="preserve">The collected RNA suspension was kept on ice until purified or kept at -80 </w:t>
      </w:r>
      <w:r w:rsidRPr="00A03706">
        <w:rPr>
          <w:rFonts w:ascii="Arial" w:hAnsi="Arial" w:cs="Arial"/>
          <w:color w:val="595959" w:themeColor="text1" w:themeTint="A6"/>
          <w:vertAlign w:val="superscript"/>
          <w:lang w:val="en-US"/>
        </w:rPr>
        <w:t>o</w:t>
      </w:r>
      <w:r w:rsidRPr="00A03706">
        <w:rPr>
          <w:rFonts w:ascii="Arial" w:hAnsi="Arial" w:cs="Arial"/>
          <w:color w:val="595959" w:themeColor="text1" w:themeTint="A6"/>
          <w:lang w:val="en-US"/>
        </w:rPr>
        <w:t xml:space="preserve">C for long-term storage. </w:t>
      </w:r>
      <w:bookmarkStart w:id="134" w:name="_Hlk535587230"/>
      <w:r w:rsidRPr="00A03706">
        <w:rPr>
          <w:rFonts w:ascii="Arial" w:hAnsi="Arial" w:cs="Arial"/>
          <w:color w:val="595959" w:themeColor="text1" w:themeTint="A6"/>
          <w:lang w:val="en-US"/>
        </w:rPr>
        <w:t>Total RNA was purified using the RNeasy mini kit according to the manufacturer’s instructions. RNA concentrations were calculated using a spectrophotometer. RNA was reverse transcribed to synthesise cDNA using 100 ng RNA as a template according to the manufacturer’s instructions</w:t>
      </w:r>
      <w:bookmarkEnd w:id="134"/>
      <w:r w:rsidRPr="00A03706">
        <w:rPr>
          <w:rFonts w:ascii="Arial" w:hAnsi="Arial" w:cs="Arial"/>
          <w:color w:val="595959" w:themeColor="text1" w:themeTint="A6"/>
          <w:lang w:val="en-US"/>
        </w:rPr>
        <w:t>. A non-enzyme control was also created for each experiment where the reaction contained no reverse transcriptase, but additional nuclease free water. cDNA generation was completed by using a thermal cycler with the thermocycling schedule as shown in Table 2.5.</w:t>
      </w:r>
    </w:p>
    <w:p w14:paraId="7DC74B25" w14:textId="77777777" w:rsidR="0054039C" w:rsidRPr="0054039C" w:rsidRDefault="0054039C" w:rsidP="0054039C">
      <w:pPr>
        <w:autoSpaceDE w:val="0"/>
        <w:autoSpaceDN w:val="0"/>
        <w:adjustRightInd w:val="0"/>
        <w:spacing w:after="0" w:line="480" w:lineRule="auto"/>
        <w:jc w:val="both"/>
        <w:rPr>
          <w:rFonts w:ascii="Arial" w:hAnsi="Arial" w:cs="Arial"/>
          <w:color w:val="595959" w:themeColor="text1" w:themeTint="A6"/>
          <w:lang w:val="en-US"/>
        </w:rPr>
      </w:pPr>
    </w:p>
    <w:p w14:paraId="619AC34D" w14:textId="77777777" w:rsidR="0054039C" w:rsidRPr="0054039C" w:rsidRDefault="0054039C" w:rsidP="0054039C">
      <w:pPr>
        <w:autoSpaceDE w:val="0"/>
        <w:autoSpaceDN w:val="0"/>
        <w:adjustRightInd w:val="0"/>
        <w:spacing w:after="0" w:line="480" w:lineRule="auto"/>
        <w:jc w:val="both"/>
        <w:rPr>
          <w:rFonts w:ascii="Arial" w:hAnsi="Arial" w:cs="Arial"/>
          <w:color w:val="595959" w:themeColor="text1" w:themeTint="A6"/>
          <w:lang w:val="en-US"/>
        </w:rPr>
      </w:pPr>
    </w:p>
    <w:p w14:paraId="09433A5E" w14:textId="77777777" w:rsidR="0054039C" w:rsidRPr="00D10BB9" w:rsidRDefault="0054039C" w:rsidP="0054039C">
      <w:pPr>
        <w:autoSpaceDE w:val="0"/>
        <w:autoSpaceDN w:val="0"/>
        <w:adjustRightInd w:val="0"/>
        <w:spacing w:after="0" w:line="480" w:lineRule="auto"/>
        <w:jc w:val="both"/>
        <w:rPr>
          <w:rFonts w:ascii="Arial" w:hAnsi="Arial" w:cs="Arial"/>
          <w:color w:val="595959" w:themeColor="text1" w:themeTint="A6"/>
          <w:sz w:val="20"/>
          <w:szCs w:val="20"/>
          <w:lang w:val="en-US"/>
        </w:rPr>
      </w:pPr>
    </w:p>
    <w:p w14:paraId="7322D002" w14:textId="77777777" w:rsidR="0054039C" w:rsidRPr="00D10BB9" w:rsidRDefault="0054039C" w:rsidP="0054039C">
      <w:pPr>
        <w:autoSpaceDE w:val="0"/>
        <w:autoSpaceDN w:val="0"/>
        <w:adjustRightInd w:val="0"/>
        <w:spacing w:after="0" w:line="480" w:lineRule="auto"/>
        <w:jc w:val="both"/>
        <w:rPr>
          <w:rFonts w:ascii="Arial" w:hAnsi="Arial" w:cs="Arial"/>
          <w:b/>
          <w:color w:val="595959" w:themeColor="text1" w:themeTint="A6"/>
          <w:lang w:val="en-US"/>
        </w:rPr>
      </w:pPr>
      <w:r w:rsidRPr="00D10BB9">
        <w:rPr>
          <w:rFonts w:ascii="Arial" w:hAnsi="Arial" w:cs="Arial"/>
          <w:b/>
          <w:color w:val="595959" w:themeColor="text1" w:themeTint="A6"/>
          <w:lang w:val="en-US"/>
        </w:rPr>
        <w:t>Table 2.5 Thermocycling schedule for cDNA synthesis</w:t>
      </w:r>
    </w:p>
    <w:tbl>
      <w:tblPr>
        <w:tblStyle w:val="TableGridLight"/>
        <w:tblpPr w:leftFromText="180" w:rightFromText="180" w:vertAnchor="text" w:horzAnchor="margin" w:tblpY="160"/>
        <w:tblW w:w="0" w:type="auto"/>
        <w:tblLook w:val="04A0" w:firstRow="1" w:lastRow="0" w:firstColumn="1" w:lastColumn="0" w:noHBand="0" w:noVBand="1"/>
      </w:tblPr>
      <w:tblGrid>
        <w:gridCol w:w="1806"/>
        <w:gridCol w:w="1802"/>
        <w:gridCol w:w="1802"/>
        <w:gridCol w:w="1803"/>
        <w:gridCol w:w="1803"/>
      </w:tblGrid>
      <w:tr w:rsidR="0054039C" w:rsidRPr="0054039C" w14:paraId="57DCFA4C" w14:textId="77777777" w:rsidTr="0054039C">
        <w:trPr>
          <w:trHeight w:val="418"/>
        </w:trPr>
        <w:tc>
          <w:tcPr>
            <w:tcW w:w="1806" w:type="dxa"/>
          </w:tcPr>
          <w:p w14:paraId="1992CED8" w14:textId="77777777" w:rsidR="0054039C" w:rsidRPr="0054039C" w:rsidRDefault="0054039C" w:rsidP="0054039C">
            <w:pPr>
              <w:autoSpaceDE w:val="0"/>
              <w:autoSpaceDN w:val="0"/>
              <w:adjustRightInd w:val="0"/>
              <w:spacing w:line="480" w:lineRule="auto"/>
              <w:jc w:val="center"/>
              <w:rPr>
                <w:rFonts w:ascii="Arial" w:hAnsi="Arial" w:cs="Arial"/>
                <w:color w:val="595959" w:themeColor="text1" w:themeTint="A6"/>
              </w:rPr>
            </w:pPr>
          </w:p>
        </w:tc>
        <w:tc>
          <w:tcPr>
            <w:tcW w:w="1802" w:type="dxa"/>
          </w:tcPr>
          <w:p w14:paraId="30160086" w14:textId="77777777" w:rsidR="0054039C" w:rsidRPr="0054039C" w:rsidRDefault="0054039C" w:rsidP="0054039C">
            <w:pPr>
              <w:autoSpaceDE w:val="0"/>
              <w:autoSpaceDN w:val="0"/>
              <w:adjustRightInd w:val="0"/>
              <w:spacing w:line="480" w:lineRule="auto"/>
              <w:jc w:val="center"/>
              <w:rPr>
                <w:rFonts w:ascii="Arial" w:hAnsi="Arial" w:cs="Arial"/>
                <w:color w:val="595959" w:themeColor="text1" w:themeTint="A6"/>
              </w:rPr>
            </w:pPr>
            <w:r w:rsidRPr="0054039C">
              <w:rPr>
                <w:rFonts w:ascii="Arial" w:hAnsi="Arial" w:cs="Arial"/>
                <w:color w:val="595959" w:themeColor="text1" w:themeTint="A6"/>
              </w:rPr>
              <w:t>Step 1</w:t>
            </w:r>
          </w:p>
        </w:tc>
        <w:tc>
          <w:tcPr>
            <w:tcW w:w="1802" w:type="dxa"/>
          </w:tcPr>
          <w:p w14:paraId="571ED62A" w14:textId="77777777" w:rsidR="0054039C" w:rsidRPr="0054039C" w:rsidRDefault="0054039C" w:rsidP="0054039C">
            <w:pPr>
              <w:autoSpaceDE w:val="0"/>
              <w:autoSpaceDN w:val="0"/>
              <w:adjustRightInd w:val="0"/>
              <w:spacing w:line="480" w:lineRule="auto"/>
              <w:jc w:val="center"/>
              <w:rPr>
                <w:rFonts w:ascii="Arial" w:hAnsi="Arial" w:cs="Arial"/>
                <w:color w:val="595959" w:themeColor="text1" w:themeTint="A6"/>
              </w:rPr>
            </w:pPr>
            <w:r w:rsidRPr="0054039C">
              <w:rPr>
                <w:rFonts w:ascii="Arial" w:hAnsi="Arial" w:cs="Arial"/>
                <w:color w:val="595959" w:themeColor="text1" w:themeTint="A6"/>
              </w:rPr>
              <w:t>Step 2</w:t>
            </w:r>
          </w:p>
        </w:tc>
        <w:tc>
          <w:tcPr>
            <w:tcW w:w="1803" w:type="dxa"/>
          </w:tcPr>
          <w:p w14:paraId="550B0005" w14:textId="77777777" w:rsidR="0054039C" w:rsidRPr="0054039C" w:rsidRDefault="0054039C" w:rsidP="0054039C">
            <w:pPr>
              <w:autoSpaceDE w:val="0"/>
              <w:autoSpaceDN w:val="0"/>
              <w:adjustRightInd w:val="0"/>
              <w:spacing w:line="480" w:lineRule="auto"/>
              <w:jc w:val="center"/>
              <w:rPr>
                <w:rFonts w:ascii="Arial" w:hAnsi="Arial" w:cs="Arial"/>
                <w:color w:val="595959" w:themeColor="text1" w:themeTint="A6"/>
              </w:rPr>
            </w:pPr>
            <w:r w:rsidRPr="0054039C">
              <w:rPr>
                <w:rFonts w:ascii="Arial" w:hAnsi="Arial" w:cs="Arial"/>
                <w:color w:val="595959" w:themeColor="text1" w:themeTint="A6"/>
              </w:rPr>
              <w:t>Step 3</w:t>
            </w:r>
          </w:p>
        </w:tc>
        <w:tc>
          <w:tcPr>
            <w:tcW w:w="1803" w:type="dxa"/>
          </w:tcPr>
          <w:p w14:paraId="220C95D6" w14:textId="77777777" w:rsidR="0054039C" w:rsidRPr="0054039C" w:rsidRDefault="0054039C" w:rsidP="0054039C">
            <w:pPr>
              <w:autoSpaceDE w:val="0"/>
              <w:autoSpaceDN w:val="0"/>
              <w:adjustRightInd w:val="0"/>
              <w:spacing w:line="480" w:lineRule="auto"/>
              <w:jc w:val="center"/>
              <w:rPr>
                <w:rFonts w:ascii="Arial" w:hAnsi="Arial" w:cs="Arial"/>
                <w:color w:val="595959" w:themeColor="text1" w:themeTint="A6"/>
              </w:rPr>
            </w:pPr>
            <w:r w:rsidRPr="0054039C">
              <w:rPr>
                <w:rFonts w:ascii="Arial" w:hAnsi="Arial" w:cs="Arial"/>
                <w:color w:val="595959" w:themeColor="text1" w:themeTint="A6"/>
              </w:rPr>
              <w:t>Step 4</w:t>
            </w:r>
          </w:p>
        </w:tc>
      </w:tr>
      <w:tr w:rsidR="0054039C" w:rsidRPr="0054039C" w14:paraId="50470CFB" w14:textId="77777777" w:rsidTr="0054039C">
        <w:tc>
          <w:tcPr>
            <w:tcW w:w="1806" w:type="dxa"/>
          </w:tcPr>
          <w:p w14:paraId="537B215B" w14:textId="77777777" w:rsidR="0054039C" w:rsidRPr="0054039C" w:rsidRDefault="0054039C" w:rsidP="0054039C">
            <w:pPr>
              <w:autoSpaceDE w:val="0"/>
              <w:autoSpaceDN w:val="0"/>
              <w:adjustRightInd w:val="0"/>
              <w:spacing w:line="480" w:lineRule="auto"/>
              <w:jc w:val="center"/>
              <w:rPr>
                <w:rFonts w:ascii="Arial" w:hAnsi="Arial" w:cs="Arial"/>
                <w:color w:val="595959" w:themeColor="text1" w:themeTint="A6"/>
              </w:rPr>
            </w:pPr>
            <w:r w:rsidRPr="0054039C">
              <w:rPr>
                <w:rFonts w:ascii="Arial" w:hAnsi="Arial" w:cs="Arial"/>
                <w:color w:val="595959" w:themeColor="text1" w:themeTint="A6"/>
              </w:rPr>
              <w:t>Time</w:t>
            </w:r>
          </w:p>
        </w:tc>
        <w:tc>
          <w:tcPr>
            <w:tcW w:w="1802" w:type="dxa"/>
          </w:tcPr>
          <w:p w14:paraId="35BB818B" w14:textId="77777777" w:rsidR="0054039C" w:rsidRPr="0054039C" w:rsidRDefault="0054039C" w:rsidP="0054039C">
            <w:pPr>
              <w:autoSpaceDE w:val="0"/>
              <w:autoSpaceDN w:val="0"/>
              <w:adjustRightInd w:val="0"/>
              <w:spacing w:line="480" w:lineRule="auto"/>
              <w:jc w:val="center"/>
              <w:rPr>
                <w:rFonts w:ascii="Arial" w:hAnsi="Arial" w:cs="Arial"/>
                <w:color w:val="595959" w:themeColor="text1" w:themeTint="A6"/>
              </w:rPr>
            </w:pPr>
            <w:r w:rsidRPr="0054039C">
              <w:rPr>
                <w:rFonts w:ascii="Arial" w:hAnsi="Arial" w:cs="Arial"/>
                <w:color w:val="595959" w:themeColor="text1" w:themeTint="A6"/>
              </w:rPr>
              <w:t>10 mins</w:t>
            </w:r>
          </w:p>
        </w:tc>
        <w:tc>
          <w:tcPr>
            <w:tcW w:w="1802" w:type="dxa"/>
          </w:tcPr>
          <w:p w14:paraId="75657108" w14:textId="77777777" w:rsidR="0054039C" w:rsidRPr="0054039C" w:rsidRDefault="0054039C" w:rsidP="0054039C">
            <w:pPr>
              <w:autoSpaceDE w:val="0"/>
              <w:autoSpaceDN w:val="0"/>
              <w:adjustRightInd w:val="0"/>
              <w:spacing w:line="480" w:lineRule="auto"/>
              <w:jc w:val="center"/>
              <w:rPr>
                <w:rFonts w:ascii="Arial" w:hAnsi="Arial" w:cs="Arial"/>
                <w:color w:val="595959" w:themeColor="text1" w:themeTint="A6"/>
              </w:rPr>
            </w:pPr>
            <w:r w:rsidRPr="0054039C">
              <w:rPr>
                <w:rFonts w:ascii="Arial" w:hAnsi="Arial" w:cs="Arial"/>
                <w:color w:val="595959" w:themeColor="text1" w:themeTint="A6"/>
              </w:rPr>
              <w:t>120 mins</w:t>
            </w:r>
          </w:p>
        </w:tc>
        <w:tc>
          <w:tcPr>
            <w:tcW w:w="1803" w:type="dxa"/>
          </w:tcPr>
          <w:p w14:paraId="4FAE414F" w14:textId="77777777" w:rsidR="0054039C" w:rsidRPr="0054039C" w:rsidRDefault="0054039C" w:rsidP="0054039C">
            <w:pPr>
              <w:autoSpaceDE w:val="0"/>
              <w:autoSpaceDN w:val="0"/>
              <w:adjustRightInd w:val="0"/>
              <w:spacing w:line="480" w:lineRule="auto"/>
              <w:jc w:val="center"/>
              <w:rPr>
                <w:rFonts w:ascii="Arial" w:hAnsi="Arial" w:cs="Arial"/>
                <w:color w:val="595959" w:themeColor="text1" w:themeTint="A6"/>
              </w:rPr>
            </w:pPr>
            <w:r w:rsidRPr="0054039C">
              <w:rPr>
                <w:rFonts w:ascii="Arial" w:hAnsi="Arial" w:cs="Arial"/>
                <w:color w:val="595959" w:themeColor="text1" w:themeTint="A6"/>
              </w:rPr>
              <w:t>5 mins</w:t>
            </w:r>
          </w:p>
        </w:tc>
        <w:tc>
          <w:tcPr>
            <w:tcW w:w="1803" w:type="dxa"/>
          </w:tcPr>
          <w:p w14:paraId="6B0C41D9" w14:textId="77777777" w:rsidR="0054039C" w:rsidRPr="0054039C" w:rsidRDefault="0054039C" w:rsidP="0054039C">
            <w:pPr>
              <w:autoSpaceDE w:val="0"/>
              <w:autoSpaceDN w:val="0"/>
              <w:adjustRightInd w:val="0"/>
              <w:spacing w:line="480" w:lineRule="auto"/>
              <w:jc w:val="center"/>
              <w:rPr>
                <w:rFonts w:ascii="Arial" w:hAnsi="Arial" w:cs="Arial"/>
                <w:color w:val="595959" w:themeColor="text1" w:themeTint="A6"/>
              </w:rPr>
            </w:pPr>
            <w:r w:rsidRPr="0054039C">
              <w:rPr>
                <w:rFonts w:ascii="Arial" w:hAnsi="Arial" w:cs="Arial"/>
                <w:color w:val="595959" w:themeColor="text1" w:themeTint="A6"/>
              </w:rPr>
              <w:t>∞</w:t>
            </w:r>
          </w:p>
        </w:tc>
      </w:tr>
      <w:tr w:rsidR="0054039C" w:rsidRPr="0054039C" w14:paraId="201F458A" w14:textId="77777777" w:rsidTr="0054039C">
        <w:tc>
          <w:tcPr>
            <w:tcW w:w="1806" w:type="dxa"/>
          </w:tcPr>
          <w:p w14:paraId="50C9C96E" w14:textId="77777777" w:rsidR="0054039C" w:rsidRPr="0054039C" w:rsidRDefault="0054039C" w:rsidP="0054039C">
            <w:pPr>
              <w:autoSpaceDE w:val="0"/>
              <w:autoSpaceDN w:val="0"/>
              <w:adjustRightInd w:val="0"/>
              <w:spacing w:line="480" w:lineRule="auto"/>
              <w:jc w:val="center"/>
              <w:rPr>
                <w:rFonts w:ascii="Arial" w:hAnsi="Arial" w:cs="Arial"/>
                <w:color w:val="595959" w:themeColor="text1" w:themeTint="A6"/>
              </w:rPr>
            </w:pPr>
            <w:r w:rsidRPr="0054039C">
              <w:rPr>
                <w:rFonts w:ascii="Arial" w:hAnsi="Arial" w:cs="Arial"/>
                <w:color w:val="595959" w:themeColor="text1" w:themeTint="A6"/>
              </w:rPr>
              <w:t>Temp (</w:t>
            </w:r>
            <w:r w:rsidRPr="0054039C">
              <w:rPr>
                <w:rFonts w:ascii="Arial" w:hAnsi="Arial" w:cs="Arial"/>
                <w:color w:val="595959" w:themeColor="text1" w:themeTint="A6"/>
                <w:vertAlign w:val="superscript"/>
              </w:rPr>
              <w:t>o</w:t>
            </w:r>
            <w:r w:rsidRPr="0054039C">
              <w:rPr>
                <w:rFonts w:ascii="Arial" w:hAnsi="Arial" w:cs="Arial"/>
                <w:color w:val="595959" w:themeColor="text1" w:themeTint="A6"/>
              </w:rPr>
              <w:t>C)</w:t>
            </w:r>
          </w:p>
        </w:tc>
        <w:tc>
          <w:tcPr>
            <w:tcW w:w="1802" w:type="dxa"/>
          </w:tcPr>
          <w:p w14:paraId="68416F67" w14:textId="77777777" w:rsidR="0054039C" w:rsidRPr="0054039C" w:rsidRDefault="0054039C" w:rsidP="0054039C">
            <w:pPr>
              <w:autoSpaceDE w:val="0"/>
              <w:autoSpaceDN w:val="0"/>
              <w:adjustRightInd w:val="0"/>
              <w:spacing w:line="480" w:lineRule="auto"/>
              <w:jc w:val="center"/>
              <w:rPr>
                <w:rFonts w:ascii="Arial" w:hAnsi="Arial" w:cs="Arial"/>
                <w:color w:val="595959" w:themeColor="text1" w:themeTint="A6"/>
              </w:rPr>
            </w:pPr>
            <w:r w:rsidRPr="0054039C">
              <w:rPr>
                <w:rFonts w:ascii="Arial" w:hAnsi="Arial" w:cs="Arial"/>
                <w:color w:val="595959" w:themeColor="text1" w:themeTint="A6"/>
              </w:rPr>
              <w:t>25</w:t>
            </w:r>
          </w:p>
        </w:tc>
        <w:tc>
          <w:tcPr>
            <w:tcW w:w="1802" w:type="dxa"/>
          </w:tcPr>
          <w:p w14:paraId="315BB895" w14:textId="77777777" w:rsidR="0054039C" w:rsidRPr="0054039C" w:rsidRDefault="0054039C" w:rsidP="0054039C">
            <w:pPr>
              <w:autoSpaceDE w:val="0"/>
              <w:autoSpaceDN w:val="0"/>
              <w:adjustRightInd w:val="0"/>
              <w:spacing w:line="480" w:lineRule="auto"/>
              <w:jc w:val="center"/>
              <w:rPr>
                <w:rFonts w:ascii="Arial" w:hAnsi="Arial" w:cs="Arial"/>
                <w:color w:val="595959" w:themeColor="text1" w:themeTint="A6"/>
              </w:rPr>
            </w:pPr>
            <w:r w:rsidRPr="0054039C">
              <w:rPr>
                <w:rFonts w:ascii="Arial" w:hAnsi="Arial" w:cs="Arial"/>
                <w:color w:val="595959" w:themeColor="text1" w:themeTint="A6"/>
              </w:rPr>
              <w:t>37</w:t>
            </w:r>
          </w:p>
        </w:tc>
        <w:tc>
          <w:tcPr>
            <w:tcW w:w="1803" w:type="dxa"/>
          </w:tcPr>
          <w:p w14:paraId="26C4F0C4" w14:textId="77777777" w:rsidR="0054039C" w:rsidRPr="0054039C" w:rsidRDefault="0054039C" w:rsidP="0054039C">
            <w:pPr>
              <w:autoSpaceDE w:val="0"/>
              <w:autoSpaceDN w:val="0"/>
              <w:adjustRightInd w:val="0"/>
              <w:spacing w:line="480" w:lineRule="auto"/>
              <w:jc w:val="center"/>
              <w:rPr>
                <w:rFonts w:ascii="Arial" w:hAnsi="Arial" w:cs="Arial"/>
                <w:color w:val="595959" w:themeColor="text1" w:themeTint="A6"/>
              </w:rPr>
            </w:pPr>
            <w:r w:rsidRPr="0054039C">
              <w:rPr>
                <w:rFonts w:ascii="Arial" w:hAnsi="Arial" w:cs="Arial"/>
                <w:color w:val="595959" w:themeColor="text1" w:themeTint="A6"/>
              </w:rPr>
              <w:t>85</w:t>
            </w:r>
          </w:p>
        </w:tc>
        <w:tc>
          <w:tcPr>
            <w:tcW w:w="1803" w:type="dxa"/>
          </w:tcPr>
          <w:p w14:paraId="6C55515D" w14:textId="77777777" w:rsidR="0054039C" w:rsidRPr="0054039C" w:rsidRDefault="0054039C" w:rsidP="0054039C">
            <w:pPr>
              <w:autoSpaceDE w:val="0"/>
              <w:autoSpaceDN w:val="0"/>
              <w:adjustRightInd w:val="0"/>
              <w:spacing w:line="480" w:lineRule="auto"/>
              <w:jc w:val="center"/>
              <w:rPr>
                <w:rFonts w:ascii="Arial" w:hAnsi="Arial" w:cs="Arial"/>
                <w:color w:val="595959" w:themeColor="text1" w:themeTint="A6"/>
              </w:rPr>
            </w:pPr>
            <w:r w:rsidRPr="0054039C">
              <w:rPr>
                <w:rFonts w:ascii="Arial" w:hAnsi="Arial" w:cs="Arial"/>
                <w:color w:val="595959" w:themeColor="text1" w:themeTint="A6"/>
              </w:rPr>
              <w:t>4</w:t>
            </w:r>
          </w:p>
        </w:tc>
      </w:tr>
    </w:tbl>
    <w:p w14:paraId="6ABB7035" w14:textId="77777777" w:rsidR="0054039C" w:rsidRPr="0054039C" w:rsidRDefault="0054039C" w:rsidP="0054039C">
      <w:pPr>
        <w:autoSpaceDE w:val="0"/>
        <w:autoSpaceDN w:val="0"/>
        <w:adjustRightInd w:val="0"/>
        <w:spacing w:after="0" w:line="480" w:lineRule="auto"/>
        <w:ind w:firstLine="720"/>
        <w:jc w:val="both"/>
        <w:rPr>
          <w:rFonts w:ascii="Arial" w:hAnsi="Arial" w:cs="Arial"/>
          <w:color w:val="595959" w:themeColor="text1" w:themeTint="A6"/>
          <w:lang w:val="en-US"/>
        </w:rPr>
      </w:pPr>
    </w:p>
    <w:p w14:paraId="33CCA07C" w14:textId="77777777" w:rsidR="0054039C" w:rsidRPr="0054039C" w:rsidRDefault="0054039C" w:rsidP="0054039C">
      <w:pPr>
        <w:autoSpaceDE w:val="0"/>
        <w:autoSpaceDN w:val="0"/>
        <w:adjustRightInd w:val="0"/>
        <w:spacing w:after="0" w:line="480" w:lineRule="auto"/>
        <w:ind w:firstLine="720"/>
        <w:jc w:val="both"/>
        <w:rPr>
          <w:rFonts w:ascii="Arial" w:hAnsi="Arial" w:cs="Arial"/>
          <w:color w:val="595959" w:themeColor="text1" w:themeTint="A6"/>
          <w:lang w:val="en-US"/>
        </w:rPr>
      </w:pPr>
    </w:p>
    <w:p w14:paraId="4C3578DB" w14:textId="77777777" w:rsidR="0054039C" w:rsidRPr="0054039C" w:rsidRDefault="0054039C" w:rsidP="0054039C">
      <w:pPr>
        <w:autoSpaceDE w:val="0"/>
        <w:autoSpaceDN w:val="0"/>
        <w:adjustRightInd w:val="0"/>
        <w:spacing w:after="0" w:line="480" w:lineRule="auto"/>
        <w:ind w:firstLine="720"/>
        <w:jc w:val="both"/>
        <w:rPr>
          <w:rFonts w:ascii="Arial" w:hAnsi="Arial" w:cs="Arial"/>
          <w:color w:val="595959" w:themeColor="text1" w:themeTint="A6"/>
          <w:lang w:val="en-US"/>
        </w:rPr>
      </w:pPr>
    </w:p>
    <w:p w14:paraId="3A6A5229" w14:textId="3C237618" w:rsidR="0054039C" w:rsidRDefault="0054039C" w:rsidP="0054039C">
      <w:pPr>
        <w:autoSpaceDE w:val="0"/>
        <w:autoSpaceDN w:val="0"/>
        <w:adjustRightInd w:val="0"/>
        <w:spacing w:after="0" w:line="480" w:lineRule="auto"/>
        <w:jc w:val="both"/>
        <w:rPr>
          <w:rFonts w:ascii="Arial" w:hAnsi="Arial" w:cs="Arial"/>
          <w:color w:val="595959" w:themeColor="text1" w:themeTint="A6"/>
          <w:lang w:val="en-US"/>
        </w:rPr>
      </w:pPr>
    </w:p>
    <w:p w14:paraId="37764971" w14:textId="77777777" w:rsidR="00220314" w:rsidRPr="0054039C" w:rsidRDefault="00220314" w:rsidP="0054039C">
      <w:pPr>
        <w:autoSpaceDE w:val="0"/>
        <w:autoSpaceDN w:val="0"/>
        <w:adjustRightInd w:val="0"/>
        <w:spacing w:after="0" w:line="480" w:lineRule="auto"/>
        <w:jc w:val="both"/>
        <w:rPr>
          <w:rFonts w:ascii="Arial" w:hAnsi="Arial" w:cs="Arial"/>
          <w:color w:val="595959" w:themeColor="text1" w:themeTint="A6"/>
          <w:lang w:val="en-US"/>
        </w:rPr>
      </w:pPr>
    </w:p>
    <w:p w14:paraId="1BDEB840" w14:textId="77777777" w:rsidR="0054039C" w:rsidRPr="0054039C" w:rsidRDefault="0054039C" w:rsidP="0054039C">
      <w:pPr>
        <w:autoSpaceDE w:val="0"/>
        <w:autoSpaceDN w:val="0"/>
        <w:adjustRightInd w:val="0"/>
        <w:spacing w:after="0" w:line="480" w:lineRule="auto"/>
        <w:jc w:val="both"/>
        <w:rPr>
          <w:rFonts w:ascii="Arial" w:hAnsi="Arial" w:cs="Arial"/>
          <w:color w:val="595959" w:themeColor="text1" w:themeTint="A6"/>
          <w:lang w:val="en-US"/>
        </w:rPr>
      </w:pPr>
    </w:p>
    <w:p w14:paraId="4A4F426C" w14:textId="77777777" w:rsidR="0054039C" w:rsidRPr="0054039C" w:rsidRDefault="0054039C" w:rsidP="007B0653">
      <w:pPr>
        <w:pStyle w:val="Heading5"/>
        <w:rPr>
          <w:rFonts w:ascii="Arial" w:hAnsi="Arial" w:cs="Arial"/>
          <w:iCs/>
          <w:color w:val="595959" w:themeColor="text1" w:themeTint="A6"/>
          <w:lang w:val="en-US"/>
        </w:rPr>
      </w:pPr>
      <w:bookmarkStart w:id="135" w:name="_Toc534278605"/>
      <w:bookmarkStart w:id="136" w:name="_Toc34208314"/>
      <w:r w:rsidRPr="0054039C">
        <w:rPr>
          <w:rFonts w:ascii="Arial" w:hAnsi="Arial" w:cs="Arial"/>
          <w:iCs/>
          <w:color w:val="595959" w:themeColor="text1" w:themeTint="A6"/>
          <w:lang w:val="en-US"/>
        </w:rPr>
        <w:lastRenderedPageBreak/>
        <w:t>2.2.7.1.2 RNA extraction on fibroblast-derived matrices</w:t>
      </w:r>
      <w:bookmarkEnd w:id="135"/>
      <w:bookmarkEnd w:id="136"/>
    </w:p>
    <w:p w14:paraId="5DB3F489" w14:textId="77777777" w:rsidR="0054039C" w:rsidRPr="0054039C" w:rsidRDefault="0054039C" w:rsidP="0054039C">
      <w:pPr>
        <w:rPr>
          <w:lang w:val="en-US"/>
        </w:rPr>
      </w:pPr>
    </w:p>
    <w:p w14:paraId="5BB91AA9" w14:textId="11E6E459" w:rsidR="0054039C" w:rsidRPr="0054039C" w:rsidRDefault="0054039C" w:rsidP="0054039C">
      <w:pPr>
        <w:autoSpaceDE w:val="0"/>
        <w:autoSpaceDN w:val="0"/>
        <w:adjustRightInd w:val="0"/>
        <w:spacing w:after="0" w:line="480" w:lineRule="auto"/>
        <w:jc w:val="both"/>
        <w:rPr>
          <w:rFonts w:ascii="Arial" w:hAnsi="Arial" w:cs="Arial"/>
          <w:color w:val="595959" w:themeColor="text1" w:themeTint="A6"/>
          <w:lang w:val="en-US"/>
        </w:rPr>
      </w:pPr>
      <w:r w:rsidRPr="0054039C">
        <w:rPr>
          <w:rFonts w:ascii="Arial" w:hAnsi="Arial" w:cs="Arial"/>
          <w:color w:val="595959" w:themeColor="text1" w:themeTint="A6"/>
          <w:lang w:val="en-US"/>
        </w:rPr>
        <w:t xml:space="preserve">All media was removed from </w:t>
      </w:r>
      <w:r w:rsidR="00A10C7B">
        <w:rPr>
          <w:rFonts w:ascii="Arial" w:hAnsi="Arial" w:cs="Arial"/>
          <w:color w:val="595959" w:themeColor="text1" w:themeTint="A6"/>
          <w:lang w:val="en-US"/>
        </w:rPr>
        <w:t xml:space="preserve">the </w:t>
      </w:r>
      <w:r w:rsidRPr="0054039C">
        <w:rPr>
          <w:rFonts w:ascii="Arial" w:hAnsi="Arial" w:cs="Arial"/>
          <w:color w:val="595959" w:themeColor="text1" w:themeTint="A6"/>
          <w:lang w:val="en-US"/>
        </w:rPr>
        <w:t>matrices.</w:t>
      </w:r>
      <w:bookmarkStart w:id="137" w:name="_Hlk535587870"/>
      <w:r w:rsidRPr="0054039C">
        <w:rPr>
          <w:rFonts w:ascii="Arial" w:hAnsi="Arial" w:cs="Arial"/>
          <w:color w:val="595959" w:themeColor="text1" w:themeTint="A6"/>
          <w:lang w:val="en-US"/>
        </w:rPr>
        <w:t xml:space="preserve"> Dipase (15 U</w:t>
      </w:r>
      <w:r w:rsidR="005757C7">
        <w:rPr>
          <w:rFonts w:ascii="Arial" w:hAnsi="Arial" w:cs="Arial"/>
          <w:color w:val="595959" w:themeColor="text1" w:themeTint="A6"/>
          <w:lang w:val="en-US"/>
        </w:rPr>
        <w:t>;</w:t>
      </w:r>
      <w:r w:rsidRPr="0054039C">
        <w:rPr>
          <w:rFonts w:ascii="Arial" w:hAnsi="Arial" w:cs="Arial"/>
          <w:color w:val="595959" w:themeColor="text1" w:themeTint="A6"/>
          <w:lang w:val="en-US"/>
        </w:rPr>
        <w:t xml:space="preserve">300 μL), was added to the matrix surface and was incubated at 37 </w:t>
      </w:r>
      <w:r w:rsidRPr="0054039C">
        <w:rPr>
          <w:rFonts w:ascii="Arial" w:hAnsi="Arial" w:cs="Arial"/>
          <w:color w:val="595959" w:themeColor="text1" w:themeTint="A6"/>
          <w:vertAlign w:val="superscript"/>
          <w:lang w:val="en-US"/>
        </w:rPr>
        <w:t>o</w:t>
      </w:r>
      <w:r w:rsidRPr="0054039C">
        <w:rPr>
          <w:rFonts w:ascii="Arial" w:hAnsi="Arial" w:cs="Arial"/>
          <w:color w:val="595959" w:themeColor="text1" w:themeTint="A6"/>
          <w:lang w:val="en-US"/>
        </w:rPr>
        <w:t xml:space="preserve">C for 2 h to ensure matrix dissolution. The matrix solution was gently pipetted up and down to disperse the cell solution. The mixture was then transferred to a new sterile centrifuge tube. The action of the dispase was then stopped by diluting with PBS. Cells were centrifuged at 8000 g for 3 minutes and washed with PBS. Tri-reagent (300 μL), was added to the cell pellet and again centrifuged at low speed (8000 g) for 3 minutes. The RNA supernatant was </w:t>
      </w:r>
      <w:r w:rsidR="007B0653" w:rsidRPr="0054039C">
        <w:rPr>
          <w:rFonts w:ascii="Arial" w:hAnsi="Arial" w:cs="Arial"/>
          <w:color w:val="595959" w:themeColor="text1" w:themeTint="A6"/>
          <w:lang w:val="en-US"/>
        </w:rPr>
        <w:t>removed,</w:t>
      </w:r>
      <w:r w:rsidRPr="0054039C">
        <w:rPr>
          <w:rFonts w:ascii="Arial" w:hAnsi="Arial" w:cs="Arial"/>
          <w:color w:val="595959" w:themeColor="text1" w:themeTint="A6"/>
          <w:lang w:val="en-US"/>
        </w:rPr>
        <w:t xml:space="preserve"> and the RNA purified using the RNeasy kit, according to the manufacturer’s instruction</w:t>
      </w:r>
      <w:bookmarkEnd w:id="137"/>
      <w:r w:rsidRPr="0054039C">
        <w:rPr>
          <w:rFonts w:ascii="Arial" w:hAnsi="Arial" w:cs="Arial"/>
          <w:color w:val="595959" w:themeColor="text1" w:themeTint="A6"/>
          <w:lang w:val="en-US"/>
        </w:rPr>
        <w:t xml:space="preserve">. </w:t>
      </w:r>
    </w:p>
    <w:p w14:paraId="6740BF00" w14:textId="77777777" w:rsidR="0054039C" w:rsidRPr="0054039C" w:rsidRDefault="0054039C" w:rsidP="0054039C">
      <w:pPr>
        <w:autoSpaceDE w:val="0"/>
        <w:autoSpaceDN w:val="0"/>
        <w:adjustRightInd w:val="0"/>
        <w:spacing w:after="0" w:line="480" w:lineRule="auto"/>
        <w:ind w:firstLine="720"/>
        <w:jc w:val="both"/>
        <w:rPr>
          <w:rFonts w:ascii="Arial" w:hAnsi="Arial" w:cs="Arial"/>
          <w:color w:val="595959" w:themeColor="text1" w:themeTint="A6"/>
          <w:lang w:val="en-US"/>
        </w:rPr>
      </w:pPr>
    </w:p>
    <w:p w14:paraId="39EC5BA3" w14:textId="205C95A2" w:rsidR="0054039C" w:rsidRPr="0054039C" w:rsidRDefault="007B0653" w:rsidP="007B0653">
      <w:pPr>
        <w:pStyle w:val="Heading4"/>
        <w:rPr>
          <w:rFonts w:ascii="Arial" w:hAnsi="Arial" w:cs="Arial"/>
          <w:bCs/>
          <w:iCs w:val="0"/>
          <w:color w:val="595959" w:themeColor="text1" w:themeTint="A6"/>
          <w:lang w:val="en-US"/>
        </w:rPr>
      </w:pPr>
      <w:bookmarkStart w:id="138" w:name="_Toc515897476"/>
      <w:bookmarkStart w:id="139" w:name="_Toc534278606"/>
      <w:bookmarkStart w:id="140" w:name="_Toc34208315"/>
      <w:r>
        <w:rPr>
          <w:rFonts w:ascii="Arial" w:hAnsi="Arial" w:cs="Arial"/>
          <w:bCs/>
          <w:color w:val="595959" w:themeColor="text1" w:themeTint="A6"/>
          <w:lang w:val="en-US"/>
        </w:rPr>
        <w:t>2.</w:t>
      </w:r>
      <w:r w:rsidR="00F92A05">
        <w:rPr>
          <w:rFonts w:ascii="Arial" w:hAnsi="Arial" w:cs="Arial"/>
          <w:bCs/>
          <w:color w:val="595959" w:themeColor="text1" w:themeTint="A6"/>
          <w:lang w:val="en-US"/>
        </w:rPr>
        <w:t xml:space="preserve">2.7.2 </w:t>
      </w:r>
      <w:r w:rsidR="0054039C" w:rsidRPr="0054039C">
        <w:rPr>
          <w:rFonts w:ascii="Arial" w:hAnsi="Arial" w:cs="Arial"/>
          <w:bCs/>
          <w:color w:val="595959" w:themeColor="text1" w:themeTint="A6"/>
          <w:lang w:val="en-US"/>
        </w:rPr>
        <w:t xml:space="preserve">Real time quantitative </w:t>
      </w:r>
      <w:bookmarkEnd w:id="138"/>
      <w:r w:rsidR="0054039C" w:rsidRPr="0054039C">
        <w:rPr>
          <w:rFonts w:ascii="Arial" w:hAnsi="Arial" w:cs="Arial"/>
          <w:bCs/>
          <w:color w:val="595959" w:themeColor="text1" w:themeTint="A6"/>
          <w:lang w:val="en-US"/>
        </w:rPr>
        <w:t>polymer</w:t>
      </w:r>
      <w:r w:rsidR="00C44B30">
        <w:rPr>
          <w:rFonts w:ascii="Arial" w:hAnsi="Arial" w:cs="Arial"/>
          <w:bCs/>
          <w:color w:val="595959" w:themeColor="text1" w:themeTint="A6"/>
          <w:lang w:val="en-US"/>
        </w:rPr>
        <w:t>a</w:t>
      </w:r>
      <w:r w:rsidR="0054039C" w:rsidRPr="0054039C">
        <w:rPr>
          <w:rFonts w:ascii="Arial" w:hAnsi="Arial" w:cs="Arial"/>
          <w:bCs/>
          <w:color w:val="595959" w:themeColor="text1" w:themeTint="A6"/>
          <w:lang w:val="en-US"/>
        </w:rPr>
        <w:t>se chain reaction protocol</w:t>
      </w:r>
      <w:bookmarkEnd w:id="139"/>
      <w:bookmarkEnd w:id="140"/>
    </w:p>
    <w:p w14:paraId="3B8440A0" w14:textId="77777777" w:rsidR="0054039C" w:rsidRPr="0054039C" w:rsidRDefault="0054039C" w:rsidP="0054039C">
      <w:pPr>
        <w:ind w:left="720"/>
        <w:contextualSpacing/>
        <w:rPr>
          <w:lang w:val="en-US"/>
        </w:rPr>
      </w:pPr>
    </w:p>
    <w:p w14:paraId="5BB00DBE" w14:textId="74EF30FF" w:rsidR="0054039C" w:rsidRPr="0054039C" w:rsidRDefault="0054039C" w:rsidP="0054039C">
      <w:pPr>
        <w:autoSpaceDE w:val="0"/>
        <w:autoSpaceDN w:val="0"/>
        <w:adjustRightInd w:val="0"/>
        <w:spacing w:after="0" w:line="480" w:lineRule="auto"/>
        <w:jc w:val="both"/>
        <w:rPr>
          <w:rFonts w:ascii="Arial" w:hAnsi="Arial" w:cs="Arial"/>
          <w:color w:val="595959" w:themeColor="text1" w:themeTint="A6"/>
          <w:lang w:val="en-US"/>
        </w:rPr>
      </w:pPr>
      <w:r w:rsidRPr="0054039C">
        <w:rPr>
          <w:rFonts w:ascii="Arial" w:hAnsi="Arial" w:cs="Arial"/>
          <w:color w:val="595959" w:themeColor="text1" w:themeTint="A6"/>
          <w:lang w:val="en-US"/>
        </w:rPr>
        <w:t xml:space="preserve">cDNA (100 ng) was used in real time quantitative </w:t>
      </w:r>
      <w:r w:rsidR="003E120C">
        <w:rPr>
          <w:rFonts w:ascii="Arial" w:hAnsi="Arial" w:cs="Arial"/>
          <w:color w:val="595959" w:themeColor="text1" w:themeTint="A6"/>
          <w:lang w:val="en-US"/>
        </w:rPr>
        <w:t>polymerase chain reaction</w:t>
      </w:r>
      <w:r w:rsidRPr="0054039C">
        <w:rPr>
          <w:rFonts w:ascii="Arial" w:hAnsi="Arial" w:cs="Arial"/>
          <w:color w:val="595959" w:themeColor="text1" w:themeTint="A6"/>
          <w:lang w:val="en-US"/>
        </w:rPr>
        <w:t xml:space="preserve"> </w:t>
      </w:r>
      <w:r w:rsidRPr="0054039C">
        <w:rPr>
          <w:rFonts w:ascii="Arial" w:hAnsi="Arial" w:cs="Arial"/>
          <w:bCs/>
          <w:iCs/>
          <w:color w:val="595959" w:themeColor="text1" w:themeTint="A6"/>
          <w:lang w:val="en-US"/>
        </w:rPr>
        <w:t>(RT-</w:t>
      </w:r>
      <w:r w:rsidR="003E120C">
        <w:rPr>
          <w:rFonts w:ascii="Arial" w:hAnsi="Arial" w:cs="Arial"/>
          <w:bCs/>
          <w:iCs/>
          <w:color w:val="595959" w:themeColor="text1" w:themeTint="A6"/>
          <w:lang w:val="en-US"/>
        </w:rPr>
        <w:t>q</w:t>
      </w:r>
      <w:r w:rsidRPr="0054039C">
        <w:rPr>
          <w:rFonts w:ascii="Arial" w:hAnsi="Arial" w:cs="Arial"/>
          <w:bCs/>
          <w:iCs/>
          <w:color w:val="595959" w:themeColor="text1" w:themeTint="A6"/>
          <w:lang w:val="en-US"/>
        </w:rPr>
        <w:t xml:space="preserve">PCR) </w:t>
      </w:r>
      <w:r w:rsidRPr="0054039C">
        <w:rPr>
          <w:rFonts w:ascii="Arial" w:hAnsi="Arial" w:cs="Arial"/>
          <w:color w:val="595959" w:themeColor="text1" w:themeTint="A6"/>
          <w:lang w:val="en-US"/>
        </w:rPr>
        <w:t xml:space="preserve">reactions using SYBR green as a reporter dye in either a 7900HT fast Real Time-PCR system </w:t>
      </w:r>
      <w:r w:rsidRPr="00A03706">
        <w:rPr>
          <w:rFonts w:ascii="Arial" w:hAnsi="Arial" w:cs="Arial"/>
          <w:color w:val="595959" w:themeColor="text1" w:themeTint="A6"/>
          <w:lang w:val="en-US"/>
        </w:rPr>
        <w:t>or a Rotor-gene Q 5plex</w:t>
      </w:r>
      <w:r w:rsidR="009F7FD0" w:rsidRPr="00A03706">
        <w:rPr>
          <w:rFonts w:ascii="Arial" w:hAnsi="Arial" w:cs="Arial"/>
          <w:color w:val="595959" w:themeColor="text1" w:themeTint="A6"/>
          <w:lang w:val="en-US"/>
        </w:rPr>
        <w:t xml:space="preserve">. </w:t>
      </w:r>
      <w:r w:rsidRPr="00A03706">
        <w:rPr>
          <w:rFonts w:ascii="Arial" w:hAnsi="Arial" w:cs="Arial"/>
          <w:color w:val="595959" w:themeColor="text1" w:themeTint="A6"/>
          <w:lang w:val="en-US"/>
        </w:rPr>
        <w:t xml:space="preserve">The </w:t>
      </w:r>
      <w:r w:rsidR="009F7FD0" w:rsidRPr="00A03706">
        <w:rPr>
          <w:rFonts w:ascii="Arial" w:hAnsi="Arial" w:cs="Arial"/>
          <w:color w:val="595959" w:themeColor="text1" w:themeTint="A6"/>
          <w:lang w:val="en-US"/>
        </w:rPr>
        <w:t>s</w:t>
      </w:r>
      <w:r w:rsidRPr="00A03706">
        <w:rPr>
          <w:rFonts w:ascii="Arial" w:hAnsi="Arial" w:cs="Arial"/>
          <w:color w:val="595959" w:themeColor="text1" w:themeTint="A6"/>
          <w:lang w:val="en-US"/>
        </w:rPr>
        <w:t xml:space="preserve">tandard thermal cycle protocol used can be found in table 2.6. Sequences of primers used for SYBR analysis are shown in the Table 7. </w:t>
      </w:r>
      <w:r w:rsidR="001201D3" w:rsidRPr="00A03706">
        <w:rPr>
          <w:rFonts w:ascii="Arial" w:hAnsi="Arial" w:cs="Arial"/>
          <w:color w:val="595959" w:themeColor="text1" w:themeTint="A6"/>
          <w:lang w:val="en-US"/>
        </w:rPr>
        <w:t xml:space="preserve">Primers were </w:t>
      </w:r>
      <w:r w:rsidR="008A1C73" w:rsidRPr="00A03706">
        <w:rPr>
          <w:rFonts w:ascii="Arial" w:hAnsi="Arial" w:cs="Arial"/>
          <w:color w:val="595959" w:themeColor="text1" w:themeTint="A6"/>
          <w:lang w:val="en-US"/>
        </w:rPr>
        <w:t xml:space="preserve">researched and </w:t>
      </w:r>
      <w:r w:rsidR="000D415A" w:rsidRPr="00A03706">
        <w:rPr>
          <w:rFonts w:ascii="Arial" w:hAnsi="Arial" w:cs="Arial"/>
          <w:color w:val="595959" w:themeColor="text1" w:themeTint="A6"/>
          <w:lang w:val="en-US"/>
        </w:rPr>
        <w:t>then verified</w:t>
      </w:r>
      <w:r w:rsidR="001201D3" w:rsidRPr="00A03706">
        <w:rPr>
          <w:rFonts w:ascii="Arial" w:hAnsi="Arial" w:cs="Arial"/>
          <w:color w:val="595959" w:themeColor="text1" w:themeTint="A6"/>
          <w:lang w:val="en-US"/>
        </w:rPr>
        <w:t xml:space="preserve"> using primer blast. </w:t>
      </w:r>
      <w:r w:rsidRPr="00A03706">
        <w:rPr>
          <w:rFonts w:ascii="Arial" w:hAnsi="Arial" w:cs="Arial"/>
          <w:color w:val="595959" w:themeColor="text1" w:themeTint="A6"/>
          <w:lang w:val="en-US"/>
        </w:rPr>
        <w:t xml:space="preserve">Gene expression was quantified using a delta delta CT method (2-ΔΔCT) as described by Livek and Schmittgen, 2001. The CT value </w:t>
      </w:r>
      <w:r w:rsidRPr="0054039C">
        <w:rPr>
          <w:rFonts w:ascii="Arial" w:hAnsi="Arial" w:cs="Arial"/>
          <w:color w:val="595959" w:themeColor="text1" w:themeTint="A6"/>
          <w:lang w:val="en-US"/>
        </w:rPr>
        <w:t xml:space="preserve">correlates to the thermal cycles at which the fluorescence reaches a detectable threshold. It corresponds to the amount of template at the start of the reaction.  </w:t>
      </w:r>
    </w:p>
    <w:p w14:paraId="0C0C2724" w14:textId="77777777" w:rsidR="0054039C" w:rsidRPr="0054039C" w:rsidRDefault="0054039C" w:rsidP="0054039C">
      <w:pPr>
        <w:autoSpaceDE w:val="0"/>
        <w:autoSpaceDN w:val="0"/>
        <w:adjustRightInd w:val="0"/>
        <w:spacing w:after="0" w:line="240" w:lineRule="auto"/>
        <w:jc w:val="both"/>
        <w:rPr>
          <w:rFonts w:asciiTheme="minorBidi" w:hAnsiTheme="minorBidi"/>
          <w:color w:val="595959" w:themeColor="text1" w:themeTint="A6"/>
          <w:lang w:val="en-US"/>
        </w:rPr>
      </w:pPr>
    </w:p>
    <w:p w14:paraId="49463FE2" w14:textId="77777777" w:rsidR="0054039C" w:rsidRPr="0054039C" w:rsidRDefault="0054039C" w:rsidP="0054039C">
      <w:pPr>
        <w:autoSpaceDE w:val="0"/>
        <w:autoSpaceDN w:val="0"/>
        <w:adjustRightInd w:val="0"/>
        <w:spacing w:after="0" w:line="240" w:lineRule="auto"/>
        <w:jc w:val="both"/>
        <w:rPr>
          <w:rFonts w:ascii="Arial Narrow" w:hAnsi="Arial Narrow"/>
          <w:color w:val="595959" w:themeColor="text1" w:themeTint="A6"/>
          <w:lang w:val="en-US"/>
        </w:rPr>
      </w:pPr>
      <w:r w:rsidRPr="0054039C">
        <w:rPr>
          <w:rFonts w:asciiTheme="minorBidi" w:hAnsiTheme="minorBidi"/>
          <w:color w:val="595959" w:themeColor="text1" w:themeTint="A6"/>
          <w:lang w:val="en-US"/>
        </w:rPr>
        <w:tab/>
      </w:r>
      <w:r w:rsidRPr="0054039C">
        <w:rPr>
          <w:rFonts w:asciiTheme="minorBidi" w:hAnsiTheme="minorBidi"/>
          <w:color w:val="595959" w:themeColor="text1" w:themeTint="A6"/>
          <w:lang w:val="en-US"/>
        </w:rPr>
        <w:tab/>
      </w:r>
      <w:r w:rsidRPr="0054039C">
        <w:rPr>
          <w:rFonts w:asciiTheme="minorBidi" w:hAnsiTheme="minorBidi"/>
          <w:color w:val="595959" w:themeColor="text1" w:themeTint="A6"/>
          <w:lang w:val="en-US"/>
        </w:rPr>
        <w:tab/>
      </w:r>
      <w:r w:rsidRPr="0054039C">
        <w:rPr>
          <w:rFonts w:asciiTheme="minorBidi" w:hAnsiTheme="minorBidi"/>
          <w:color w:val="595959" w:themeColor="text1" w:themeTint="A6"/>
          <w:lang w:val="en-US"/>
        </w:rPr>
        <w:tab/>
      </w:r>
      <w:r w:rsidRPr="0054039C">
        <w:rPr>
          <w:rFonts w:ascii="Arial Narrow" w:hAnsi="Arial Narrow"/>
          <w:color w:val="595959" w:themeColor="text1" w:themeTint="A6"/>
          <w:lang w:val="en-US"/>
        </w:rPr>
        <w:t>2-ΔΔCt =ΔCT (test) - ΔCT (calibrator)</w:t>
      </w:r>
    </w:p>
    <w:p w14:paraId="270D9699" w14:textId="77777777" w:rsidR="0054039C" w:rsidRPr="0054039C" w:rsidRDefault="0054039C" w:rsidP="0054039C">
      <w:pPr>
        <w:autoSpaceDE w:val="0"/>
        <w:autoSpaceDN w:val="0"/>
        <w:adjustRightInd w:val="0"/>
        <w:spacing w:after="0" w:line="240" w:lineRule="auto"/>
        <w:jc w:val="both"/>
        <w:rPr>
          <w:rFonts w:ascii="Arial Narrow" w:hAnsi="Arial Narrow"/>
          <w:color w:val="595959" w:themeColor="text1" w:themeTint="A6"/>
          <w:lang w:val="en-US"/>
        </w:rPr>
      </w:pPr>
    </w:p>
    <w:p w14:paraId="4F5728B9" w14:textId="77777777" w:rsidR="0054039C" w:rsidRPr="0054039C" w:rsidRDefault="0054039C" w:rsidP="0054039C">
      <w:pPr>
        <w:autoSpaceDE w:val="0"/>
        <w:autoSpaceDN w:val="0"/>
        <w:adjustRightInd w:val="0"/>
        <w:spacing w:after="0" w:line="240" w:lineRule="auto"/>
        <w:jc w:val="both"/>
        <w:rPr>
          <w:rFonts w:ascii="Arial Narrow" w:hAnsi="Arial Narrow"/>
          <w:color w:val="595959" w:themeColor="text1" w:themeTint="A6"/>
          <w:lang w:val="en-US"/>
        </w:rPr>
      </w:pPr>
      <w:r w:rsidRPr="0054039C">
        <w:rPr>
          <w:rFonts w:ascii="Arial Narrow" w:hAnsi="Arial Narrow"/>
          <w:color w:val="595959" w:themeColor="text1" w:themeTint="A6"/>
          <w:lang w:val="en-US"/>
        </w:rPr>
        <w:tab/>
      </w:r>
      <w:r w:rsidRPr="0054039C">
        <w:rPr>
          <w:rFonts w:ascii="Arial Narrow" w:hAnsi="Arial Narrow"/>
          <w:color w:val="595959" w:themeColor="text1" w:themeTint="A6"/>
          <w:lang w:val="en-US"/>
        </w:rPr>
        <w:tab/>
      </w:r>
      <w:r w:rsidRPr="0054039C">
        <w:rPr>
          <w:rFonts w:ascii="Arial Narrow" w:hAnsi="Arial Narrow"/>
          <w:color w:val="595959" w:themeColor="text1" w:themeTint="A6"/>
          <w:lang w:val="en-US"/>
        </w:rPr>
        <w:tab/>
      </w:r>
      <w:r w:rsidRPr="0054039C">
        <w:rPr>
          <w:rFonts w:ascii="Arial Narrow" w:hAnsi="Arial Narrow"/>
          <w:color w:val="595959" w:themeColor="text1" w:themeTint="A6"/>
          <w:lang w:val="en-US"/>
        </w:rPr>
        <w:tab/>
        <w:t>ΔCT= Ct (target) – Ct (Reference gene)</w:t>
      </w:r>
    </w:p>
    <w:p w14:paraId="5DC22370" w14:textId="77777777" w:rsidR="0054039C" w:rsidRPr="0054039C" w:rsidRDefault="0054039C" w:rsidP="0054039C">
      <w:pPr>
        <w:autoSpaceDE w:val="0"/>
        <w:autoSpaceDN w:val="0"/>
        <w:adjustRightInd w:val="0"/>
        <w:spacing w:after="0"/>
        <w:jc w:val="both"/>
        <w:rPr>
          <w:rFonts w:ascii="Arial" w:hAnsi="Arial" w:cs="Arial"/>
          <w:b/>
          <w:color w:val="595959" w:themeColor="text1" w:themeTint="A6"/>
          <w:sz w:val="24"/>
          <w:szCs w:val="24"/>
          <w:lang w:val="en-US"/>
        </w:rPr>
      </w:pPr>
    </w:p>
    <w:p w14:paraId="7BD65E8B" w14:textId="77777777" w:rsidR="0054039C" w:rsidRPr="0054039C" w:rsidRDefault="0054039C" w:rsidP="0054039C">
      <w:pPr>
        <w:autoSpaceDE w:val="0"/>
        <w:autoSpaceDN w:val="0"/>
        <w:adjustRightInd w:val="0"/>
        <w:spacing w:after="0"/>
        <w:jc w:val="both"/>
        <w:rPr>
          <w:rFonts w:ascii="Arial" w:hAnsi="Arial" w:cs="Arial"/>
          <w:b/>
          <w:color w:val="595959" w:themeColor="text1" w:themeTint="A6"/>
          <w:sz w:val="24"/>
          <w:szCs w:val="24"/>
          <w:lang w:val="en-US"/>
        </w:rPr>
      </w:pPr>
    </w:p>
    <w:p w14:paraId="69F5F90C" w14:textId="77777777" w:rsidR="0054039C" w:rsidRPr="0054039C" w:rsidRDefault="0054039C" w:rsidP="0054039C">
      <w:pPr>
        <w:autoSpaceDE w:val="0"/>
        <w:autoSpaceDN w:val="0"/>
        <w:adjustRightInd w:val="0"/>
        <w:spacing w:after="0"/>
        <w:jc w:val="both"/>
        <w:rPr>
          <w:rFonts w:ascii="Arial" w:hAnsi="Arial" w:cs="Arial"/>
          <w:b/>
          <w:color w:val="595959" w:themeColor="text1" w:themeTint="A6"/>
          <w:sz w:val="24"/>
          <w:szCs w:val="24"/>
          <w:lang w:val="en-US"/>
        </w:rPr>
      </w:pPr>
    </w:p>
    <w:p w14:paraId="1C60399F" w14:textId="77777777" w:rsidR="0054039C" w:rsidRPr="0054039C" w:rsidRDefault="0054039C" w:rsidP="0054039C">
      <w:pPr>
        <w:autoSpaceDE w:val="0"/>
        <w:autoSpaceDN w:val="0"/>
        <w:adjustRightInd w:val="0"/>
        <w:spacing w:after="0"/>
        <w:jc w:val="both"/>
        <w:rPr>
          <w:rFonts w:ascii="Arial" w:hAnsi="Arial" w:cs="Arial"/>
          <w:b/>
          <w:color w:val="595959" w:themeColor="text1" w:themeTint="A6"/>
          <w:sz w:val="24"/>
          <w:szCs w:val="24"/>
          <w:lang w:val="en-US"/>
        </w:rPr>
      </w:pPr>
    </w:p>
    <w:p w14:paraId="328F50B2" w14:textId="77777777" w:rsidR="0054039C" w:rsidRPr="0054039C" w:rsidRDefault="0054039C" w:rsidP="0054039C">
      <w:pPr>
        <w:autoSpaceDE w:val="0"/>
        <w:autoSpaceDN w:val="0"/>
        <w:adjustRightInd w:val="0"/>
        <w:spacing w:after="0"/>
        <w:jc w:val="both"/>
        <w:rPr>
          <w:rFonts w:ascii="Arial" w:hAnsi="Arial" w:cs="Arial"/>
          <w:b/>
          <w:color w:val="595959" w:themeColor="text1" w:themeTint="A6"/>
          <w:sz w:val="24"/>
          <w:szCs w:val="24"/>
          <w:lang w:val="en-US"/>
        </w:rPr>
      </w:pPr>
    </w:p>
    <w:p w14:paraId="3F177E87" w14:textId="77777777" w:rsidR="0054039C" w:rsidRPr="0054039C" w:rsidRDefault="0054039C" w:rsidP="0054039C">
      <w:pPr>
        <w:autoSpaceDE w:val="0"/>
        <w:autoSpaceDN w:val="0"/>
        <w:adjustRightInd w:val="0"/>
        <w:spacing w:after="0"/>
        <w:jc w:val="both"/>
        <w:rPr>
          <w:rFonts w:ascii="Arial" w:hAnsi="Arial" w:cs="Arial"/>
          <w:b/>
          <w:color w:val="595959" w:themeColor="text1" w:themeTint="A6"/>
          <w:sz w:val="24"/>
          <w:szCs w:val="24"/>
          <w:lang w:val="en-US"/>
        </w:rPr>
      </w:pPr>
    </w:p>
    <w:p w14:paraId="035DCDEC" w14:textId="77777777" w:rsidR="0054039C" w:rsidRPr="0054039C" w:rsidRDefault="0054039C" w:rsidP="0054039C">
      <w:pPr>
        <w:autoSpaceDE w:val="0"/>
        <w:autoSpaceDN w:val="0"/>
        <w:adjustRightInd w:val="0"/>
        <w:spacing w:after="0"/>
        <w:jc w:val="both"/>
        <w:rPr>
          <w:rFonts w:ascii="Arial" w:hAnsi="Arial" w:cs="Arial"/>
          <w:b/>
          <w:color w:val="595959" w:themeColor="text1" w:themeTint="A6"/>
          <w:sz w:val="24"/>
          <w:szCs w:val="24"/>
          <w:lang w:val="en-US"/>
        </w:rPr>
      </w:pPr>
    </w:p>
    <w:p w14:paraId="18A252F1" w14:textId="77777777" w:rsidR="00F16F9E" w:rsidRPr="0054039C" w:rsidRDefault="00F16F9E" w:rsidP="0054039C">
      <w:pPr>
        <w:autoSpaceDE w:val="0"/>
        <w:autoSpaceDN w:val="0"/>
        <w:adjustRightInd w:val="0"/>
        <w:spacing w:after="0"/>
        <w:jc w:val="both"/>
        <w:rPr>
          <w:rFonts w:ascii="Arial" w:hAnsi="Arial" w:cs="Arial"/>
          <w:b/>
          <w:color w:val="595959" w:themeColor="text1" w:themeTint="A6"/>
          <w:sz w:val="24"/>
          <w:szCs w:val="24"/>
          <w:lang w:val="en-US"/>
        </w:rPr>
      </w:pPr>
    </w:p>
    <w:p w14:paraId="7826B33B" w14:textId="77777777" w:rsidR="0054039C" w:rsidRPr="0054039C" w:rsidRDefault="0054039C" w:rsidP="0054039C">
      <w:pPr>
        <w:autoSpaceDE w:val="0"/>
        <w:autoSpaceDN w:val="0"/>
        <w:adjustRightInd w:val="0"/>
        <w:spacing w:after="0"/>
        <w:jc w:val="both"/>
        <w:rPr>
          <w:rFonts w:ascii="Arial" w:hAnsi="Arial" w:cs="Arial"/>
          <w:b/>
          <w:color w:val="595959" w:themeColor="text1" w:themeTint="A6"/>
          <w:sz w:val="24"/>
          <w:szCs w:val="24"/>
          <w:lang w:val="en-US"/>
        </w:rPr>
      </w:pPr>
    </w:p>
    <w:p w14:paraId="7FB6DEEF" w14:textId="77777777" w:rsidR="0054039C" w:rsidRPr="0054039C" w:rsidRDefault="0054039C" w:rsidP="0054039C">
      <w:pPr>
        <w:autoSpaceDE w:val="0"/>
        <w:autoSpaceDN w:val="0"/>
        <w:adjustRightInd w:val="0"/>
        <w:spacing w:after="0"/>
        <w:jc w:val="both"/>
        <w:rPr>
          <w:rFonts w:ascii="Arial" w:hAnsi="Arial" w:cs="Arial"/>
          <w:b/>
          <w:color w:val="595959" w:themeColor="text1" w:themeTint="A6"/>
          <w:sz w:val="24"/>
          <w:szCs w:val="24"/>
          <w:lang w:val="en-US"/>
        </w:rPr>
      </w:pPr>
    </w:p>
    <w:p w14:paraId="25936472" w14:textId="77777777" w:rsidR="0054039C" w:rsidRPr="0054039C" w:rsidRDefault="0054039C" w:rsidP="0054039C">
      <w:pPr>
        <w:autoSpaceDE w:val="0"/>
        <w:autoSpaceDN w:val="0"/>
        <w:adjustRightInd w:val="0"/>
        <w:spacing w:after="0"/>
        <w:jc w:val="both"/>
        <w:rPr>
          <w:rFonts w:ascii="Arial" w:hAnsi="Arial" w:cs="Arial"/>
          <w:b/>
          <w:color w:val="595959" w:themeColor="text1" w:themeTint="A6"/>
          <w:sz w:val="24"/>
          <w:szCs w:val="24"/>
          <w:lang w:val="en-US"/>
        </w:rPr>
      </w:pPr>
    </w:p>
    <w:p w14:paraId="76ED5EBB" w14:textId="77777777" w:rsidR="00F16F9E" w:rsidRDefault="00F16F9E" w:rsidP="0054039C">
      <w:pPr>
        <w:autoSpaceDE w:val="0"/>
        <w:autoSpaceDN w:val="0"/>
        <w:adjustRightInd w:val="0"/>
        <w:spacing w:after="0"/>
        <w:jc w:val="both"/>
        <w:rPr>
          <w:rFonts w:ascii="Arial" w:hAnsi="Arial" w:cs="Arial"/>
          <w:b/>
          <w:color w:val="595959" w:themeColor="text1" w:themeTint="A6"/>
          <w:lang w:val="en-US"/>
        </w:rPr>
      </w:pPr>
    </w:p>
    <w:p w14:paraId="2281395D" w14:textId="4CAF2A0F" w:rsidR="0054039C" w:rsidRPr="00F16F9E" w:rsidRDefault="0054039C" w:rsidP="0054039C">
      <w:pPr>
        <w:autoSpaceDE w:val="0"/>
        <w:autoSpaceDN w:val="0"/>
        <w:adjustRightInd w:val="0"/>
        <w:spacing w:after="0"/>
        <w:jc w:val="both"/>
        <w:rPr>
          <w:rFonts w:ascii="Arial" w:hAnsi="Arial" w:cs="Arial"/>
          <w:b/>
          <w:color w:val="595959" w:themeColor="text1" w:themeTint="A6"/>
          <w:lang w:val="en-US"/>
        </w:rPr>
      </w:pPr>
      <w:r w:rsidRPr="00F16F9E">
        <w:rPr>
          <w:rFonts w:ascii="Arial" w:hAnsi="Arial" w:cs="Arial"/>
          <w:b/>
          <w:color w:val="595959" w:themeColor="text1" w:themeTint="A6"/>
          <w:lang w:val="en-US"/>
        </w:rPr>
        <w:t>Table 2.6. Thermal cycle schedule</w:t>
      </w:r>
    </w:p>
    <w:p w14:paraId="0D7EF206" w14:textId="43C82396" w:rsidR="0054039C" w:rsidRDefault="0054039C" w:rsidP="0054039C">
      <w:pPr>
        <w:autoSpaceDE w:val="0"/>
        <w:autoSpaceDN w:val="0"/>
        <w:adjustRightInd w:val="0"/>
        <w:spacing w:after="0" w:line="240" w:lineRule="auto"/>
        <w:jc w:val="both"/>
        <w:rPr>
          <w:rFonts w:ascii="Arial" w:hAnsi="Arial" w:cs="Arial"/>
          <w:b/>
          <w:color w:val="595959" w:themeColor="text1" w:themeTint="A6"/>
          <w:sz w:val="24"/>
          <w:szCs w:val="24"/>
          <w:lang w:val="en-US"/>
        </w:rPr>
      </w:pPr>
    </w:p>
    <w:tbl>
      <w:tblPr>
        <w:tblStyle w:val="GridTable4-Accent31"/>
        <w:tblpPr w:leftFromText="180" w:rightFromText="180" w:vertAnchor="page" w:horzAnchor="margin" w:tblpY="2041"/>
        <w:tblW w:w="9067" w:type="dxa"/>
        <w:tblLook w:val="04A0" w:firstRow="1" w:lastRow="0" w:firstColumn="1" w:lastColumn="0" w:noHBand="0" w:noVBand="1"/>
      </w:tblPr>
      <w:tblGrid>
        <w:gridCol w:w="1802"/>
        <w:gridCol w:w="947"/>
        <w:gridCol w:w="1148"/>
        <w:gridCol w:w="3067"/>
        <w:gridCol w:w="2103"/>
      </w:tblGrid>
      <w:tr w:rsidR="00F16F9E" w:rsidRPr="0054039C" w14:paraId="4CA0935C" w14:textId="77777777" w:rsidTr="00F16F9E">
        <w:trPr>
          <w:cnfStyle w:val="100000000000" w:firstRow="1" w:lastRow="0" w:firstColumn="0" w:lastColumn="0" w:oddVBand="0" w:evenVBand="0" w:oddHBand="0" w:evenHBand="0" w:firstRowFirstColumn="0" w:firstRowLastColumn="0" w:lastRowFirstColumn="0" w:lastRowLastColumn="0"/>
          <w:trHeight w:val="647"/>
        </w:trPr>
        <w:tc>
          <w:tcPr>
            <w:cnfStyle w:val="001000000000" w:firstRow="0" w:lastRow="0" w:firstColumn="1" w:lastColumn="0" w:oddVBand="0" w:evenVBand="0" w:oddHBand="0" w:evenHBand="0" w:firstRowFirstColumn="0" w:firstRowLastColumn="0" w:lastRowFirstColumn="0" w:lastRowLastColumn="0"/>
            <w:tcW w:w="1802" w:type="dxa"/>
          </w:tcPr>
          <w:p w14:paraId="2E20D494" w14:textId="77777777" w:rsidR="00F16F9E" w:rsidRPr="0054039C" w:rsidRDefault="00F16F9E" w:rsidP="00F16F9E">
            <w:pPr>
              <w:autoSpaceDE w:val="0"/>
              <w:autoSpaceDN w:val="0"/>
              <w:adjustRightInd w:val="0"/>
              <w:spacing w:line="480" w:lineRule="auto"/>
              <w:jc w:val="center"/>
              <w:rPr>
                <w:rFonts w:ascii="Arial" w:hAnsi="Arial" w:cs="Arial"/>
                <w:color w:val="595959" w:themeColor="text1" w:themeTint="A6"/>
              </w:rPr>
            </w:pPr>
          </w:p>
        </w:tc>
        <w:tc>
          <w:tcPr>
            <w:tcW w:w="947" w:type="dxa"/>
          </w:tcPr>
          <w:p w14:paraId="3C880550" w14:textId="77777777" w:rsidR="00F16F9E" w:rsidRPr="0054039C" w:rsidRDefault="00F16F9E" w:rsidP="00F16F9E">
            <w:pPr>
              <w:autoSpaceDE w:val="0"/>
              <w:autoSpaceDN w:val="0"/>
              <w:adjustRightInd w:val="0"/>
              <w:spacing w:line="48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595959" w:themeColor="text1" w:themeTint="A6"/>
              </w:rPr>
            </w:pPr>
            <w:r w:rsidRPr="0054039C">
              <w:rPr>
                <w:rFonts w:ascii="Arial" w:hAnsi="Arial" w:cs="Arial"/>
                <w:color w:val="595959" w:themeColor="text1" w:themeTint="A6"/>
              </w:rPr>
              <w:t>Step 1</w:t>
            </w:r>
          </w:p>
        </w:tc>
        <w:tc>
          <w:tcPr>
            <w:tcW w:w="1148" w:type="dxa"/>
          </w:tcPr>
          <w:p w14:paraId="494095D8" w14:textId="77777777" w:rsidR="00F16F9E" w:rsidRPr="0054039C" w:rsidRDefault="00F16F9E" w:rsidP="00F16F9E">
            <w:pPr>
              <w:autoSpaceDE w:val="0"/>
              <w:autoSpaceDN w:val="0"/>
              <w:adjustRightInd w:val="0"/>
              <w:spacing w:line="48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595959" w:themeColor="text1" w:themeTint="A6"/>
              </w:rPr>
            </w:pPr>
            <w:r w:rsidRPr="0054039C">
              <w:rPr>
                <w:rFonts w:ascii="Arial" w:hAnsi="Arial" w:cs="Arial"/>
                <w:color w:val="595959" w:themeColor="text1" w:themeTint="A6"/>
              </w:rPr>
              <w:t>Step 2</w:t>
            </w:r>
          </w:p>
        </w:tc>
        <w:tc>
          <w:tcPr>
            <w:tcW w:w="3067" w:type="dxa"/>
          </w:tcPr>
          <w:p w14:paraId="4DC159C2" w14:textId="77777777" w:rsidR="00F16F9E" w:rsidRPr="0054039C" w:rsidRDefault="00F16F9E" w:rsidP="00F16F9E">
            <w:pPr>
              <w:autoSpaceDE w:val="0"/>
              <w:autoSpaceDN w:val="0"/>
              <w:adjustRightInd w:val="0"/>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595959" w:themeColor="text1" w:themeTint="A6"/>
              </w:rPr>
            </w:pPr>
            <w:r w:rsidRPr="0054039C">
              <w:rPr>
                <w:rFonts w:ascii="Arial" w:hAnsi="Arial" w:cs="Arial"/>
                <w:color w:val="595959" w:themeColor="text1" w:themeTint="A6"/>
              </w:rPr>
              <w:t>Step 3</w:t>
            </w:r>
          </w:p>
          <w:p w14:paraId="0D9D3C99" w14:textId="77777777" w:rsidR="00F16F9E" w:rsidRPr="0054039C" w:rsidRDefault="00F16F9E" w:rsidP="00F16F9E">
            <w:pPr>
              <w:autoSpaceDE w:val="0"/>
              <w:autoSpaceDN w:val="0"/>
              <w:adjustRightInd w:val="0"/>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595959" w:themeColor="text1" w:themeTint="A6"/>
              </w:rPr>
            </w:pPr>
            <w:r w:rsidRPr="0054039C">
              <w:rPr>
                <w:rFonts w:ascii="Arial" w:hAnsi="Arial" w:cs="Arial"/>
                <w:color w:val="595959" w:themeColor="text1" w:themeTint="A6"/>
              </w:rPr>
              <w:t>(Repeated for 40 cycles)</w:t>
            </w:r>
          </w:p>
        </w:tc>
        <w:tc>
          <w:tcPr>
            <w:tcW w:w="2103" w:type="dxa"/>
          </w:tcPr>
          <w:p w14:paraId="642A7A3E" w14:textId="77777777" w:rsidR="00F16F9E" w:rsidRPr="0054039C" w:rsidRDefault="00F16F9E" w:rsidP="00F16F9E">
            <w:pPr>
              <w:autoSpaceDE w:val="0"/>
              <w:autoSpaceDN w:val="0"/>
              <w:adjustRightInd w:val="0"/>
              <w:spacing w:line="48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595959" w:themeColor="text1" w:themeTint="A6"/>
              </w:rPr>
            </w:pPr>
            <w:r w:rsidRPr="0054039C">
              <w:rPr>
                <w:rFonts w:ascii="Arial" w:hAnsi="Arial" w:cs="Arial"/>
                <w:color w:val="595959" w:themeColor="text1" w:themeTint="A6"/>
              </w:rPr>
              <w:t>Step 4</w:t>
            </w:r>
          </w:p>
        </w:tc>
      </w:tr>
      <w:tr w:rsidR="00F16F9E" w:rsidRPr="0054039C" w14:paraId="3259A32E" w14:textId="77777777" w:rsidTr="00F16F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2" w:type="dxa"/>
          </w:tcPr>
          <w:p w14:paraId="47420D68" w14:textId="77777777" w:rsidR="00F16F9E" w:rsidRPr="0054039C" w:rsidRDefault="00F16F9E" w:rsidP="00F16F9E">
            <w:pPr>
              <w:autoSpaceDE w:val="0"/>
              <w:autoSpaceDN w:val="0"/>
              <w:adjustRightInd w:val="0"/>
              <w:spacing w:line="480" w:lineRule="auto"/>
              <w:jc w:val="center"/>
              <w:rPr>
                <w:rFonts w:ascii="Arial" w:hAnsi="Arial" w:cs="Arial"/>
                <w:color w:val="595959" w:themeColor="text1" w:themeTint="A6"/>
              </w:rPr>
            </w:pPr>
            <w:r w:rsidRPr="0054039C">
              <w:rPr>
                <w:rFonts w:ascii="Arial" w:hAnsi="Arial" w:cs="Arial"/>
                <w:color w:val="595959" w:themeColor="text1" w:themeTint="A6"/>
              </w:rPr>
              <w:t>Time</w:t>
            </w:r>
          </w:p>
        </w:tc>
        <w:tc>
          <w:tcPr>
            <w:tcW w:w="947" w:type="dxa"/>
          </w:tcPr>
          <w:p w14:paraId="4C093894" w14:textId="77777777" w:rsidR="00F16F9E" w:rsidRPr="0054039C" w:rsidRDefault="00F16F9E" w:rsidP="00F16F9E">
            <w:pPr>
              <w:autoSpaceDE w:val="0"/>
              <w:autoSpaceDN w:val="0"/>
              <w:adjustRightInd w:val="0"/>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595959" w:themeColor="text1" w:themeTint="A6"/>
              </w:rPr>
            </w:pPr>
            <w:r w:rsidRPr="0054039C">
              <w:rPr>
                <w:rFonts w:ascii="Arial" w:hAnsi="Arial" w:cs="Arial"/>
                <w:color w:val="595959" w:themeColor="text1" w:themeTint="A6"/>
              </w:rPr>
              <w:t>2 mins</w:t>
            </w:r>
          </w:p>
        </w:tc>
        <w:tc>
          <w:tcPr>
            <w:tcW w:w="1148" w:type="dxa"/>
          </w:tcPr>
          <w:p w14:paraId="18CC71E4" w14:textId="77777777" w:rsidR="00F16F9E" w:rsidRPr="0054039C" w:rsidRDefault="00F16F9E" w:rsidP="00F16F9E">
            <w:pPr>
              <w:autoSpaceDE w:val="0"/>
              <w:autoSpaceDN w:val="0"/>
              <w:adjustRightInd w:val="0"/>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595959" w:themeColor="text1" w:themeTint="A6"/>
              </w:rPr>
            </w:pPr>
            <w:r w:rsidRPr="0054039C">
              <w:rPr>
                <w:rFonts w:ascii="Arial" w:hAnsi="Arial" w:cs="Arial"/>
                <w:color w:val="595959" w:themeColor="text1" w:themeTint="A6"/>
              </w:rPr>
              <w:t>10 mins</w:t>
            </w:r>
          </w:p>
        </w:tc>
        <w:tc>
          <w:tcPr>
            <w:tcW w:w="3067" w:type="dxa"/>
          </w:tcPr>
          <w:p w14:paraId="7639EF6C" w14:textId="77777777" w:rsidR="00F16F9E" w:rsidRPr="0054039C" w:rsidRDefault="00F16F9E" w:rsidP="00F16F9E">
            <w:pPr>
              <w:autoSpaceDE w:val="0"/>
              <w:autoSpaceDN w:val="0"/>
              <w:adjustRightInd w:val="0"/>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595959" w:themeColor="text1" w:themeTint="A6"/>
              </w:rPr>
            </w:pPr>
            <w:r w:rsidRPr="0054039C">
              <w:rPr>
                <w:rFonts w:ascii="Arial" w:hAnsi="Arial" w:cs="Arial"/>
                <w:color w:val="595959" w:themeColor="text1" w:themeTint="A6"/>
              </w:rPr>
              <w:t>15 secs, 1 min</w:t>
            </w:r>
          </w:p>
        </w:tc>
        <w:tc>
          <w:tcPr>
            <w:tcW w:w="2103" w:type="dxa"/>
          </w:tcPr>
          <w:p w14:paraId="27A2F9E6" w14:textId="77777777" w:rsidR="00F16F9E" w:rsidRPr="0054039C" w:rsidRDefault="00F16F9E" w:rsidP="00F16F9E">
            <w:pPr>
              <w:autoSpaceDE w:val="0"/>
              <w:autoSpaceDN w:val="0"/>
              <w:adjustRightInd w:val="0"/>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595959" w:themeColor="text1" w:themeTint="A6"/>
              </w:rPr>
            </w:pPr>
            <w:r w:rsidRPr="0054039C">
              <w:rPr>
                <w:rFonts w:ascii="Arial" w:hAnsi="Arial" w:cs="Arial"/>
                <w:color w:val="595959" w:themeColor="text1" w:themeTint="A6"/>
              </w:rPr>
              <w:t>0.15 sec, 0.15 secs</w:t>
            </w:r>
          </w:p>
        </w:tc>
      </w:tr>
      <w:tr w:rsidR="00F16F9E" w:rsidRPr="0054039C" w14:paraId="1E29AF84" w14:textId="77777777" w:rsidTr="00F16F9E">
        <w:tc>
          <w:tcPr>
            <w:cnfStyle w:val="001000000000" w:firstRow="0" w:lastRow="0" w:firstColumn="1" w:lastColumn="0" w:oddVBand="0" w:evenVBand="0" w:oddHBand="0" w:evenHBand="0" w:firstRowFirstColumn="0" w:firstRowLastColumn="0" w:lastRowFirstColumn="0" w:lastRowLastColumn="0"/>
            <w:tcW w:w="1802" w:type="dxa"/>
          </w:tcPr>
          <w:p w14:paraId="33D5DF26" w14:textId="77777777" w:rsidR="00F16F9E" w:rsidRPr="0054039C" w:rsidRDefault="00F16F9E" w:rsidP="00F16F9E">
            <w:pPr>
              <w:autoSpaceDE w:val="0"/>
              <w:autoSpaceDN w:val="0"/>
              <w:adjustRightInd w:val="0"/>
              <w:spacing w:line="480" w:lineRule="auto"/>
              <w:jc w:val="center"/>
              <w:rPr>
                <w:rFonts w:ascii="Arial" w:hAnsi="Arial" w:cs="Arial"/>
                <w:color w:val="595959" w:themeColor="text1" w:themeTint="A6"/>
              </w:rPr>
            </w:pPr>
            <w:r w:rsidRPr="0054039C">
              <w:rPr>
                <w:rFonts w:ascii="Arial" w:hAnsi="Arial" w:cs="Arial"/>
                <w:color w:val="595959" w:themeColor="text1" w:themeTint="A6"/>
              </w:rPr>
              <w:t>Temp (</w:t>
            </w:r>
            <w:r w:rsidRPr="0054039C">
              <w:rPr>
                <w:rFonts w:ascii="Arial" w:hAnsi="Arial" w:cs="Arial"/>
                <w:color w:val="595959" w:themeColor="text1" w:themeTint="A6"/>
                <w:vertAlign w:val="superscript"/>
              </w:rPr>
              <w:t>o</w:t>
            </w:r>
            <w:r w:rsidRPr="0054039C">
              <w:rPr>
                <w:rFonts w:ascii="Arial" w:hAnsi="Arial" w:cs="Arial"/>
                <w:color w:val="595959" w:themeColor="text1" w:themeTint="A6"/>
              </w:rPr>
              <w:t>C)</w:t>
            </w:r>
          </w:p>
        </w:tc>
        <w:tc>
          <w:tcPr>
            <w:tcW w:w="947" w:type="dxa"/>
          </w:tcPr>
          <w:p w14:paraId="2EDE7A90" w14:textId="77777777" w:rsidR="00F16F9E" w:rsidRPr="0054039C" w:rsidRDefault="00F16F9E" w:rsidP="00F16F9E">
            <w:pPr>
              <w:autoSpaceDE w:val="0"/>
              <w:autoSpaceDN w:val="0"/>
              <w:adjustRightInd w:val="0"/>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595959" w:themeColor="text1" w:themeTint="A6"/>
              </w:rPr>
            </w:pPr>
            <w:r w:rsidRPr="0054039C">
              <w:rPr>
                <w:rFonts w:ascii="Arial" w:hAnsi="Arial" w:cs="Arial"/>
                <w:color w:val="595959" w:themeColor="text1" w:themeTint="A6"/>
              </w:rPr>
              <w:t>50</w:t>
            </w:r>
          </w:p>
        </w:tc>
        <w:tc>
          <w:tcPr>
            <w:tcW w:w="1148" w:type="dxa"/>
          </w:tcPr>
          <w:p w14:paraId="2810C446" w14:textId="77777777" w:rsidR="00F16F9E" w:rsidRPr="0054039C" w:rsidRDefault="00F16F9E" w:rsidP="00F16F9E">
            <w:pPr>
              <w:autoSpaceDE w:val="0"/>
              <w:autoSpaceDN w:val="0"/>
              <w:adjustRightInd w:val="0"/>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595959" w:themeColor="text1" w:themeTint="A6"/>
              </w:rPr>
            </w:pPr>
            <w:r w:rsidRPr="0054039C">
              <w:rPr>
                <w:rFonts w:ascii="Arial" w:hAnsi="Arial" w:cs="Arial"/>
                <w:color w:val="595959" w:themeColor="text1" w:themeTint="A6"/>
              </w:rPr>
              <w:t>95</w:t>
            </w:r>
          </w:p>
        </w:tc>
        <w:tc>
          <w:tcPr>
            <w:tcW w:w="3067" w:type="dxa"/>
          </w:tcPr>
          <w:p w14:paraId="264682BB" w14:textId="77777777" w:rsidR="00F16F9E" w:rsidRPr="0054039C" w:rsidRDefault="00F16F9E" w:rsidP="00F16F9E">
            <w:pPr>
              <w:autoSpaceDE w:val="0"/>
              <w:autoSpaceDN w:val="0"/>
              <w:adjustRightInd w:val="0"/>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595959" w:themeColor="text1" w:themeTint="A6"/>
              </w:rPr>
            </w:pPr>
            <w:r w:rsidRPr="0054039C">
              <w:rPr>
                <w:rFonts w:ascii="Arial" w:hAnsi="Arial" w:cs="Arial"/>
                <w:color w:val="595959" w:themeColor="text1" w:themeTint="A6"/>
              </w:rPr>
              <w:t>95, 60</w:t>
            </w:r>
          </w:p>
        </w:tc>
        <w:tc>
          <w:tcPr>
            <w:tcW w:w="2103" w:type="dxa"/>
          </w:tcPr>
          <w:p w14:paraId="7A11F67A" w14:textId="77777777" w:rsidR="00F16F9E" w:rsidRPr="0054039C" w:rsidRDefault="00F16F9E" w:rsidP="00F16F9E">
            <w:pPr>
              <w:autoSpaceDE w:val="0"/>
              <w:autoSpaceDN w:val="0"/>
              <w:adjustRightInd w:val="0"/>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595959" w:themeColor="text1" w:themeTint="A6"/>
              </w:rPr>
            </w:pPr>
            <w:r w:rsidRPr="0054039C">
              <w:rPr>
                <w:rFonts w:ascii="Arial" w:hAnsi="Arial" w:cs="Arial"/>
                <w:color w:val="595959" w:themeColor="text1" w:themeTint="A6"/>
              </w:rPr>
              <w:t>95, 60</w:t>
            </w:r>
          </w:p>
        </w:tc>
      </w:tr>
    </w:tbl>
    <w:p w14:paraId="700A0D5A" w14:textId="77777777" w:rsidR="00F16F9E" w:rsidRPr="0054039C" w:rsidRDefault="00F16F9E" w:rsidP="0054039C">
      <w:pPr>
        <w:autoSpaceDE w:val="0"/>
        <w:autoSpaceDN w:val="0"/>
        <w:adjustRightInd w:val="0"/>
        <w:spacing w:after="0" w:line="240" w:lineRule="auto"/>
        <w:jc w:val="both"/>
        <w:rPr>
          <w:rFonts w:ascii="Arial" w:hAnsi="Arial" w:cs="Arial"/>
          <w:b/>
          <w:color w:val="595959" w:themeColor="text1" w:themeTint="A6"/>
          <w:sz w:val="24"/>
          <w:szCs w:val="24"/>
          <w:lang w:val="en-US"/>
        </w:rPr>
      </w:pPr>
    </w:p>
    <w:p w14:paraId="5A1778B7" w14:textId="77777777" w:rsidR="0054039C" w:rsidRPr="0054039C" w:rsidRDefault="0054039C" w:rsidP="0054039C">
      <w:pPr>
        <w:autoSpaceDE w:val="0"/>
        <w:autoSpaceDN w:val="0"/>
        <w:adjustRightInd w:val="0"/>
        <w:spacing w:after="0" w:line="240" w:lineRule="auto"/>
        <w:jc w:val="both"/>
        <w:rPr>
          <w:rFonts w:ascii="Arial" w:hAnsi="Arial" w:cs="Arial"/>
          <w:b/>
          <w:color w:val="595959" w:themeColor="text1" w:themeTint="A6"/>
          <w:sz w:val="24"/>
          <w:szCs w:val="24"/>
          <w:lang w:val="en-US"/>
        </w:rPr>
      </w:pPr>
    </w:p>
    <w:p w14:paraId="517EE895" w14:textId="77777777" w:rsidR="0054039C" w:rsidRPr="0054039C" w:rsidRDefault="0054039C" w:rsidP="0054039C">
      <w:pPr>
        <w:autoSpaceDE w:val="0"/>
        <w:autoSpaceDN w:val="0"/>
        <w:adjustRightInd w:val="0"/>
        <w:spacing w:after="0" w:line="240" w:lineRule="auto"/>
        <w:jc w:val="both"/>
        <w:rPr>
          <w:rFonts w:ascii="Arial" w:hAnsi="Arial" w:cs="Arial"/>
          <w:b/>
          <w:color w:val="595959" w:themeColor="text1" w:themeTint="A6"/>
          <w:sz w:val="24"/>
          <w:szCs w:val="24"/>
          <w:lang w:val="en-US"/>
        </w:rPr>
      </w:pPr>
    </w:p>
    <w:p w14:paraId="0CAD8FBF" w14:textId="77777777" w:rsidR="0054039C" w:rsidRPr="00F16F9E" w:rsidRDefault="0054039C" w:rsidP="0054039C">
      <w:pPr>
        <w:autoSpaceDE w:val="0"/>
        <w:autoSpaceDN w:val="0"/>
        <w:adjustRightInd w:val="0"/>
        <w:spacing w:after="0" w:line="240" w:lineRule="auto"/>
        <w:jc w:val="both"/>
        <w:rPr>
          <w:rFonts w:ascii="Arial" w:hAnsi="Arial" w:cs="Arial"/>
          <w:b/>
          <w:color w:val="595959" w:themeColor="text1" w:themeTint="A6"/>
          <w:lang w:val="en-US"/>
        </w:rPr>
      </w:pPr>
      <w:r w:rsidRPr="00F16F9E">
        <w:rPr>
          <w:rFonts w:ascii="Arial" w:hAnsi="Arial" w:cs="Arial"/>
          <w:b/>
          <w:color w:val="595959" w:themeColor="text1" w:themeTint="A6"/>
          <w:lang w:val="en-US"/>
        </w:rPr>
        <w:t xml:space="preserve">Table 2.7. Primer sequences </w:t>
      </w:r>
    </w:p>
    <w:p w14:paraId="79705046" w14:textId="77777777" w:rsidR="0054039C" w:rsidRPr="0054039C" w:rsidRDefault="0054039C" w:rsidP="0054039C">
      <w:pPr>
        <w:autoSpaceDE w:val="0"/>
        <w:autoSpaceDN w:val="0"/>
        <w:adjustRightInd w:val="0"/>
        <w:spacing w:after="0" w:line="240" w:lineRule="auto"/>
        <w:jc w:val="both"/>
        <w:rPr>
          <w:rFonts w:ascii="Arial" w:hAnsi="Arial" w:cs="Arial"/>
          <w:color w:val="595959" w:themeColor="text1" w:themeTint="A6"/>
          <w:lang w:val="en-US"/>
        </w:rPr>
      </w:pPr>
    </w:p>
    <w:tbl>
      <w:tblPr>
        <w:tblStyle w:val="GridTable4-Accent31"/>
        <w:tblW w:w="9351" w:type="dxa"/>
        <w:tblLook w:val="04A0" w:firstRow="1" w:lastRow="0" w:firstColumn="1" w:lastColumn="0" w:noHBand="0" w:noVBand="1"/>
      </w:tblPr>
      <w:tblGrid>
        <w:gridCol w:w="1084"/>
        <w:gridCol w:w="4274"/>
        <w:gridCol w:w="4128"/>
      </w:tblGrid>
      <w:tr w:rsidR="0054039C" w:rsidRPr="0054039C" w14:paraId="5AD49D4E" w14:textId="77777777" w:rsidTr="0022031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84" w:type="dxa"/>
          </w:tcPr>
          <w:p w14:paraId="64C48EFB" w14:textId="77777777" w:rsidR="0054039C" w:rsidRPr="0054039C" w:rsidRDefault="0054039C" w:rsidP="0054039C">
            <w:pPr>
              <w:autoSpaceDE w:val="0"/>
              <w:autoSpaceDN w:val="0"/>
              <w:adjustRightInd w:val="0"/>
              <w:spacing w:line="480" w:lineRule="auto"/>
              <w:jc w:val="center"/>
              <w:rPr>
                <w:rFonts w:ascii="Arial" w:hAnsi="Arial" w:cs="Arial"/>
                <w:color w:val="595959" w:themeColor="text1" w:themeTint="A6"/>
              </w:rPr>
            </w:pPr>
            <w:r w:rsidRPr="0054039C">
              <w:rPr>
                <w:rFonts w:ascii="Arial" w:hAnsi="Arial" w:cs="Arial"/>
                <w:color w:val="595959" w:themeColor="text1" w:themeTint="A6"/>
              </w:rPr>
              <w:t>Gene</w:t>
            </w:r>
          </w:p>
        </w:tc>
        <w:tc>
          <w:tcPr>
            <w:tcW w:w="4274" w:type="dxa"/>
          </w:tcPr>
          <w:p w14:paraId="63AE0F45" w14:textId="77777777" w:rsidR="0054039C" w:rsidRPr="0054039C" w:rsidRDefault="0054039C" w:rsidP="0054039C">
            <w:pPr>
              <w:autoSpaceDE w:val="0"/>
              <w:autoSpaceDN w:val="0"/>
              <w:adjustRightInd w:val="0"/>
              <w:spacing w:line="48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595959" w:themeColor="text1" w:themeTint="A6"/>
              </w:rPr>
            </w:pPr>
            <w:r w:rsidRPr="0054039C">
              <w:rPr>
                <w:rFonts w:ascii="Arial" w:hAnsi="Arial" w:cs="Arial"/>
                <w:color w:val="595959" w:themeColor="text1" w:themeTint="A6"/>
              </w:rPr>
              <w:t>Forward primer</w:t>
            </w:r>
          </w:p>
        </w:tc>
        <w:tc>
          <w:tcPr>
            <w:tcW w:w="3993" w:type="dxa"/>
          </w:tcPr>
          <w:p w14:paraId="278CACF9" w14:textId="77777777" w:rsidR="0054039C" w:rsidRPr="0054039C" w:rsidRDefault="0054039C" w:rsidP="0054039C">
            <w:pPr>
              <w:autoSpaceDE w:val="0"/>
              <w:autoSpaceDN w:val="0"/>
              <w:adjustRightInd w:val="0"/>
              <w:spacing w:line="48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595959" w:themeColor="text1" w:themeTint="A6"/>
              </w:rPr>
            </w:pPr>
            <w:r w:rsidRPr="0054039C">
              <w:rPr>
                <w:rFonts w:ascii="Arial" w:hAnsi="Arial" w:cs="Arial"/>
                <w:color w:val="595959" w:themeColor="text1" w:themeTint="A6"/>
              </w:rPr>
              <w:t>Reverse primer</w:t>
            </w:r>
          </w:p>
        </w:tc>
      </w:tr>
      <w:tr w:rsidR="0054039C" w:rsidRPr="0054039C" w14:paraId="4AF3B278" w14:textId="77777777" w:rsidTr="002203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84" w:type="dxa"/>
          </w:tcPr>
          <w:p w14:paraId="29A392CD" w14:textId="77777777" w:rsidR="0054039C" w:rsidRPr="0054039C" w:rsidRDefault="0054039C" w:rsidP="0054039C">
            <w:pPr>
              <w:autoSpaceDE w:val="0"/>
              <w:autoSpaceDN w:val="0"/>
              <w:adjustRightInd w:val="0"/>
              <w:spacing w:line="480" w:lineRule="auto"/>
              <w:jc w:val="center"/>
              <w:rPr>
                <w:rFonts w:ascii="Arial" w:hAnsi="Arial" w:cs="Arial"/>
                <w:color w:val="595959" w:themeColor="text1" w:themeTint="A6"/>
              </w:rPr>
            </w:pPr>
            <w:bookmarkStart w:id="141" w:name="_Hlk535587779"/>
            <w:r w:rsidRPr="0054039C">
              <w:rPr>
                <w:rFonts w:ascii="Arial" w:hAnsi="Arial" w:cs="Arial"/>
                <w:color w:val="595959" w:themeColor="text1" w:themeTint="A6"/>
              </w:rPr>
              <w:t>U6</w:t>
            </w:r>
          </w:p>
        </w:tc>
        <w:tc>
          <w:tcPr>
            <w:tcW w:w="4274" w:type="dxa"/>
          </w:tcPr>
          <w:p w14:paraId="034397AC" w14:textId="77777777" w:rsidR="0054039C" w:rsidRPr="0054039C" w:rsidRDefault="0054039C" w:rsidP="0054039C">
            <w:pPr>
              <w:autoSpaceDE w:val="0"/>
              <w:autoSpaceDN w:val="0"/>
              <w:adjustRightInd w:val="0"/>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595959" w:themeColor="text1" w:themeTint="A6"/>
              </w:rPr>
            </w:pPr>
            <w:r w:rsidRPr="0054039C">
              <w:rPr>
                <w:rFonts w:ascii="Arial" w:hAnsi="Arial" w:cs="Arial"/>
                <w:color w:val="595959" w:themeColor="text1" w:themeTint="A6"/>
              </w:rPr>
              <w:t>5’ CTCGCTTCGGCAGCACA 3’</w:t>
            </w:r>
          </w:p>
        </w:tc>
        <w:tc>
          <w:tcPr>
            <w:tcW w:w="3993" w:type="dxa"/>
          </w:tcPr>
          <w:p w14:paraId="531E42C0" w14:textId="77777777" w:rsidR="0054039C" w:rsidRPr="0054039C" w:rsidRDefault="0054039C" w:rsidP="0054039C">
            <w:pPr>
              <w:autoSpaceDE w:val="0"/>
              <w:autoSpaceDN w:val="0"/>
              <w:adjustRightInd w:val="0"/>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595959" w:themeColor="text1" w:themeTint="A6"/>
              </w:rPr>
            </w:pPr>
            <w:r w:rsidRPr="0054039C">
              <w:rPr>
                <w:rFonts w:ascii="Arial" w:hAnsi="Arial" w:cs="Arial"/>
                <w:color w:val="595959" w:themeColor="text1" w:themeTint="A6"/>
              </w:rPr>
              <w:t>5’ AACGTTCACGAATTTGCGT 3’</w:t>
            </w:r>
          </w:p>
        </w:tc>
      </w:tr>
      <w:tr w:rsidR="0054039C" w:rsidRPr="0054039C" w14:paraId="077C07BD" w14:textId="77777777" w:rsidTr="00220314">
        <w:tc>
          <w:tcPr>
            <w:cnfStyle w:val="001000000000" w:firstRow="0" w:lastRow="0" w:firstColumn="1" w:lastColumn="0" w:oddVBand="0" w:evenVBand="0" w:oddHBand="0" w:evenHBand="0" w:firstRowFirstColumn="0" w:firstRowLastColumn="0" w:lastRowFirstColumn="0" w:lastRowLastColumn="0"/>
            <w:tcW w:w="1084" w:type="dxa"/>
          </w:tcPr>
          <w:p w14:paraId="02127399" w14:textId="77777777" w:rsidR="0054039C" w:rsidRPr="0054039C" w:rsidRDefault="0054039C" w:rsidP="0054039C">
            <w:pPr>
              <w:autoSpaceDE w:val="0"/>
              <w:autoSpaceDN w:val="0"/>
              <w:adjustRightInd w:val="0"/>
              <w:spacing w:line="480" w:lineRule="auto"/>
              <w:jc w:val="center"/>
              <w:rPr>
                <w:rFonts w:ascii="Arial" w:hAnsi="Arial" w:cs="Arial"/>
                <w:color w:val="595959" w:themeColor="text1" w:themeTint="A6"/>
              </w:rPr>
            </w:pPr>
            <w:r w:rsidRPr="0054039C">
              <w:rPr>
                <w:rFonts w:ascii="Arial" w:hAnsi="Arial" w:cs="Arial"/>
                <w:color w:val="595959" w:themeColor="text1" w:themeTint="A6"/>
              </w:rPr>
              <w:t>αSMA</w:t>
            </w:r>
          </w:p>
        </w:tc>
        <w:tc>
          <w:tcPr>
            <w:tcW w:w="4274" w:type="dxa"/>
          </w:tcPr>
          <w:p w14:paraId="18E96B6F" w14:textId="77777777" w:rsidR="0054039C" w:rsidRPr="0054039C" w:rsidRDefault="0054039C" w:rsidP="0054039C">
            <w:pPr>
              <w:autoSpaceDE w:val="0"/>
              <w:autoSpaceDN w:val="0"/>
              <w:adjustRightInd w:val="0"/>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595959" w:themeColor="text1" w:themeTint="A6"/>
              </w:rPr>
            </w:pPr>
            <w:r w:rsidRPr="0054039C">
              <w:rPr>
                <w:rFonts w:ascii="Arial" w:hAnsi="Arial" w:cs="Arial"/>
                <w:color w:val="595959" w:themeColor="text1" w:themeTint="A6"/>
              </w:rPr>
              <w:t>5’ GAAGAAGAGGACAGCACTG 3’</w:t>
            </w:r>
          </w:p>
        </w:tc>
        <w:tc>
          <w:tcPr>
            <w:tcW w:w="3993" w:type="dxa"/>
          </w:tcPr>
          <w:p w14:paraId="4DCB334E" w14:textId="77777777" w:rsidR="0054039C" w:rsidRPr="0054039C" w:rsidRDefault="0054039C" w:rsidP="0054039C">
            <w:pPr>
              <w:autoSpaceDE w:val="0"/>
              <w:autoSpaceDN w:val="0"/>
              <w:adjustRightInd w:val="0"/>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595959" w:themeColor="text1" w:themeTint="A6"/>
              </w:rPr>
            </w:pPr>
            <w:r w:rsidRPr="0054039C">
              <w:rPr>
                <w:rFonts w:ascii="Arial" w:hAnsi="Arial" w:cs="Arial"/>
                <w:color w:val="595959" w:themeColor="text1" w:themeTint="A6"/>
              </w:rPr>
              <w:t>5’TCCCATTCCCACCATCAA 3’</w:t>
            </w:r>
          </w:p>
        </w:tc>
      </w:tr>
      <w:tr w:rsidR="0054039C" w:rsidRPr="0054039C" w14:paraId="587D6EF1" w14:textId="77777777" w:rsidTr="002203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84" w:type="dxa"/>
          </w:tcPr>
          <w:p w14:paraId="3C418D51" w14:textId="77777777" w:rsidR="0054039C" w:rsidRPr="0054039C" w:rsidRDefault="0054039C" w:rsidP="0054039C">
            <w:pPr>
              <w:autoSpaceDE w:val="0"/>
              <w:autoSpaceDN w:val="0"/>
              <w:adjustRightInd w:val="0"/>
              <w:spacing w:line="480" w:lineRule="auto"/>
              <w:jc w:val="center"/>
              <w:rPr>
                <w:rFonts w:ascii="Arial" w:hAnsi="Arial" w:cs="Arial"/>
                <w:color w:val="595959" w:themeColor="text1" w:themeTint="A6"/>
              </w:rPr>
            </w:pPr>
            <w:r w:rsidRPr="0054039C">
              <w:rPr>
                <w:rFonts w:ascii="Arial" w:hAnsi="Arial" w:cs="Arial"/>
                <w:color w:val="595959" w:themeColor="text1" w:themeTint="A6"/>
              </w:rPr>
              <w:t>FN1-EDA</w:t>
            </w:r>
          </w:p>
        </w:tc>
        <w:tc>
          <w:tcPr>
            <w:tcW w:w="4274" w:type="dxa"/>
          </w:tcPr>
          <w:p w14:paraId="39D723FC" w14:textId="77777777" w:rsidR="0054039C" w:rsidRPr="0054039C" w:rsidRDefault="0054039C" w:rsidP="0054039C">
            <w:pPr>
              <w:autoSpaceDE w:val="0"/>
              <w:autoSpaceDN w:val="0"/>
              <w:adjustRightInd w:val="0"/>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595959" w:themeColor="text1" w:themeTint="A6"/>
              </w:rPr>
            </w:pPr>
            <w:r w:rsidRPr="0054039C">
              <w:rPr>
                <w:rFonts w:ascii="Arial" w:hAnsi="Arial" w:cs="Arial"/>
                <w:color w:val="595959" w:themeColor="text1" w:themeTint="A6"/>
              </w:rPr>
              <w:t>5’ TGGAACCCAGTCCACAGCTATT 3’</w:t>
            </w:r>
          </w:p>
        </w:tc>
        <w:tc>
          <w:tcPr>
            <w:tcW w:w="3993" w:type="dxa"/>
          </w:tcPr>
          <w:p w14:paraId="0D8C3FEF" w14:textId="77777777" w:rsidR="0054039C" w:rsidRPr="0054039C" w:rsidRDefault="0054039C" w:rsidP="0054039C">
            <w:pPr>
              <w:autoSpaceDE w:val="0"/>
              <w:autoSpaceDN w:val="0"/>
              <w:adjustRightInd w:val="0"/>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595959" w:themeColor="text1" w:themeTint="A6"/>
              </w:rPr>
            </w:pPr>
            <w:r w:rsidRPr="0054039C">
              <w:rPr>
                <w:rFonts w:ascii="Arial" w:hAnsi="Arial" w:cs="Arial"/>
                <w:color w:val="595959" w:themeColor="text1" w:themeTint="A6"/>
              </w:rPr>
              <w:t>5’ GTCTTCTCCTTGGGGGTCACC 3’</w:t>
            </w:r>
          </w:p>
        </w:tc>
      </w:tr>
      <w:tr w:rsidR="0054039C" w:rsidRPr="0054039C" w14:paraId="3F7B6F33" w14:textId="77777777" w:rsidTr="00220314">
        <w:tc>
          <w:tcPr>
            <w:cnfStyle w:val="001000000000" w:firstRow="0" w:lastRow="0" w:firstColumn="1" w:lastColumn="0" w:oddVBand="0" w:evenVBand="0" w:oddHBand="0" w:evenHBand="0" w:firstRowFirstColumn="0" w:firstRowLastColumn="0" w:lastRowFirstColumn="0" w:lastRowLastColumn="0"/>
            <w:tcW w:w="1084" w:type="dxa"/>
          </w:tcPr>
          <w:p w14:paraId="5F15F974" w14:textId="77777777" w:rsidR="0054039C" w:rsidRPr="0054039C" w:rsidRDefault="0054039C" w:rsidP="0054039C">
            <w:pPr>
              <w:autoSpaceDE w:val="0"/>
              <w:autoSpaceDN w:val="0"/>
              <w:adjustRightInd w:val="0"/>
              <w:spacing w:line="480" w:lineRule="auto"/>
              <w:jc w:val="center"/>
              <w:rPr>
                <w:rFonts w:ascii="Arial" w:hAnsi="Arial" w:cs="Arial"/>
                <w:color w:val="595959" w:themeColor="text1" w:themeTint="A6"/>
              </w:rPr>
            </w:pPr>
            <w:r w:rsidRPr="0054039C">
              <w:rPr>
                <w:rFonts w:ascii="Arial" w:hAnsi="Arial" w:cs="Arial"/>
                <w:color w:val="595959" w:themeColor="text1" w:themeTint="A6"/>
              </w:rPr>
              <w:t xml:space="preserve">COL1A1 </w:t>
            </w:r>
          </w:p>
        </w:tc>
        <w:tc>
          <w:tcPr>
            <w:tcW w:w="4274" w:type="dxa"/>
          </w:tcPr>
          <w:p w14:paraId="690FB22D" w14:textId="77777777" w:rsidR="0054039C" w:rsidRPr="0054039C" w:rsidRDefault="0054039C" w:rsidP="0054039C">
            <w:pPr>
              <w:autoSpaceDE w:val="0"/>
              <w:autoSpaceDN w:val="0"/>
              <w:adjustRightInd w:val="0"/>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595959" w:themeColor="text1" w:themeTint="A6"/>
              </w:rPr>
            </w:pPr>
            <w:r w:rsidRPr="0054039C">
              <w:rPr>
                <w:rFonts w:ascii="Arial" w:hAnsi="Arial" w:cs="Arial"/>
                <w:color w:val="595959" w:themeColor="text1" w:themeTint="A6"/>
              </w:rPr>
              <w:t xml:space="preserve">5’GTGGCCATCCAGCTGACC 3’ </w:t>
            </w:r>
          </w:p>
        </w:tc>
        <w:tc>
          <w:tcPr>
            <w:tcW w:w="3993" w:type="dxa"/>
          </w:tcPr>
          <w:p w14:paraId="1A335CCA" w14:textId="77777777" w:rsidR="0054039C" w:rsidRPr="0054039C" w:rsidRDefault="0054039C" w:rsidP="0054039C">
            <w:pPr>
              <w:autoSpaceDE w:val="0"/>
              <w:autoSpaceDN w:val="0"/>
              <w:adjustRightInd w:val="0"/>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595959" w:themeColor="text1" w:themeTint="A6"/>
              </w:rPr>
            </w:pPr>
            <w:r w:rsidRPr="0054039C">
              <w:rPr>
                <w:rFonts w:ascii="Arial" w:hAnsi="Arial" w:cs="Arial"/>
                <w:color w:val="595959" w:themeColor="text1" w:themeTint="A6"/>
              </w:rPr>
              <w:t>5’AGTGGTAGGTGATGTTCTGGGAG3’</w:t>
            </w:r>
          </w:p>
        </w:tc>
      </w:tr>
      <w:tr w:rsidR="0054039C" w:rsidRPr="0054039C" w14:paraId="1F985FA9" w14:textId="77777777" w:rsidTr="002203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84" w:type="dxa"/>
          </w:tcPr>
          <w:p w14:paraId="7D65CBBE" w14:textId="77777777" w:rsidR="0054039C" w:rsidRPr="0054039C" w:rsidRDefault="0054039C" w:rsidP="0054039C">
            <w:pPr>
              <w:autoSpaceDE w:val="0"/>
              <w:autoSpaceDN w:val="0"/>
              <w:adjustRightInd w:val="0"/>
              <w:spacing w:line="480" w:lineRule="auto"/>
              <w:jc w:val="center"/>
              <w:rPr>
                <w:rFonts w:ascii="Arial" w:hAnsi="Arial" w:cs="Arial"/>
                <w:color w:val="595959" w:themeColor="text1" w:themeTint="A6"/>
              </w:rPr>
            </w:pPr>
            <w:r w:rsidRPr="0054039C">
              <w:rPr>
                <w:rFonts w:ascii="Arial" w:hAnsi="Arial" w:cs="Arial"/>
                <w:color w:val="595959" w:themeColor="text1" w:themeTint="A6"/>
              </w:rPr>
              <w:t>VCAN</w:t>
            </w:r>
          </w:p>
        </w:tc>
        <w:tc>
          <w:tcPr>
            <w:tcW w:w="4274" w:type="dxa"/>
          </w:tcPr>
          <w:p w14:paraId="45463E85" w14:textId="77777777" w:rsidR="0054039C" w:rsidRPr="0054039C" w:rsidRDefault="0054039C" w:rsidP="0054039C">
            <w:pPr>
              <w:autoSpaceDE w:val="0"/>
              <w:autoSpaceDN w:val="0"/>
              <w:adjustRightInd w:val="0"/>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595959" w:themeColor="text1" w:themeTint="A6"/>
              </w:rPr>
            </w:pPr>
            <w:r w:rsidRPr="0054039C">
              <w:rPr>
                <w:rFonts w:ascii="Arial" w:hAnsi="Arial" w:cs="Arial"/>
                <w:color w:val="595959" w:themeColor="text1" w:themeTint="A6"/>
              </w:rPr>
              <w:t>5͛CTGATAGCAGATTTGATGCCTACTGC 3͛</w:t>
            </w:r>
          </w:p>
        </w:tc>
        <w:tc>
          <w:tcPr>
            <w:tcW w:w="3993" w:type="dxa"/>
          </w:tcPr>
          <w:p w14:paraId="32D94FF4" w14:textId="77777777" w:rsidR="0054039C" w:rsidRPr="0054039C" w:rsidRDefault="0054039C" w:rsidP="0054039C">
            <w:pPr>
              <w:autoSpaceDE w:val="0"/>
              <w:autoSpaceDN w:val="0"/>
              <w:adjustRightInd w:val="0"/>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595959" w:themeColor="text1" w:themeTint="A6"/>
              </w:rPr>
            </w:pPr>
            <w:r w:rsidRPr="0054039C">
              <w:rPr>
                <w:rFonts w:ascii="Arial" w:hAnsi="Arial" w:cs="Arial"/>
                <w:color w:val="595959" w:themeColor="text1" w:themeTint="A6"/>
              </w:rPr>
              <w:t>5͛ GTGGTTCTTTGGATAAACTGGGTGA</w:t>
            </w:r>
          </w:p>
          <w:p w14:paraId="55DD2319" w14:textId="77777777" w:rsidR="0054039C" w:rsidRPr="0054039C" w:rsidRDefault="0054039C" w:rsidP="0054039C">
            <w:pPr>
              <w:autoSpaceDE w:val="0"/>
              <w:autoSpaceDN w:val="0"/>
              <w:adjustRightInd w:val="0"/>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595959" w:themeColor="text1" w:themeTint="A6"/>
              </w:rPr>
            </w:pPr>
            <w:r w:rsidRPr="0054039C">
              <w:rPr>
                <w:rFonts w:ascii="Arial" w:hAnsi="Arial" w:cs="Arial"/>
                <w:color w:val="595959" w:themeColor="text1" w:themeTint="A6"/>
              </w:rPr>
              <w:t>TG 3͛</w:t>
            </w:r>
          </w:p>
        </w:tc>
      </w:tr>
      <w:bookmarkEnd w:id="141"/>
      <w:tr w:rsidR="0054039C" w:rsidRPr="0054039C" w14:paraId="37462DDC" w14:textId="77777777" w:rsidTr="00220314">
        <w:tc>
          <w:tcPr>
            <w:cnfStyle w:val="001000000000" w:firstRow="0" w:lastRow="0" w:firstColumn="1" w:lastColumn="0" w:oddVBand="0" w:evenVBand="0" w:oddHBand="0" w:evenHBand="0" w:firstRowFirstColumn="0" w:firstRowLastColumn="0" w:lastRowFirstColumn="0" w:lastRowLastColumn="0"/>
            <w:tcW w:w="1084" w:type="dxa"/>
          </w:tcPr>
          <w:p w14:paraId="339A8740" w14:textId="77777777" w:rsidR="0054039C" w:rsidRPr="0054039C" w:rsidRDefault="0054039C" w:rsidP="0054039C">
            <w:pPr>
              <w:autoSpaceDE w:val="0"/>
              <w:autoSpaceDN w:val="0"/>
              <w:adjustRightInd w:val="0"/>
              <w:spacing w:line="480" w:lineRule="auto"/>
              <w:jc w:val="center"/>
              <w:rPr>
                <w:rFonts w:ascii="Arial" w:hAnsi="Arial" w:cs="Arial"/>
                <w:color w:val="595959" w:themeColor="text1" w:themeTint="A6"/>
              </w:rPr>
            </w:pPr>
            <w:r w:rsidRPr="0054039C">
              <w:rPr>
                <w:rFonts w:ascii="Arial" w:hAnsi="Arial" w:cs="Arial"/>
                <w:color w:val="595959" w:themeColor="text1" w:themeTint="A6"/>
              </w:rPr>
              <w:t>TNC</w:t>
            </w:r>
          </w:p>
        </w:tc>
        <w:tc>
          <w:tcPr>
            <w:tcW w:w="4274" w:type="dxa"/>
          </w:tcPr>
          <w:p w14:paraId="4A436636" w14:textId="77777777" w:rsidR="0054039C" w:rsidRPr="0054039C" w:rsidRDefault="0054039C" w:rsidP="0054039C">
            <w:pPr>
              <w:autoSpaceDE w:val="0"/>
              <w:autoSpaceDN w:val="0"/>
              <w:adjustRightInd w:val="0"/>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595959" w:themeColor="text1" w:themeTint="A6"/>
              </w:rPr>
            </w:pPr>
            <w:r w:rsidRPr="0054039C">
              <w:rPr>
                <w:rFonts w:ascii="Arial" w:hAnsi="Arial" w:cs="Arial"/>
                <w:color w:val="595959" w:themeColor="text1" w:themeTint="A6"/>
              </w:rPr>
              <w:t>5’ ACCATGCTGAGATAGATGTTCCAAA 3’</w:t>
            </w:r>
          </w:p>
        </w:tc>
        <w:tc>
          <w:tcPr>
            <w:tcW w:w="3993" w:type="dxa"/>
          </w:tcPr>
          <w:p w14:paraId="16B4F5CB" w14:textId="77777777" w:rsidR="0054039C" w:rsidRPr="0054039C" w:rsidRDefault="0054039C" w:rsidP="0054039C">
            <w:pPr>
              <w:autoSpaceDE w:val="0"/>
              <w:autoSpaceDN w:val="0"/>
              <w:adjustRightInd w:val="0"/>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595959" w:themeColor="text1" w:themeTint="A6"/>
              </w:rPr>
            </w:pPr>
            <w:r w:rsidRPr="0054039C">
              <w:rPr>
                <w:rFonts w:ascii="Arial" w:hAnsi="Arial" w:cs="Arial"/>
                <w:color w:val="595959" w:themeColor="text1" w:themeTint="A6"/>
              </w:rPr>
              <w:t>5’ CTTGACAGCAGAAACACCAATCC 3’</w:t>
            </w:r>
          </w:p>
        </w:tc>
      </w:tr>
    </w:tbl>
    <w:p w14:paraId="1A5A24D8" w14:textId="77777777" w:rsidR="0054039C" w:rsidRPr="0054039C" w:rsidRDefault="0054039C" w:rsidP="0054039C">
      <w:pPr>
        <w:autoSpaceDE w:val="0"/>
        <w:autoSpaceDN w:val="0"/>
        <w:adjustRightInd w:val="0"/>
        <w:spacing w:after="0" w:line="480" w:lineRule="auto"/>
        <w:jc w:val="both"/>
        <w:rPr>
          <w:rFonts w:ascii="Arial" w:hAnsi="Arial" w:cs="Arial"/>
          <w:color w:val="595959" w:themeColor="text1" w:themeTint="A6"/>
          <w:u w:val="single"/>
          <w:lang w:val="en-US"/>
        </w:rPr>
      </w:pPr>
    </w:p>
    <w:p w14:paraId="0F4436BB" w14:textId="77777777" w:rsidR="0054039C" w:rsidRPr="0054039C" w:rsidRDefault="0054039C" w:rsidP="00F92A05">
      <w:pPr>
        <w:pStyle w:val="Heading3"/>
        <w:rPr>
          <w:rFonts w:ascii="Arial" w:hAnsi="Arial" w:cs="Arial"/>
          <w:color w:val="595959" w:themeColor="text1" w:themeTint="A6"/>
          <w:lang w:val="en-US"/>
        </w:rPr>
      </w:pPr>
      <w:bookmarkStart w:id="142" w:name="_Toc515897477"/>
      <w:bookmarkStart w:id="143" w:name="_Toc534278607"/>
      <w:bookmarkStart w:id="144" w:name="_Toc34208316"/>
      <w:r w:rsidRPr="0054039C">
        <w:rPr>
          <w:rFonts w:ascii="Arial" w:hAnsi="Arial" w:cs="Arial"/>
          <w:color w:val="595959" w:themeColor="text1" w:themeTint="A6"/>
          <w:lang w:val="en-US"/>
        </w:rPr>
        <w:t xml:space="preserve">2.2.8 </w:t>
      </w:r>
      <w:bookmarkEnd w:id="142"/>
      <w:r w:rsidRPr="0054039C">
        <w:rPr>
          <w:rFonts w:ascii="Arial" w:hAnsi="Arial" w:cs="Arial"/>
          <w:color w:val="595959" w:themeColor="text1" w:themeTint="A6"/>
          <w:lang w:val="en-US"/>
        </w:rPr>
        <w:t>Histology</w:t>
      </w:r>
      <w:bookmarkEnd w:id="143"/>
      <w:bookmarkEnd w:id="144"/>
      <w:r w:rsidRPr="0054039C">
        <w:rPr>
          <w:rFonts w:ascii="Arial" w:hAnsi="Arial" w:cs="Arial"/>
          <w:color w:val="595959" w:themeColor="text1" w:themeTint="A6"/>
          <w:lang w:val="en-US"/>
        </w:rPr>
        <w:t xml:space="preserve"> </w:t>
      </w:r>
    </w:p>
    <w:p w14:paraId="46F4699E" w14:textId="77777777" w:rsidR="0054039C" w:rsidRPr="0054039C" w:rsidRDefault="0054039C" w:rsidP="0054039C">
      <w:pPr>
        <w:autoSpaceDE w:val="0"/>
        <w:autoSpaceDN w:val="0"/>
        <w:adjustRightInd w:val="0"/>
        <w:spacing w:after="0" w:line="360" w:lineRule="auto"/>
        <w:jc w:val="both"/>
        <w:rPr>
          <w:rFonts w:ascii="Arial" w:hAnsi="Arial" w:cs="Arial"/>
          <w:color w:val="595959" w:themeColor="text1" w:themeTint="A6"/>
          <w:lang w:val="en-US"/>
        </w:rPr>
      </w:pPr>
    </w:p>
    <w:p w14:paraId="2984A964" w14:textId="77777777" w:rsidR="0054039C" w:rsidRPr="0054039C" w:rsidRDefault="0054039C" w:rsidP="00F92A05">
      <w:pPr>
        <w:pStyle w:val="Heading4"/>
        <w:rPr>
          <w:rFonts w:ascii="Arial" w:hAnsi="Arial" w:cs="Arial"/>
          <w:color w:val="595959" w:themeColor="text1" w:themeTint="A6"/>
          <w:szCs w:val="24"/>
          <w:lang w:val="en-US"/>
        </w:rPr>
      </w:pPr>
      <w:bookmarkStart w:id="145" w:name="_Toc515897478"/>
      <w:bookmarkStart w:id="146" w:name="_Toc534278608"/>
      <w:bookmarkStart w:id="147" w:name="_Toc34208317"/>
      <w:r w:rsidRPr="0054039C">
        <w:rPr>
          <w:rFonts w:ascii="Arial" w:hAnsi="Arial" w:cs="Arial"/>
          <w:color w:val="595959" w:themeColor="text1" w:themeTint="A6"/>
          <w:szCs w:val="24"/>
          <w:lang w:val="en-US"/>
        </w:rPr>
        <w:t>2.2.8.1 Fixing 3D tissue engineered models</w:t>
      </w:r>
      <w:bookmarkEnd w:id="145"/>
      <w:bookmarkEnd w:id="146"/>
      <w:bookmarkEnd w:id="147"/>
    </w:p>
    <w:p w14:paraId="616336BF" w14:textId="77777777" w:rsidR="0054039C" w:rsidRPr="0054039C" w:rsidRDefault="0054039C" w:rsidP="0054039C">
      <w:pPr>
        <w:rPr>
          <w:lang w:val="en-US"/>
        </w:rPr>
      </w:pPr>
    </w:p>
    <w:p w14:paraId="363819ED" w14:textId="7A8714B7" w:rsidR="0054039C" w:rsidRPr="0054039C" w:rsidRDefault="0054039C" w:rsidP="0054039C">
      <w:pPr>
        <w:autoSpaceDE w:val="0"/>
        <w:autoSpaceDN w:val="0"/>
        <w:adjustRightInd w:val="0"/>
        <w:spacing w:after="0" w:line="480" w:lineRule="auto"/>
        <w:jc w:val="both"/>
        <w:rPr>
          <w:rFonts w:ascii="Arial" w:hAnsi="Arial" w:cs="Arial"/>
          <w:color w:val="595959" w:themeColor="text1" w:themeTint="A6"/>
          <w:lang w:val="en-US"/>
        </w:rPr>
      </w:pPr>
      <w:bookmarkStart w:id="148" w:name="_Hlk535580652"/>
      <w:r w:rsidRPr="0054039C">
        <w:rPr>
          <w:rFonts w:ascii="Arial" w:hAnsi="Arial" w:cs="Arial"/>
          <w:color w:val="595959" w:themeColor="text1" w:themeTint="A6"/>
          <w:lang w:val="en-US"/>
        </w:rPr>
        <w:t>Fibroblast-derived matrices were washed in PBS and the whole tissue culture insert containing the fibroblast-derived matrices</w:t>
      </w:r>
      <w:r w:rsidR="001A2FDF">
        <w:rPr>
          <w:rFonts w:ascii="Arial" w:hAnsi="Arial" w:cs="Arial"/>
          <w:color w:val="595959" w:themeColor="text1" w:themeTint="A6"/>
          <w:lang w:val="en-US"/>
        </w:rPr>
        <w:t xml:space="preserve"> or</w:t>
      </w:r>
      <w:r w:rsidRPr="0054039C">
        <w:rPr>
          <w:rFonts w:ascii="Arial" w:hAnsi="Arial" w:cs="Arial"/>
          <w:color w:val="595959" w:themeColor="text1" w:themeTint="A6"/>
          <w:lang w:val="en-US"/>
        </w:rPr>
        <w:t xml:space="preserve"> the full thickness oral mucosa equivalent models were </w:t>
      </w:r>
      <w:r w:rsidRPr="0054039C">
        <w:rPr>
          <w:rFonts w:ascii="Arial" w:hAnsi="Arial" w:cs="Arial"/>
          <w:color w:val="595959" w:themeColor="text1" w:themeTint="A6"/>
          <w:lang w:val="en-US"/>
        </w:rPr>
        <w:lastRenderedPageBreak/>
        <w:t>p</w:t>
      </w:r>
      <w:r w:rsidR="001A2FDF">
        <w:rPr>
          <w:rFonts w:ascii="Arial" w:hAnsi="Arial" w:cs="Arial"/>
          <w:color w:val="595959" w:themeColor="text1" w:themeTint="A6"/>
          <w:lang w:val="en-US"/>
        </w:rPr>
        <w:t xml:space="preserve">laced </w:t>
      </w:r>
      <w:r w:rsidRPr="0054039C">
        <w:rPr>
          <w:rFonts w:ascii="Arial" w:hAnsi="Arial" w:cs="Arial"/>
          <w:color w:val="595959" w:themeColor="text1" w:themeTint="A6"/>
          <w:lang w:val="en-US"/>
        </w:rPr>
        <w:t xml:space="preserve">directly into </w:t>
      </w:r>
      <w:r w:rsidRPr="0054039C">
        <w:rPr>
          <w:rFonts w:ascii="Arial" w:hAnsi="Arial" w:cs="Arial"/>
          <w:color w:val="595959" w:themeColor="text1" w:themeTint="A6"/>
        </w:rPr>
        <w:t xml:space="preserve">10% </w:t>
      </w:r>
      <w:r w:rsidR="00653504">
        <w:rPr>
          <w:rFonts w:ascii="Arial" w:hAnsi="Arial" w:cs="Arial"/>
          <w:color w:val="595959" w:themeColor="text1" w:themeTint="A6"/>
        </w:rPr>
        <w:t>neutral-</w:t>
      </w:r>
      <w:r w:rsidRPr="0054039C">
        <w:rPr>
          <w:rFonts w:ascii="Arial" w:hAnsi="Arial" w:cs="Arial"/>
          <w:color w:val="595959" w:themeColor="text1" w:themeTint="A6"/>
        </w:rPr>
        <w:t xml:space="preserve"> buffered</w:t>
      </w:r>
      <w:r w:rsidR="00653504">
        <w:rPr>
          <w:rFonts w:ascii="Arial" w:hAnsi="Arial" w:cs="Arial"/>
          <w:color w:val="595959" w:themeColor="text1" w:themeTint="A6"/>
        </w:rPr>
        <w:t xml:space="preserve"> formalin </w:t>
      </w:r>
      <w:r w:rsidRPr="0054039C">
        <w:rPr>
          <w:rFonts w:ascii="Arial" w:hAnsi="Arial" w:cs="Arial"/>
          <w:color w:val="595959" w:themeColor="text1" w:themeTint="A6"/>
        </w:rPr>
        <w:t>for 24 h</w:t>
      </w:r>
      <w:r w:rsidRPr="0054039C">
        <w:rPr>
          <w:rFonts w:ascii="Arial" w:hAnsi="Arial" w:cs="Arial"/>
          <w:color w:val="595959" w:themeColor="text1" w:themeTint="A6"/>
          <w:lang w:val="en-US"/>
        </w:rPr>
        <w:t>. Samples were kept at room temperature before histological processing.</w:t>
      </w:r>
      <w:bookmarkEnd w:id="148"/>
    </w:p>
    <w:p w14:paraId="21475917" w14:textId="77777777" w:rsidR="0054039C" w:rsidRPr="0054039C" w:rsidRDefault="0054039C" w:rsidP="00F92A05">
      <w:pPr>
        <w:pStyle w:val="Heading4"/>
        <w:rPr>
          <w:rFonts w:ascii="Arial" w:hAnsi="Arial" w:cs="Arial"/>
          <w:color w:val="595959" w:themeColor="text1" w:themeTint="A6"/>
          <w:szCs w:val="24"/>
          <w:lang w:val="en-US"/>
        </w:rPr>
      </w:pPr>
      <w:bookmarkStart w:id="149" w:name="_Toc515897479"/>
      <w:bookmarkStart w:id="150" w:name="_Toc534278609"/>
      <w:bookmarkStart w:id="151" w:name="_Toc34208318"/>
      <w:r w:rsidRPr="0054039C">
        <w:rPr>
          <w:rFonts w:ascii="Arial" w:hAnsi="Arial" w:cs="Arial"/>
          <w:color w:val="595959" w:themeColor="text1" w:themeTint="A6"/>
          <w:szCs w:val="24"/>
          <w:lang w:val="en-US"/>
        </w:rPr>
        <w:t>2.2.8.2 Histological analysis of matrices</w:t>
      </w:r>
      <w:bookmarkEnd w:id="149"/>
      <w:bookmarkEnd w:id="150"/>
      <w:bookmarkEnd w:id="151"/>
      <w:r w:rsidRPr="0054039C">
        <w:rPr>
          <w:rFonts w:ascii="Arial" w:hAnsi="Arial" w:cs="Arial"/>
          <w:color w:val="595959" w:themeColor="text1" w:themeTint="A6"/>
          <w:szCs w:val="24"/>
          <w:lang w:val="en-US"/>
        </w:rPr>
        <w:t xml:space="preserve"> </w:t>
      </w:r>
    </w:p>
    <w:p w14:paraId="49317F7A" w14:textId="77777777" w:rsidR="0054039C" w:rsidRPr="0054039C" w:rsidRDefault="0054039C" w:rsidP="0054039C">
      <w:pPr>
        <w:rPr>
          <w:lang w:val="en-US"/>
        </w:rPr>
      </w:pPr>
    </w:p>
    <w:p w14:paraId="0AF44709" w14:textId="77777777" w:rsidR="0054039C" w:rsidRPr="0054039C" w:rsidRDefault="0054039C" w:rsidP="0054039C">
      <w:pPr>
        <w:spacing w:line="480" w:lineRule="auto"/>
        <w:jc w:val="both"/>
        <w:rPr>
          <w:rFonts w:ascii="Arial" w:hAnsi="Arial" w:cs="Arial"/>
          <w:color w:val="595959" w:themeColor="text1" w:themeTint="A6"/>
          <w:lang w:val="en-US"/>
        </w:rPr>
      </w:pPr>
      <w:r w:rsidRPr="0054039C">
        <w:rPr>
          <w:rFonts w:ascii="Arial" w:hAnsi="Arial" w:cs="Arial"/>
          <w:color w:val="595959" w:themeColor="text1" w:themeTint="A6"/>
          <w:lang w:val="en-US"/>
        </w:rPr>
        <w:t>PTFE membranes were cut from the tissue-culture inset using a surgical blade and placed in a histology cassette lined with sponges to keep the sample in place. S</w:t>
      </w:r>
      <w:bookmarkStart w:id="152" w:name="_Hlk535580698"/>
      <w:r w:rsidRPr="0054039C">
        <w:rPr>
          <w:rFonts w:ascii="Arial" w:hAnsi="Arial" w:cs="Arial"/>
          <w:color w:val="595959" w:themeColor="text1" w:themeTint="A6"/>
          <w:lang w:val="en-US"/>
        </w:rPr>
        <w:t xml:space="preserve">amples were processed overnight using an automatic benchtop processor using the standard processing schedule </w:t>
      </w:r>
      <w:bookmarkEnd w:id="152"/>
      <w:r w:rsidRPr="0054039C">
        <w:rPr>
          <w:rFonts w:ascii="Arial" w:hAnsi="Arial" w:cs="Arial"/>
          <w:color w:val="595959" w:themeColor="text1" w:themeTint="A6"/>
          <w:lang w:val="en-US"/>
        </w:rPr>
        <w:t xml:space="preserve">(Table 2.8). </w:t>
      </w:r>
    </w:p>
    <w:p w14:paraId="5855E455" w14:textId="77777777" w:rsidR="0054039C" w:rsidRPr="00BF3922" w:rsidRDefault="0054039C" w:rsidP="0054039C">
      <w:pPr>
        <w:spacing w:line="480" w:lineRule="auto"/>
        <w:jc w:val="both"/>
        <w:rPr>
          <w:rFonts w:ascii="Arial" w:hAnsi="Arial" w:cs="Arial"/>
          <w:color w:val="595959" w:themeColor="text1" w:themeTint="A6"/>
          <w:sz w:val="20"/>
          <w:szCs w:val="20"/>
          <w:lang w:val="en-US"/>
        </w:rPr>
      </w:pPr>
      <w:r w:rsidRPr="00BF3922">
        <w:rPr>
          <w:rFonts w:ascii="Arial" w:hAnsi="Arial" w:cs="Arial"/>
          <w:b/>
          <w:color w:val="595959" w:themeColor="text1" w:themeTint="A6"/>
          <w:szCs w:val="20"/>
          <w:lang w:val="en-US"/>
        </w:rPr>
        <w:t xml:space="preserve">Table 2.8 Automatic tissue processing schedule </w:t>
      </w:r>
    </w:p>
    <w:tbl>
      <w:tblPr>
        <w:tblStyle w:val="TableGridLight"/>
        <w:tblW w:w="9254" w:type="dxa"/>
        <w:tblLook w:val="04A0" w:firstRow="1" w:lastRow="0" w:firstColumn="1" w:lastColumn="0" w:noHBand="0" w:noVBand="1"/>
      </w:tblPr>
      <w:tblGrid>
        <w:gridCol w:w="4627"/>
        <w:gridCol w:w="4627"/>
      </w:tblGrid>
      <w:tr w:rsidR="0054039C" w:rsidRPr="0054039C" w14:paraId="10E94C79" w14:textId="77777777" w:rsidTr="0054039C">
        <w:trPr>
          <w:trHeight w:val="261"/>
        </w:trPr>
        <w:tc>
          <w:tcPr>
            <w:tcW w:w="4627" w:type="dxa"/>
          </w:tcPr>
          <w:p w14:paraId="72257654" w14:textId="77777777" w:rsidR="0054039C" w:rsidRPr="0054039C" w:rsidRDefault="0054039C" w:rsidP="0054039C">
            <w:pPr>
              <w:spacing w:line="480" w:lineRule="auto"/>
              <w:jc w:val="center"/>
              <w:rPr>
                <w:rFonts w:ascii="Arial" w:hAnsi="Arial" w:cs="Arial"/>
                <w:color w:val="525252" w:themeColor="accent3" w:themeShade="80"/>
              </w:rPr>
            </w:pPr>
            <w:r w:rsidRPr="0054039C">
              <w:rPr>
                <w:rFonts w:ascii="Arial" w:hAnsi="Arial" w:cs="Arial"/>
                <w:color w:val="525252" w:themeColor="accent3" w:themeShade="80"/>
              </w:rPr>
              <w:t>Solution</w:t>
            </w:r>
          </w:p>
        </w:tc>
        <w:tc>
          <w:tcPr>
            <w:tcW w:w="4627" w:type="dxa"/>
          </w:tcPr>
          <w:p w14:paraId="22397279" w14:textId="77777777" w:rsidR="0054039C" w:rsidRPr="0054039C" w:rsidRDefault="0054039C" w:rsidP="0054039C">
            <w:pPr>
              <w:spacing w:line="480" w:lineRule="auto"/>
              <w:jc w:val="center"/>
              <w:rPr>
                <w:rFonts w:ascii="Arial" w:hAnsi="Arial" w:cs="Arial"/>
                <w:color w:val="525252" w:themeColor="accent3" w:themeShade="80"/>
              </w:rPr>
            </w:pPr>
            <w:r w:rsidRPr="0054039C">
              <w:rPr>
                <w:rFonts w:ascii="Arial" w:hAnsi="Arial" w:cs="Arial"/>
                <w:color w:val="525252" w:themeColor="accent3" w:themeShade="80"/>
              </w:rPr>
              <w:t>Processing Time</w:t>
            </w:r>
          </w:p>
        </w:tc>
      </w:tr>
      <w:tr w:rsidR="0054039C" w:rsidRPr="0054039C" w14:paraId="1EA5B40D" w14:textId="77777777" w:rsidTr="0054039C">
        <w:trPr>
          <w:trHeight w:val="251"/>
        </w:trPr>
        <w:tc>
          <w:tcPr>
            <w:tcW w:w="4627" w:type="dxa"/>
          </w:tcPr>
          <w:p w14:paraId="6127807E" w14:textId="77777777" w:rsidR="0054039C" w:rsidRPr="0054039C" w:rsidRDefault="0054039C" w:rsidP="0054039C">
            <w:pPr>
              <w:spacing w:line="480" w:lineRule="auto"/>
              <w:jc w:val="center"/>
              <w:rPr>
                <w:rFonts w:ascii="Arial" w:hAnsi="Arial" w:cs="Arial"/>
                <w:color w:val="595959" w:themeColor="text1" w:themeTint="A6"/>
              </w:rPr>
            </w:pPr>
            <w:r w:rsidRPr="0054039C">
              <w:rPr>
                <w:rFonts w:ascii="Arial" w:hAnsi="Arial" w:cs="Arial"/>
                <w:color w:val="595959" w:themeColor="text1" w:themeTint="A6"/>
              </w:rPr>
              <w:t>70% alcohol</w:t>
            </w:r>
          </w:p>
        </w:tc>
        <w:tc>
          <w:tcPr>
            <w:tcW w:w="4627" w:type="dxa"/>
          </w:tcPr>
          <w:p w14:paraId="43794700" w14:textId="77777777" w:rsidR="0054039C" w:rsidRPr="0054039C" w:rsidRDefault="0054039C" w:rsidP="0054039C">
            <w:pPr>
              <w:spacing w:line="480" w:lineRule="auto"/>
              <w:jc w:val="center"/>
              <w:rPr>
                <w:rFonts w:ascii="Arial" w:hAnsi="Arial" w:cs="Arial"/>
                <w:color w:val="595959" w:themeColor="text1" w:themeTint="A6"/>
              </w:rPr>
            </w:pPr>
            <w:r w:rsidRPr="0054039C">
              <w:rPr>
                <w:rFonts w:ascii="Arial" w:hAnsi="Arial" w:cs="Arial"/>
                <w:color w:val="595959" w:themeColor="text1" w:themeTint="A6"/>
              </w:rPr>
              <w:t>1 h</w:t>
            </w:r>
          </w:p>
        </w:tc>
      </w:tr>
      <w:tr w:rsidR="0054039C" w:rsidRPr="0054039C" w14:paraId="66EA04F5" w14:textId="77777777" w:rsidTr="0054039C">
        <w:trPr>
          <w:trHeight w:val="251"/>
        </w:trPr>
        <w:tc>
          <w:tcPr>
            <w:tcW w:w="4627" w:type="dxa"/>
          </w:tcPr>
          <w:p w14:paraId="55F92386" w14:textId="77777777" w:rsidR="0054039C" w:rsidRPr="0054039C" w:rsidRDefault="0054039C" w:rsidP="0054039C">
            <w:pPr>
              <w:spacing w:line="480" w:lineRule="auto"/>
              <w:jc w:val="center"/>
              <w:rPr>
                <w:rFonts w:ascii="Arial" w:hAnsi="Arial" w:cs="Arial"/>
                <w:color w:val="595959" w:themeColor="text1" w:themeTint="A6"/>
              </w:rPr>
            </w:pPr>
            <w:r w:rsidRPr="0054039C">
              <w:rPr>
                <w:rFonts w:ascii="Arial" w:hAnsi="Arial" w:cs="Arial"/>
                <w:color w:val="595959" w:themeColor="text1" w:themeTint="A6"/>
              </w:rPr>
              <w:t>80% alcohol</w:t>
            </w:r>
          </w:p>
        </w:tc>
        <w:tc>
          <w:tcPr>
            <w:tcW w:w="4627" w:type="dxa"/>
          </w:tcPr>
          <w:p w14:paraId="51D4AC7C" w14:textId="77777777" w:rsidR="0054039C" w:rsidRPr="0054039C" w:rsidRDefault="0054039C" w:rsidP="0054039C">
            <w:pPr>
              <w:spacing w:line="480" w:lineRule="auto"/>
              <w:jc w:val="center"/>
              <w:rPr>
                <w:rFonts w:ascii="Arial" w:hAnsi="Arial" w:cs="Arial"/>
                <w:color w:val="595959" w:themeColor="text1" w:themeTint="A6"/>
              </w:rPr>
            </w:pPr>
            <w:r w:rsidRPr="0054039C">
              <w:rPr>
                <w:rFonts w:ascii="Arial" w:hAnsi="Arial" w:cs="Arial"/>
                <w:color w:val="595959" w:themeColor="text1" w:themeTint="A6"/>
              </w:rPr>
              <w:t>1 h</w:t>
            </w:r>
          </w:p>
        </w:tc>
      </w:tr>
      <w:tr w:rsidR="0054039C" w:rsidRPr="0054039C" w14:paraId="51163099" w14:textId="77777777" w:rsidTr="0054039C">
        <w:trPr>
          <w:trHeight w:val="251"/>
        </w:trPr>
        <w:tc>
          <w:tcPr>
            <w:tcW w:w="4627" w:type="dxa"/>
          </w:tcPr>
          <w:p w14:paraId="3ACD2B22" w14:textId="77777777" w:rsidR="0054039C" w:rsidRPr="0054039C" w:rsidRDefault="0054039C" w:rsidP="0054039C">
            <w:pPr>
              <w:spacing w:line="480" w:lineRule="auto"/>
              <w:jc w:val="center"/>
              <w:rPr>
                <w:rFonts w:ascii="Arial" w:hAnsi="Arial" w:cs="Arial"/>
                <w:color w:val="595959" w:themeColor="text1" w:themeTint="A6"/>
              </w:rPr>
            </w:pPr>
            <w:r w:rsidRPr="0054039C">
              <w:rPr>
                <w:rFonts w:ascii="Arial" w:hAnsi="Arial" w:cs="Arial"/>
                <w:color w:val="595959" w:themeColor="text1" w:themeTint="A6"/>
              </w:rPr>
              <w:t>90%alcohol</w:t>
            </w:r>
          </w:p>
        </w:tc>
        <w:tc>
          <w:tcPr>
            <w:tcW w:w="4627" w:type="dxa"/>
          </w:tcPr>
          <w:p w14:paraId="6BFC820D" w14:textId="77777777" w:rsidR="0054039C" w:rsidRPr="0054039C" w:rsidRDefault="0054039C" w:rsidP="0054039C">
            <w:pPr>
              <w:spacing w:line="480" w:lineRule="auto"/>
              <w:jc w:val="center"/>
              <w:rPr>
                <w:rFonts w:ascii="Arial" w:hAnsi="Arial" w:cs="Arial"/>
                <w:color w:val="595959" w:themeColor="text1" w:themeTint="A6"/>
              </w:rPr>
            </w:pPr>
            <w:r w:rsidRPr="0054039C">
              <w:rPr>
                <w:rFonts w:ascii="Arial" w:hAnsi="Arial" w:cs="Arial"/>
                <w:color w:val="595959" w:themeColor="text1" w:themeTint="A6"/>
              </w:rPr>
              <w:t>1 h 30 minutes</w:t>
            </w:r>
          </w:p>
        </w:tc>
      </w:tr>
      <w:tr w:rsidR="0054039C" w:rsidRPr="0054039C" w14:paraId="03A79E2B" w14:textId="77777777" w:rsidTr="0054039C">
        <w:trPr>
          <w:trHeight w:val="251"/>
        </w:trPr>
        <w:tc>
          <w:tcPr>
            <w:tcW w:w="4627" w:type="dxa"/>
          </w:tcPr>
          <w:p w14:paraId="5B532B6E" w14:textId="77777777" w:rsidR="0054039C" w:rsidRPr="0054039C" w:rsidRDefault="0054039C" w:rsidP="0054039C">
            <w:pPr>
              <w:spacing w:line="480" w:lineRule="auto"/>
              <w:jc w:val="center"/>
              <w:rPr>
                <w:rFonts w:ascii="Arial" w:hAnsi="Arial" w:cs="Arial"/>
                <w:color w:val="595959" w:themeColor="text1" w:themeTint="A6"/>
              </w:rPr>
            </w:pPr>
            <w:r w:rsidRPr="0054039C">
              <w:rPr>
                <w:rFonts w:ascii="Arial" w:hAnsi="Arial" w:cs="Arial"/>
                <w:color w:val="595959" w:themeColor="text1" w:themeTint="A6"/>
              </w:rPr>
              <w:t>Absolute alcohol I</w:t>
            </w:r>
          </w:p>
        </w:tc>
        <w:tc>
          <w:tcPr>
            <w:tcW w:w="4627" w:type="dxa"/>
          </w:tcPr>
          <w:p w14:paraId="20B6109A" w14:textId="77777777" w:rsidR="0054039C" w:rsidRPr="0054039C" w:rsidRDefault="0054039C" w:rsidP="0054039C">
            <w:pPr>
              <w:spacing w:line="480" w:lineRule="auto"/>
              <w:jc w:val="center"/>
              <w:rPr>
                <w:rFonts w:ascii="Arial" w:hAnsi="Arial" w:cs="Arial"/>
                <w:color w:val="595959" w:themeColor="text1" w:themeTint="A6"/>
              </w:rPr>
            </w:pPr>
            <w:r w:rsidRPr="0054039C">
              <w:rPr>
                <w:rFonts w:ascii="Arial" w:hAnsi="Arial" w:cs="Arial"/>
                <w:color w:val="595959" w:themeColor="text1" w:themeTint="A6"/>
              </w:rPr>
              <w:t>1 h 30 minutes</w:t>
            </w:r>
          </w:p>
        </w:tc>
      </w:tr>
      <w:tr w:rsidR="0054039C" w:rsidRPr="0054039C" w14:paraId="5D97C2F5" w14:textId="77777777" w:rsidTr="0054039C">
        <w:trPr>
          <w:trHeight w:val="251"/>
        </w:trPr>
        <w:tc>
          <w:tcPr>
            <w:tcW w:w="4627" w:type="dxa"/>
          </w:tcPr>
          <w:p w14:paraId="506B9044" w14:textId="77777777" w:rsidR="0054039C" w:rsidRPr="0054039C" w:rsidRDefault="0054039C" w:rsidP="0054039C">
            <w:pPr>
              <w:spacing w:line="480" w:lineRule="auto"/>
              <w:jc w:val="center"/>
              <w:rPr>
                <w:rFonts w:ascii="Arial" w:hAnsi="Arial" w:cs="Arial"/>
                <w:color w:val="595959" w:themeColor="text1" w:themeTint="A6"/>
              </w:rPr>
            </w:pPr>
            <w:r w:rsidRPr="0054039C">
              <w:rPr>
                <w:rFonts w:ascii="Arial" w:hAnsi="Arial" w:cs="Arial"/>
                <w:color w:val="595959" w:themeColor="text1" w:themeTint="A6"/>
              </w:rPr>
              <w:t>Absolute alcohol II</w:t>
            </w:r>
          </w:p>
        </w:tc>
        <w:tc>
          <w:tcPr>
            <w:tcW w:w="4627" w:type="dxa"/>
          </w:tcPr>
          <w:p w14:paraId="498A66D5" w14:textId="77777777" w:rsidR="0054039C" w:rsidRPr="0054039C" w:rsidRDefault="0054039C" w:rsidP="0054039C">
            <w:pPr>
              <w:spacing w:line="480" w:lineRule="auto"/>
              <w:jc w:val="center"/>
              <w:rPr>
                <w:rFonts w:ascii="Arial" w:hAnsi="Arial" w:cs="Arial"/>
                <w:color w:val="595959" w:themeColor="text1" w:themeTint="A6"/>
              </w:rPr>
            </w:pPr>
            <w:r w:rsidRPr="0054039C">
              <w:rPr>
                <w:rFonts w:ascii="Arial" w:hAnsi="Arial" w:cs="Arial"/>
                <w:color w:val="595959" w:themeColor="text1" w:themeTint="A6"/>
              </w:rPr>
              <w:t>1 h 30 minutes</w:t>
            </w:r>
          </w:p>
        </w:tc>
      </w:tr>
      <w:tr w:rsidR="0054039C" w:rsidRPr="0054039C" w14:paraId="32A01FB2" w14:textId="77777777" w:rsidTr="0054039C">
        <w:trPr>
          <w:trHeight w:val="261"/>
        </w:trPr>
        <w:tc>
          <w:tcPr>
            <w:tcW w:w="4627" w:type="dxa"/>
          </w:tcPr>
          <w:p w14:paraId="221F1915" w14:textId="77777777" w:rsidR="0054039C" w:rsidRPr="0054039C" w:rsidRDefault="0054039C" w:rsidP="0054039C">
            <w:pPr>
              <w:spacing w:line="480" w:lineRule="auto"/>
              <w:jc w:val="center"/>
              <w:rPr>
                <w:rFonts w:ascii="Arial" w:hAnsi="Arial" w:cs="Arial"/>
                <w:color w:val="595959" w:themeColor="text1" w:themeTint="A6"/>
              </w:rPr>
            </w:pPr>
            <w:r w:rsidRPr="0054039C">
              <w:rPr>
                <w:rFonts w:ascii="Arial" w:hAnsi="Arial" w:cs="Arial"/>
                <w:color w:val="595959" w:themeColor="text1" w:themeTint="A6"/>
              </w:rPr>
              <w:t>Absolute alcohol III</w:t>
            </w:r>
          </w:p>
        </w:tc>
        <w:tc>
          <w:tcPr>
            <w:tcW w:w="4627" w:type="dxa"/>
          </w:tcPr>
          <w:p w14:paraId="1E11F992" w14:textId="77777777" w:rsidR="0054039C" w:rsidRPr="0054039C" w:rsidRDefault="0054039C" w:rsidP="0054039C">
            <w:pPr>
              <w:spacing w:line="480" w:lineRule="auto"/>
              <w:jc w:val="center"/>
              <w:rPr>
                <w:rFonts w:ascii="Arial" w:hAnsi="Arial" w:cs="Arial"/>
                <w:color w:val="595959" w:themeColor="text1" w:themeTint="A6"/>
              </w:rPr>
            </w:pPr>
            <w:r w:rsidRPr="0054039C">
              <w:rPr>
                <w:rFonts w:ascii="Arial" w:hAnsi="Arial" w:cs="Arial"/>
                <w:color w:val="595959" w:themeColor="text1" w:themeTint="A6"/>
              </w:rPr>
              <w:t>2 h</w:t>
            </w:r>
          </w:p>
        </w:tc>
      </w:tr>
      <w:tr w:rsidR="0054039C" w:rsidRPr="0054039C" w14:paraId="32C54733" w14:textId="77777777" w:rsidTr="0054039C">
        <w:trPr>
          <w:trHeight w:val="251"/>
        </w:trPr>
        <w:tc>
          <w:tcPr>
            <w:tcW w:w="4627" w:type="dxa"/>
          </w:tcPr>
          <w:p w14:paraId="43ECB858" w14:textId="77777777" w:rsidR="0054039C" w:rsidRPr="0054039C" w:rsidRDefault="0054039C" w:rsidP="0054039C">
            <w:pPr>
              <w:spacing w:line="480" w:lineRule="auto"/>
              <w:jc w:val="center"/>
              <w:rPr>
                <w:rFonts w:ascii="Arial" w:hAnsi="Arial" w:cs="Arial"/>
                <w:color w:val="595959" w:themeColor="text1" w:themeTint="A6"/>
              </w:rPr>
            </w:pPr>
            <w:r w:rsidRPr="0054039C">
              <w:rPr>
                <w:rFonts w:ascii="Arial" w:hAnsi="Arial" w:cs="Arial"/>
                <w:color w:val="595959" w:themeColor="text1" w:themeTint="A6"/>
              </w:rPr>
              <w:t>Toluene I</w:t>
            </w:r>
          </w:p>
        </w:tc>
        <w:tc>
          <w:tcPr>
            <w:tcW w:w="4627" w:type="dxa"/>
          </w:tcPr>
          <w:p w14:paraId="6B68E926" w14:textId="77777777" w:rsidR="0054039C" w:rsidRPr="0054039C" w:rsidRDefault="0054039C" w:rsidP="0054039C">
            <w:pPr>
              <w:spacing w:line="480" w:lineRule="auto"/>
              <w:jc w:val="center"/>
              <w:rPr>
                <w:rFonts w:ascii="Arial" w:hAnsi="Arial" w:cs="Arial"/>
                <w:color w:val="595959" w:themeColor="text1" w:themeTint="A6"/>
              </w:rPr>
            </w:pPr>
            <w:r w:rsidRPr="0054039C">
              <w:rPr>
                <w:rFonts w:ascii="Arial" w:hAnsi="Arial" w:cs="Arial"/>
                <w:color w:val="595959" w:themeColor="text1" w:themeTint="A6"/>
              </w:rPr>
              <w:t>1 h 30 minutes</w:t>
            </w:r>
          </w:p>
        </w:tc>
      </w:tr>
      <w:tr w:rsidR="0054039C" w:rsidRPr="0054039C" w14:paraId="16C163DC" w14:textId="77777777" w:rsidTr="0054039C">
        <w:trPr>
          <w:trHeight w:val="251"/>
        </w:trPr>
        <w:tc>
          <w:tcPr>
            <w:tcW w:w="4627" w:type="dxa"/>
          </w:tcPr>
          <w:p w14:paraId="554934AF" w14:textId="77777777" w:rsidR="0054039C" w:rsidRPr="0054039C" w:rsidRDefault="0054039C" w:rsidP="0054039C">
            <w:pPr>
              <w:spacing w:line="480" w:lineRule="auto"/>
              <w:jc w:val="center"/>
              <w:rPr>
                <w:rFonts w:ascii="Arial" w:hAnsi="Arial" w:cs="Arial"/>
                <w:color w:val="595959" w:themeColor="text1" w:themeTint="A6"/>
              </w:rPr>
            </w:pPr>
            <w:r w:rsidRPr="0054039C">
              <w:rPr>
                <w:rFonts w:ascii="Arial" w:hAnsi="Arial" w:cs="Arial"/>
                <w:color w:val="595959" w:themeColor="text1" w:themeTint="A6"/>
              </w:rPr>
              <w:t>Toluene II</w:t>
            </w:r>
          </w:p>
        </w:tc>
        <w:tc>
          <w:tcPr>
            <w:tcW w:w="4627" w:type="dxa"/>
          </w:tcPr>
          <w:p w14:paraId="74771083" w14:textId="77777777" w:rsidR="0054039C" w:rsidRPr="0054039C" w:rsidRDefault="0054039C" w:rsidP="0054039C">
            <w:pPr>
              <w:spacing w:line="480" w:lineRule="auto"/>
              <w:jc w:val="center"/>
              <w:rPr>
                <w:rFonts w:ascii="Arial" w:hAnsi="Arial" w:cs="Arial"/>
                <w:color w:val="595959" w:themeColor="text1" w:themeTint="A6"/>
              </w:rPr>
            </w:pPr>
            <w:r w:rsidRPr="0054039C">
              <w:rPr>
                <w:rFonts w:ascii="Arial" w:hAnsi="Arial" w:cs="Arial"/>
                <w:color w:val="595959" w:themeColor="text1" w:themeTint="A6"/>
              </w:rPr>
              <w:t>2 h</w:t>
            </w:r>
          </w:p>
        </w:tc>
      </w:tr>
      <w:tr w:rsidR="0054039C" w:rsidRPr="0054039C" w14:paraId="400030BE" w14:textId="77777777" w:rsidTr="0054039C">
        <w:trPr>
          <w:trHeight w:val="251"/>
        </w:trPr>
        <w:tc>
          <w:tcPr>
            <w:tcW w:w="4627" w:type="dxa"/>
          </w:tcPr>
          <w:p w14:paraId="1420A28D" w14:textId="77777777" w:rsidR="0054039C" w:rsidRPr="0054039C" w:rsidRDefault="0054039C" w:rsidP="0054039C">
            <w:pPr>
              <w:spacing w:line="480" w:lineRule="auto"/>
              <w:jc w:val="center"/>
              <w:rPr>
                <w:rFonts w:ascii="Arial" w:hAnsi="Arial" w:cs="Arial"/>
                <w:color w:val="595959" w:themeColor="text1" w:themeTint="A6"/>
              </w:rPr>
            </w:pPr>
            <w:r w:rsidRPr="0054039C">
              <w:rPr>
                <w:rFonts w:ascii="Arial" w:hAnsi="Arial" w:cs="Arial"/>
                <w:color w:val="595959" w:themeColor="text1" w:themeTint="A6"/>
              </w:rPr>
              <w:t>Xylene</w:t>
            </w:r>
          </w:p>
        </w:tc>
        <w:tc>
          <w:tcPr>
            <w:tcW w:w="4627" w:type="dxa"/>
          </w:tcPr>
          <w:p w14:paraId="4308B478" w14:textId="77777777" w:rsidR="0054039C" w:rsidRPr="0054039C" w:rsidRDefault="0054039C" w:rsidP="0054039C">
            <w:pPr>
              <w:spacing w:line="480" w:lineRule="auto"/>
              <w:jc w:val="center"/>
              <w:rPr>
                <w:rFonts w:ascii="Arial" w:hAnsi="Arial" w:cs="Arial"/>
                <w:color w:val="595959" w:themeColor="text1" w:themeTint="A6"/>
              </w:rPr>
            </w:pPr>
            <w:r w:rsidRPr="0054039C">
              <w:rPr>
                <w:rFonts w:ascii="Arial" w:hAnsi="Arial" w:cs="Arial"/>
                <w:color w:val="595959" w:themeColor="text1" w:themeTint="A6"/>
              </w:rPr>
              <w:t>PASS</w:t>
            </w:r>
          </w:p>
        </w:tc>
      </w:tr>
      <w:tr w:rsidR="0054039C" w:rsidRPr="0054039C" w14:paraId="4EF5BB3F" w14:textId="77777777" w:rsidTr="0054039C">
        <w:trPr>
          <w:trHeight w:val="251"/>
        </w:trPr>
        <w:tc>
          <w:tcPr>
            <w:tcW w:w="4627" w:type="dxa"/>
          </w:tcPr>
          <w:p w14:paraId="625AB7FF" w14:textId="77777777" w:rsidR="0054039C" w:rsidRPr="0054039C" w:rsidRDefault="0054039C" w:rsidP="0054039C">
            <w:pPr>
              <w:spacing w:line="480" w:lineRule="auto"/>
              <w:jc w:val="center"/>
              <w:rPr>
                <w:rFonts w:ascii="Arial" w:hAnsi="Arial" w:cs="Arial"/>
                <w:color w:val="595959" w:themeColor="text1" w:themeTint="A6"/>
              </w:rPr>
            </w:pPr>
            <w:r w:rsidRPr="0054039C">
              <w:rPr>
                <w:rFonts w:ascii="Arial" w:hAnsi="Arial" w:cs="Arial"/>
                <w:color w:val="595959" w:themeColor="text1" w:themeTint="A6"/>
              </w:rPr>
              <w:t>Wax I</w:t>
            </w:r>
          </w:p>
        </w:tc>
        <w:tc>
          <w:tcPr>
            <w:tcW w:w="4627" w:type="dxa"/>
          </w:tcPr>
          <w:p w14:paraId="4D519CB5" w14:textId="77777777" w:rsidR="0054039C" w:rsidRPr="0054039C" w:rsidRDefault="0054039C" w:rsidP="0054039C">
            <w:pPr>
              <w:spacing w:line="480" w:lineRule="auto"/>
              <w:jc w:val="center"/>
              <w:rPr>
                <w:rFonts w:ascii="Arial" w:hAnsi="Arial" w:cs="Arial"/>
                <w:color w:val="595959" w:themeColor="text1" w:themeTint="A6"/>
              </w:rPr>
            </w:pPr>
            <w:r w:rsidRPr="0054039C">
              <w:rPr>
                <w:rFonts w:ascii="Arial" w:hAnsi="Arial" w:cs="Arial"/>
                <w:color w:val="595959" w:themeColor="text1" w:themeTint="A6"/>
              </w:rPr>
              <w:t>2 h</w:t>
            </w:r>
          </w:p>
        </w:tc>
      </w:tr>
      <w:tr w:rsidR="0054039C" w:rsidRPr="0054039C" w14:paraId="1FC6C22C" w14:textId="77777777" w:rsidTr="0054039C">
        <w:trPr>
          <w:trHeight w:val="261"/>
        </w:trPr>
        <w:tc>
          <w:tcPr>
            <w:tcW w:w="4627" w:type="dxa"/>
          </w:tcPr>
          <w:p w14:paraId="441D4484" w14:textId="77777777" w:rsidR="0054039C" w:rsidRPr="0054039C" w:rsidRDefault="0054039C" w:rsidP="0054039C">
            <w:pPr>
              <w:spacing w:line="480" w:lineRule="auto"/>
              <w:jc w:val="center"/>
              <w:rPr>
                <w:rFonts w:ascii="Arial" w:hAnsi="Arial" w:cs="Arial"/>
                <w:color w:val="595959" w:themeColor="text1" w:themeTint="A6"/>
              </w:rPr>
            </w:pPr>
            <w:r w:rsidRPr="0054039C">
              <w:rPr>
                <w:rFonts w:ascii="Arial" w:hAnsi="Arial" w:cs="Arial"/>
                <w:color w:val="595959" w:themeColor="text1" w:themeTint="A6"/>
              </w:rPr>
              <w:t>Wax II</w:t>
            </w:r>
          </w:p>
        </w:tc>
        <w:tc>
          <w:tcPr>
            <w:tcW w:w="4627" w:type="dxa"/>
          </w:tcPr>
          <w:p w14:paraId="31DA539F" w14:textId="77777777" w:rsidR="0054039C" w:rsidRPr="0054039C" w:rsidRDefault="0054039C" w:rsidP="0054039C">
            <w:pPr>
              <w:spacing w:line="480" w:lineRule="auto"/>
              <w:jc w:val="center"/>
              <w:rPr>
                <w:rFonts w:ascii="Arial" w:hAnsi="Arial" w:cs="Arial"/>
                <w:color w:val="595959" w:themeColor="text1" w:themeTint="A6"/>
              </w:rPr>
            </w:pPr>
            <w:r w:rsidRPr="0054039C">
              <w:rPr>
                <w:rFonts w:ascii="Arial" w:hAnsi="Arial" w:cs="Arial"/>
                <w:color w:val="595959" w:themeColor="text1" w:themeTint="A6"/>
              </w:rPr>
              <w:t>2 h</w:t>
            </w:r>
          </w:p>
        </w:tc>
      </w:tr>
      <w:tr w:rsidR="0054039C" w:rsidRPr="0054039C" w14:paraId="12C0A0BB" w14:textId="77777777" w:rsidTr="0054039C">
        <w:trPr>
          <w:trHeight w:val="560"/>
        </w:trPr>
        <w:tc>
          <w:tcPr>
            <w:tcW w:w="4627" w:type="dxa"/>
          </w:tcPr>
          <w:p w14:paraId="2713C96F" w14:textId="77777777" w:rsidR="0054039C" w:rsidRPr="0054039C" w:rsidRDefault="0054039C" w:rsidP="0054039C">
            <w:pPr>
              <w:spacing w:line="480" w:lineRule="auto"/>
              <w:rPr>
                <w:rFonts w:ascii="Arial" w:hAnsi="Arial" w:cs="Arial"/>
                <w:color w:val="595959" w:themeColor="text1" w:themeTint="A6"/>
              </w:rPr>
            </w:pPr>
          </w:p>
        </w:tc>
        <w:tc>
          <w:tcPr>
            <w:tcW w:w="4627" w:type="dxa"/>
          </w:tcPr>
          <w:p w14:paraId="3D236AAF" w14:textId="77777777" w:rsidR="0054039C" w:rsidRPr="0054039C" w:rsidRDefault="0054039C" w:rsidP="0054039C">
            <w:pPr>
              <w:spacing w:line="480" w:lineRule="auto"/>
              <w:jc w:val="center"/>
              <w:rPr>
                <w:rFonts w:ascii="Arial" w:hAnsi="Arial" w:cs="Arial"/>
                <w:b/>
                <w:color w:val="595959" w:themeColor="text1" w:themeTint="A6"/>
              </w:rPr>
            </w:pPr>
            <w:r w:rsidRPr="0054039C">
              <w:rPr>
                <w:rFonts w:ascii="Arial" w:hAnsi="Arial" w:cs="Arial"/>
                <w:b/>
                <w:color w:val="595959" w:themeColor="text1" w:themeTint="A6"/>
              </w:rPr>
              <w:t>Total Time= 16 h</w:t>
            </w:r>
          </w:p>
        </w:tc>
      </w:tr>
    </w:tbl>
    <w:p w14:paraId="02E2E1A8" w14:textId="77777777" w:rsidR="0054039C" w:rsidRPr="0054039C" w:rsidRDefault="0054039C" w:rsidP="0054039C">
      <w:pPr>
        <w:spacing w:line="480" w:lineRule="auto"/>
        <w:jc w:val="both"/>
        <w:rPr>
          <w:rFonts w:asciiTheme="minorBidi" w:hAnsiTheme="minorBidi"/>
          <w:color w:val="595959" w:themeColor="text1" w:themeTint="A6"/>
          <w:lang w:val="en-US"/>
        </w:rPr>
      </w:pPr>
    </w:p>
    <w:p w14:paraId="54F79497" w14:textId="668DAA00" w:rsidR="0054039C" w:rsidRPr="0054039C" w:rsidRDefault="0054039C" w:rsidP="0054039C">
      <w:pPr>
        <w:spacing w:line="480" w:lineRule="auto"/>
        <w:jc w:val="both"/>
        <w:rPr>
          <w:rFonts w:ascii="Arial" w:hAnsi="Arial" w:cs="Arial"/>
          <w:color w:val="595959" w:themeColor="text1" w:themeTint="A6"/>
          <w:lang w:val="en-US"/>
        </w:rPr>
      </w:pPr>
      <w:bookmarkStart w:id="153" w:name="_Hlk535580741"/>
      <w:r w:rsidRPr="0054039C">
        <w:rPr>
          <w:rFonts w:ascii="Arial" w:hAnsi="Arial" w:cs="Arial"/>
          <w:color w:val="595959" w:themeColor="text1" w:themeTint="A6"/>
          <w:lang w:val="en-US"/>
        </w:rPr>
        <w:t xml:space="preserve">After processing samples were bisected and embedded in molten paraffin wax using an embedding centre; dispenser and hot plate. Samples were embedded perpendicular to the lower surface of the mould, for correct orientation. Samples were left to set on a cooling plate. Prior to sectioning, samples were cooled on ice and sectioned using a microtome. Blocks were </w:t>
      </w:r>
      <w:r w:rsidRPr="0054039C">
        <w:rPr>
          <w:rFonts w:ascii="Arial" w:hAnsi="Arial" w:cs="Arial"/>
          <w:color w:val="595959" w:themeColor="text1" w:themeTint="A6"/>
          <w:lang w:val="en-US"/>
        </w:rPr>
        <w:lastRenderedPageBreak/>
        <w:t>trimmed at 10 µm thickness until the sample became visible, placed on ice for further cooling before 5</w:t>
      </w:r>
      <w:r w:rsidR="001B556B">
        <w:rPr>
          <w:rFonts w:ascii="Arial" w:hAnsi="Arial" w:cs="Arial"/>
          <w:color w:val="595959" w:themeColor="text1" w:themeTint="A6"/>
          <w:lang w:val="en-US"/>
        </w:rPr>
        <w:t>-7</w:t>
      </w:r>
      <w:r w:rsidRPr="0054039C">
        <w:rPr>
          <w:rFonts w:ascii="Arial" w:hAnsi="Arial" w:cs="Arial"/>
          <w:color w:val="595959" w:themeColor="text1" w:themeTint="A6"/>
          <w:lang w:val="en-US"/>
        </w:rPr>
        <w:t xml:space="preserve"> µm thick sections were cut and transferred to a water bath set at 38 °C. Sections were mounted onto microscope slides and oven dried for 20 minutes at 60 </w:t>
      </w:r>
      <w:r w:rsidRPr="0054039C">
        <w:rPr>
          <w:rFonts w:ascii="Arial" w:hAnsi="Arial" w:cs="Arial"/>
          <w:color w:val="595959" w:themeColor="text1" w:themeTint="A6"/>
          <w:vertAlign w:val="superscript"/>
          <w:lang w:val="en-US"/>
        </w:rPr>
        <w:t>o</w:t>
      </w:r>
      <w:r w:rsidRPr="0054039C">
        <w:rPr>
          <w:rFonts w:ascii="Arial" w:hAnsi="Arial" w:cs="Arial"/>
          <w:color w:val="595959" w:themeColor="text1" w:themeTint="A6"/>
          <w:lang w:val="en-US"/>
        </w:rPr>
        <w:t xml:space="preserve">C. Haematoxylin and eosin (H&amp;E) histological staining of sections was performed using an autostainer </w:t>
      </w:r>
      <w:bookmarkEnd w:id="153"/>
      <w:r w:rsidRPr="0054039C">
        <w:rPr>
          <w:rFonts w:ascii="Arial" w:hAnsi="Arial" w:cs="Arial"/>
          <w:color w:val="595959" w:themeColor="text1" w:themeTint="A6"/>
          <w:lang w:val="en-US"/>
        </w:rPr>
        <w:t xml:space="preserve">followed the staining schedule outlined in table 2.9. </w:t>
      </w:r>
    </w:p>
    <w:p w14:paraId="390C454B" w14:textId="77777777" w:rsidR="0054039C" w:rsidRPr="00AD2659" w:rsidRDefault="0054039C" w:rsidP="0054039C">
      <w:pPr>
        <w:spacing w:line="480" w:lineRule="auto"/>
        <w:jc w:val="both"/>
        <w:rPr>
          <w:rFonts w:ascii="Arial" w:hAnsi="Arial" w:cs="Arial"/>
          <w:b/>
          <w:color w:val="FF0000"/>
          <w:lang w:val="en-US"/>
        </w:rPr>
      </w:pPr>
      <w:r w:rsidRPr="00AD2659">
        <w:rPr>
          <w:rFonts w:ascii="Arial" w:hAnsi="Arial" w:cs="Arial"/>
          <w:b/>
          <w:color w:val="595959" w:themeColor="text1" w:themeTint="A6"/>
          <w:lang w:val="en-US"/>
        </w:rPr>
        <w:t>Table 2.9 H&amp;E staining schedule</w:t>
      </w:r>
    </w:p>
    <w:tbl>
      <w:tblPr>
        <w:tblStyle w:val="TableGridLight"/>
        <w:tblW w:w="0" w:type="auto"/>
        <w:tblLook w:val="04A0" w:firstRow="1" w:lastRow="0" w:firstColumn="1" w:lastColumn="0" w:noHBand="0" w:noVBand="1"/>
      </w:tblPr>
      <w:tblGrid>
        <w:gridCol w:w="1554"/>
        <w:gridCol w:w="3941"/>
      </w:tblGrid>
      <w:tr w:rsidR="0054039C" w:rsidRPr="0054039C" w14:paraId="69C8135A" w14:textId="77777777" w:rsidTr="0054039C">
        <w:trPr>
          <w:trHeight w:val="489"/>
        </w:trPr>
        <w:tc>
          <w:tcPr>
            <w:tcW w:w="1554" w:type="dxa"/>
          </w:tcPr>
          <w:p w14:paraId="26CB0FF6" w14:textId="77777777" w:rsidR="0054039C" w:rsidRPr="0054039C" w:rsidRDefault="0054039C" w:rsidP="0054039C">
            <w:pPr>
              <w:spacing w:line="480" w:lineRule="auto"/>
              <w:jc w:val="center"/>
              <w:rPr>
                <w:rFonts w:ascii="Arial" w:hAnsi="Arial" w:cs="Arial"/>
                <w:vertAlign w:val="superscript"/>
              </w:rPr>
            </w:pPr>
            <w:r w:rsidRPr="0054039C">
              <w:rPr>
                <w:rFonts w:ascii="Arial" w:hAnsi="Arial" w:cs="Arial"/>
              </w:rPr>
              <w:t>Bath n</w:t>
            </w:r>
            <w:r w:rsidRPr="0054039C">
              <w:rPr>
                <w:rFonts w:ascii="Arial" w:hAnsi="Arial" w:cs="Arial"/>
                <w:vertAlign w:val="superscript"/>
              </w:rPr>
              <w:t>o</w:t>
            </w:r>
          </w:p>
        </w:tc>
        <w:tc>
          <w:tcPr>
            <w:tcW w:w="3941" w:type="dxa"/>
          </w:tcPr>
          <w:p w14:paraId="57300F4E" w14:textId="77777777" w:rsidR="0054039C" w:rsidRPr="0054039C" w:rsidRDefault="0054039C" w:rsidP="0054039C">
            <w:pPr>
              <w:spacing w:line="480" w:lineRule="auto"/>
              <w:jc w:val="center"/>
              <w:rPr>
                <w:rFonts w:ascii="Arial" w:hAnsi="Arial" w:cs="Arial"/>
              </w:rPr>
            </w:pPr>
            <w:r w:rsidRPr="0054039C">
              <w:rPr>
                <w:rFonts w:ascii="Arial" w:hAnsi="Arial" w:cs="Arial"/>
              </w:rPr>
              <w:t>Solution</w:t>
            </w:r>
          </w:p>
        </w:tc>
      </w:tr>
      <w:tr w:rsidR="0054039C" w:rsidRPr="0054039C" w14:paraId="3D341180" w14:textId="77777777" w:rsidTr="0054039C">
        <w:trPr>
          <w:trHeight w:val="504"/>
        </w:trPr>
        <w:tc>
          <w:tcPr>
            <w:tcW w:w="1554" w:type="dxa"/>
          </w:tcPr>
          <w:p w14:paraId="3B9B52BD" w14:textId="77777777" w:rsidR="0054039C" w:rsidRPr="0054039C" w:rsidRDefault="0054039C" w:rsidP="0054039C">
            <w:pPr>
              <w:spacing w:line="480" w:lineRule="auto"/>
              <w:jc w:val="center"/>
              <w:rPr>
                <w:rFonts w:ascii="Arial" w:hAnsi="Arial" w:cs="Arial"/>
                <w:color w:val="595959" w:themeColor="text1" w:themeTint="A6"/>
              </w:rPr>
            </w:pPr>
            <w:r w:rsidRPr="0054039C">
              <w:rPr>
                <w:rFonts w:ascii="Arial" w:hAnsi="Arial" w:cs="Arial"/>
                <w:color w:val="595959" w:themeColor="text1" w:themeTint="A6"/>
              </w:rPr>
              <w:t>1</w:t>
            </w:r>
          </w:p>
        </w:tc>
        <w:tc>
          <w:tcPr>
            <w:tcW w:w="3941" w:type="dxa"/>
          </w:tcPr>
          <w:p w14:paraId="50C1FDD7" w14:textId="77777777" w:rsidR="0054039C" w:rsidRPr="0054039C" w:rsidRDefault="0054039C" w:rsidP="0054039C">
            <w:pPr>
              <w:spacing w:line="480" w:lineRule="auto"/>
              <w:jc w:val="center"/>
              <w:rPr>
                <w:rFonts w:ascii="Arial" w:hAnsi="Arial" w:cs="Arial"/>
                <w:color w:val="595959" w:themeColor="text1" w:themeTint="A6"/>
              </w:rPr>
            </w:pPr>
            <w:r w:rsidRPr="0054039C">
              <w:rPr>
                <w:rFonts w:ascii="Arial" w:hAnsi="Arial" w:cs="Arial"/>
                <w:color w:val="595959" w:themeColor="text1" w:themeTint="A6"/>
              </w:rPr>
              <w:t>Xylene</w:t>
            </w:r>
          </w:p>
        </w:tc>
      </w:tr>
      <w:tr w:rsidR="0054039C" w:rsidRPr="0054039C" w14:paraId="326E7F5C" w14:textId="77777777" w:rsidTr="0054039C">
        <w:trPr>
          <w:trHeight w:val="489"/>
        </w:trPr>
        <w:tc>
          <w:tcPr>
            <w:tcW w:w="1554" w:type="dxa"/>
          </w:tcPr>
          <w:p w14:paraId="119020A9" w14:textId="77777777" w:rsidR="0054039C" w:rsidRPr="0054039C" w:rsidRDefault="0054039C" w:rsidP="0054039C">
            <w:pPr>
              <w:spacing w:line="480" w:lineRule="auto"/>
              <w:jc w:val="center"/>
              <w:rPr>
                <w:rFonts w:ascii="Arial" w:hAnsi="Arial" w:cs="Arial"/>
                <w:color w:val="595959" w:themeColor="text1" w:themeTint="A6"/>
              </w:rPr>
            </w:pPr>
            <w:r w:rsidRPr="0054039C">
              <w:rPr>
                <w:rFonts w:ascii="Arial" w:hAnsi="Arial" w:cs="Arial"/>
                <w:color w:val="595959" w:themeColor="text1" w:themeTint="A6"/>
              </w:rPr>
              <w:t>2</w:t>
            </w:r>
          </w:p>
        </w:tc>
        <w:tc>
          <w:tcPr>
            <w:tcW w:w="3941" w:type="dxa"/>
          </w:tcPr>
          <w:p w14:paraId="6141BFF8" w14:textId="77777777" w:rsidR="0054039C" w:rsidRPr="0054039C" w:rsidRDefault="0054039C" w:rsidP="0054039C">
            <w:pPr>
              <w:spacing w:line="480" w:lineRule="auto"/>
              <w:jc w:val="center"/>
              <w:rPr>
                <w:rFonts w:ascii="Arial" w:hAnsi="Arial" w:cs="Arial"/>
                <w:color w:val="595959" w:themeColor="text1" w:themeTint="A6"/>
              </w:rPr>
            </w:pPr>
            <w:r w:rsidRPr="0054039C">
              <w:rPr>
                <w:rFonts w:ascii="Arial" w:hAnsi="Arial" w:cs="Arial"/>
                <w:color w:val="595959" w:themeColor="text1" w:themeTint="A6"/>
              </w:rPr>
              <w:t>Xylene</w:t>
            </w:r>
          </w:p>
        </w:tc>
      </w:tr>
      <w:tr w:rsidR="0054039C" w:rsidRPr="0054039C" w14:paraId="50EB185F" w14:textId="77777777" w:rsidTr="0054039C">
        <w:trPr>
          <w:trHeight w:val="504"/>
        </w:trPr>
        <w:tc>
          <w:tcPr>
            <w:tcW w:w="1554" w:type="dxa"/>
          </w:tcPr>
          <w:p w14:paraId="5418C656" w14:textId="77777777" w:rsidR="0054039C" w:rsidRPr="0054039C" w:rsidRDefault="0054039C" w:rsidP="0054039C">
            <w:pPr>
              <w:spacing w:line="480" w:lineRule="auto"/>
              <w:jc w:val="center"/>
              <w:rPr>
                <w:rFonts w:ascii="Arial" w:hAnsi="Arial" w:cs="Arial"/>
                <w:color w:val="595959" w:themeColor="text1" w:themeTint="A6"/>
              </w:rPr>
            </w:pPr>
            <w:r w:rsidRPr="0054039C">
              <w:rPr>
                <w:rFonts w:ascii="Arial" w:hAnsi="Arial" w:cs="Arial"/>
                <w:color w:val="595959" w:themeColor="text1" w:themeTint="A6"/>
              </w:rPr>
              <w:t>3</w:t>
            </w:r>
          </w:p>
        </w:tc>
        <w:tc>
          <w:tcPr>
            <w:tcW w:w="3941" w:type="dxa"/>
          </w:tcPr>
          <w:p w14:paraId="557DA9E2" w14:textId="77777777" w:rsidR="0054039C" w:rsidRPr="0054039C" w:rsidRDefault="0054039C" w:rsidP="0054039C">
            <w:pPr>
              <w:spacing w:line="480" w:lineRule="auto"/>
              <w:jc w:val="center"/>
              <w:rPr>
                <w:rFonts w:ascii="Arial" w:hAnsi="Arial" w:cs="Arial"/>
                <w:color w:val="595959" w:themeColor="text1" w:themeTint="A6"/>
              </w:rPr>
            </w:pPr>
            <w:r w:rsidRPr="0054039C">
              <w:rPr>
                <w:rFonts w:ascii="Arial" w:hAnsi="Arial" w:cs="Arial"/>
                <w:color w:val="595959" w:themeColor="text1" w:themeTint="A6"/>
              </w:rPr>
              <w:t>Xylene</w:t>
            </w:r>
          </w:p>
        </w:tc>
      </w:tr>
      <w:tr w:rsidR="0054039C" w:rsidRPr="0054039C" w14:paraId="76D4F7EF" w14:textId="77777777" w:rsidTr="0054039C">
        <w:trPr>
          <w:trHeight w:val="489"/>
        </w:trPr>
        <w:tc>
          <w:tcPr>
            <w:tcW w:w="1554" w:type="dxa"/>
          </w:tcPr>
          <w:p w14:paraId="6612C31C" w14:textId="77777777" w:rsidR="0054039C" w:rsidRPr="0054039C" w:rsidRDefault="0054039C" w:rsidP="0054039C">
            <w:pPr>
              <w:spacing w:line="480" w:lineRule="auto"/>
              <w:jc w:val="center"/>
              <w:rPr>
                <w:rFonts w:ascii="Arial" w:hAnsi="Arial" w:cs="Arial"/>
                <w:color w:val="595959" w:themeColor="text1" w:themeTint="A6"/>
              </w:rPr>
            </w:pPr>
            <w:r w:rsidRPr="0054039C">
              <w:rPr>
                <w:rFonts w:ascii="Arial" w:hAnsi="Arial" w:cs="Arial"/>
                <w:color w:val="595959" w:themeColor="text1" w:themeTint="A6"/>
              </w:rPr>
              <w:t>4</w:t>
            </w:r>
          </w:p>
        </w:tc>
        <w:tc>
          <w:tcPr>
            <w:tcW w:w="3941" w:type="dxa"/>
          </w:tcPr>
          <w:p w14:paraId="78D3F7C3" w14:textId="77777777" w:rsidR="0054039C" w:rsidRPr="0054039C" w:rsidRDefault="0054039C" w:rsidP="0054039C">
            <w:pPr>
              <w:spacing w:line="480" w:lineRule="auto"/>
              <w:jc w:val="center"/>
              <w:rPr>
                <w:rFonts w:ascii="Arial" w:hAnsi="Arial" w:cs="Arial"/>
                <w:color w:val="595959" w:themeColor="text1" w:themeTint="A6"/>
              </w:rPr>
            </w:pPr>
            <w:r w:rsidRPr="0054039C">
              <w:rPr>
                <w:rFonts w:ascii="Arial" w:hAnsi="Arial" w:cs="Arial"/>
                <w:color w:val="595959" w:themeColor="text1" w:themeTint="A6"/>
              </w:rPr>
              <w:t>99% IDA</w:t>
            </w:r>
          </w:p>
        </w:tc>
      </w:tr>
      <w:tr w:rsidR="0054039C" w:rsidRPr="0054039C" w14:paraId="49D92C1F" w14:textId="77777777" w:rsidTr="0054039C">
        <w:trPr>
          <w:trHeight w:val="489"/>
        </w:trPr>
        <w:tc>
          <w:tcPr>
            <w:tcW w:w="1554" w:type="dxa"/>
          </w:tcPr>
          <w:p w14:paraId="63389504" w14:textId="77777777" w:rsidR="0054039C" w:rsidRPr="0054039C" w:rsidRDefault="0054039C" w:rsidP="0054039C">
            <w:pPr>
              <w:spacing w:line="480" w:lineRule="auto"/>
              <w:jc w:val="center"/>
              <w:rPr>
                <w:rFonts w:ascii="Arial" w:hAnsi="Arial" w:cs="Arial"/>
                <w:color w:val="595959" w:themeColor="text1" w:themeTint="A6"/>
              </w:rPr>
            </w:pPr>
            <w:r w:rsidRPr="0054039C">
              <w:rPr>
                <w:rFonts w:ascii="Arial" w:hAnsi="Arial" w:cs="Arial"/>
                <w:color w:val="595959" w:themeColor="text1" w:themeTint="A6"/>
              </w:rPr>
              <w:t>5</w:t>
            </w:r>
          </w:p>
        </w:tc>
        <w:tc>
          <w:tcPr>
            <w:tcW w:w="3941" w:type="dxa"/>
          </w:tcPr>
          <w:p w14:paraId="0CB9AAC6" w14:textId="77777777" w:rsidR="0054039C" w:rsidRPr="0054039C" w:rsidRDefault="0054039C" w:rsidP="0054039C">
            <w:pPr>
              <w:spacing w:line="480" w:lineRule="auto"/>
              <w:jc w:val="center"/>
              <w:rPr>
                <w:rFonts w:ascii="Arial" w:hAnsi="Arial" w:cs="Arial"/>
                <w:color w:val="595959" w:themeColor="text1" w:themeTint="A6"/>
              </w:rPr>
            </w:pPr>
            <w:r w:rsidRPr="0054039C">
              <w:rPr>
                <w:rFonts w:ascii="Arial" w:hAnsi="Arial" w:cs="Arial"/>
                <w:color w:val="595959" w:themeColor="text1" w:themeTint="A6"/>
              </w:rPr>
              <w:t>99% IDA</w:t>
            </w:r>
          </w:p>
        </w:tc>
      </w:tr>
      <w:tr w:rsidR="0054039C" w:rsidRPr="0054039C" w14:paraId="29DCEFA1" w14:textId="77777777" w:rsidTr="0054039C">
        <w:trPr>
          <w:trHeight w:val="504"/>
        </w:trPr>
        <w:tc>
          <w:tcPr>
            <w:tcW w:w="1554" w:type="dxa"/>
          </w:tcPr>
          <w:p w14:paraId="2B7E71F6" w14:textId="77777777" w:rsidR="0054039C" w:rsidRPr="0054039C" w:rsidRDefault="0054039C" w:rsidP="0054039C">
            <w:pPr>
              <w:spacing w:line="480" w:lineRule="auto"/>
              <w:jc w:val="center"/>
              <w:rPr>
                <w:rFonts w:ascii="Arial" w:hAnsi="Arial" w:cs="Arial"/>
                <w:color w:val="595959" w:themeColor="text1" w:themeTint="A6"/>
              </w:rPr>
            </w:pPr>
            <w:r w:rsidRPr="0054039C">
              <w:rPr>
                <w:rFonts w:ascii="Arial" w:hAnsi="Arial" w:cs="Arial"/>
                <w:color w:val="595959" w:themeColor="text1" w:themeTint="A6"/>
              </w:rPr>
              <w:t>6</w:t>
            </w:r>
          </w:p>
        </w:tc>
        <w:tc>
          <w:tcPr>
            <w:tcW w:w="3941" w:type="dxa"/>
          </w:tcPr>
          <w:p w14:paraId="2CE6B5E5" w14:textId="77777777" w:rsidR="0054039C" w:rsidRPr="0054039C" w:rsidRDefault="0054039C" w:rsidP="0054039C">
            <w:pPr>
              <w:spacing w:line="480" w:lineRule="auto"/>
              <w:jc w:val="center"/>
              <w:rPr>
                <w:rFonts w:ascii="Arial" w:hAnsi="Arial" w:cs="Arial"/>
                <w:color w:val="595959" w:themeColor="text1" w:themeTint="A6"/>
              </w:rPr>
            </w:pPr>
            <w:r w:rsidRPr="0054039C">
              <w:rPr>
                <w:rFonts w:ascii="Arial" w:hAnsi="Arial" w:cs="Arial"/>
                <w:color w:val="595959" w:themeColor="text1" w:themeTint="A6"/>
              </w:rPr>
              <w:t>70% IDA</w:t>
            </w:r>
          </w:p>
        </w:tc>
      </w:tr>
      <w:tr w:rsidR="0054039C" w:rsidRPr="0054039C" w14:paraId="48CB217D" w14:textId="77777777" w:rsidTr="0054039C">
        <w:trPr>
          <w:trHeight w:val="489"/>
        </w:trPr>
        <w:tc>
          <w:tcPr>
            <w:tcW w:w="1554" w:type="dxa"/>
          </w:tcPr>
          <w:p w14:paraId="1BE1BA5F" w14:textId="77777777" w:rsidR="0054039C" w:rsidRPr="0054039C" w:rsidRDefault="0054039C" w:rsidP="0054039C">
            <w:pPr>
              <w:spacing w:line="480" w:lineRule="auto"/>
              <w:jc w:val="center"/>
              <w:rPr>
                <w:rFonts w:ascii="Arial" w:hAnsi="Arial" w:cs="Arial"/>
                <w:color w:val="595959" w:themeColor="text1" w:themeTint="A6"/>
              </w:rPr>
            </w:pPr>
            <w:r w:rsidRPr="0054039C">
              <w:rPr>
                <w:rFonts w:ascii="Arial" w:hAnsi="Arial" w:cs="Arial"/>
                <w:color w:val="595959" w:themeColor="text1" w:themeTint="A6"/>
              </w:rPr>
              <w:t>7</w:t>
            </w:r>
          </w:p>
        </w:tc>
        <w:tc>
          <w:tcPr>
            <w:tcW w:w="3941" w:type="dxa"/>
          </w:tcPr>
          <w:p w14:paraId="3DB7A1E8" w14:textId="77777777" w:rsidR="0054039C" w:rsidRPr="0054039C" w:rsidRDefault="0054039C" w:rsidP="0054039C">
            <w:pPr>
              <w:spacing w:line="480" w:lineRule="auto"/>
              <w:jc w:val="center"/>
              <w:rPr>
                <w:rFonts w:ascii="Arial" w:hAnsi="Arial" w:cs="Arial"/>
                <w:color w:val="595959" w:themeColor="text1" w:themeTint="A6"/>
              </w:rPr>
            </w:pPr>
            <w:r w:rsidRPr="0054039C">
              <w:rPr>
                <w:rFonts w:ascii="Arial" w:hAnsi="Arial" w:cs="Arial"/>
                <w:color w:val="595959" w:themeColor="text1" w:themeTint="A6"/>
              </w:rPr>
              <w:t>Distilled water</w:t>
            </w:r>
          </w:p>
        </w:tc>
      </w:tr>
      <w:tr w:rsidR="0054039C" w:rsidRPr="0054039C" w14:paraId="56389C71" w14:textId="77777777" w:rsidTr="0054039C">
        <w:trPr>
          <w:trHeight w:val="504"/>
        </w:trPr>
        <w:tc>
          <w:tcPr>
            <w:tcW w:w="1554" w:type="dxa"/>
          </w:tcPr>
          <w:p w14:paraId="33D09AF1" w14:textId="77777777" w:rsidR="0054039C" w:rsidRPr="0054039C" w:rsidRDefault="0054039C" w:rsidP="0054039C">
            <w:pPr>
              <w:spacing w:line="480" w:lineRule="auto"/>
              <w:jc w:val="center"/>
              <w:rPr>
                <w:rFonts w:ascii="Arial" w:hAnsi="Arial" w:cs="Arial"/>
                <w:color w:val="595959" w:themeColor="text1" w:themeTint="A6"/>
              </w:rPr>
            </w:pPr>
            <w:r w:rsidRPr="0054039C">
              <w:rPr>
                <w:rFonts w:ascii="Arial" w:hAnsi="Arial" w:cs="Arial"/>
                <w:color w:val="595959" w:themeColor="text1" w:themeTint="A6"/>
              </w:rPr>
              <w:t>8</w:t>
            </w:r>
          </w:p>
        </w:tc>
        <w:tc>
          <w:tcPr>
            <w:tcW w:w="3941" w:type="dxa"/>
          </w:tcPr>
          <w:p w14:paraId="64D4E3EB" w14:textId="77777777" w:rsidR="0054039C" w:rsidRPr="0054039C" w:rsidRDefault="0054039C" w:rsidP="0054039C">
            <w:pPr>
              <w:spacing w:line="480" w:lineRule="auto"/>
              <w:jc w:val="center"/>
              <w:rPr>
                <w:rFonts w:ascii="Arial" w:hAnsi="Arial" w:cs="Arial"/>
                <w:color w:val="595959" w:themeColor="text1" w:themeTint="A6"/>
              </w:rPr>
            </w:pPr>
            <w:r w:rsidRPr="0054039C">
              <w:rPr>
                <w:rFonts w:ascii="Arial" w:hAnsi="Arial" w:cs="Arial"/>
                <w:color w:val="595959" w:themeColor="text1" w:themeTint="A6"/>
              </w:rPr>
              <w:t>Distilled water</w:t>
            </w:r>
          </w:p>
        </w:tc>
      </w:tr>
      <w:tr w:rsidR="0054039C" w:rsidRPr="0054039C" w14:paraId="76B0AB66" w14:textId="77777777" w:rsidTr="0054039C">
        <w:trPr>
          <w:trHeight w:val="489"/>
        </w:trPr>
        <w:tc>
          <w:tcPr>
            <w:tcW w:w="1554" w:type="dxa"/>
          </w:tcPr>
          <w:p w14:paraId="54D66E5F" w14:textId="77777777" w:rsidR="0054039C" w:rsidRPr="0054039C" w:rsidRDefault="0054039C" w:rsidP="0054039C">
            <w:pPr>
              <w:spacing w:line="480" w:lineRule="auto"/>
              <w:jc w:val="center"/>
              <w:rPr>
                <w:rFonts w:ascii="Arial" w:hAnsi="Arial" w:cs="Arial"/>
                <w:color w:val="595959" w:themeColor="text1" w:themeTint="A6"/>
              </w:rPr>
            </w:pPr>
            <w:r w:rsidRPr="0054039C">
              <w:rPr>
                <w:rFonts w:ascii="Arial" w:hAnsi="Arial" w:cs="Arial"/>
                <w:color w:val="595959" w:themeColor="text1" w:themeTint="A6"/>
              </w:rPr>
              <w:t>9</w:t>
            </w:r>
          </w:p>
        </w:tc>
        <w:tc>
          <w:tcPr>
            <w:tcW w:w="3941" w:type="dxa"/>
          </w:tcPr>
          <w:p w14:paraId="41550BC0" w14:textId="77777777" w:rsidR="0054039C" w:rsidRPr="0054039C" w:rsidRDefault="0054039C" w:rsidP="0054039C">
            <w:pPr>
              <w:spacing w:line="480" w:lineRule="auto"/>
              <w:jc w:val="center"/>
              <w:rPr>
                <w:rFonts w:ascii="Arial" w:hAnsi="Arial" w:cs="Arial"/>
                <w:color w:val="595959" w:themeColor="text1" w:themeTint="A6"/>
              </w:rPr>
            </w:pPr>
            <w:r w:rsidRPr="0054039C">
              <w:rPr>
                <w:rFonts w:ascii="Arial" w:hAnsi="Arial" w:cs="Arial"/>
                <w:color w:val="595959" w:themeColor="text1" w:themeTint="A6"/>
              </w:rPr>
              <w:t>Harris’ haematoxylin (Shandon)</w:t>
            </w:r>
          </w:p>
        </w:tc>
      </w:tr>
      <w:tr w:rsidR="0054039C" w:rsidRPr="0054039C" w14:paraId="21F7BF2C" w14:textId="77777777" w:rsidTr="0054039C">
        <w:trPr>
          <w:trHeight w:val="489"/>
        </w:trPr>
        <w:tc>
          <w:tcPr>
            <w:tcW w:w="1554" w:type="dxa"/>
          </w:tcPr>
          <w:p w14:paraId="72AC6269" w14:textId="77777777" w:rsidR="0054039C" w:rsidRPr="0054039C" w:rsidRDefault="0054039C" w:rsidP="0054039C">
            <w:pPr>
              <w:spacing w:line="480" w:lineRule="auto"/>
              <w:jc w:val="center"/>
              <w:rPr>
                <w:rFonts w:ascii="Arial" w:hAnsi="Arial" w:cs="Arial"/>
                <w:color w:val="595959" w:themeColor="text1" w:themeTint="A6"/>
              </w:rPr>
            </w:pPr>
            <w:r w:rsidRPr="0054039C">
              <w:rPr>
                <w:rFonts w:ascii="Arial" w:hAnsi="Arial" w:cs="Arial"/>
                <w:color w:val="595959" w:themeColor="text1" w:themeTint="A6"/>
              </w:rPr>
              <w:t>10</w:t>
            </w:r>
          </w:p>
        </w:tc>
        <w:tc>
          <w:tcPr>
            <w:tcW w:w="3941" w:type="dxa"/>
          </w:tcPr>
          <w:p w14:paraId="5A4847CF" w14:textId="77777777" w:rsidR="0054039C" w:rsidRPr="0054039C" w:rsidRDefault="0054039C" w:rsidP="0054039C">
            <w:pPr>
              <w:spacing w:line="480" w:lineRule="auto"/>
              <w:jc w:val="center"/>
              <w:rPr>
                <w:rFonts w:ascii="Arial" w:hAnsi="Arial" w:cs="Arial"/>
                <w:color w:val="595959" w:themeColor="text1" w:themeTint="A6"/>
              </w:rPr>
            </w:pPr>
            <w:r w:rsidRPr="0054039C">
              <w:rPr>
                <w:rFonts w:ascii="Arial" w:hAnsi="Arial" w:cs="Arial"/>
                <w:color w:val="595959" w:themeColor="text1" w:themeTint="A6"/>
              </w:rPr>
              <w:t>Harris’ haematoxylin (Shandon)</w:t>
            </w:r>
          </w:p>
        </w:tc>
      </w:tr>
      <w:tr w:rsidR="0054039C" w:rsidRPr="0054039C" w14:paraId="3D29B6FA" w14:textId="77777777" w:rsidTr="0054039C">
        <w:trPr>
          <w:trHeight w:val="504"/>
        </w:trPr>
        <w:tc>
          <w:tcPr>
            <w:tcW w:w="1554" w:type="dxa"/>
          </w:tcPr>
          <w:p w14:paraId="386DAED6" w14:textId="77777777" w:rsidR="0054039C" w:rsidRPr="0054039C" w:rsidRDefault="0054039C" w:rsidP="0054039C">
            <w:pPr>
              <w:spacing w:line="480" w:lineRule="auto"/>
              <w:jc w:val="center"/>
              <w:rPr>
                <w:rFonts w:ascii="Arial" w:hAnsi="Arial" w:cs="Arial"/>
                <w:color w:val="595959" w:themeColor="text1" w:themeTint="A6"/>
              </w:rPr>
            </w:pPr>
            <w:r w:rsidRPr="0054039C">
              <w:rPr>
                <w:rFonts w:ascii="Arial" w:hAnsi="Arial" w:cs="Arial"/>
                <w:color w:val="595959" w:themeColor="text1" w:themeTint="A6"/>
              </w:rPr>
              <w:t>11</w:t>
            </w:r>
          </w:p>
        </w:tc>
        <w:tc>
          <w:tcPr>
            <w:tcW w:w="3941" w:type="dxa"/>
          </w:tcPr>
          <w:p w14:paraId="62D915E4" w14:textId="77777777" w:rsidR="0054039C" w:rsidRPr="0054039C" w:rsidRDefault="0054039C" w:rsidP="0054039C">
            <w:pPr>
              <w:spacing w:line="480" w:lineRule="auto"/>
              <w:jc w:val="center"/>
              <w:rPr>
                <w:rFonts w:ascii="Arial" w:hAnsi="Arial" w:cs="Arial"/>
                <w:color w:val="595959" w:themeColor="text1" w:themeTint="A6"/>
              </w:rPr>
            </w:pPr>
            <w:r w:rsidRPr="0054039C">
              <w:rPr>
                <w:rFonts w:ascii="Arial" w:hAnsi="Arial" w:cs="Arial"/>
                <w:color w:val="595959" w:themeColor="text1" w:themeTint="A6"/>
              </w:rPr>
              <w:t>Harris’ haematoxylin (Shandon)</w:t>
            </w:r>
          </w:p>
        </w:tc>
      </w:tr>
      <w:tr w:rsidR="0054039C" w:rsidRPr="0054039C" w14:paraId="1B386EC8" w14:textId="77777777" w:rsidTr="0054039C">
        <w:trPr>
          <w:trHeight w:val="489"/>
        </w:trPr>
        <w:tc>
          <w:tcPr>
            <w:tcW w:w="1554" w:type="dxa"/>
          </w:tcPr>
          <w:p w14:paraId="045D64EC" w14:textId="77777777" w:rsidR="0054039C" w:rsidRPr="0054039C" w:rsidRDefault="0054039C" w:rsidP="0054039C">
            <w:pPr>
              <w:spacing w:line="480" w:lineRule="auto"/>
              <w:jc w:val="center"/>
              <w:rPr>
                <w:rFonts w:ascii="Arial" w:hAnsi="Arial" w:cs="Arial"/>
                <w:color w:val="595959" w:themeColor="text1" w:themeTint="A6"/>
              </w:rPr>
            </w:pPr>
            <w:r w:rsidRPr="0054039C">
              <w:rPr>
                <w:rFonts w:ascii="Arial" w:hAnsi="Arial" w:cs="Arial"/>
                <w:color w:val="595959" w:themeColor="text1" w:themeTint="A6"/>
              </w:rPr>
              <w:t>12</w:t>
            </w:r>
          </w:p>
        </w:tc>
        <w:tc>
          <w:tcPr>
            <w:tcW w:w="3941" w:type="dxa"/>
          </w:tcPr>
          <w:p w14:paraId="0DF56BE2" w14:textId="77777777" w:rsidR="0054039C" w:rsidRPr="0054039C" w:rsidRDefault="0054039C" w:rsidP="0054039C">
            <w:pPr>
              <w:spacing w:line="480" w:lineRule="auto"/>
              <w:jc w:val="center"/>
              <w:rPr>
                <w:rFonts w:ascii="Arial" w:hAnsi="Arial" w:cs="Arial"/>
                <w:color w:val="595959" w:themeColor="text1" w:themeTint="A6"/>
              </w:rPr>
            </w:pPr>
            <w:r w:rsidRPr="0054039C">
              <w:rPr>
                <w:rFonts w:ascii="Arial" w:hAnsi="Arial" w:cs="Arial"/>
                <w:color w:val="595959" w:themeColor="text1" w:themeTint="A6"/>
              </w:rPr>
              <w:t>Harris’ haematoxylin (Shandon)</w:t>
            </w:r>
          </w:p>
        </w:tc>
      </w:tr>
      <w:tr w:rsidR="0054039C" w:rsidRPr="0054039C" w14:paraId="610F899F" w14:textId="77777777" w:rsidTr="0054039C">
        <w:trPr>
          <w:trHeight w:val="504"/>
        </w:trPr>
        <w:tc>
          <w:tcPr>
            <w:tcW w:w="1554" w:type="dxa"/>
          </w:tcPr>
          <w:p w14:paraId="5EFEB28A" w14:textId="77777777" w:rsidR="0054039C" w:rsidRPr="0054039C" w:rsidRDefault="0054039C" w:rsidP="0054039C">
            <w:pPr>
              <w:spacing w:line="480" w:lineRule="auto"/>
              <w:jc w:val="center"/>
              <w:rPr>
                <w:rFonts w:ascii="Arial" w:hAnsi="Arial" w:cs="Arial"/>
                <w:color w:val="595959" w:themeColor="text1" w:themeTint="A6"/>
              </w:rPr>
            </w:pPr>
            <w:r w:rsidRPr="0054039C">
              <w:rPr>
                <w:rFonts w:ascii="Arial" w:hAnsi="Arial" w:cs="Arial"/>
                <w:color w:val="595959" w:themeColor="text1" w:themeTint="A6"/>
              </w:rPr>
              <w:t>13</w:t>
            </w:r>
          </w:p>
        </w:tc>
        <w:tc>
          <w:tcPr>
            <w:tcW w:w="3941" w:type="dxa"/>
          </w:tcPr>
          <w:p w14:paraId="6C1447B3" w14:textId="77777777" w:rsidR="0054039C" w:rsidRPr="0054039C" w:rsidRDefault="0054039C" w:rsidP="0054039C">
            <w:pPr>
              <w:spacing w:line="480" w:lineRule="auto"/>
              <w:jc w:val="center"/>
              <w:rPr>
                <w:rFonts w:ascii="Arial" w:hAnsi="Arial" w:cs="Arial"/>
                <w:color w:val="595959" w:themeColor="text1" w:themeTint="A6"/>
              </w:rPr>
            </w:pPr>
            <w:r w:rsidRPr="0054039C">
              <w:rPr>
                <w:rFonts w:ascii="Arial" w:hAnsi="Arial" w:cs="Arial"/>
                <w:color w:val="595959" w:themeColor="text1" w:themeTint="A6"/>
              </w:rPr>
              <w:t>Running tap water</w:t>
            </w:r>
          </w:p>
        </w:tc>
      </w:tr>
      <w:tr w:rsidR="0054039C" w:rsidRPr="0054039C" w14:paraId="12C042FF" w14:textId="77777777" w:rsidTr="0054039C">
        <w:trPr>
          <w:trHeight w:val="489"/>
        </w:trPr>
        <w:tc>
          <w:tcPr>
            <w:tcW w:w="1554" w:type="dxa"/>
          </w:tcPr>
          <w:p w14:paraId="2C1F92AC" w14:textId="77777777" w:rsidR="0054039C" w:rsidRPr="0054039C" w:rsidRDefault="0054039C" w:rsidP="0054039C">
            <w:pPr>
              <w:spacing w:line="480" w:lineRule="auto"/>
              <w:jc w:val="center"/>
              <w:rPr>
                <w:rFonts w:ascii="Arial" w:hAnsi="Arial" w:cs="Arial"/>
                <w:color w:val="595959" w:themeColor="text1" w:themeTint="A6"/>
              </w:rPr>
            </w:pPr>
            <w:r w:rsidRPr="0054039C">
              <w:rPr>
                <w:rFonts w:ascii="Arial" w:hAnsi="Arial" w:cs="Arial"/>
                <w:color w:val="595959" w:themeColor="text1" w:themeTint="A6"/>
              </w:rPr>
              <w:t>14</w:t>
            </w:r>
          </w:p>
        </w:tc>
        <w:tc>
          <w:tcPr>
            <w:tcW w:w="3941" w:type="dxa"/>
          </w:tcPr>
          <w:p w14:paraId="524A9844" w14:textId="77777777" w:rsidR="0054039C" w:rsidRPr="0054039C" w:rsidRDefault="0054039C" w:rsidP="0054039C">
            <w:pPr>
              <w:spacing w:line="480" w:lineRule="auto"/>
              <w:jc w:val="center"/>
              <w:rPr>
                <w:rFonts w:ascii="Arial" w:hAnsi="Arial" w:cs="Arial"/>
                <w:color w:val="595959" w:themeColor="text1" w:themeTint="A6"/>
              </w:rPr>
            </w:pPr>
            <w:r w:rsidRPr="0054039C">
              <w:rPr>
                <w:rFonts w:ascii="Arial" w:hAnsi="Arial" w:cs="Arial"/>
                <w:color w:val="595959" w:themeColor="text1" w:themeTint="A6"/>
              </w:rPr>
              <w:t>0.1% acid alcohol</w:t>
            </w:r>
          </w:p>
        </w:tc>
      </w:tr>
      <w:tr w:rsidR="0054039C" w:rsidRPr="0054039C" w14:paraId="5846019B" w14:textId="77777777" w:rsidTr="0054039C">
        <w:trPr>
          <w:trHeight w:val="489"/>
        </w:trPr>
        <w:tc>
          <w:tcPr>
            <w:tcW w:w="1554" w:type="dxa"/>
          </w:tcPr>
          <w:p w14:paraId="74D6DF64" w14:textId="77777777" w:rsidR="0054039C" w:rsidRPr="0054039C" w:rsidRDefault="0054039C" w:rsidP="0054039C">
            <w:pPr>
              <w:spacing w:line="480" w:lineRule="auto"/>
              <w:jc w:val="center"/>
              <w:rPr>
                <w:rFonts w:ascii="Arial" w:hAnsi="Arial" w:cs="Arial"/>
                <w:color w:val="595959" w:themeColor="text1" w:themeTint="A6"/>
              </w:rPr>
            </w:pPr>
            <w:r w:rsidRPr="0054039C">
              <w:rPr>
                <w:rFonts w:ascii="Arial" w:hAnsi="Arial" w:cs="Arial"/>
                <w:color w:val="595959" w:themeColor="text1" w:themeTint="A6"/>
              </w:rPr>
              <w:t>15</w:t>
            </w:r>
          </w:p>
        </w:tc>
        <w:tc>
          <w:tcPr>
            <w:tcW w:w="3941" w:type="dxa"/>
          </w:tcPr>
          <w:p w14:paraId="7244E65A" w14:textId="77777777" w:rsidR="0054039C" w:rsidRPr="0054039C" w:rsidRDefault="0054039C" w:rsidP="0054039C">
            <w:pPr>
              <w:spacing w:line="480" w:lineRule="auto"/>
              <w:jc w:val="center"/>
              <w:rPr>
                <w:rFonts w:ascii="Arial" w:hAnsi="Arial" w:cs="Arial"/>
                <w:color w:val="595959" w:themeColor="text1" w:themeTint="A6"/>
              </w:rPr>
            </w:pPr>
            <w:r w:rsidRPr="0054039C">
              <w:rPr>
                <w:rFonts w:ascii="Arial" w:hAnsi="Arial" w:cs="Arial"/>
                <w:color w:val="595959" w:themeColor="text1" w:themeTint="A6"/>
              </w:rPr>
              <w:t>Running tap water</w:t>
            </w:r>
          </w:p>
        </w:tc>
      </w:tr>
      <w:tr w:rsidR="0054039C" w:rsidRPr="0054039C" w14:paraId="60F0B2D7" w14:textId="77777777" w:rsidTr="0054039C">
        <w:trPr>
          <w:trHeight w:val="504"/>
        </w:trPr>
        <w:tc>
          <w:tcPr>
            <w:tcW w:w="1554" w:type="dxa"/>
          </w:tcPr>
          <w:p w14:paraId="10B87B57" w14:textId="77777777" w:rsidR="0054039C" w:rsidRPr="0054039C" w:rsidRDefault="0054039C" w:rsidP="0054039C">
            <w:pPr>
              <w:spacing w:line="480" w:lineRule="auto"/>
              <w:jc w:val="center"/>
              <w:rPr>
                <w:rFonts w:ascii="Arial" w:hAnsi="Arial" w:cs="Arial"/>
                <w:color w:val="595959" w:themeColor="text1" w:themeTint="A6"/>
              </w:rPr>
            </w:pPr>
            <w:r w:rsidRPr="0054039C">
              <w:rPr>
                <w:rFonts w:ascii="Arial" w:hAnsi="Arial" w:cs="Arial"/>
                <w:color w:val="595959" w:themeColor="text1" w:themeTint="A6"/>
              </w:rPr>
              <w:t>16</w:t>
            </w:r>
          </w:p>
        </w:tc>
        <w:tc>
          <w:tcPr>
            <w:tcW w:w="3941" w:type="dxa"/>
          </w:tcPr>
          <w:p w14:paraId="10607EE4" w14:textId="77777777" w:rsidR="0054039C" w:rsidRPr="0054039C" w:rsidRDefault="0054039C" w:rsidP="0054039C">
            <w:pPr>
              <w:spacing w:line="480" w:lineRule="auto"/>
              <w:jc w:val="center"/>
              <w:rPr>
                <w:rFonts w:ascii="Arial" w:hAnsi="Arial" w:cs="Arial"/>
                <w:color w:val="595959" w:themeColor="text1" w:themeTint="A6"/>
              </w:rPr>
            </w:pPr>
            <w:r w:rsidRPr="0054039C">
              <w:rPr>
                <w:rFonts w:ascii="Arial" w:hAnsi="Arial" w:cs="Arial"/>
                <w:color w:val="595959" w:themeColor="text1" w:themeTint="A6"/>
              </w:rPr>
              <w:t>Scott’s Tap water substitute</w:t>
            </w:r>
          </w:p>
        </w:tc>
      </w:tr>
      <w:tr w:rsidR="0054039C" w:rsidRPr="0054039C" w14:paraId="4F5C2876" w14:textId="77777777" w:rsidTr="0054039C">
        <w:trPr>
          <w:trHeight w:val="489"/>
        </w:trPr>
        <w:tc>
          <w:tcPr>
            <w:tcW w:w="1554" w:type="dxa"/>
          </w:tcPr>
          <w:p w14:paraId="0D09BCEC" w14:textId="77777777" w:rsidR="0054039C" w:rsidRPr="0054039C" w:rsidRDefault="0054039C" w:rsidP="0054039C">
            <w:pPr>
              <w:spacing w:line="480" w:lineRule="auto"/>
              <w:jc w:val="center"/>
              <w:rPr>
                <w:rFonts w:ascii="Arial" w:hAnsi="Arial" w:cs="Arial"/>
                <w:color w:val="595959" w:themeColor="text1" w:themeTint="A6"/>
              </w:rPr>
            </w:pPr>
            <w:r w:rsidRPr="0054039C">
              <w:rPr>
                <w:rFonts w:ascii="Arial" w:hAnsi="Arial" w:cs="Arial"/>
                <w:color w:val="595959" w:themeColor="text1" w:themeTint="A6"/>
              </w:rPr>
              <w:t>17</w:t>
            </w:r>
          </w:p>
        </w:tc>
        <w:tc>
          <w:tcPr>
            <w:tcW w:w="3941" w:type="dxa"/>
          </w:tcPr>
          <w:p w14:paraId="49A162E8" w14:textId="77777777" w:rsidR="0054039C" w:rsidRPr="0054039C" w:rsidRDefault="0054039C" w:rsidP="0054039C">
            <w:pPr>
              <w:spacing w:line="480" w:lineRule="auto"/>
              <w:jc w:val="center"/>
              <w:rPr>
                <w:rFonts w:ascii="Arial" w:hAnsi="Arial" w:cs="Arial"/>
                <w:color w:val="595959" w:themeColor="text1" w:themeTint="A6"/>
              </w:rPr>
            </w:pPr>
            <w:r w:rsidRPr="0054039C">
              <w:rPr>
                <w:rFonts w:ascii="Arial" w:hAnsi="Arial" w:cs="Arial"/>
                <w:color w:val="595959" w:themeColor="text1" w:themeTint="A6"/>
              </w:rPr>
              <w:t>Running tap water</w:t>
            </w:r>
          </w:p>
        </w:tc>
      </w:tr>
      <w:tr w:rsidR="0054039C" w:rsidRPr="0054039C" w14:paraId="731211D3" w14:textId="77777777" w:rsidTr="0054039C">
        <w:trPr>
          <w:trHeight w:val="504"/>
        </w:trPr>
        <w:tc>
          <w:tcPr>
            <w:tcW w:w="1554" w:type="dxa"/>
          </w:tcPr>
          <w:p w14:paraId="1D8909F7" w14:textId="77777777" w:rsidR="0054039C" w:rsidRPr="0054039C" w:rsidRDefault="0054039C" w:rsidP="0054039C">
            <w:pPr>
              <w:spacing w:line="480" w:lineRule="auto"/>
              <w:jc w:val="center"/>
              <w:rPr>
                <w:rFonts w:ascii="Arial" w:hAnsi="Arial" w:cs="Arial"/>
                <w:color w:val="595959" w:themeColor="text1" w:themeTint="A6"/>
              </w:rPr>
            </w:pPr>
            <w:r w:rsidRPr="0054039C">
              <w:rPr>
                <w:rFonts w:ascii="Arial" w:hAnsi="Arial" w:cs="Arial"/>
                <w:color w:val="595959" w:themeColor="text1" w:themeTint="A6"/>
              </w:rPr>
              <w:t>18</w:t>
            </w:r>
          </w:p>
        </w:tc>
        <w:tc>
          <w:tcPr>
            <w:tcW w:w="3941" w:type="dxa"/>
          </w:tcPr>
          <w:p w14:paraId="2D500D11" w14:textId="77777777" w:rsidR="0054039C" w:rsidRPr="0054039C" w:rsidRDefault="0054039C" w:rsidP="0054039C">
            <w:pPr>
              <w:spacing w:line="480" w:lineRule="auto"/>
              <w:jc w:val="center"/>
              <w:rPr>
                <w:rFonts w:ascii="Arial" w:hAnsi="Arial" w:cs="Arial"/>
                <w:color w:val="595959" w:themeColor="text1" w:themeTint="A6"/>
              </w:rPr>
            </w:pPr>
            <w:r w:rsidRPr="0054039C">
              <w:rPr>
                <w:rFonts w:ascii="Arial" w:hAnsi="Arial" w:cs="Arial"/>
                <w:color w:val="595959" w:themeColor="text1" w:themeTint="A6"/>
              </w:rPr>
              <w:t>Eosin Y- aqueous (Shandon)</w:t>
            </w:r>
          </w:p>
        </w:tc>
      </w:tr>
      <w:tr w:rsidR="0054039C" w:rsidRPr="0054039C" w14:paraId="399D92BC" w14:textId="77777777" w:rsidTr="0054039C">
        <w:trPr>
          <w:trHeight w:val="489"/>
        </w:trPr>
        <w:tc>
          <w:tcPr>
            <w:tcW w:w="1554" w:type="dxa"/>
          </w:tcPr>
          <w:p w14:paraId="1742C4E4" w14:textId="77777777" w:rsidR="0054039C" w:rsidRPr="0054039C" w:rsidRDefault="0054039C" w:rsidP="0054039C">
            <w:pPr>
              <w:spacing w:line="480" w:lineRule="auto"/>
              <w:jc w:val="center"/>
              <w:rPr>
                <w:rFonts w:ascii="Arial" w:hAnsi="Arial" w:cs="Arial"/>
                <w:color w:val="595959" w:themeColor="text1" w:themeTint="A6"/>
              </w:rPr>
            </w:pPr>
            <w:r w:rsidRPr="0054039C">
              <w:rPr>
                <w:rFonts w:ascii="Arial" w:hAnsi="Arial" w:cs="Arial"/>
                <w:color w:val="595959" w:themeColor="text1" w:themeTint="A6"/>
              </w:rPr>
              <w:t>19</w:t>
            </w:r>
          </w:p>
        </w:tc>
        <w:tc>
          <w:tcPr>
            <w:tcW w:w="3941" w:type="dxa"/>
          </w:tcPr>
          <w:p w14:paraId="77880E68" w14:textId="77777777" w:rsidR="0054039C" w:rsidRPr="0054039C" w:rsidRDefault="0054039C" w:rsidP="0054039C">
            <w:pPr>
              <w:spacing w:line="480" w:lineRule="auto"/>
              <w:jc w:val="center"/>
              <w:rPr>
                <w:rFonts w:ascii="Arial" w:hAnsi="Arial" w:cs="Arial"/>
                <w:color w:val="595959" w:themeColor="text1" w:themeTint="A6"/>
              </w:rPr>
            </w:pPr>
            <w:r w:rsidRPr="0054039C">
              <w:rPr>
                <w:rFonts w:ascii="Arial" w:hAnsi="Arial" w:cs="Arial"/>
                <w:color w:val="595959" w:themeColor="text1" w:themeTint="A6"/>
              </w:rPr>
              <w:t>Eosin Y- aqueous (Shandon)</w:t>
            </w:r>
          </w:p>
        </w:tc>
      </w:tr>
      <w:tr w:rsidR="0054039C" w:rsidRPr="0054039C" w14:paraId="3A69B71F" w14:textId="77777777" w:rsidTr="0054039C">
        <w:trPr>
          <w:trHeight w:val="504"/>
        </w:trPr>
        <w:tc>
          <w:tcPr>
            <w:tcW w:w="1554" w:type="dxa"/>
          </w:tcPr>
          <w:p w14:paraId="6D12FFF3" w14:textId="77777777" w:rsidR="0054039C" w:rsidRPr="0054039C" w:rsidRDefault="0054039C" w:rsidP="0054039C">
            <w:pPr>
              <w:spacing w:line="480" w:lineRule="auto"/>
              <w:jc w:val="center"/>
              <w:rPr>
                <w:rFonts w:ascii="Arial" w:hAnsi="Arial" w:cs="Arial"/>
                <w:color w:val="595959" w:themeColor="text1" w:themeTint="A6"/>
              </w:rPr>
            </w:pPr>
            <w:r w:rsidRPr="0054039C">
              <w:rPr>
                <w:rFonts w:ascii="Arial" w:hAnsi="Arial" w:cs="Arial"/>
                <w:color w:val="595959" w:themeColor="text1" w:themeTint="A6"/>
              </w:rPr>
              <w:lastRenderedPageBreak/>
              <w:t>20</w:t>
            </w:r>
          </w:p>
        </w:tc>
        <w:tc>
          <w:tcPr>
            <w:tcW w:w="3941" w:type="dxa"/>
          </w:tcPr>
          <w:p w14:paraId="0CF1FC53" w14:textId="77777777" w:rsidR="0054039C" w:rsidRPr="0054039C" w:rsidRDefault="0054039C" w:rsidP="0054039C">
            <w:pPr>
              <w:spacing w:line="480" w:lineRule="auto"/>
              <w:jc w:val="center"/>
              <w:rPr>
                <w:rFonts w:ascii="Arial" w:hAnsi="Arial" w:cs="Arial"/>
                <w:color w:val="595959" w:themeColor="text1" w:themeTint="A6"/>
              </w:rPr>
            </w:pPr>
            <w:r w:rsidRPr="0054039C">
              <w:rPr>
                <w:rFonts w:ascii="Arial" w:hAnsi="Arial" w:cs="Arial"/>
                <w:color w:val="595959" w:themeColor="text1" w:themeTint="A6"/>
              </w:rPr>
              <w:t>Eosin Y- aqueous (Shandon)</w:t>
            </w:r>
          </w:p>
        </w:tc>
      </w:tr>
      <w:tr w:rsidR="0054039C" w:rsidRPr="0054039C" w14:paraId="22F5C606" w14:textId="77777777" w:rsidTr="0054039C">
        <w:trPr>
          <w:trHeight w:val="489"/>
        </w:trPr>
        <w:tc>
          <w:tcPr>
            <w:tcW w:w="1554" w:type="dxa"/>
          </w:tcPr>
          <w:p w14:paraId="04A2F83B" w14:textId="77777777" w:rsidR="0054039C" w:rsidRPr="0054039C" w:rsidRDefault="0054039C" w:rsidP="0054039C">
            <w:pPr>
              <w:spacing w:line="480" w:lineRule="auto"/>
              <w:jc w:val="center"/>
              <w:rPr>
                <w:rFonts w:ascii="Arial" w:hAnsi="Arial" w:cs="Arial"/>
                <w:color w:val="595959" w:themeColor="text1" w:themeTint="A6"/>
              </w:rPr>
            </w:pPr>
            <w:r w:rsidRPr="0054039C">
              <w:rPr>
                <w:rFonts w:ascii="Arial" w:hAnsi="Arial" w:cs="Arial"/>
                <w:color w:val="595959" w:themeColor="text1" w:themeTint="A6"/>
              </w:rPr>
              <w:t>21</w:t>
            </w:r>
          </w:p>
        </w:tc>
        <w:tc>
          <w:tcPr>
            <w:tcW w:w="3941" w:type="dxa"/>
          </w:tcPr>
          <w:p w14:paraId="7B19AC59" w14:textId="77777777" w:rsidR="0054039C" w:rsidRPr="0054039C" w:rsidRDefault="0054039C" w:rsidP="0054039C">
            <w:pPr>
              <w:spacing w:line="480" w:lineRule="auto"/>
              <w:jc w:val="center"/>
              <w:rPr>
                <w:rFonts w:ascii="Arial" w:hAnsi="Arial" w:cs="Arial"/>
                <w:color w:val="595959" w:themeColor="text1" w:themeTint="A6"/>
              </w:rPr>
            </w:pPr>
            <w:r w:rsidRPr="0054039C">
              <w:rPr>
                <w:rFonts w:ascii="Arial" w:hAnsi="Arial" w:cs="Arial"/>
                <w:color w:val="595959" w:themeColor="text1" w:themeTint="A6"/>
              </w:rPr>
              <w:t>Running tap water</w:t>
            </w:r>
          </w:p>
        </w:tc>
      </w:tr>
      <w:tr w:rsidR="0054039C" w:rsidRPr="0054039C" w14:paraId="5D980E6A" w14:textId="77777777" w:rsidTr="0054039C">
        <w:trPr>
          <w:trHeight w:val="504"/>
        </w:trPr>
        <w:tc>
          <w:tcPr>
            <w:tcW w:w="1554" w:type="dxa"/>
          </w:tcPr>
          <w:p w14:paraId="49BA990A" w14:textId="77777777" w:rsidR="0054039C" w:rsidRPr="0054039C" w:rsidRDefault="0054039C" w:rsidP="0054039C">
            <w:pPr>
              <w:spacing w:line="480" w:lineRule="auto"/>
              <w:jc w:val="center"/>
              <w:rPr>
                <w:rFonts w:ascii="Arial" w:hAnsi="Arial" w:cs="Arial"/>
                <w:color w:val="595959" w:themeColor="text1" w:themeTint="A6"/>
              </w:rPr>
            </w:pPr>
            <w:r w:rsidRPr="0054039C">
              <w:rPr>
                <w:rFonts w:ascii="Arial" w:hAnsi="Arial" w:cs="Arial"/>
                <w:color w:val="595959" w:themeColor="text1" w:themeTint="A6"/>
              </w:rPr>
              <w:t>22</w:t>
            </w:r>
          </w:p>
        </w:tc>
        <w:tc>
          <w:tcPr>
            <w:tcW w:w="3941" w:type="dxa"/>
          </w:tcPr>
          <w:p w14:paraId="168DEBB4" w14:textId="77777777" w:rsidR="0054039C" w:rsidRPr="0054039C" w:rsidRDefault="0054039C" w:rsidP="0054039C">
            <w:pPr>
              <w:spacing w:line="480" w:lineRule="auto"/>
              <w:jc w:val="center"/>
              <w:rPr>
                <w:rFonts w:ascii="Arial" w:hAnsi="Arial" w:cs="Arial"/>
                <w:color w:val="595959" w:themeColor="text1" w:themeTint="A6"/>
              </w:rPr>
            </w:pPr>
            <w:r w:rsidRPr="0054039C">
              <w:rPr>
                <w:rFonts w:ascii="Arial" w:hAnsi="Arial" w:cs="Arial"/>
                <w:color w:val="595959" w:themeColor="text1" w:themeTint="A6"/>
              </w:rPr>
              <w:t>99% IDA</w:t>
            </w:r>
          </w:p>
        </w:tc>
      </w:tr>
      <w:tr w:rsidR="0054039C" w:rsidRPr="0054039C" w14:paraId="13878DD5" w14:textId="77777777" w:rsidTr="0054039C">
        <w:trPr>
          <w:trHeight w:val="489"/>
        </w:trPr>
        <w:tc>
          <w:tcPr>
            <w:tcW w:w="1554" w:type="dxa"/>
          </w:tcPr>
          <w:p w14:paraId="2D6DD0ED" w14:textId="77777777" w:rsidR="0054039C" w:rsidRPr="0054039C" w:rsidRDefault="0054039C" w:rsidP="0054039C">
            <w:pPr>
              <w:spacing w:line="480" w:lineRule="auto"/>
              <w:jc w:val="center"/>
              <w:rPr>
                <w:rFonts w:ascii="Arial" w:hAnsi="Arial" w:cs="Arial"/>
                <w:color w:val="595959" w:themeColor="text1" w:themeTint="A6"/>
              </w:rPr>
            </w:pPr>
            <w:r w:rsidRPr="0054039C">
              <w:rPr>
                <w:rFonts w:ascii="Arial" w:hAnsi="Arial" w:cs="Arial"/>
                <w:color w:val="595959" w:themeColor="text1" w:themeTint="A6"/>
              </w:rPr>
              <w:t>23</w:t>
            </w:r>
          </w:p>
        </w:tc>
        <w:tc>
          <w:tcPr>
            <w:tcW w:w="3941" w:type="dxa"/>
          </w:tcPr>
          <w:p w14:paraId="68F4D475" w14:textId="77777777" w:rsidR="0054039C" w:rsidRPr="0054039C" w:rsidRDefault="0054039C" w:rsidP="0054039C">
            <w:pPr>
              <w:spacing w:line="480" w:lineRule="auto"/>
              <w:jc w:val="center"/>
              <w:rPr>
                <w:rFonts w:ascii="Arial" w:hAnsi="Arial" w:cs="Arial"/>
                <w:color w:val="595959" w:themeColor="text1" w:themeTint="A6"/>
              </w:rPr>
            </w:pPr>
            <w:r w:rsidRPr="0054039C">
              <w:rPr>
                <w:rFonts w:ascii="Arial" w:hAnsi="Arial" w:cs="Arial"/>
                <w:color w:val="595959" w:themeColor="text1" w:themeTint="A6"/>
              </w:rPr>
              <w:t>99% IDA</w:t>
            </w:r>
          </w:p>
        </w:tc>
      </w:tr>
      <w:tr w:rsidR="0054039C" w:rsidRPr="0054039C" w14:paraId="4468162D" w14:textId="77777777" w:rsidTr="0054039C">
        <w:trPr>
          <w:trHeight w:val="504"/>
        </w:trPr>
        <w:tc>
          <w:tcPr>
            <w:tcW w:w="1554" w:type="dxa"/>
          </w:tcPr>
          <w:p w14:paraId="5258EB7C" w14:textId="77777777" w:rsidR="0054039C" w:rsidRPr="0054039C" w:rsidRDefault="0054039C" w:rsidP="0054039C">
            <w:pPr>
              <w:spacing w:line="480" w:lineRule="auto"/>
              <w:jc w:val="center"/>
              <w:rPr>
                <w:rFonts w:ascii="Arial" w:hAnsi="Arial" w:cs="Arial"/>
                <w:color w:val="595959" w:themeColor="text1" w:themeTint="A6"/>
              </w:rPr>
            </w:pPr>
            <w:r w:rsidRPr="0054039C">
              <w:rPr>
                <w:rFonts w:ascii="Arial" w:hAnsi="Arial" w:cs="Arial"/>
                <w:color w:val="595959" w:themeColor="text1" w:themeTint="A6"/>
              </w:rPr>
              <w:t>24</w:t>
            </w:r>
          </w:p>
        </w:tc>
        <w:tc>
          <w:tcPr>
            <w:tcW w:w="3941" w:type="dxa"/>
          </w:tcPr>
          <w:p w14:paraId="384EDC59" w14:textId="77777777" w:rsidR="0054039C" w:rsidRPr="0054039C" w:rsidRDefault="0054039C" w:rsidP="0054039C">
            <w:pPr>
              <w:spacing w:line="480" w:lineRule="auto"/>
              <w:jc w:val="center"/>
              <w:rPr>
                <w:rFonts w:ascii="Arial" w:hAnsi="Arial" w:cs="Arial"/>
                <w:color w:val="595959" w:themeColor="text1" w:themeTint="A6"/>
              </w:rPr>
            </w:pPr>
            <w:r w:rsidRPr="0054039C">
              <w:rPr>
                <w:rFonts w:ascii="Arial" w:hAnsi="Arial" w:cs="Arial"/>
                <w:color w:val="595959" w:themeColor="text1" w:themeTint="A6"/>
              </w:rPr>
              <w:t>99% IDA</w:t>
            </w:r>
          </w:p>
        </w:tc>
      </w:tr>
      <w:tr w:rsidR="0054039C" w:rsidRPr="0054039C" w14:paraId="42A3183D" w14:textId="77777777" w:rsidTr="0054039C">
        <w:trPr>
          <w:trHeight w:val="489"/>
        </w:trPr>
        <w:tc>
          <w:tcPr>
            <w:tcW w:w="1554" w:type="dxa"/>
          </w:tcPr>
          <w:p w14:paraId="6827A000" w14:textId="77777777" w:rsidR="0054039C" w:rsidRPr="0054039C" w:rsidRDefault="0054039C" w:rsidP="0054039C">
            <w:pPr>
              <w:spacing w:line="480" w:lineRule="auto"/>
              <w:jc w:val="center"/>
              <w:rPr>
                <w:rFonts w:ascii="Arial" w:hAnsi="Arial" w:cs="Arial"/>
                <w:color w:val="595959" w:themeColor="text1" w:themeTint="A6"/>
              </w:rPr>
            </w:pPr>
            <w:r w:rsidRPr="0054039C">
              <w:rPr>
                <w:rFonts w:ascii="Arial" w:hAnsi="Arial" w:cs="Arial"/>
                <w:color w:val="595959" w:themeColor="text1" w:themeTint="A6"/>
              </w:rPr>
              <w:t>25</w:t>
            </w:r>
          </w:p>
        </w:tc>
        <w:tc>
          <w:tcPr>
            <w:tcW w:w="3941" w:type="dxa"/>
          </w:tcPr>
          <w:p w14:paraId="5332102B" w14:textId="77777777" w:rsidR="0054039C" w:rsidRPr="0054039C" w:rsidRDefault="0054039C" w:rsidP="0054039C">
            <w:pPr>
              <w:spacing w:line="480" w:lineRule="auto"/>
              <w:jc w:val="center"/>
              <w:rPr>
                <w:rFonts w:ascii="Arial" w:hAnsi="Arial" w:cs="Arial"/>
                <w:color w:val="595959" w:themeColor="text1" w:themeTint="A6"/>
              </w:rPr>
            </w:pPr>
            <w:r w:rsidRPr="0054039C">
              <w:rPr>
                <w:rFonts w:ascii="Arial" w:hAnsi="Arial" w:cs="Arial"/>
                <w:color w:val="595959" w:themeColor="text1" w:themeTint="A6"/>
              </w:rPr>
              <w:t>Xylene</w:t>
            </w:r>
          </w:p>
        </w:tc>
      </w:tr>
      <w:tr w:rsidR="0054039C" w:rsidRPr="0054039C" w14:paraId="2D417C30" w14:textId="77777777" w:rsidTr="0054039C">
        <w:trPr>
          <w:trHeight w:val="489"/>
        </w:trPr>
        <w:tc>
          <w:tcPr>
            <w:tcW w:w="1554" w:type="dxa"/>
          </w:tcPr>
          <w:p w14:paraId="05E5B51B" w14:textId="77777777" w:rsidR="0054039C" w:rsidRPr="0054039C" w:rsidRDefault="0054039C" w:rsidP="0054039C">
            <w:pPr>
              <w:spacing w:line="480" w:lineRule="auto"/>
              <w:jc w:val="center"/>
              <w:rPr>
                <w:rFonts w:ascii="Arial" w:hAnsi="Arial" w:cs="Arial"/>
                <w:color w:val="595959" w:themeColor="text1" w:themeTint="A6"/>
              </w:rPr>
            </w:pPr>
            <w:r w:rsidRPr="0054039C">
              <w:rPr>
                <w:rFonts w:ascii="Arial" w:hAnsi="Arial" w:cs="Arial"/>
                <w:color w:val="595959" w:themeColor="text1" w:themeTint="A6"/>
              </w:rPr>
              <w:t>26</w:t>
            </w:r>
          </w:p>
        </w:tc>
        <w:tc>
          <w:tcPr>
            <w:tcW w:w="3941" w:type="dxa"/>
          </w:tcPr>
          <w:p w14:paraId="58617139" w14:textId="77777777" w:rsidR="0054039C" w:rsidRPr="0054039C" w:rsidRDefault="0054039C" w:rsidP="0054039C">
            <w:pPr>
              <w:spacing w:line="480" w:lineRule="auto"/>
              <w:jc w:val="center"/>
              <w:rPr>
                <w:rFonts w:ascii="Arial" w:hAnsi="Arial" w:cs="Arial"/>
                <w:color w:val="595959" w:themeColor="text1" w:themeTint="A6"/>
              </w:rPr>
            </w:pPr>
            <w:r w:rsidRPr="0054039C">
              <w:rPr>
                <w:rFonts w:ascii="Arial" w:hAnsi="Arial" w:cs="Arial"/>
                <w:color w:val="595959" w:themeColor="text1" w:themeTint="A6"/>
              </w:rPr>
              <w:t>Xylene</w:t>
            </w:r>
          </w:p>
        </w:tc>
      </w:tr>
      <w:tr w:rsidR="0054039C" w:rsidRPr="0054039C" w14:paraId="53E25020" w14:textId="77777777" w:rsidTr="0054039C">
        <w:trPr>
          <w:trHeight w:val="504"/>
        </w:trPr>
        <w:tc>
          <w:tcPr>
            <w:tcW w:w="1554" w:type="dxa"/>
          </w:tcPr>
          <w:p w14:paraId="4446072B" w14:textId="77777777" w:rsidR="0054039C" w:rsidRPr="0054039C" w:rsidRDefault="0054039C" w:rsidP="0054039C">
            <w:pPr>
              <w:spacing w:line="480" w:lineRule="auto"/>
              <w:jc w:val="center"/>
              <w:rPr>
                <w:rFonts w:ascii="Arial" w:hAnsi="Arial" w:cs="Arial"/>
                <w:color w:val="595959" w:themeColor="text1" w:themeTint="A6"/>
              </w:rPr>
            </w:pPr>
            <w:r w:rsidRPr="0054039C">
              <w:rPr>
                <w:rFonts w:ascii="Arial" w:hAnsi="Arial" w:cs="Arial"/>
                <w:color w:val="595959" w:themeColor="text1" w:themeTint="A6"/>
              </w:rPr>
              <w:t>27</w:t>
            </w:r>
          </w:p>
        </w:tc>
        <w:tc>
          <w:tcPr>
            <w:tcW w:w="3941" w:type="dxa"/>
          </w:tcPr>
          <w:p w14:paraId="4D8DCC45" w14:textId="77777777" w:rsidR="0054039C" w:rsidRPr="0054039C" w:rsidRDefault="0054039C" w:rsidP="0054039C">
            <w:pPr>
              <w:spacing w:line="480" w:lineRule="auto"/>
              <w:jc w:val="center"/>
              <w:rPr>
                <w:rFonts w:ascii="Arial" w:hAnsi="Arial" w:cs="Arial"/>
                <w:color w:val="595959" w:themeColor="text1" w:themeTint="A6"/>
              </w:rPr>
            </w:pPr>
            <w:r w:rsidRPr="0054039C">
              <w:rPr>
                <w:rFonts w:ascii="Arial" w:hAnsi="Arial" w:cs="Arial"/>
                <w:color w:val="595959" w:themeColor="text1" w:themeTint="A6"/>
              </w:rPr>
              <w:t>Xylene</w:t>
            </w:r>
          </w:p>
        </w:tc>
      </w:tr>
      <w:tr w:rsidR="0054039C" w:rsidRPr="0054039C" w14:paraId="16B774DA" w14:textId="77777777" w:rsidTr="0054039C">
        <w:trPr>
          <w:trHeight w:val="335"/>
        </w:trPr>
        <w:tc>
          <w:tcPr>
            <w:tcW w:w="1554" w:type="dxa"/>
          </w:tcPr>
          <w:p w14:paraId="2C28CC65" w14:textId="77777777" w:rsidR="0054039C" w:rsidRPr="0054039C" w:rsidRDefault="0054039C" w:rsidP="0054039C">
            <w:pPr>
              <w:spacing w:line="480" w:lineRule="auto"/>
              <w:jc w:val="center"/>
              <w:rPr>
                <w:rFonts w:ascii="Arial" w:hAnsi="Arial" w:cs="Arial"/>
                <w:color w:val="595959" w:themeColor="text1" w:themeTint="A6"/>
              </w:rPr>
            </w:pPr>
            <w:r w:rsidRPr="0054039C">
              <w:rPr>
                <w:rFonts w:ascii="Arial" w:hAnsi="Arial" w:cs="Arial"/>
                <w:color w:val="595959" w:themeColor="text1" w:themeTint="A6"/>
              </w:rPr>
              <w:t>28</w:t>
            </w:r>
          </w:p>
        </w:tc>
        <w:tc>
          <w:tcPr>
            <w:tcW w:w="3941" w:type="dxa"/>
          </w:tcPr>
          <w:p w14:paraId="34360054" w14:textId="77777777" w:rsidR="0054039C" w:rsidRPr="0054039C" w:rsidRDefault="0054039C" w:rsidP="0054039C">
            <w:pPr>
              <w:spacing w:line="480" w:lineRule="auto"/>
              <w:jc w:val="center"/>
              <w:rPr>
                <w:rFonts w:ascii="Arial" w:hAnsi="Arial" w:cs="Arial"/>
                <w:color w:val="595959" w:themeColor="text1" w:themeTint="A6"/>
              </w:rPr>
            </w:pPr>
            <w:r w:rsidRPr="0054039C">
              <w:rPr>
                <w:rFonts w:ascii="Arial" w:hAnsi="Arial" w:cs="Arial"/>
                <w:color w:val="595959" w:themeColor="text1" w:themeTint="A6"/>
              </w:rPr>
              <w:t>Xylene</w:t>
            </w:r>
          </w:p>
        </w:tc>
      </w:tr>
    </w:tbl>
    <w:p w14:paraId="170A9CF9" w14:textId="77777777" w:rsidR="0054039C" w:rsidRPr="0054039C" w:rsidRDefault="0054039C" w:rsidP="0054039C">
      <w:pPr>
        <w:autoSpaceDE w:val="0"/>
        <w:autoSpaceDN w:val="0"/>
        <w:adjustRightInd w:val="0"/>
        <w:spacing w:after="0" w:line="480" w:lineRule="auto"/>
        <w:rPr>
          <w:rFonts w:asciiTheme="minorBidi" w:hAnsiTheme="minorBidi"/>
          <w:color w:val="595959" w:themeColor="text1" w:themeTint="A6"/>
          <w:lang w:val="en-US"/>
        </w:rPr>
      </w:pPr>
    </w:p>
    <w:p w14:paraId="3C6D518B" w14:textId="41B4814B" w:rsidR="0054039C" w:rsidRDefault="0054039C" w:rsidP="00220314">
      <w:pPr>
        <w:autoSpaceDE w:val="0"/>
        <w:autoSpaceDN w:val="0"/>
        <w:adjustRightInd w:val="0"/>
        <w:spacing w:after="0" w:line="480" w:lineRule="auto"/>
        <w:jc w:val="both"/>
        <w:rPr>
          <w:rFonts w:ascii="Arial" w:hAnsi="Arial" w:cs="Arial"/>
          <w:color w:val="595959" w:themeColor="text1" w:themeTint="A6"/>
          <w:lang w:val="en-US"/>
        </w:rPr>
      </w:pPr>
      <w:r w:rsidRPr="0054039C">
        <w:rPr>
          <w:rFonts w:ascii="Arial" w:hAnsi="Arial" w:cs="Arial"/>
          <w:color w:val="595959" w:themeColor="text1" w:themeTint="A6"/>
          <w:lang w:val="en-US"/>
        </w:rPr>
        <w:t>Slides were mounted with distyrene, a plasticizer, and xylene (DPX) mountant and coverslips placed on the top of the sample. The DPX was left to set, and</w:t>
      </w:r>
      <w:r w:rsidR="00220314">
        <w:rPr>
          <w:rFonts w:ascii="Arial" w:hAnsi="Arial" w:cs="Arial"/>
          <w:color w:val="595959" w:themeColor="text1" w:themeTint="A6"/>
          <w:lang w:val="en-US"/>
        </w:rPr>
        <w:t xml:space="preserve"> once dried slides were imaged.</w:t>
      </w:r>
    </w:p>
    <w:p w14:paraId="44D0F762" w14:textId="77777777" w:rsidR="00220314" w:rsidRPr="0054039C" w:rsidRDefault="00220314" w:rsidP="00BF5135">
      <w:pPr>
        <w:pStyle w:val="Heading3"/>
        <w:rPr>
          <w:rFonts w:ascii="Arial" w:hAnsi="Arial" w:cs="Arial"/>
          <w:color w:val="595959" w:themeColor="text1" w:themeTint="A6"/>
          <w:lang w:val="en-US"/>
        </w:rPr>
      </w:pPr>
    </w:p>
    <w:p w14:paraId="48DE2021" w14:textId="69BD70FC" w:rsidR="0054039C" w:rsidRPr="0054039C" w:rsidRDefault="00F92A05" w:rsidP="00BF5135">
      <w:pPr>
        <w:pStyle w:val="Heading3"/>
        <w:rPr>
          <w:rFonts w:ascii="Arial" w:hAnsi="Arial" w:cs="Arial"/>
          <w:color w:val="595959" w:themeColor="text1" w:themeTint="A6"/>
          <w:szCs w:val="26"/>
          <w:lang w:val="en-US"/>
        </w:rPr>
      </w:pPr>
      <w:bookmarkStart w:id="154" w:name="_Toc534278610"/>
      <w:bookmarkStart w:id="155" w:name="_Toc34208319"/>
      <w:r>
        <w:rPr>
          <w:rFonts w:ascii="Arial" w:hAnsi="Arial" w:cs="Arial"/>
          <w:color w:val="595959" w:themeColor="text1" w:themeTint="A6"/>
          <w:szCs w:val="26"/>
          <w:lang w:val="en-US"/>
        </w:rPr>
        <w:t xml:space="preserve">2.2.9 </w:t>
      </w:r>
      <w:r w:rsidR="0054039C" w:rsidRPr="0054039C">
        <w:rPr>
          <w:rFonts w:ascii="Arial" w:hAnsi="Arial" w:cs="Arial"/>
          <w:color w:val="595959" w:themeColor="text1" w:themeTint="A6"/>
          <w:szCs w:val="26"/>
          <w:lang w:val="en-US"/>
        </w:rPr>
        <w:t>Protein analysis</w:t>
      </w:r>
      <w:bookmarkEnd w:id="154"/>
      <w:bookmarkEnd w:id="155"/>
    </w:p>
    <w:p w14:paraId="0C837BA4" w14:textId="77777777" w:rsidR="0054039C" w:rsidRPr="0054039C" w:rsidRDefault="0054039C" w:rsidP="00BF5135">
      <w:pPr>
        <w:pStyle w:val="Heading4"/>
        <w:rPr>
          <w:lang w:val="en-US"/>
        </w:rPr>
      </w:pPr>
    </w:p>
    <w:p w14:paraId="2B2AFA67" w14:textId="77777777" w:rsidR="0054039C" w:rsidRPr="0054039C" w:rsidRDefault="0054039C" w:rsidP="00BF5135">
      <w:pPr>
        <w:pStyle w:val="Heading4"/>
        <w:rPr>
          <w:rFonts w:ascii="Arial" w:hAnsi="Arial" w:cs="Arial"/>
          <w:color w:val="595959" w:themeColor="text1" w:themeTint="A6"/>
          <w:lang w:val="en-US"/>
        </w:rPr>
      </w:pPr>
      <w:bookmarkStart w:id="156" w:name="_Toc515897480"/>
      <w:bookmarkStart w:id="157" w:name="_Toc534278611"/>
      <w:bookmarkStart w:id="158" w:name="_Toc34208320"/>
      <w:r w:rsidRPr="0054039C">
        <w:rPr>
          <w:rFonts w:ascii="Arial" w:hAnsi="Arial" w:cs="Arial"/>
          <w:color w:val="595959" w:themeColor="text1" w:themeTint="A6"/>
          <w:lang w:val="en-US"/>
        </w:rPr>
        <w:t>2.2.9.1 Preparation of cell lysates</w:t>
      </w:r>
      <w:bookmarkEnd w:id="156"/>
      <w:bookmarkEnd w:id="157"/>
      <w:bookmarkEnd w:id="158"/>
      <w:r w:rsidRPr="0054039C">
        <w:rPr>
          <w:rFonts w:ascii="Arial" w:hAnsi="Arial" w:cs="Arial"/>
          <w:color w:val="595959" w:themeColor="text1" w:themeTint="A6"/>
          <w:lang w:val="en-US"/>
        </w:rPr>
        <w:t xml:space="preserve"> </w:t>
      </w:r>
    </w:p>
    <w:p w14:paraId="2AD50142" w14:textId="77777777" w:rsidR="0054039C" w:rsidRPr="0054039C" w:rsidRDefault="0054039C" w:rsidP="0054039C">
      <w:pPr>
        <w:rPr>
          <w:lang w:val="en-US"/>
        </w:rPr>
      </w:pPr>
    </w:p>
    <w:p w14:paraId="489E1186" w14:textId="77777777" w:rsidR="0054039C" w:rsidRPr="0054039C" w:rsidRDefault="0054039C" w:rsidP="0054039C">
      <w:pPr>
        <w:autoSpaceDE w:val="0"/>
        <w:autoSpaceDN w:val="0"/>
        <w:adjustRightInd w:val="0"/>
        <w:spacing w:after="0" w:line="480" w:lineRule="auto"/>
        <w:jc w:val="both"/>
        <w:rPr>
          <w:rFonts w:ascii="Arial" w:hAnsi="Arial" w:cs="Arial"/>
          <w:color w:val="595959" w:themeColor="text1" w:themeTint="A6"/>
          <w:lang w:val="en-US"/>
        </w:rPr>
      </w:pPr>
      <w:r w:rsidRPr="0054039C">
        <w:rPr>
          <w:rFonts w:ascii="Arial" w:hAnsi="Arial" w:cs="Arial"/>
          <w:color w:val="595959" w:themeColor="text1" w:themeTint="A6"/>
          <w:lang w:val="en-US"/>
        </w:rPr>
        <w:t>Cells/ matrices were lysed using radio immunoprecipitation assay (RIPA) buffer (50 mM HEPES, 150 mM NaCl, 1.5 mM MgCl</w:t>
      </w:r>
      <w:r w:rsidRPr="0054039C">
        <w:rPr>
          <w:rFonts w:ascii="Arial" w:hAnsi="Arial" w:cs="Arial"/>
          <w:color w:val="595959" w:themeColor="text1" w:themeTint="A6"/>
          <w:vertAlign w:val="subscript"/>
          <w:lang w:val="en-US"/>
        </w:rPr>
        <w:t>2</w:t>
      </w:r>
      <w:r w:rsidRPr="0054039C">
        <w:rPr>
          <w:rFonts w:ascii="Arial" w:hAnsi="Arial" w:cs="Arial"/>
          <w:color w:val="595959" w:themeColor="text1" w:themeTint="A6"/>
          <w:lang w:val="en-US"/>
        </w:rPr>
        <w:t xml:space="preserve">, 1 mM EDTA, 1% Triton, 10% glycerol, 25 mM sodium deoxycholate, 0.1% SDS) supplemented with a protease inhibitor cocktail and samples scrapped using cell scrappers. </w:t>
      </w:r>
    </w:p>
    <w:p w14:paraId="731325A2" w14:textId="77777777" w:rsidR="0054039C" w:rsidRPr="0054039C" w:rsidRDefault="0054039C" w:rsidP="00BF5135">
      <w:pPr>
        <w:pStyle w:val="Heading4"/>
        <w:rPr>
          <w:rFonts w:asciiTheme="minorBidi" w:hAnsiTheme="minorBidi"/>
          <w:bCs/>
          <w:iCs w:val="0"/>
          <w:color w:val="595959" w:themeColor="text1" w:themeTint="A6"/>
          <w:sz w:val="24"/>
          <w:szCs w:val="24"/>
          <w:lang w:val="en-US"/>
        </w:rPr>
      </w:pPr>
    </w:p>
    <w:p w14:paraId="40979D88" w14:textId="77777777" w:rsidR="0054039C" w:rsidRPr="0054039C" w:rsidRDefault="0054039C" w:rsidP="00BF5135">
      <w:pPr>
        <w:pStyle w:val="Heading4"/>
        <w:rPr>
          <w:rFonts w:ascii="Arial" w:hAnsi="Arial" w:cs="Arial"/>
          <w:bCs/>
          <w:iCs w:val="0"/>
          <w:color w:val="595959" w:themeColor="text1" w:themeTint="A6"/>
          <w:szCs w:val="24"/>
          <w:lang w:val="en-US"/>
        </w:rPr>
      </w:pPr>
      <w:bookmarkStart w:id="159" w:name="_Toc515897481"/>
      <w:bookmarkStart w:id="160" w:name="_Toc534278612"/>
      <w:bookmarkStart w:id="161" w:name="_Toc34208321"/>
      <w:r w:rsidRPr="0054039C">
        <w:rPr>
          <w:rFonts w:ascii="Arial" w:hAnsi="Arial" w:cs="Arial"/>
          <w:bCs/>
          <w:color w:val="595959" w:themeColor="text1" w:themeTint="A6"/>
          <w:szCs w:val="24"/>
          <w:lang w:val="en-US"/>
        </w:rPr>
        <w:t>2.2.9.2 Immunoblotting</w:t>
      </w:r>
      <w:bookmarkEnd w:id="159"/>
      <w:bookmarkEnd w:id="160"/>
      <w:bookmarkEnd w:id="161"/>
    </w:p>
    <w:p w14:paraId="1383309E" w14:textId="77777777" w:rsidR="0054039C" w:rsidRPr="0054039C" w:rsidRDefault="0054039C" w:rsidP="0054039C">
      <w:pPr>
        <w:rPr>
          <w:lang w:val="en-US"/>
        </w:rPr>
      </w:pPr>
    </w:p>
    <w:p w14:paraId="46B2AA96" w14:textId="0C0FEEF9" w:rsidR="00113B45" w:rsidRDefault="0054039C" w:rsidP="00220314">
      <w:pPr>
        <w:autoSpaceDE w:val="0"/>
        <w:autoSpaceDN w:val="0"/>
        <w:adjustRightInd w:val="0"/>
        <w:spacing w:after="0" w:line="480" w:lineRule="auto"/>
        <w:jc w:val="both"/>
        <w:rPr>
          <w:rFonts w:ascii="Arial" w:hAnsi="Arial" w:cs="Arial"/>
          <w:color w:val="595959" w:themeColor="text1" w:themeTint="A6"/>
          <w:lang w:val="en-US"/>
        </w:rPr>
      </w:pPr>
      <w:bookmarkStart w:id="162" w:name="_Hlk535586178"/>
      <w:r w:rsidRPr="0054039C">
        <w:rPr>
          <w:rFonts w:ascii="Arial" w:hAnsi="Arial" w:cs="Arial"/>
          <w:color w:val="595959" w:themeColor="text1" w:themeTint="A6"/>
          <w:lang w:val="en-US"/>
        </w:rPr>
        <w:t xml:space="preserve">Protein concentrations were calculated using a BCA </w:t>
      </w:r>
      <w:r w:rsidR="00E65E0B" w:rsidRPr="0054039C">
        <w:rPr>
          <w:rFonts w:ascii="Arial" w:hAnsi="Arial" w:cs="Arial"/>
          <w:color w:val="595959" w:themeColor="text1" w:themeTint="A6"/>
          <w:lang w:val="en-US"/>
        </w:rPr>
        <w:t>assay</w:t>
      </w:r>
      <w:r w:rsidRPr="0054039C">
        <w:rPr>
          <w:rFonts w:ascii="Arial" w:hAnsi="Arial" w:cs="Arial"/>
          <w:color w:val="595959" w:themeColor="text1" w:themeTint="A6"/>
          <w:lang w:val="en-US"/>
        </w:rPr>
        <w:t xml:space="preserve"> and BSA standards to generate a standard curve. Absorbance of standards and test samples was measured at 595 nm by spectrometry. 10 μg of total protein was loaded for each sample and resolved by a 3–8% (w/v) tris</w:t>
      </w:r>
      <w:r w:rsidR="00E65E0B">
        <w:rPr>
          <w:rFonts w:ascii="Arial" w:hAnsi="Arial" w:cs="Arial"/>
          <w:color w:val="595959" w:themeColor="text1" w:themeTint="A6"/>
          <w:lang w:val="en-US"/>
        </w:rPr>
        <w:t>-a</w:t>
      </w:r>
      <w:r w:rsidRPr="0054039C">
        <w:rPr>
          <w:rFonts w:ascii="Arial" w:hAnsi="Arial" w:cs="Arial"/>
          <w:color w:val="595959" w:themeColor="text1" w:themeTint="A6"/>
          <w:lang w:val="en-US"/>
        </w:rPr>
        <w:t xml:space="preserve">cetate gel using gel electrophoresis (SDS-PAGE) in tris-acetate SDS running buffer. Timings and conditions followed for runs were as recommended by the manufacture. The protein was transferred onto a nitrocellulose membrane using an iBlot transfer system. </w:t>
      </w:r>
      <w:r w:rsidRPr="0054039C">
        <w:rPr>
          <w:rFonts w:ascii="Arial" w:hAnsi="Arial" w:cs="Arial"/>
          <w:color w:val="595959" w:themeColor="text1" w:themeTint="A6"/>
          <w:lang w:val="en-US"/>
        </w:rPr>
        <w:lastRenderedPageBreak/>
        <w:t>Membranes were blocked with 5% (w/v) milk in tris buffered saline with 0.05% (v/v) Tween 20 (TBS-T) to prevent non-specific binding for 1 h. Primary antibodies (table 2.10) were diluted in appropriate blocking solution and incubated at 4</w:t>
      </w:r>
      <w:r w:rsidRPr="0054039C">
        <w:rPr>
          <w:rFonts w:ascii="Arial" w:hAnsi="Arial" w:cs="Arial"/>
          <w:color w:val="595959" w:themeColor="text1" w:themeTint="A6"/>
          <w:vertAlign w:val="superscript"/>
          <w:lang w:val="en-US"/>
        </w:rPr>
        <w:t>o</w:t>
      </w:r>
      <w:r w:rsidRPr="0054039C">
        <w:rPr>
          <w:rFonts w:ascii="Arial" w:hAnsi="Arial" w:cs="Arial"/>
          <w:color w:val="595959" w:themeColor="text1" w:themeTint="A6"/>
          <w:lang w:val="en-US"/>
        </w:rPr>
        <w:t>C overnight. The membrane was washed three times at ten-minute intervals with TBS-T. Membranes were incubated with secondary antibody conjugated with horseradish peroxidase (HRP) antibody diluted in above blocking solution at recommended concentration, for 1 h at room temperature. The membrane was then washed 3 times in TBS-T at five-minute intervals, and detection of HRP was achieved using enhanced chemiluminescence (ECL). Activity of the HRP was exposed on an x-ray film and developed. Nitrocellulose membranes were stripped of antibodies by incubation in 10 mL of Re-Blot Plus Western blot strong antibody stripping solutions at room temperature for 10 minutes. The membranes were washed three times with TBS-T and blocked and re-probed using the above methodology</w:t>
      </w:r>
      <w:bookmarkEnd w:id="162"/>
      <w:r w:rsidR="00220314">
        <w:rPr>
          <w:rFonts w:ascii="Arial" w:hAnsi="Arial" w:cs="Arial"/>
          <w:color w:val="595959" w:themeColor="text1" w:themeTint="A6"/>
          <w:lang w:val="en-US"/>
        </w:rPr>
        <w:t>.</w:t>
      </w:r>
    </w:p>
    <w:p w14:paraId="75FDFE7E" w14:textId="77777777" w:rsidR="00113B45" w:rsidRDefault="00113B45" w:rsidP="00113B45">
      <w:pPr>
        <w:autoSpaceDE w:val="0"/>
        <w:autoSpaceDN w:val="0"/>
        <w:adjustRightInd w:val="0"/>
        <w:spacing w:after="0" w:line="480" w:lineRule="auto"/>
        <w:jc w:val="both"/>
        <w:rPr>
          <w:rFonts w:ascii="Arial" w:hAnsi="Arial" w:cs="Arial"/>
          <w:b/>
          <w:color w:val="595959" w:themeColor="text1" w:themeTint="A6"/>
          <w:sz w:val="24"/>
          <w:szCs w:val="24"/>
          <w:lang w:val="en-US"/>
        </w:rPr>
      </w:pPr>
    </w:p>
    <w:p w14:paraId="57410F8A" w14:textId="7E165737" w:rsidR="00113B45" w:rsidRPr="00113B45" w:rsidRDefault="00113B45" w:rsidP="00220314">
      <w:pPr>
        <w:autoSpaceDE w:val="0"/>
        <w:autoSpaceDN w:val="0"/>
        <w:adjustRightInd w:val="0"/>
        <w:spacing w:after="0" w:line="480" w:lineRule="auto"/>
        <w:jc w:val="both"/>
        <w:rPr>
          <w:rFonts w:ascii="Arial" w:hAnsi="Arial" w:cs="Arial"/>
          <w:b/>
          <w:color w:val="595959" w:themeColor="text1" w:themeTint="A6"/>
          <w:lang w:val="en-US"/>
        </w:rPr>
      </w:pPr>
      <w:r w:rsidRPr="00113B45">
        <w:rPr>
          <w:rFonts w:ascii="Arial" w:hAnsi="Arial" w:cs="Arial"/>
          <w:b/>
          <w:color w:val="595959" w:themeColor="text1" w:themeTint="A6"/>
          <w:lang w:val="en-US"/>
        </w:rPr>
        <w:t xml:space="preserve"> Table 2.10 Antibodies for immunoblotting</w:t>
      </w:r>
    </w:p>
    <w:tbl>
      <w:tblPr>
        <w:tblStyle w:val="GridTable4-Accent31"/>
        <w:tblpPr w:leftFromText="180" w:rightFromText="180" w:vertAnchor="text" w:horzAnchor="margin" w:tblpY="841"/>
        <w:tblW w:w="9167" w:type="dxa"/>
        <w:tblLook w:val="04A0" w:firstRow="1" w:lastRow="0" w:firstColumn="1" w:lastColumn="0" w:noHBand="0" w:noVBand="1"/>
      </w:tblPr>
      <w:tblGrid>
        <w:gridCol w:w="2663"/>
        <w:gridCol w:w="1586"/>
        <w:gridCol w:w="2125"/>
        <w:gridCol w:w="1276"/>
        <w:gridCol w:w="1517"/>
      </w:tblGrid>
      <w:tr w:rsidR="0054039C" w:rsidRPr="0054039C" w14:paraId="5B7FAA20" w14:textId="77777777" w:rsidTr="001D7E29">
        <w:trPr>
          <w:cnfStyle w:val="100000000000" w:firstRow="1" w:lastRow="0" w:firstColumn="0" w:lastColumn="0" w:oddVBand="0" w:evenVBand="0" w:oddHBand="0" w:evenHBand="0" w:firstRowFirstColumn="0" w:firstRowLastColumn="0" w:lastRowFirstColumn="0" w:lastRowLastColumn="0"/>
          <w:trHeight w:val="488"/>
        </w:trPr>
        <w:tc>
          <w:tcPr>
            <w:cnfStyle w:val="001000000000" w:firstRow="0" w:lastRow="0" w:firstColumn="1" w:lastColumn="0" w:oddVBand="0" w:evenVBand="0" w:oddHBand="0" w:evenHBand="0" w:firstRowFirstColumn="0" w:firstRowLastColumn="0" w:lastRowFirstColumn="0" w:lastRowLastColumn="0"/>
            <w:tcW w:w="2665" w:type="dxa"/>
          </w:tcPr>
          <w:p w14:paraId="3F85F2EB" w14:textId="77777777" w:rsidR="0054039C" w:rsidRPr="0054039C" w:rsidRDefault="0054039C" w:rsidP="0054039C">
            <w:pPr>
              <w:autoSpaceDE w:val="0"/>
              <w:autoSpaceDN w:val="0"/>
              <w:adjustRightInd w:val="0"/>
              <w:spacing w:line="480" w:lineRule="auto"/>
              <w:jc w:val="center"/>
              <w:rPr>
                <w:rFonts w:ascii="Arial" w:hAnsi="Arial" w:cs="Arial"/>
                <w:color w:val="595959" w:themeColor="text1" w:themeTint="A6"/>
              </w:rPr>
            </w:pPr>
            <w:r w:rsidRPr="0054039C">
              <w:rPr>
                <w:rFonts w:ascii="Arial" w:hAnsi="Arial" w:cs="Arial"/>
                <w:color w:val="595959" w:themeColor="text1" w:themeTint="A6"/>
              </w:rPr>
              <w:t>Name</w:t>
            </w:r>
          </w:p>
        </w:tc>
        <w:tc>
          <w:tcPr>
            <w:tcW w:w="1583" w:type="dxa"/>
          </w:tcPr>
          <w:p w14:paraId="10C4FEBC" w14:textId="77777777" w:rsidR="0054039C" w:rsidRPr="0054039C" w:rsidRDefault="0054039C" w:rsidP="0054039C">
            <w:pPr>
              <w:autoSpaceDE w:val="0"/>
              <w:autoSpaceDN w:val="0"/>
              <w:adjustRightInd w:val="0"/>
              <w:spacing w:line="48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595959" w:themeColor="text1" w:themeTint="A6"/>
              </w:rPr>
            </w:pPr>
            <w:r w:rsidRPr="0054039C">
              <w:rPr>
                <w:rFonts w:ascii="Arial" w:hAnsi="Arial" w:cs="Arial"/>
                <w:color w:val="595959" w:themeColor="text1" w:themeTint="A6"/>
              </w:rPr>
              <w:t>Company</w:t>
            </w:r>
          </w:p>
        </w:tc>
        <w:tc>
          <w:tcPr>
            <w:tcW w:w="2126" w:type="dxa"/>
          </w:tcPr>
          <w:p w14:paraId="706D3235" w14:textId="77777777" w:rsidR="0054039C" w:rsidRPr="0054039C" w:rsidRDefault="0054039C" w:rsidP="0054039C">
            <w:pPr>
              <w:autoSpaceDE w:val="0"/>
              <w:autoSpaceDN w:val="0"/>
              <w:adjustRightInd w:val="0"/>
              <w:spacing w:line="48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595959" w:themeColor="text1" w:themeTint="A6"/>
              </w:rPr>
            </w:pPr>
            <w:r w:rsidRPr="0054039C">
              <w:rPr>
                <w:rFonts w:ascii="Arial" w:hAnsi="Arial" w:cs="Arial"/>
                <w:color w:val="595959" w:themeColor="text1" w:themeTint="A6"/>
              </w:rPr>
              <w:t>Clone</w:t>
            </w:r>
          </w:p>
        </w:tc>
        <w:tc>
          <w:tcPr>
            <w:tcW w:w="1276" w:type="dxa"/>
          </w:tcPr>
          <w:p w14:paraId="282C1923" w14:textId="77777777" w:rsidR="0054039C" w:rsidRPr="0054039C" w:rsidRDefault="0054039C" w:rsidP="0054039C">
            <w:pPr>
              <w:autoSpaceDE w:val="0"/>
              <w:autoSpaceDN w:val="0"/>
              <w:adjustRightInd w:val="0"/>
              <w:spacing w:line="48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595959" w:themeColor="text1" w:themeTint="A6"/>
                <w:vertAlign w:val="superscript"/>
              </w:rPr>
            </w:pPr>
            <w:r w:rsidRPr="0054039C">
              <w:rPr>
                <w:rFonts w:ascii="Arial" w:hAnsi="Arial" w:cs="Arial"/>
                <w:color w:val="595959" w:themeColor="text1" w:themeTint="A6"/>
              </w:rPr>
              <w:t>Dilution</w:t>
            </w:r>
          </w:p>
        </w:tc>
        <w:tc>
          <w:tcPr>
            <w:tcW w:w="1517" w:type="dxa"/>
          </w:tcPr>
          <w:p w14:paraId="3ECD0D2F" w14:textId="77777777" w:rsidR="0054039C" w:rsidRPr="0054039C" w:rsidRDefault="0054039C" w:rsidP="0054039C">
            <w:pPr>
              <w:autoSpaceDE w:val="0"/>
              <w:autoSpaceDN w:val="0"/>
              <w:adjustRightInd w:val="0"/>
              <w:spacing w:line="48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595959" w:themeColor="text1" w:themeTint="A6"/>
              </w:rPr>
            </w:pPr>
            <w:r w:rsidRPr="0054039C">
              <w:rPr>
                <w:rFonts w:ascii="Arial" w:hAnsi="Arial" w:cs="Arial"/>
                <w:color w:val="595959" w:themeColor="text1" w:themeTint="A6"/>
              </w:rPr>
              <w:t>Final Con</w:t>
            </w:r>
            <w:r w:rsidRPr="0054039C">
              <w:rPr>
                <w:rFonts w:ascii="Arial" w:hAnsi="Arial" w:cs="Arial"/>
                <w:color w:val="595959" w:themeColor="text1" w:themeTint="A6"/>
                <w:vertAlign w:val="superscript"/>
              </w:rPr>
              <w:t>C</w:t>
            </w:r>
            <w:r w:rsidRPr="0054039C">
              <w:rPr>
                <w:rFonts w:ascii="Arial" w:hAnsi="Arial" w:cs="Arial"/>
                <w:color w:val="595959" w:themeColor="text1" w:themeTint="A6"/>
              </w:rPr>
              <w:t xml:space="preserve"> (µg/mL)</w:t>
            </w:r>
          </w:p>
        </w:tc>
      </w:tr>
      <w:tr w:rsidR="0054039C" w:rsidRPr="0054039C" w14:paraId="1AA6572B" w14:textId="77777777" w:rsidTr="001D7E29">
        <w:trPr>
          <w:cnfStyle w:val="000000100000" w:firstRow="0" w:lastRow="0" w:firstColumn="0" w:lastColumn="0" w:oddVBand="0" w:evenVBand="0" w:oddHBand="1" w:evenHBand="0" w:firstRowFirstColumn="0" w:firstRowLastColumn="0" w:lastRowFirstColumn="0" w:lastRowLastColumn="0"/>
          <w:trHeight w:val="1005"/>
        </w:trPr>
        <w:tc>
          <w:tcPr>
            <w:cnfStyle w:val="001000000000" w:firstRow="0" w:lastRow="0" w:firstColumn="1" w:lastColumn="0" w:oddVBand="0" w:evenVBand="0" w:oddHBand="0" w:evenHBand="0" w:firstRowFirstColumn="0" w:firstRowLastColumn="0" w:lastRowFirstColumn="0" w:lastRowLastColumn="0"/>
            <w:tcW w:w="2665" w:type="dxa"/>
          </w:tcPr>
          <w:p w14:paraId="4BAE7699" w14:textId="77777777" w:rsidR="0054039C" w:rsidRPr="0054039C" w:rsidRDefault="0054039C" w:rsidP="0054039C">
            <w:pPr>
              <w:autoSpaceDE w:val="0"/>
              <w:autoSpaceDN w:val="0"/>
              <w:adjustRightInd w:val="0"/>
              <w:spacing w:line="480" w:lineRule="auto"/>
              <w:jc w:val="center"/>
              <w:rPr>
                <w:rFonts w:ascii="Arial" w:hAnsi="Arial" w:cs="Arial"/>
                <w:color w:val="595959" w:themeColor="text1" w:themeTint="A6"/>
              </w:rPr>
            </w:pPr>
            <w:r w:rsidRPr="0054039C">
              <w:rPr>
                <w:rFonts w:ascii="Arial" w:hAnsi="Arial" w:cs="Arial"/>
                <w:color w:val="595959" w:themeColor="text1" w:themeTint="A6"/>
              </w:rPr>
              <w:t>αSMA</w:t>
            </w:r>
          </w:p>
        </w:tc>
        <w:tc>
          <w:tcPr>
            <w:tcW w:w="1583" w:type="dxa"/>
          </w:tcPr>
          <w:p w14:paraId="7F08B7C6" w14:textId="77777777" w:rsidR="0054039C" w:rsidRPr="0054039C" w:rsidRDefault="0054039C" w:rsidP="0054039C">
            <w:pPr>
              <w:autoSpaceDE w:val="0"/>
              <w:autoSpaceDN w:val="0"/>
              <w:adjustRightInd w:val="0"/>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595959" w:themeColor="text1" w:themeTint="A6"/>
              </w:rPr>
            </w:pPr>
            <w:r w:rsidRPr="0054039C">
              <w:rPr>
                <w:rFonts w:ascii="Arial" w:hAnsi="Arial" w:cs="Arial"/>
                <w:color w:val="595959" w:themeColor="text1" w:themeTint="A6"/>
              </w:rPr>
              <w:t>Sigma-Aldrich, UK</w:t>
            </w:r>
          </w:p>
        </w:tc>
        <w:tc>
          <w:tcPr>
            <w:tcW w:w="2126" w:type="dxa"/>
          </w:tcPr>
          <w:p w14:paraId="0C7F323A" w14:textId="77777777" w:rsidR="0054039C" w:rsidRPr="0054039C" w:rsidRDefault="0054039C" w:rsidP="0054039C">
            <w:pPr>
              <w:autoSpaceDE w:val="0"/>
              <w:autoSpaceDN w:val="0"/>
              <w:adjustRightInd w:val="0"/>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595959" w:themeColor="text1" w:themeTint="A6"/>
              </w:rPr>
            </w:pPr>
            <w:r w:rsidRPr="0054039C">
              <w:rPr>
                <w:rFonts w:ascii="Arial" w:hAnsi="Arial" w:cs="Arial"/>
                <w:color w:val="595959" w:themeColor="text1" w:themeTint="A6"/>
              </w:rPr>
              <w:t>Mouse, Clone 1A4</w:t>
            </w:r>
          </w:p>
        </w:tc>
        <w:tc>
          <w:tcPr>
            <w:tcW w:w="1276" w:type="dxa"/>
          </w:tcPr>
          <w:p w14:paraId="06B681F6" w14:textId="77777777" w:rsidR="0054039C" w:rsidRPr="0054039C" w:rsidRDefault="0054039C" w:rsidP="0054039C">
            <w:pPr>
              <w:autoSpaceDE w:val="0"/>
              <w:autoSpaceDN w:val="0"/>
              <w:adjustRightInd w:val="0"/>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595959" w:themeColor="text1" w:themeTint="A6"/>
              </w:rPr>
            </w:pPr>
            <w:r w:rsidRPr="0054039C">
              <w:rPr>
                <w:rFonts w:ascii="Arial" w:hAnsi="Arial" w:cs="Arial"/>
                <w:color w:val="595959" w:themeColor="text1" w:themeTint="A6"/>
              </w:rPr>
              <w:t>1:1,000</w:t>
            </w:r>
          </w:p>
        </w:tc>
        <w:tc>
          <w:tcPr>
            <w:tcW w:w="1517" w:type="dxa"/>
          </w:tcPr>
          <w:p w14:paraId="22A47843" w14:textId="77777777" w:rsidR="0054039C" w:rsidRPr="0054039C" w:rsidRDefault="0054039C" w:rsidP="0054039C">
            <w:pPr>
              <w:autoSpaceDE w:val="0"/>
              <w:autoSpaceDN w:val="0"/>
              <w:adjustRightInd w:val="0"/>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595959" w:themeColor="text1" w:themeTint="A6"/>
              </w:rPr>
            </w:pPr>
            <w:r w:rsidRPr="0054039C">
              <w:rPr>
                <w:rFonts w:ascii="Arial" w:hAnsi="Arial" w:cs="Arial"/>
                <w:color w:val="595959" w:themeColor="text1" w:themeTint="A6"/>
              </w:rPr>
              <w:t>0.2</w:t>
            </w:r>
          </w:p>
        </w:tc>
      </w:tr>
      <w:tr w:rsidR="0054039C" w:rsidRPr="0054039C" w14:paraId="26687688" w14:textId="77777777" w:rsidTr="001D7E29">
        <w:trPr>
          <w:trHeight w:val="991"/>
        </w:trPr>
        <w:tc>
          <w:tcPr>
            <w:cnfStyle w:val="001000000000" w:firstRow="0" w:lastRow="0" w:firstColumn="1" w:lastColumn="0" w:oddVBand="0" w:evenVBand="0" w:oddHBand="0" w:evenHBand="0" w:firstRowFirstColumn="0" w:firstRowLastColumn="0" w:lastRowFirstColumn="0" w:lastRowLastColumn="0"/>
            <w:tcW w:w="2665" w:type="dxa"/>
          </w:tcPr>
          <w:p w14:paraId="7A6AC244" w14:textId="77777777" w:rsidR="0054039C" w:rsidRPr="0054039C" w:rsidRDefault="0054039C" w:rsidP="0054039C">
            <w:pPr>
              <w:autoSpaceDE w:val="0"/>
              <w:autoSpaceDN w:val="0"/>
              <w:adjustRightInd w:val="0"/>
              <w:spacing w:line="480" w:lineRule="auto"/>
              <w:jc w:val="center"/>
              <w:rPr>
                <w:rFonts w:ascii="Arial" w:hAnsi="Arial" w:cs="Arial"/>
                <w:color w:val="595959" w:themeColor="text1" w:themeTint="A6"/>
              </w:rPr>
            </w:pPr>
            <w:r w:rsidRPr="0054039C">
              <w:rPr>
                <w:rFonts w:ascii="Arial" w:hAnsi="Arial" w:cs="Arial"/>
                <w:color w:val="595959" w:themeColor="text1" w:themeTint="A6"/>
              </w:rPr>
              <w:t>β-Actin</w:t>
            </w:r>
          </w:p>
        </w:tc>
        <w:tc>
          <w:tcPr>
            <w:tcW w:w="1583" w:type="dxa"/>
          </w:tcPr>
          <w:p w14:paraId="6CABAD00" w14:textId="77777777" w:rsidR="0054039C" w:rsidRPr="0054039C" w:rsidRDefault="0054039C" w:rsidP="0054039C">
            <w:pPr>
              <w:autoSpaceDE w:val="0"/>
              <w:autoSpaceDN w:val="0"/>
              <w:adjustRightInd w:val="0"/>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595959" w:themeColor="text1" w:themeTint="A6"/>
              </w:rPr>
            </w:pPr>
            <w:r w:rsidRPr="0054039C">
              <w:rPr>
                <w:rFonts w:ascii="Arial" w:hAnsi="Arial" w:cs="Arial"/>
                <w:color w:val="595959" w:themeColor="text1" w:themeTint="A6"/>
              </w:rPr>
              <w:t>Sigma-Aldrich, UK</w:t>
            </w:r>
          </w:p>
        </w:tc>
        <w:tc>
          <w:tcPr>
            <w:tcW w:w="2126" w:type="dxa"/>
          </w:tcPr>
          <w:p w14:paraId="1118D469" w14:textId="77777777" w:rsidR="0054039C" w:rsidRPr="0054039C" w:rsidRDefault="0054039C" w:rsidP="0054039C">
            <w:pPr>
              <w:autoSpaceDE w:val="0"/>
              <w:autoSpaceDN w:val="0"/>
              <w:adjustRightInd w:val="0"/>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595959" w:themeColor="text1" w:themeTint="A6"/>
              </w:rPr>
            </w:pPr>
            <w:r w:rsidRPr="0054039C">
              <w:rPr>
                <w:rFonts w:ascii="Arial" w:hAnsi="Arial" w:cs="Arial"/>
                <w:color w:val="595959" w:themeColor="text1" w:themeTint="A6"/>
              </w:rPr>
              <w:t>Mouse, Clone AC-74</w:t>
            </w:r>
          </w:p>
        </w:tc>
        <w:tc>
          <w:tcPr>
            <w:tcW w:w="1276" w:type="dxa"/>
          </w:tcPr>
          <w:p w14:paraId="009979EB" w14:textId="77777777" w:rsidR="0054039C" w:rsidRPr="0054039C" w:rsidRDefault="0054039C" w:rsidP="0054039C">
            <w:pPr>
              <w:autoSpaceDE w:val="0"/>
              <w:autoSpaceDN w:val="0"/>
              <w:adjustRightInd w:val="0"/>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595959" w:themeColor="text1" w:themeTint="A6"/>
              </w:rPr>
            </w:pPr>
            <w:r w:rsidRPr="0054039C">
              <w:rPr>
                <w:rFonts w:ascii="Arial" w:hAnsi="Arial" w:cs="Arial"/>
                <w:color w:val="595959" w:themeColor="text1" w:themeTint="A6"/>
              </w:rPr>
              <w:t>1:4,000</w:t>
            </w:r>
          </w:p>
        </w:tc>
        <w:tc>
          <w:tcPr>
            <w:tcW w:w="1517" w:type="dxa"/>
          </w:tcPr>
          <w:p w14:paraId="1AE6E193" w14:textId="77777777" w:rsidR="0054039C" w:rsidRPr="0054039C" w:rsidRDefault="0054039C" w:rsidP="0054039C">
            <w:pPr>
              <w:autoSpaceDE w:val="0"/>
              <w:autoSpaceDN w:val="0"/>
              <w:adjustRightInd w:val="0"/>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595959" w:themeColor="text1" w:themeTint="A6"/>
              </w:rPr>
            </w:pPr>
            <w:r w:rsidRPr="0054039C">
              <w:rPr>
                <w:rFonts w:ascii="Arial" w:hAnsi="Arial" w:cs="Arial"/>
                <w:color w:val="595959" w:themeColor="text1" w:themeTint="A6"/>
              </w:rPr>
              <w:t>0.8</w:t>
            </w:r>
          </w:p>
        </w:tc>
      </w:tr>
      <w:tr w:rsidR="0054039C" w:rsidRPr="0054039C" w14:paraId="23327862" w14:textId="77777777" w:rsidTr="001D7E29">
        <w:trPr>
          <w:cnfStyle w:val="000000100000" w:firstRow="0" w:lastRow="0" w:firstColumn="0" w:lastColumn="0" w:oddVBand="0" w:evenVBand="0" w:oddHBand="1" w:evenHBand="0" w:firstRowFirstColumn="0" w:firstRowLastColumn="0" w:lastRowFirstColumn="0" w:lastRowLastColumn="0"/>
          <w:trHeight w:val="488"/>
        </w:trPr>
        <w:tc>
          <w:tcPr>
            <w:cnfStyle w:val="001000000000" w:firstRow="0" w:lastRow="0" w:firstColumn="1" w:lastColumn="0" w:oddVBand="0" w:evenVBand="0" w:oddHBand="0" w:evenHBand="0" w:firstRowFirstColumn="0" w:firstRowLastColumn="0" w:lastRowFirstColumn="0" w:lastRowLastColumn="0"/>
            <w:tcW w:w="2665" w:type="dxa"/>
          </w:tcPr>
          <w:p w14:paraId="1098123E" w14:textId="77777777" w:rsidR="0054039C" w:rsidRPr="0054039C" w:rsidRDefault="0054039C" w:rsidP="0054039C">
            <w:pPr>
              <w:autoSpaceDE w:val="0"/>
              <w:autoSpaceDN w:val="0"/>
              <w:adjustRightInd w:val="0"/>
              <w:spacing w:line="480" w:lineRule="auto"/>
              <w:jc w:val="center"/>
              <w:rPr>
                <w:rFonts w:ascii="Arial" w:hAnsi="Arial" w:cs="Arial"/>
                <w:color w:val="595959" w:themeColor="text1" w:themeTint="A6"/>
              </w:rPr>
            </w:pPr>
            <w:r w:rsidRPr="0054039C">
              <w:rPr>
                <w:rFonts w:ascii="Arial" w:hAnsi="Arial" w:cs="Arial"/>
                <w:color w:val="595959" w:themeColor="text1" w:themeTint="A6"/>
              </w:rPr>
              <w:t>GAPDH</w:t>
            </w:r>
          </w:p>
        </w:tc>
        <w:tc>
          <w:tcPr>
            <w:tcW w:w="1583" w:type="dxa"/>
          </w:tcPr>
          <w:p w14:paraId="350093A7" w14:textId="77777777" w:rsidR="0054039C" w:rsidRPr="0054039C" w:rsidRDefault="0054039C" w:rsidP="0054039C">
            <w:pPr>
              <w:autoSpaceDE w:val="0"/>
              <w:autoSpaceDN w:val="0"/>
              <w:adjustRightInd w:val="0"/>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595959" w:themeColor="text1" w:themeTint="A6"/>
              </w:rPr>
            </w:pPr>
            <w:r w:rsidRPr="0054039C">
              <w:rPr>
                <w:rFonts w:ascii="Arial" w:hAnsi="Arial" w:cs="Arial"/>
                <w:color w:val="595959" w:themeColor="text1" w:themeTint="A6"/>
              </w:rPr>
              <w:t>Sigma-Aldrich, UK</w:t>
            </w:r>
          </w:p>
        </w:tc>
        <w:tc>
          <w:tcPr>
            <w:tcW w:w="2126" w:type="dxa"/>
          </w:tcPr>
          <w:p w14:paraId="722D358F" w14:textId="77777777" w:rsidR="0054039C" w:rsidRPr="0054039C" w:rsidRDefault="0054039C" w:rsidP="0054039C">
            <w:pPr>
              <w:autoSpaceDE w:val="0"/>
              <w:autoSpaceDN w:val="0"/>
              <w:adjustRightInd w:val="0"/>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595959" w:themeColor="text1" w:themeTint="A6"/>
              </w:rPr>
            </w:pPr>
            <w:r w:rsidRPr="0054039C">
              <w:rPr>
                <w:rFonts w:ascii="Arial" w:hAnsi="Arial" w:cs="Arial"/>
                <w:color w:val="595959" w:themeColor="text1" w:themeTint="A6"/>
              </w:rPr>
              <w:t>Rabbit</w:t>
            </w:r>
          </w:p>
        </w:tc>
        <w:tc>
          <w:tcPr>
            <w:tcW w:w="1276" w:type="dxa"/>
          </w:tcPr>
          <w:p w14:paraId="4B6CA6DF" w14:textId="77777777" w:rsidR="0054039C" w:rsidRPr="0054039C" w:rsidRDefault="0054039C" w:rsidP="0054039C">
            <w:pPr>
              <w:autoSpaceDE w:val="0"/>
              <w:autoSpaceDN w:val="0"/>
              <w:adjustRightInd w:val="0"/>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595959" w:themeColor="text1" w:themeTint="A6"/>
              </w:rPr>
            </w:pPr>
            <w:r w:rsidRPr="0054039C">
              <w:rPr>
                <w:rFonts w:ascii="Arial" w:hAnsi="Arial" w:cs="Arial"/>
                <w:color w:val="595959" w:themeColor="text1" w:themeTint="A6"/>
              </w:rPr>
              <w:t>1:7,500</w:t>
            </w:r>
          </w:p>
        </w:tc>
        <w:tc>
          <w:tcPr>
            <w:tcW w:w="1517" w:type="dxa"/>
          </w:tcPr>
          <w:p w14:paraId="224A9B3F" w14:textId="77777777" w:rsidR="0054039C" w:rsidRPr="0054039C" w:rsidRDefault="0054039C" w:rsidP="0054039C">
            <w:pPr>
              <w:autoSpaceDE w:val="0"/>
              <w:autoSpaceDN w:val="0"/>
              <w:adjustRightInd w:val="0"/>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595959" w:themeColor="text1" w:themeTint="A6"/>
              </w:rPr>
            </w:pPr>
            <w:r w:rsidRPr="0054039C">
              <w:rPr>
                <w:rFonts w:ascii="Arial" w:hAnsi="Arial" w:cs="Arial"/>
                <w:color w:val="595959" w:themeColor="text1" w:themeTint="A6"/>
              </w:rPr>
              <w:t>0.9</w:t>
            </w:r>
          </w:p>
        </w:tc>
      </w:tr>
      <w:tr w:rsidR="0054039C" w:rsidRPr="0054039C" w14:paraId="49819091" w14:textId="77777777" w:rsidTr="001D7E29">
        <w:trPr>
          <w:trHeight w:val="488"/>
        </w:trPr>
        <w:tc>
          <w:tcPr>
            <w:cnfStyle w:val="001000000000" w:firstRow="0" w:lastRow="0" w:firstColumn="1" w:lastColumn="0" w:oddVBand="0" w:evenVBand="0" w:oddHBand="0" w:evenHBand="0" w:firstRowFirstColumn="0" w:firstRowLastColumn="0" w:lastRowFirstColumn="0" w:lastRowLastColumn="0"/>
            <w:tcW w:w="2665" w:type="dxa"/>
          </w:tcPr>
          <w:p w14:paraId="62411FCA" w14:textId="77777777" w:rsidR="0054039C" w:rsidRPr="0054039C" w:rsidRDefault="0054039C" w:rsidP="0054039C">
            <w:pPr>
              <w:autoSpaceDE w:val="0"/>
              <w:autoSpaceDN w:val="0"/>
              <w:adjustRightInd w:val="0"/>
              <w:spacing w:line="480" w:lineRule="auto"/>
              <w:jc w:val="center"/>
              <w:rPr>
                <w:rFonts w:ascii="Arial" w:hAnsi="Arial" w:cs="Arial"/>
                <w:color w:val="595959" w:themeColor="text1" w:themeTint="A6"/>
              </w:rPr>
            </w:pPr>
            <w:r w:rsidRPr="0054039C">
              <w:rPr>
                <w:rFonts w:ascii="Arial" w:hAnsi="Arial" w:cs="Arial"/>
                <w:color w:val="595959" w:themeColor="text1" w:themeTint="A6"/>
              </w:rPr>
              <w:t>VCAN</w:t>
            </w:r>
          </w:p>
        </w:tc>
        <w:tc>
          <w:tcPr>
            <w:tcW w:w="1583" w:type="dxa"/>
          </w:tcPr>
          <w:p w14:paraId="776D8091" w14:textId="77777777" w:rsidR="0054039C" w:rsidRPr="0054039C" w:rsidRDefault="0054039C" w:rsidP="0054039C">
            <w:pPr>
              <w:autoSpaceDE w:val="0"/>
              <w:autoSpaceDN w:val="0"/>
              <w:adjustRightInd w:val="0"/>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595959" w:themeColor="text1" w:themeTint="A6"/>
              </w:rPr>
            </w:pPr>
            <w:r w:rsidRPr="0054039C">
              <w:rPr>
                <w:rFonts w:ascii="Arial" w:hAnsi="Arial" w:cs="Arial"/>
                <w:color w:val="595959" w:themeColor="text1" w:themeTint="A6"/>
              </w:rPr>
              <w:t>R&amp;D systems, UK</w:t>
            </w:r>
          </w:p>
        </w:tc>
        <w:tc>
          <w:tcPr>
            <w:tcW w:w="2126" w:type="dxa"/>
          </w:tcPr>
          <w:p w14:paraId="3EEA2201" w14:textId="77777777" w:rsidR="0054039C" w:rsidRPr="0054039C" w:rsidRDefault="0054039C" w:rsidP="0054039C">
            <w:pPr>
              <w:autoSpaceDE w:val="0"/>
              <w:autoSpaceDN w:val="0"/>
              <w:adjustRightInd w:val="0"/>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595959" w:themeColor="text1" w:themeTint="A6"/>
              </w:rPr>
            </w:pPr>
            <w:r w:rsidRPr="0054039C">
              <w:rPr>
                <w:rFonts w:ascii="Arial" w:hAnsi="Arial" w:cs="Arial"/>
                <w:color w:val="595959" w:themeColor="text1" w:themeTint="A6"/>
              </w:rPr>
              <w:t>Goat</w:t>
            </w:r>
          </w:p>
        </w:tc>
        <w:tc>
          <w:tcPr>
            <w:tcW w:w="1276" w:type="dxa"/>
          </w:tcPr>
          <w:p w14:paraId="3727466C" w14:textId="77777777" w:rsidR="0054039C" w:rsidRPr="0054039C" w:rsidRDefault="0054039C" w:rsidP="0054039C">
            <w:pPr>
              <w:autoSpaceDE w:val="0"/>
              <w:autoSpaceDN w:val="0"/>
              <w:adjustRightInd w:val="0"/>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595959" w:themeColor="text1" w:themeTint="A6"/>
              </w:rPr>
            </w:pPr>
            <w:r w:rsidRPr="0054039C">
              <w:rPr>
                <w:rFonts w:ascii="Arial" w:hAnsi="Arial" w:cs="Arial"/>
                <w:color w:val="595959" w:themeColor="text1" w:themeTint="A6"/>
              </w:rPr>
              <w:t>1:1,000</w:t>
            </w:r>
          </w:p>
        </w:tc>
        <w:tc>
          <w:tcPr>
            <w:tcW w:w="1517" w:type="dxa"/>
          </w:tcPr>
          <w:p w14:paraId="78C570B4" w14:textId="77777777" w:rsidR="0054039C" w:rsidRPr="0054039C" w:rsidRDefault="0054039C" w:rsidP="0054039C">
            <w:pPr>
              <w:autoSpaceDE w:val="0"/>
              <w:autoSpaceDN w:val="0"/>
              <w:adjustRightInd w:val="0"/>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595959" w:themeColor="text1" w:themeTint="A6"/>
              </w:rPr>
            </w:pPr>
            <w:r w:rsidRPr="0054039C">
              <w:rPr>
                <w:rFonts w:ascii="Arial" w:hAnsi="Arial" w:cs="Arial"/>
                <w:color w:val="595959" w:themeColor="text1" w:themeTint="A6"/>
              </w:rPr>
              <w:t>0.2</w:t>
            </w:r>
          </w:p>
        </w:tc>
      </w:tr>
      <w:tr w:rsidR="0054039C" w:rsidRPr="0054039C" w14:paraId="2293A77C" w14:textId="77777777" w:rsidTr="001D7E29">
        <w:trPr>
          <w:cnfStyle w:val="000000100000" w:firstRow="0" w:lastRow="0" w:firstColumn="0" w:lastColumn="0" w:oddVBand="0" w:evenVBand="0" w:oddHBand="1" w:evenHBand="0" w:firstRowFirstColumn="0" w:firstRowLastColumn="0" w:lastRowFirstColumn="0" w:lastRowLastColumn="0"/>
          <w:trHeight w:val="1005"/>
        </w:trPr>
        <w:tc>
          <w:tcPr>
            <w:cnfStyle w:val="001000000000" w:firstRow="0" w:lastRow="0" w:firstColumn="1" w:lastColumn="0" w:oddVBand="0" w:evenVBand="0" w:oddHBand="0" w:evenHBand="0" w:firstRowFirstColumn="0" w:firstRowLastColumn="0" w:lastRowFirstColumn="0" w:lastRowLastColumn="0"/>
            <w:tcW w:w="2665" w:type="dxa"/>
          </w:tcPr>
          <w:p w14:paraId="0A93E92A" w14:textId="77777777" w:rsidR="0054039C" w:rsidRPr="0054039C" w:rsidRDefault="0054039C" w:rsidP="0054039C">
            <w:pPr>
              <w:autoSpaceDE w:val="0"/>
              <w:autoSpaceDN w:val="0"/>
              <w:adjustRightInd w:val="0"/>
              <w:spacing w:line="480" w:lineRule="auto"/>
              <w:jc w:val="center"/>
              <w:rPr>
                <w:rFonts w:ascii="Arial" w:hAnsi="Arial" w:cs="Arial"/>
                <w:color w:val="595959" w:themeColor="text1" w:themeTint="A6"/>
              </w:rPr>
            </w:pPr>
            <w:r w:rsidRPr="0054039C">
              <w:rPr>
                <w:rFonts w:ascii="Arial" w:hAnsi="Arial" w:cs="Arial"/>
                <w:color w:val="595959" w:themeColor="text1" w:themeTint="A6"/>
              </w:rPr>
              <w:lastRenderedPageBreak/>
              <w:t>COL1A1</w:t>
            </w:r>
          </w:p>
        </w:tc>
        <w:tc>
          <w:tcPr>
            <w:tcW w:w="1583" w:type="dxa"/>
          </w:tcPr>
          <w:p w14:paraId="6764A59B" w14:textId="77777777" w:rsidR="0054039C" w:rsidRPr="0054039C" w:rsidRDefault="0054039C" w:rsidP="0054039C">
            <w:pPr>
              <w:autoSpaceDE w:val="0"/>
              <w:autoSpaceDN w:val="0"/>
              <w:adjustRightInd w:val="0"/>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595959" w:themeColor="text1" w:themeTint="A6"/>
              </w:rPr>
            </w:pPr>
            <w:r w:rsidRPr="0054039C">
              <w:rPr>
                <w:rFonts w:ascii="Arial" w:hAnsi="Arial" w:cs="Arial"/>
                <w:color w:val="595959" w:themeColor="text1" w:themeTint="A6"/>
              </w:rPr>
              <w:t>Cell Signalling Technologies, UK</w:t>
            </w:r>
          </w:p>
        </w:tc>
        <w:tc>
          <w:tcPr>
            <w:tcW w:w="2126" w:type="dxa"/>
          </w:tcPr>
          <w:p w14:paraId="1B3211BD" w14:textId="77777777" w:rsidR="0054039C" w:rsidRPr="0054039C" w:rsidRDefault="0054039C" w:rsidP="0054039C">
            <w:pPr>
              <w:autoSpaceDE w:val="0"/>
              <w:autoSpaceDN w:val="0"/>
              <w:adjustRightInd w:val="0"/>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595959" w:themeColor="text1" w:themeTint="A6"/>
              </w:rPr>
            </w:pPr>
            <w:r w:rsidRPr="0054039C">
              <w:rPr>
                <w:rFonts w:ascii="Arial" w:hAnsi="Arial" w:cs="Arial"/>
                <w:color w:val="595959" w:themeColor="text1" w:themeTint="A6"/>
              </w:rPr>
              <w:t>Rabbit</w:t>
            </w:r>
          </w:p>
        </w:tc>
        <w:tc>
          <w:tcPr>
            <w:tcW w:w="1276" w:type="dxa"/>
          </w:tcPr>
          <w:p w14:paraId="6ADF3EBF" w14:textId="77777777" w:rsidR="0054039C" w:rsidRPr="0054039C" w:rsidRDefault="0054039C" w:rsidP="0054039C">
            <w:pPr>
              <w:autoSpaceDE w:val="0"/>
              <w:autoSpaceDN w:val="0"/>
              <w:adjustRightInd w:val="0"/>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595959" w:themeColor="text1" w:themeTint="A6"/>
              </w:rPr>
            </w:pPr>
            <w:r w:rsidRPr="0054039C">
              <w:rPr>
                <w:rFonts w:ascii="Arial" w:hAnsi="Arial" w:cs="Arial"/>
                <w:color w:val="595959" w:themeColor="text1" w:themeTint="A6"/>
              </w:rPr>
              <w:t>1:1,000</w:t>
            </w:r>
          </w:p>
        </w:tc>
        <w:tc>
          <w:tcPr>
            <w:tcW w:w="1517" w:type="dxa"/>
          </w:tcPr>
          <w:p w14:paraId="11772358" w14:textId="77777777" w:rsidR="0054039C" w:rsidRPr="0054039C" w:rsidRDefault="0054039C" w:rsidP="0054039C">
            <w:pPr>
              <w:autoSpaceDE w:val="0"/>
              <w:autoSpaceDN w:val="0"/>
              <w:adjustRightInd w:val="0"/>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595959" w:themeColor="text1" w:themeTint="A6"/>
              </w:rPr>
            </w:pPr>
            <w:r w:rsidRPr="0054039C">
              <w:rPr>
                <w:rFonts w:ascii="Arial" w:hAnsi="Arial" w:cs="Arial"/>
                <w:color w:val="595959" w:themeColor="text1" w:themeTint="A6"/>
              </w:rPr>
              <w:t>0.2</w:t>
            </w:r>
          </w:p>
        </w:tc>
      </w:tr>
      <w:tr w:rsidR="0054039C" w:rsidRPr="0054039C" w14:paraId="370E5841" w14:textId="77777777" w:rsidTr="001D7E29">
        <w:trPr>
          <w:trHeight w:val="488"/>
        </w:trPr>
        <w:tc>
          <w:tcPr>
            <w:cnfStyle w:val="001000000000" w:firstRow="0" w:lastRow="0" w:firstColumn="1" w:lastColumn="0" w:oddVBand="0" w:evenVBand="0" w:oddHBand="0" w:evenHBand="0" w:firstRowFirstColumn="0" w:firstRowLastColumn="0" w:lastRowFirstColumn="0" w:lastRowLastColumn="0"/>
            <w:tcW w:w="2665" w:type="dxa"/>
          </w:tcPr>
          <w:p w14:paraId="158D0296" w14:textId="77777777" w:rsidR="0054039C" w:rsidRPr="0054039C" w:rsidRDefault="0054039C" w:rsidP="0054039C">
            <w:pPr>
              <w:autoSpaceDE w:val="0"/>
              <w:autoSpaceDN w:val="0"/>
              <w:adjustRightInd w:val="0"/>
              <w:spacing w:line="480" w:lineRule="auto"/>
              <w:jc w:val="center"/>
              <w:rPr>
                <w:rFonts w:ascii="Arial" w:hAnsi="Arial" w:cs="Arial"/>
                <w:color w:val="595959" w:themeColor="text1" w:themeTint="A6"/>
              </w:rPr>
            </w:pPr>
            <w:r w:rsidRPr="0054039C">
              <w:rPr>
                <w:rFonts w:ascii="Arial" w:hAnsi="Arial" w:cs="Arial"/>
                <w:color w:val="595959" w:themeColor="text1" w:themeTint="A6"/>
              </w:rPr>
              <w:t>FN1-EDA</w:t>
            </w:r>
          </w:p>
        </w:tc>
        <w:tc>
          <w:tcPr>
            <w:tcW w:w="1583" w:type="dxa"/>
          </w:tcPr>
          <w:p w14:paraId="5DA8F35B" w14:textId="77777777" w:rsidR="0054039C" w:rsidRPr="0054039C" w:rsidRDefault="0054039C" w:rsidP="0054039C">
            <w:pPr>
              <w:autoSpaceDE w:val="0"/>
              <w:autoSpaceDN w:val="0"/>
              <w:adjustRightInd w:val="0"/>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595959" w:themeColor="text1" w:themeTint="A6"/>
              </w:rPr>
            </w:pPr>
            <w:r w:rsidRPr="0054039C">
              <w:rPr>
                <w:rFonts w:ascii="Arial" w:hAnsi="Arial" w:cs="Arial"/>
                <w:color w:val="595959" w:themeColor="text1" w:themeTint="A6"/>
              </w:rPr>
              <w:t>Abcam, UK</w:t>
            </w:r>
          </w:p>
        </w:tc>
        <w:tc>
          <w:tcPr>
            <w:tcW w:w="2126" w:type="dxa"/>
          </w:tcPr>
          <w:p w14:paraId="358CD31C" w14:textId="77777777" w:rsidR="0054039C" w:rsidRPr="0054039C" w:rsidRDefault="0054039C" w:rsidP="0054039C">
            <w:pPr>
              <w:autoSpaceDE w:val="0"/>
              <w:autoSpaceDN w:val="0"/>
              <w:adjustRightInd w:val="0"/>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595959" w:themeColor="text1" w:themeTint="A6"/>
              </w:rPr>
            </w:pPr>
            <w:r w:rsidRPr="0054039C">
              <w:rPr>
                <w:rFonts w:ascii="Arial" w:hAnsi="Arial" w:cs="Arial"/>
                <w:color w:val="595959" w:themeColor="text1" w:themeTint="A6"/>
              </w:rPr>
              <w:t>Mouse</w:t>
            </w:r>
          </w:p>
        </w:tc>
        <w:tc>
          <w:tcPr>
            <w:tcW w:w="1276" w:type="dxa"/>
          </w:tcPr>
          <w:p w14:paraId="768BA5F8" w14:textId="77777777" w:rsidR="0054039C" w:rsidRPr="0054039C" w:rsidRDefault="0054039C" w:rsidP="0054039C">
            <w:pPr>
              <w:autoSpaceDE w:val="0"/>
              <w:autoSpaceDN w:val="0"/>
              <w:adjustRightInd w:val="0"/>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595959" w:themeColor="text1" w:themeTint="A6"/>
              </w:rPr>
            </w:pPr>
            <w:r w:rsidRPr="0054039C">
              <w:rPr>
                <w:rFonts w:ascii="Arial" w:hAnsi="Arial" w:cs="Arial"/>
                <w:color w:val="595959" w:themeColor="text1" w:themeTint="A6"/>
              </w:rPr>
              <w:t>1:2,000</w:t>
            </w:r>
          </w:p>
        </w:tc>
        <w:tc>
          <w:tcPr>
            <w:tcW w:w="1517" w:type="dxa"/>
          </w:tcPr>
          <w:p w14:paraId="666B2243" w14:textId="77777777" w:rsidR="0054039C" w:rsidRPr="0054039C" w:rsidRDefault="0054039C" w:rsidP="0054039C">
            <w:pPr>
              <w:autoSpaceDE w:val="0"/>
              <w:autoSpaceDN w:val="0"/>
              <w:adjustRightInd w:val="0"/>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595959" w:themeColor="text1" w:themeTint="A6"/>
              </w:rPr>
            </w:pPr>
            <w:r w:rsidRPr="0054039C">
              <w:rPr>
                <w:rFonts w:ascii="Arial" w:hAnsi="Arial" w:cs="Arial"/>
                <w:color w:val="595959" w:themeColor="text1" w:themeTint="A6"/>
              </w:rPr>
              <w:t>0.8</w:t>
            </w:r>
          </w:p>
        </w:tc>
      </w:tr>
      <w:tr w:rsidR="0054039C" w:rsidRPr="0054039C" w14:paraId="64DA906F" w14:textId="77777777" w:rsidTr="001D7E29">
        <w:trPr>
          <w:cnfStyle w:val="000000100000" w:firstRow="0" w:lastRow="0" w:firstColumn="0" w:lastColumn="0" w:oddVBand="0" w:evenVBand="0" w:oddHBand="1" w:evenHBand="0" w:firstRowFirstColumn="0" w:firstRowLastColumn="0" w:lastRowFirstColumn="0" w:lastRowLastColumn="0"/>
          <w:trHeight w:val="991"/>
        </w:trPr>
        <w:tc>
          <w:tcPr>
            <w:cnfStyle w:val="001000000000" w:firstRow="0" w:lastRow="0" w:firstColumn="1" w:lastColumn="0" w:oddVBand="0" w:evenVBand="0" w:oddHBand="0" w:evenHBand="0" w:firstRowFirstColumn="0" w:firstRowLastColumn="0" w:lastRowFirstColumn="0" w:lastRowLastColumn="0"/>
            <w:tcW w:w="2665" w:type="dxa"/>
          </w:tcPr>
          <w:p w14:paraId="3C5C8F61" w14:textId="77777777" w:rsidR="0054039C" w:rsidRPr="0054039C" w:rsidRDefault="0054039C" w:rsidP="0054039C">
            <w:pPr>
              <w:autoSpaceDE w:val="0"/>
              <w:autoSpaceDN w:val="0"/>
              <w:adjustRightInd w:val="0"/>
              <w:spacing w:line="480" w:lineRule="auto"/>
              <w:jc w:val="center"/>
              <w:rPr>
                <w:rFonts w:ascii="Arial" w:hAnsi="Arial" w:cs="Arial"/>
                <w:color w:val="595959" w:themeColor="text1" w:themeTint="A6"/>
              </w:rPr>
            </w:pPr>
            <w:r w:rsidRPr="0054039C">
              <w:rPr>
                <w:rFonts w:ascii="Arial" w:hAnsi="Arial" w:cs="Arial"/>
                <w:color w:val="595959" w:themeColor="text1" w:themeTint="A6"/>
              </w:rPr>
              <w:t>Laminin-5 (γ2 chain)</w:t>
            </w:r>
          </w:p>
        </w:tc>
        <w:tc>
          <w:tcPr>
            <w:tcW w:w="1583" w:type="dxa"/>
          </w:tcPr>
          <w:p w14:paraId="45F546F1" w14:textId="77777777" w:rsidR="0054039C" w:rsidRPr="0054039C" w:rsidRDefault="0054039C" w:rsidP="0054039C">
            <w:pPr>
              <w:autoSpaceDE w:val="0"/>
              <w:autoSpaceDN w:val="0"/>
              <w:adjustRightInd w:val="0"/>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595959" w:themeColor="text1" w:themeTint="A6"/>
              </w:rPr>
            </w:pPr>
            <w:r w:rsidRPr="0054039C">
              <w:rPr>
                <w:rFonts w:ascii="Arial" w:hAnsi="Arial" w:cs="Arial"/>
                <w:color w:val="595959" w:themeColor="text1" w:themeTint="A6"/>
              </w:rPr>
              <w:t>Millipore, UK</w:t>
            </w:r>
          </w:p>
        </w:tc>
        <w:tc>
          <w:tcPr>
            <w:tcW w:w="2126" w:type="dxa"/>
          </w:tcPr>
          <w:p w14:paraId="6DAF690F" w14:textId="77777777" w:rsidR="0054039C" w:rsidRPr="0054039C" w:rsidRDefault="0054039C" w:rsidP="0054039C">
            <w:pPr>
              <w:autoSpaceDE w:val="0"/>
              <w:autoSpaceDN w:val="0"/>
              <w:adjustRightInd w:val="0"/>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595959" w:themeColor="text1" w:themeTint="A6"/>
              </w:rPr>
            </w:pPr>
            <w:r w:rsidRPr="0054039C">
              <w:rPr>
                <w:rFonts w:ascii="Arial" w:hAnsi="Arial" w:cs="Arial"/>
                <w:color w:val="595959" w:themeColor="text1" w:themeTint="A6"/>
              </w:rPr>
              <w:t>Mouse, Clone D4B5</w:t>
            </w:r>
          </w:p>
        </w:tc>
        <w:tc>
          <w:tcPr>
            <w:tcW w:w="1276" w:type="dxa"/>
          </w:tcPr>
          <w:p w14:paraId="7D5E58A9" w14:textId="77777777" w:rsidR="0054039C" w:rsidRPr="0054039C" w:rsidRDefault="0054039C" w:rsidP="0054039C">
            <w:pPr>
              <w:autoSpaceDE w:val="0"/>
              <w:autoSpaceDN w:val="0"/>
              <w:adjustRightInd w:val="0"/>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595959" w:themeColor="text1" w:themeTint="A6"/>
              </w:rPr>
            </w:pPr>
            <w:r w:rsidRPr="0054039C">
              <w:rPr>
                <w:rFonts w:ascii="Arial" w:hAnsi="Arial" w:cs="Arial"/>
                <w:color w:val="595959" w:themeColor="text1" w:themeTint="A6"/>
              </w:rPr>
              <w:t>1:1,000</w:t>
            </w:r>
          </w:p>
        </w:tc>
        <w:tc>
          <w:tcPr>
            <w:tcW w:w="1517" w:type="dxa"/>
          </w:tcPr>
          <w:p w14:paraId="277C411C" w14:textId="77777777" w:rsidR="0054039C" w:rsidRPr="0054039C" w:rsidRDefault="0054039C" w:rsidP="0054039C">
            <w:pPr>
              <w:autoSpaceDE w:val="0"/>
              <w:autoSpaceDN w:val="0"/>
              <w:adjustRightInd w:val="0"/>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595959" w:themeColor="text1" w:themeTint="A6"/>
              </w:rPr>
            </w:pPr>
            <w:r w:rsidRPr="0054039C">
              <w:rPr>
                <w:rFonts w:ascii="Arial" w:hAnsi="Arial" w:cs="Arial"/>
                <w:color w:val="595959" w:themeColor="text1" w:themeTint="A6"/>
              </w:rPr>
              <w:t>1</w:t>
            </w:r>
          </w:p>
        </w:tc>
      </w:tr>
      <w:tr w:rsidR="0054039C" w:rsidRPr="0054039C" w14:paraId="2E78C6E1" w14:textId="77777777" w:rsidTr="001D7E29">
        <w:trPr>
          <w:trHeight w:val="991"/>
        </w:trPr>
        <w:tc>
          <w:tcPr>
            <w:cnfStyle w:val="001000000000" w:firstRow="0" w:lastRow="0" w:firstColumn="1" w:lastColumn="0" w:oddVBand="0" w:evenVBand="0" w:oddHBand="0" w:evenHBand="0" w:firstRowFirstColumn="0" w:firstRowLastColumn="0" w:lastRowFirstColumn="0" w:lastRowLastColumn="0"/>
            <w:tcW w:w="2665" w:type="dxa"/>
          </w:tcPr>
          <w:p w14:paraId="2FE3D42F" w14:textId="77777777" w:rsidR="0054039C" w:rsidRPr="0054039C" w:rsidRDefault="0054039C" w:rsidP="0054039C">
            <w:pPr>
              <w:autoSpaceDE w:val="0"/>
              <w:autoSpaceDN w:val="0"/>
              <w:adjustRightInd w:val="0"/>
              <w:spacing w:line="480" w:lineRule="auto"/>
              <w:jc w:val="center"/>
              <w:rPr>
                <w:rFonts w:ascii="Arial" w:hAnsi="Arial" w:cs="Arial"/>
                <w:color w:val="595959" w:themeColor="text1" w:themeTint="A6"/>
              </w:rPr>
            </w:pPr>
            <w:r w:rsidRPr="0054039C">
              <w:rPr>
                <w:rFonts w:ascii="Arial" w:hAnsi="Arial" w:cs="Arial"/>
                <w:iCs/>
                <w:color w:val="595959" w:themeColor="text1" w:themeTint="A6"/>
              </w:rPr>
              <w:t>anti-rabbit IgG</w:t>
            </w:r>
          </w:p>
        </w:tc>
        <w:tc>
          <w:tcPr>
            <w:tcW w:w="1583" w:type="dxa"/>
          </w:tcPr>
          <w:p w14:paraId="524FCB17" w14:textId="77777777" w:rsidR="0054039C" w:rsidRPr="0054039C" w:rsidRDefault="0054039C" w:rsidP="0054039C">
            <w:pPr>
              <w:autoSpaceDE w:val="0"/>
              <w:autoSpaceDN w:val="0"/>
              <w:adjustRightInd w:val="0"/>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595959" w:themeColor="text1" w:themeTint="A6"/>
              </w:rPr>
            </w:pPr>
            <w:r w:rsidRPr="0054039C">
              <w:rPr>
                <w:rFonts w:ascii="Arial" w:hAnsi="Arial" w:cs="Arial"/>
                <w:color w:val="595959" w:themeColor="text1" w:themeTint="A6"/>
              </w:rPr>
              <w:t>Cell Signalling Technologies, UK</w:t>
            </w:r>
          </w:p>
        </w:tc>
        <w:tc>
          <w:tcPr>
            <w:tcW w:w="2126" w:type="dxa"/>
          </w:tcPr>
          <w:p w14:paraId="5A2F1E26" w14:textId="1AA6416F" w:rsidR="0054039C" w:rsidRPr="0054039C" w:rsidRDefault="00FC679E" w:rsidP="0054039C">
            <w:pPr>
              <w:autoSpaceDE w:val="0"/>
              <w:autoSpaceDN w:val="0"/>
              <w:adjustRightInd w:val="0"/>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595959" w:themeColor="text1" w:themeTint="A6"/>
              </w:rPr>
            </w:pPr>
            <w:r>
              <w:rPr>
                <w:rFonts w:ascii="Arial" w:hAnsi="Arial" w:cs="Arial"/>
                <w:color w:val="595959" w:themeColor="text1" w:themeTint="A6"/>
              </w:rPr>
              <w:t>-</w:t>
            </w:r>
          </w:p>
        </w:tc>
        <w:tc>
          <w:tcPr>
            <w:tcW w:w="1276" w:type="dxa"/>
          </w:tcPr>
          <w:p w14:paraId="5CA48E1D" w14:textId="77777777" w:rsidR="0054039C" w:rsidRPr="0054039C" w:rsidRDefault="0054039C" w:rsidP="0054039C">
            <w:pPr>
              <w:autoSpaceDE w:val="0"/>
              <w:autoSpaceDN w:val="0"/>
              <w:adjustRightInd w:val="0"/>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595959" w:themeColor="text1" w:themeTint="A6"/>
              </w:rPr>
            </w:pPr>
            <w:r w:rsidRPr="0054039C">
              <w:rPr>
                <w:rFonts w:ascii="Arial" w:hAnsi="Arial" w:cs="Arial"/>
                <w:color w:val="595959" w:themeColor="text1" w:themeTint="A6"/>
              </w:rPr>
              <w:t>1:5000</w:t>
            </w:r>
          </w:p>
        </w:tc>
        <w:tc>
          <w:tcPr>
            <w:tcW w:w="1517" w:type="dxa"/>
          </w:tcPr>
          <w:p w14:paraId="2FECE779" w14:textId="77777777" w:rsidR="0054039C" w:rsidRPr="0054039C" w:rsidRDefault="0054039C" w:rsidP="0054039C">
            <w:pPr>
              <w:autoSpaceDE w:val="0"/>
              <w:autoSpaceDN w:val="0"/>
              <w:adjustRightInd w:val="0"/>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595959" w:themeColor="text1" w:themeTint="A6"/>
              </w:rPr>
            </w:pPr>
            <w:r w:rsidRPr="0054039C">
              <w:rPr>
                <w:rFonts w:ascii="Arial" w:hAnsi="Arial" w:cs="Arial"/>
                <w:color w:val="595959" w:themeColor="text1" w:themeTint="A6"/>
              </w:rPr>
              <w:t>Not known</w:t>
            </w:r>
          </w:p>
        </w:tc>
      </w:tr>
      <w:tr w:rsidR="0054039C" w:rsidRPr="0054039C" w14:paraId="189E703E" w14:textId="77777777" w:rsidTr="001D7E29">
        <w:trPr>
          <w:cnfStyle w:val="000000100000" w:firstRow="0" w:lastRow="0" w:firstColumn="0" w:lastColumn="0" w:oddVBand="0" w:evenVBand="0" w:oddHBand="1" w:evenHBand="0" w:firstRowFirstColumn="0" w:firstRowLastColumn="0" w:lastRowFirstColumn="0" w:lastRowLastColumn="0"/>
          <w:trHeight w:val="1493"/>
        </w:trPr>
        <w:tc>
          <w:tcPr>
            <w:cnfStyle w:val="001000000000" w:firstRow="0" w:lastRow="0" w:firstColumn="1" w:lastColumn="0" w:oddVBand="0" w:evenVBand="0" w:oddHBand="0" w:evenHBand="0" w:firstRowFirstColumn="0" w:firstRowLastColumn="0" w:lastRowFirstColumn="0" w:lastRowLastColumn="0"/>
            <w:tcW w:w="2665" w:type="dxa"/>
          </w:tcPr>
          <w:p w14:paraId="6A7268DF" w14:textId="77777777" w:rsidR="0054039C" w:rsidRPr="0054039C" w:rsidRDefault="0054039C" w:rsidP="0054039C">
            <w:pPr>
              <w:autoSpaceDE w:val="0"/>
              <w:autoSpaceDN w:val="0"/>
              <w:adjustRightInd w:val="0"/>
              <w:spacing w:line="480" w:lineRule="auto"/>
              <w:jc w:val="center"/>
              <w:rPr>
                <w:rFonts w:ascii="Arial" w:hAnsi="Arial" w:cs="Arial"/>
                <w:color w:val="595959" w:themeColor="text1" w:themeTint="A6"/>
              </w:rPr>
            </w:pPr>
            <w:r w:rsidRPr="0054039C">
              <w:rPr>
                <w:rFonts w:ascii="Arial" w:hAnsi="Arial" w:cs="Arial"/>
                <w:iCs/>
                <w:color w:val="595959" w:themeColor="text1" w:themeTint="A6"/>
              </w:rPr>
              <w:t>anti-mouse IgG</w:t>
            </w:r>
          </w:p>
        </w:tc>
        <w:tc>
          <w:tcPr>
            <w:tcW w:w="1583" w:type="dxa"/>
          </w:tcPr>
          <w:p w14:paraId="422E29A0" w14:textId="77777777" w:rsidR="0054039C" w:rsidRPr="0054039C" w:rsidRDefault="0054039C" w:rsidP="0054039C">
            <w:pPr>
              <w:autoSpaceDE w:val="0"/>
              <w:autoSpaceDN w:val="0"/>
              <w:adjustRightInd w:val="0"/>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595959" w:themeColor="text1" w:themeTint="A6"/>
              </w:rPr>
            </w:pPr>
            <w:r w:rsidRPr="0054039C">
              <w:rPr>
                <w:rFonts w:ascii="Arial" w:hAnsi="Arial" w:cs="Arial"/>
                <w:color w:val="595959" w:themeColor="text1" w:themeTint="A6"/>
              </w:rPr>
              <w:t>GeneTex, USA</w:t>
            </w:r>
          </w:p>
        </w:tc>
        <w:tc>
          <w:tcPr>
            <w:tcW w:w="2126" w:type="dxa"/>
          </w:tcPr>
          <w:p w14:paraId="7FFFA734" w14:textId="7728F7D1" w:rsidR="0054039C" w:rsidRPr="0054039C" w:rsidRDefault="00FC679E" w:rsidP="0054039C">
            <w:pPr>
              <w:autoSpaceDE w:val="0"/>
              <w:autoSpaceDN w:val="0"/>
              <w:adjustRightInd w:val="0"/>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595959" w:themeColor="text1" w:themeTint="A6"/>
              </w:rPr>
            </w:pPr>
            <w:r>
              <w:rPr>
                <w:rFonts w:ascii="Arial" w:hAnsi="Arial" w:cs="Arial"/>
                <w:color w:val="595959" w:themeColor="text1" w:themeTint="A6"/>
              </w:rPr>
              <w:t>-</w:t>
            </w:r>
          </w:p>
        </w:tc>
        <w:tc>
          <w:tcPr>
            <w:tcW w:w="1276" w:type="dxa"/>
          </w:tcPr>
          <w:p w14:paraId="0DBE6C0E" w14:textId="77777777" w:rsidR="0054039C" w:rsidRPr="0054039C" w:rsidRDefault="0054039C" w:rsidP="0054039C">
            <w:pPr>
              <w:autoSpaceDE w:val="0"/>
              <w:autoSpaceDN w:val="0"/>
              <w:adjustRightInd w:val="0"/>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595959" w:themeColor="text1" w:themeTint="A6"/>
              </w:rPr>
            </w:pPr>
            <w:r w:rsidRPr="0054039C">
              <w:rPr>
                <w:rFonts w:ascii="Arial" w:hAnsi="Arial" w:cs="Arial"/>
                <w:color w:val="595959" w:themeColor="text1" w:themeTint="A6"/>
              </w:rPr>
              <w:t>1:3000</w:t>
            </w:r>
          </w:p>
        </w:tc>
        <w:tc>
          <w:tcPr>
            <w:tcW w:w="1517" w:type="dxa"/>
          </w:tcPr>
          <w:p w14:paraId="5D4419CB" w14:textId="77777777" w:rsidR="0054039C" w:rsidRPr="0054039C" w:rsidRDefault="0054039C" w:rsidP="0054039C">
            <w:pPr>
              <w:autoSpaceDE w:val="0"/>
              <w:autoSpaceDN w:val="0"/>
              <w:adjustRightInd w:val="0"/>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595959" w:themeColor="text1" w:themeTint="A6"/>
              </w:rPr>
            </w:pPr>
            <w:r w:rsidRPr="0054039C">
              <w:rPr>
                <w:rFonts w:ascii="Arial" w:hAnsi="Arial" w:cs="Arial"/>
                <w:color w:val="595959" w:themeColor="text1" w:themeTint="A6"/>
              </w:rPr>
              <w:t>0.726</w:t>
            </w:r>
          </w:p>
        </w:tc>
      </w:tr>
    </w:tbl>
    <w:p w14:paraId="1D95CDA8" w14:textId="77777777" w:rsidR="0001761D" w:rsidRDefault="0001761D" w:rsidP="00BF5135">
      <w:pPr>
        <w:pStyle w:val="Heading4"/>
        <w:rPr>
          <w:rFonts w:ascii="Arial" w:hAnsi="Arial" w:cs="Arial"/>
          <w:color w:val="595959" w:themeColor="text1" w:themeTint="A6"/>
          <w:szCs w:val="24"/>
          <w:lang w:val="en-US"/>
        </w:rPr>
      </w:pPr>
      <w:bookmarkStart w:id="163" w:name="_Toc515897482"/>
      <w:bookmarkStart w:id="164" w:name="_Toc534278613"/>
    </w:p>
    <w:p w14:paraId="1961BECD" w14:textId="5E5FD5B1" w:rsidR="0054039C" w:rsidRPr="0054039C" w:rsidRDefault="0054039C" w:rsidP="00BF5135">
      <w:pPr>
        <w:pStyle w:val="Heading4"/>
        <w:rPr>
          <w:rFonts w:ascii="Arial" w:hAnsi="Arial" w:cs="Arial"/>
          <w:color w:val="595959" w:themeColor="text1" w:themeTint="A6"/>
          <w:szCs w:val="24"/>
          <w:lang w:val="en-US"/>
        </w:rPr>
      </w:pPr>
      <w:bookmarkStart w:id="165" w:name="_Toc34208322"/>
      <w:r w:rsidRPr="0054039C">
        <w:rPr>
          <w:rFonts w:ascii="Arial" w:hAnsi="Arial" w:cs="Arial"/>
          <w:color w:val="595959" w:themeColor="text1" w:themeTint="A6"/>
          <w:szCs w:val="24"/>
          <w:lang w:val="en-US"/>
        </w:rPr>
        <w:t>2.2.9.3 Densitometr</w:t>
      </w:r>
      <w:bookmarkEnd w:id="163"/>
      <w:r w:rsidRPr="0054039C">
        <w:rPr>
          <w:rFonts w:ascii="Arial" w:hAnsi="Arial" w:cs="Arial"/>
          <w:color w:val="595959" w:themeColor="text1" w:themeTint="A6"/>
          <w:szCs w:val="24"/>
          <w:lang w:val="en-US"/>
        </w:rPr>
        <w:t>ic analysis of immunoblots</w:t>
      </w:r>
      <w:bookmarkEnd w:id="164"/>
      <w:bookmarkEnd w:id="165"/>
    </w:p>
    <w:p w14:paraId="55E181D5" w14:textId="77777777" w:rsidR="0054039C" w:rsidRPr="0054039C" w:rsidRDefault="0054039C" w:rsidP="0054039C">
      <w:pPr>
        <w:rPr>
          <w:lang w:val="en-US"/>
        </w:rPr>
      </w:pPr>
    </w:p>
    <w:p w14:paraId="4A941C7D" w14:textId="0C1DDD84" w:rsidR="0054039C" w:rsidRDefault="0054039C" w:rsidP="0054039C">
      <w:pPr>
        <w:autoSpaceDE w:val="0"/>
        <w:autoSpaceDN w:val="0"/>
        <w:adjustRightInd w:val="0"/>
        <w:spacing w:after="0" w:line="480" w:lineRule="auto"/>
        <w:jc w:val="both"/>
        <w:rPr>
          <w:rFonts w:ascii="Arial" w:hAnsi="Arial" w:cs="Arial"/>
          <w:color w:val="595959" w:themeColor="text1" w:themeTint="A6"/>
          <w:lang w:val="en-US"/>
        </w:rPr>
      </w:pPr>
      <w:r w:rsidRPr="0054039C">
        <w:rPr>
          <w:rFonts w:ascii="Arial" w:hAnsi="Arial" w:cs="Arial"/>
          <w:color w:val="595959" w:themeColor="text1" w:themeTint="A6"/>
          <w:lang w:val="en-US"/>
        </w:rPr>
        <w:t xml:space="preserve">ImageJ analysis software was used to compare the density of bands on immunoblots. The scanned blots were made into grayscale by converting to 8-bit image and equal-sized rectangular boxes drawn around each sample band and numbered according to the protein sample lane. The area of each plot was calculated and adjusted to the size of loading control to give relative fold change in density. </w:t>
      </w:r>
    </w:p>
    <w:p w14:paraId="70C7C9D2" w14:textId="77777777" w:rsidR="00BF5135" w:rsidRPr="0054039C" w:rsidRDefault="00BF5135" w:rsidP="00BF5135">
      <w:pPr>
        <w:pStyle w:val="Heading4"/>
        <w:rPr>
          <w:rFonts w:ascii="Arial" w:hAnsi="Arial" w:cs="Arial"/>
          <w:color w:val="595959" w:themeColor="text1" w:themeTint="A6"/>
          <w:lang w:val="en-US"/>
        </w:rPr>
      </w:pPr>
    </w:p>
    <w:p w14:paraId="2F15B856" w14:textId="77777777" w:rsidR="0054039C" w:rsidRPr="0054039C" w:rsidRDefault="0054039C" w:rsidP="00BF5135">
      <w:pPr>
        <w:pStyle w:val="Heading4"/>
        <w:rPr>
          <w:rFonts w:ascii="Arial" w:hAnsi="Arial" w:cs="Arial"/>
          <w:color w:val="595959" w:themeColor="text1" w:themeTint="A6"/>
          <w:szCs w:val="24"/>
          <w:lang w:val="en-US"/>
        </w:rPr>
      </w:pPr>
      <w:bookmarkStart w:id="166" w:name="_Toc515897483"/>
      <w:bookmarkStart w:id="167" w:name="_Toc534278614"/>
      <w:bookmarkStart w:id="168" w:name="_Toc34208323"/>
      <w:r w:rsidRPr="0054039C">
        <w:rPr>
          <w:rFonts w:ascii="Arial" w:hAnsi="Arial" w:cs="Arial"/>
          <w:color w:val="595959" w:themeColor="text1" w:themeTint="A6"/>
          <w:szCs w:val="24"/>
          <w:lang w:val="en-US"/>
        </w:rPr>
        <w:t xml:space="preserve">2.2.9.4 </w:t>
      </w:r>
      <w:r w:rsidRPr="0054039C">
        <w:rPr>
          <w:rFonts w:ascii="Arial" w:hAnsi="Arial" w:cs="Arial"/>
          <w:color w:val="595959" w:themeColor="text1" w:themeTint="A6"/>
          <w:lang w:val="en-US"/>
        </w:rPr>
        <w:t xml:space="preserve">Immunofluorescence of </w:t>
      </w:r>
      <w:r w:rsidRPr="0054039C">
        <w:rPr>
          <w:rFonts w:ascii="Arial" w:hAnsi="Arial" w:cs="Arial"/>
          <w:color w:val="595959" w:themeColor="text1" w:themeTint="A6"/>
          <w:shd w:val="clear" w:color="auto" w:fill="FFFFFF"/>
          <w:lang w:val="en-US"/>
        </w:rPr>
        <w:t>αSMA</w:t>
      </w:r>
      <w:r w:rsidRPr="0054039C">
        <w:rPr>
          <w:rFonts w:ascii="Arial" w:hAnsi="Arial" w:cs="Arial"/>
          <w:color w:val="595959" w:themeColor="text1" w:themeTint="A6"/>
          <w:szCs w:val="24"/>
          <w:lang w:val="en-US"/>
        </w:rPr>
        <w:t xml:space="preserve"> staining</w:t>
      </w:r>
      <w:bookmarkEnd w:id="166"/>
      <w:bookmarkEnd w:id="167"/>
      <w:bookmarkEnd w:id="168"/>
      <w:r w:rsidRPr="0054039C">
        <w:rPr>
          <w:rFonts w:ascii="Arial" w:hAnsi="Arial" w:cs="Arial"/>
          <w:color w:val="595959" w:themeColor="text1" w:themeTint="A6"/>
          <w:szCs w:val="24"/>
          <w:lang w:val="en-US"/>
        </w:rPr>
        <w:t xml:space="preserve"> </w:t>
      </w:r>
    </w:p>
    <w:p w14:paraId="6F4D754F" w14:textId="77777777" w:rsidR="0054039C" w:rsidRPr="0054039C" w:rsidRDefault="0054039C" w:rsidP="0054039C">
      <w:pPr>
        <w:rPr>
          <w:lang w:val="en-US"/>
        </w:rPr>
      </w:pPr>
    </w:p>
    <w:p w14:paraId="7FDAB9DE" w14:textId="228C7B89" w:rsidR="0054039C" w:rsidRPr="00AE1FC7" w:rsidRDefault="0054039C" w:rsidP="0054039C">
      <w:pPr>
        <w:autoSpaceDE w:val="0"/>
        <w:autoSpaceDN w:val="0"/>
        <w:adjustRightInd w:val="0"/>
        <w:spacing w:after="0" w:line="480" w:lineRule="auto"/>
        <w:jc w:val="both"/>
        <w:rPr>
          <w:rFonts w:ascii="Arial" w:hAnsi="Arial" w:cs="Arial"/>
          <w:color w:val="595959" w:themeColor="text1" w:themeTint="A6"/>
          <w:shd w:val="clear" w:color="auto" w:fill="FFFFFF"/>
          <w:lang w:val="en-US"/>
        </w:rPr>
      </w:pPr>
      <w:r w:rsidRPr="0054039C">
        <w:rPr>
          <w:rFonts w:ascii="Arial" w:hAnsi="Arial" w:cs="Arial"/>
          <w:color w:val="595959" w:themeColor="text1" w:themeTint="A6"/>
          <w:lang w:val="en-US"/>
        </w:rPr>
        <w:t>Cells were seeded at 3 x10</w:t>
      </w:r>
      <w:r w:rsidRPr="0054039C">
        <w:rPr>
          <w:rFonts w:ascii="Arial" w:hAnsi="Arial" w:cs="Arial"/>
          <w:color w:val="595959" w:themeColor="text1" w:themeTint="A6"/>
          <w:vertAlign w:val="superscript"/>
          <w:lang w:val="en-US"/>
        </w:rPr>
        <w:t>4</w:t>
      </w:r>
      <w:r w:rsidRPr="0054039C">
        <w:rPr>
          <w:rFonts w:ascii="Arial" w:hAnsi="Arial" w:cs="Arial"/>
          <w:color w:val="595959" w:themeColor="text1" w:themeTint="A6"/>
          <w:lang w:val="en-US"/>
        </w:rPr>
        <w:t xml:space="preserve"> cells onto glass coverslips in a 12-well plate and allowed to adhere for 24 h in fibroblast growth media. Cells were washed with PBS and then SFM media added for another 24 h. Cells were treated with</w:t>
      </w:r>
      <w:r w:rsidR="00D2235B">
        <w:rPr>
          <w:rFonts w:ascii="Arial" w:hAnsi="Arial" w:cs="Arial"/>
          <w:color w:val="595959" w:themeColor="text1" w:themeTint="A6"/>
          <w:lang w:val="en-US"/>
        </w:rPr>
        <w:t xml:space="preserve"> or </w:t>
      </w:r>
      <w:r w:rsidRPr="0054039C">
        <w:rPr>
          <w:rFonts w:ascii="Arial" w:hAnsi="Arial" w:cs="Arial"/>
          <w:color w:val="595959" w:themeColor="text1" w:themeTint="A6"/>
          <w:lang w:val="en-US"/>
        </w:rPr>
        <w:t>without 5 ng/mL TGFβ</w:t>
      </w:r>
      <w:r w:rsidR="003A39BD">
        <w:rPr>
          <w:rFonts w:ascii="Arial" w:hAnsi="Arial" w:cs="Arial"/>
          <w:color w:val="595959" w:themeColor="text1" w:themeTint="A6"/>
          <w:lang w:val="en-US"/>
        </w:rPr>
        <w:t>-1</w:t>
      </w:r>
      <w:r w:rsidRPr="0054039C">
        <w:rPr>
          <w:rFonts w:ascii="Arial" w:hAnsi="Arial" w:cs="Arial"/>
          <w:color w:val="595959" w:themeColor="text1" w:themeTint="A6"/>
          <w:lang w:val="en-US"/>
        </w:rPr>
        <w:t xml:space="preserve"> for 48 h and longer-term for up to 7 days. After this time</w:t>
      </w:r>
      <w:r w:rsidR="00D2235B">
        <w:rPr>
          <w:rFonts w:ascii="Arial" w:hAnsi="Arial" w:cs="Arial"/>
          <w:color w:val="595959" w:themeColor="text1" w:themeTint="A6"/>
          <w:lang w:val="en-US"/>
        </w:rPr>
        <w:t>,</w:t>
      </w:r>
      <w:r w:rsidRPr="0054039C">
        <w:rPr>
          <w:rFonts w:ascii="Arial" w:hAnsi="Arial" w:cs="Arial"/>
          <w:color w:val="595959" w:themeColor="text1" w:themeTint="A6"/>
          <w:lang w:val="en-US"/>
        </w:rPr>
        <w:t xml:space="preserve"> c</w:t>
      </w:r>
      <w:r w:rsidRPr="0054039C">
        <w:rPr>
          <w:rFonts w:ascii="Arial" w:hAnsi="Arial" w:cs="Arial"/>
          <w:color w:val="595959" w:themeColor="text1" w:themeTint="A6"/>
          <w:shd w:val="clear" w:color="auto" w:fill="FFFFFF"/>
          <w:lang w:val="en-US"/>
        </w:rPr>
        <w:t xml:space="preserve">ells were fixed in 100% methanol/ 4% paraformaldehyde for </w:t>
      </w:r>
      <w:r w:rsidRPr="0054039C">
        <w:rPr>
          <w:rFonts w:ascii="Arial" w:hAnsi="Arial" w:cs="Arial"/>
          <w:color w:val="595959" w:themeColor="text1" w:themeTint="A6"/>
          <w:shd w:val="clear" w:color="auto" w:fill="FFFFFF"/>
          <w:lang w:val="en-US"/>
        </w:rPr>
        <w:lastRenderedPageBreak/>
        <w:t>15 minutes and permeabilised with 4 mM sodium deoxycholate for 15 minutes.  Coverslips were blocked with 2.5% BSA/PBS at room temperature for 1 h on an orbital shaker, and then incubated with anti αSMA-FITC conjugated antibody (1:100) at 37</w:t>
      </w:r>
      <w:r w:rsidRPr="0054039C">
        <w:rPr>
          <w:rFonts w:ascii="Arial" w:hAnsi="Arial" w:cs="Arial"/>
          <w:color w:val="595959" w:themeColor="text1" w:themeTint="A6"/>
          <w:shd w:val="clear" w:color="auto" w:fill="FFFFFF"/>
          <w:vertAlign w:val="superscript"/>
          <w:lang w:val="en-US"/>
        </w:rPr>
        <w:t>o</w:t>
      </w:r>
      <w:r w:rsidRPr="0054039C">
        <w:rPr>
          <w:rFonts w:ascii="Arial" w:hAnsi="Arial" w:cs="Arial"/>
          <w:color w:val="595959" w:themeColor="text1" w:themeTint="A6"/>
          <w:shd w:val="clear" w:color="auto" w:fill="FFFFFF"/>
          <w:lang w:val="en-US"/>
        </w:rPr>
        <w:t>C for 1 h following three washes with PBS. The glass coverslips were inverted and mounted onto glass slides with DAPI containing mountant (15 µL) and stored at 4</w:t>
      </w:r>
      <w:r w:rsidRPr="0054039C">
        <w:rPr>
          <w:rFonts w:ascii="Arial" w:hAnsi="Arial" w:cs="Arial"/>
          <w:color w:val="595959" w:themeColor="text1" w:themeTint="A6"/>
          <w:shd w:val="clear" w:color="auto" w:fill="FFFFFF"/>
          <w:vertAlign w:val="superscript"/>
          <w:lang w:val="en-US"/>
        </w:rPr>
        <w:t>o</w:t>
      </w:r>
      <w:r w:rsidRPr="0054039C">
        <w:rPr>
          <w:rFonts w:ascii="Arial" w:hAnsi="Arial" w:cs="Arial"/>
          <w:color w:val="595959" w:themeColor="text1" w:themeTint="A6"/>
          <w:shd w:val="clear" w:color="auto" w:fill="FFFFFF"/>
          <w:lang w:val="en-US"/>
        </w:rPr>
        <w:t xml:space="preserve">C and shielded from light until imaging. Imaging was performed by fluorescent light microscope and imaged at x40 magnification. </w:t>
      </w:r>
    </w:p>
    <w:p w14:paraId="051976C8" w14:textId="77777777" w:rsidR="0054039C" w:rsidRPr="0054039C" w:rsidRDefault="0054039C" w:rsidP="00BF5135">
      <w:pPr>
        <w:pStyle w:val="Heading4"/>
        <w:rPr>
          <w:rFonts w:ascii="Arial" w:hAnsi="Arial" w:cs="Arial"/>
          <w:color w:val="595959" w:themeColor="text1" w:themeTint="A6"/>
          <w:szCs w:val="24"/>
          <w:lang w:val="en-US"/>
        </w:rPr>
      </w:pPr>
      <w:bookmarkStart w:id="169" w:name="_Toc515897484"/>
      <w:bookmarkStart w:id="170" w:name="_Toc534278615"/>
      <w:bookmarkStart w:id="171" w:name="_Toc34208324"/>
      <w:r w:rsidRPr="0054039C">
        <w:rPr>
          <w:rFonts w:ascii="Arial" w:hAnsi="Arial" w:cs="Arial"/>
          <w:color w:val="595959" w:themeColor="text1" w:themeTint="A6"/>
          <w:szCs w:val="24"/>
          <w:lang w:val="en-US"/>
        </w:rPr>
        <w:t>2.2.9.5 Immunohistochemical analysis</w:t>
      </w:r>
      <w:bookmarkEnd w:id="169"/>
      <w:bookmarkEnd w:id="170"/>
      <w:bookmarkEnd w:id="171"/>
    </w:p>
    <w:p w14:paraId="3CEE9752" w14:textId="77777777" w:rsidR="0054039C" w:rsidRPr="0054039C" w:rsidRDefault="0054039C" w:rsidP="0054039C">
      <w:pPr>
        <w:rPr>
          <w:lang w:val="en-US"/>
        </w:rPr>
      </w:pPr>
    </w:p>
    <w:p w14:paraId="282FF544" w14:textId="2528FF6D" w:rsidR="0054039C" w:rsidRDefault="0054039C" w:rsidP="0054039C">
      <w:pPr>
        <w:autoSpaceDE w:val="0"/>
        <w:autoSpaceDN w:val="0"/>
        <w:adjustRightInd w:val="0"/>
        <w:spacing w:after="0" w:line="480" w:lineRule="auto"/>
        <w:jc w:val="both"/>
        <w:rPr>
          <w:rFonts w:ascii="Arial" w:hAnsi="Arial" w:cs="Arial"/>
          <w:color w:val="595959" w:themeColor="text1" w:themeTint="A6"/>
        </w:rPr>
      </w:pPr>
      <w:bookmarkStart w:id="172" w:name="_Hlk535589599"/>
      <w:r w:rsidRPr="0054039C">
        <w:rPr>
          <w:rFonts w:ascii="Arial" w:hAnsi="Arial" w:cs="Arial"/>
          <w:color w:val="595959" w:themeColor="text1" w:themeTint="A6"/>
        </w:rPr>
        <w:t>Paraffin-embedded tissue sections (6 μm) were dewaxed, rehydrated and endogenous peroxidase was neutralised with 3% hydrogen peroxide for 20 minutes. An antigen retrieval step was undertaken using a pressure cooker and conditions outlined in table 2.11. Sections were blocked using protein-free blocking solution for 30 minutes at room temperature before incubation with primary antibody (diluted in PBS) for 1 h at room temperature or overnight at 4</w:t>
      </w:r>
      <w:r w:rsidRPr="0054039C">
        <w:rPr>
          <w:rFonts w:ascii="Arial" w:hAnsi="Arial" w:cs="Arial"/>
          <w:color w:val="595959" w:themeColor="text1" w:themeTint="A6"/>
          <w:vertAlign w:val="superscript"/>
        </w:rPr>
        <w:t>o</w:t>
      </w:r>
      <w:r w:rsidRPr="0054039C">
        <w:rPr>
          <w:rFonts w:ascii="Arial" w:hAnsi="Arial" w:cs="Arial"/>
          <w:color w:val="595959" w:themeColor="text1" w:themeTint="A6"/>
        </w:rPr>
        <w:t xml:space="preserve">C (Table 13 details the antibodies used). Secondary antibody and avidin-biotin complex (ABC) provided with Vectastain Elite ABC kit were used in accordance with the manufacturer’s instructions. </w:t>
      </w:r>
      <w:r w:rsidRPr="00A03706">
        <w:rPr>
          <w:rFonts w:ascii="Arial" w:hAnsi="Arial" w:cs="Arial"/>
          <w:color w:val="595959" w:themeColor="text1" w:themeTint="A6"/>
        </w:rPr>
        <w:t>Finally, 3</w:t>
      </w:r>
      <w:r w:rsidR="001201D3" w:rsidRPr="00A03706">
        <w:rPr>
          <w:rFonts w:ascii="Arial" w:hAnsi="Arial" w:cs="Arial"/>
          <w:color w:val="595959" w:themeColor="text1" w:themeTint="A6"/>
        </w:rPr>
        <w:t>,3</w:t>
      </w:r>
      <w:r w:rsidRPr="00A03706">
        <w:rPr>
          <w:rFonts w:ascii="Arial" w:hAnsi="Arial" w:cs="Arial"/>
          <w:color w:val="595959" w:themeColor="text1" w:themeTint="A6"/>
        </w:rPr>
        <w:t xml:space="preserve">-diaminobenzidine tetrahydrochloride </w:t>
      </w:r>
      <w:r w:rsidRPr="0054039C">
        <w:rPr>
          <w:rFonts w:ascii="Arial" w:hAnsi="Arial" w:cs="Arial"/>
          <w:color w:val="595959" w:themeColor="text1" w:themeTint="A6"/>
        </w:rPr>
        <w:t xml:space="preserve">(DAB) was used to visualise peroxidase activity and the sections were counterstained with haematoxylin, dehydrated and mounted in DPX and imaged by light microscopy.  IgG controls matched to host species were used as negative controls for each sample and antibody expression analysed. </w:t>
      </w:r>
      <w:bookmarkEnd w:id="172"/>
    </w:p>
    <w:p w14:paraId="014E2154" w14:textId="77777777" w:rsidR="00AE1FC7" w:rsidRPr="0054039C" w:rsidRDefault="00AE1FC7" w:rsidP="0054039C">
      <w:pPr>
        <w:autoSpaceDE w:val="0"/>
        <w:autoSpaceDN w:val="0"/>
        <w:adjustRightInd w:val="0"/>
        <w:spacing w:after="0" w:line="480" w:lineRule="auto"/>
        <w:jc w:val="both"/>
        <w:rPr>
          <w:rFonts w:ascii="Arial" w:hAnsi="Arial" w:cs="Arial"/>
          <w:color w:val="595959" w:themeColor="text1" w:themeTint="A6"/>
        </w:rPr>
      </w:pPr>
    </w:p>
    <w:p w14:paraId="193DA1F4" w14:textId="01CFB002" w:rsidR="0054039C" w:rsidRPr="00220314" w:rsidRDefault="0054039C" w:rsidP="0054039C">
      <w:pPr>
        <w:autoSpaceDE w:val="0"/>
        <w:autoSpaceDN w:val="0"/>
        <w:adjustRightInd w:val="0"/>
        <w:spacing w:after="0" w:line="480" w:lineRule="auto"/>
        <w:jc w:val="both"/>
        <w:rPr>
          <w:rFonts w:ascii="Arial" w:hAnsi="Arial" w:cs="Arial"/>
          <w:b/>
          <w:color w:val="595959" w:themeColor="text1" w:themeTint="A6"/>
          <w:szCs w:val="21"/>
          <w:lang w:val="en-US"/>
        </w:rPr>
      </w:pPr>
      <w:r w:rsidRPr="00220314">
        <w:rPr>
          <w:rFonts w:ascii="Arial" w:hAnsi="Arial" w:cs="Arial"/>
          <w:b/>
          <w:color w:val="595959" w:themeColor="text1" w:themeTint="A6"/>
          <w:szCs w:val="21"/>
          <w:lang w:val="en-US"/>
        </w:rPr>
        <w:t xml:space="preserve">Table 2.11 Antibodies and antigen retrieval conditions </w:t>
      </w:r>
    </w:p>
    <w:tbl>
      <w:tblPr>
        <w:tblStyle w:val="GridTable4-Accent31"/>
        <w:tblpPr w:leftFromText="180" w:rightFromText="180" w:vertAnchor="text" w:horzAnchor="margin" w:tblpXSpec="center" w:tblpY="258"/>
        <w:tblW w:w="8926" w:type="dxa"/>
        <w:tblLook w:val="04A0" w:firstRow="1" w:lastRow="0" w:firstColumn="1" w:lastColumn="0" w:noHBand="0" w:noVBand="1"/>
      </w:tblPr>
      <w:tblGrid>
        <w:gridCol w:w="1265"/>
        <w:gridCol w:w="1281"/>
        <w:gridCol w:w="1035"/>
        <w:gridCol w:w="1084"/>
        <w:gridCol w:w="1709"/>
        <w:gridCol w:w="2552"/>
      </w:tblGrid>
      <w:tr w:rsidR="0054039C" w:rsidRPr="0054039C" w14:paraId="2E520F46" w14:textId="77777777" w:rsidTr="00220314">
        <w:trPr>
          <w:cnfStyle w:val="100000000000" w:firstRow="1" w:lastRow="0" w:firstColumn="0" w:lastColumn="0" w:oddVBand="0" w:evenVBand="0" w:oddHBand="0" w:evenHBand="0" w:firstRowFirstColumn="0" w:firstRowLastColumn="0" w:lastRowFirstColumn="0" w:lastRowLastColumn="0"/>
          <w:trHeight w:val="820"/>
        </w:trPr>
        <w:tc>
          <w:tcPr>
            <w:cnfStyle w:val="001000000000" w:firstRow="0" w:lastRow="0" w:firstColumn="1" w:lastColumn="0" w:oddVBand="0" w:evenVBand="0" w:oddHBand="0" w:evenHBand="0" w:firstRowFirstColumn="0" w:firstRowLastColumn="0" w:lastRowFirstColumn="0" w:lastRowLastColumn="0"/>
            <w:tcW w:w="1265" w:type="dxa"/>
          </w:tcPr>
          <w:p w14:paraId="6C7AD365" w14:textId="77777777" w:rsidR="0054039C" w:rsidRPr="0054039C" w:rsidRDefault="0054039C" w:rsidP="0054039C">
            <w:pPr>
              <w:autoSpaceDE w:val="0"/>
              <w:autoSpaceDN w:val="0"/>
              <w:adjustRightInd w:val="0"/>
              <w:spacing w:line="480" w:lineRule="auto"/>
              <w:jc w:val="center"/>
              <w:rPr>
                <w:rFonts w:ascii="Arial" w:hAnsi="Arial" w:cs="Arial"/>
                <w:color w:val="595959" w:themeColor="text1" w:themeTint="A6"/>
              </w:rPr>
            </w:pPr>
            <w:r w:rsidRPr="0054039C">
              <w:rPr>
                <w:rFonts w:ascii="Arial" w:hAnsi="Arial" w:cs="Arial"/>
                <w:color w:val="595959" w:themeColor="text1" w:themeTint="A6"/>
              </w:rPr>
              <w:t>Marker</w:t>
            </w:r>
          </w:p>
        </w:tc>
        <w:tc>
          <w:tcPr>
            <w:tcW w:w="1281" w:type="dxa"/>
          </w:tcPr>
          <w:p w14:paraId="3F0CCE04" w14:textId="77777777" w:rsidR="0054039C" w:rsidRPr="0054039C" w:rsidRDefault="0054039C" w:rsidP="0054039C">
            <w:pPr>
              <w:autoSpaceDE w:val="0"/>
              <w:autoSpaceDN w:val="0"/>
              <w:adjustRightInd w:val="0"/>
              <w:spacing w:line="48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595959" w:themeColor="text1" w:themeTint="A6"/>
              </w:rPr>
            </w:pPr>
            <w:r w:rsidRPr="0054039C">
              <w:rPr>
                <w:rFonts w:ascii="Arial" w:hAnsi="Arial" w:cs="Arial"/>
                <w:color w:val="595959" w:themeColor="text1" w:themeTint="A6"/>
              </w:rPr>
              <w:t>Antibody</w:t>
            </w:r>
          </w:p>
          <w:p w14:paraId="694840E6" w14:textId="77777777" w:rsidR="0054039C" w:rsidRPr="0054039C" w:rsidRDefault="0054039C" w:rsidP="0054039C">
            <w:pPr>
              <w:autoSpaceDE w:val="0"/>
              <w:autoSpaceDN w:val="0"/>
              <w:adjustRightInd w:val="0"/>
              <w:spacing w:line="48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595959" w:themeColor="text1" w:themeTint="A6"/>
              </w:rPr>
            </w:pPr>
            <w:r w:rsidRPr="0054039C">
              <w:rPr>
                <w:rFonts w:ascii="Arial" w:hAnsi="Arial" w:cs="Arial"/>
                <w:color w:val="595959" w:themeColor="text1" w:themeTint="A6"/>
              </w:rPr>
              <w:t>Clone</w:t>
            </w:r>
          </w:p>
        </w:tc>
        <w:tc>
          <w:tcPr>
            <w:tcW w:w="1035" w:type="dxa"/>
          </w:tcPr>
          <w:p w14:paraId="13EEA268" w14:textId="77777777" w:rsidR="0054039C" w:rsidRPr="0054039C" w:rsidRDefault="0054039C" w:rsidP="0054039C">
            <w:pPr>
              <w:autoSpaceDE w:val="0"/>
              <w:autoSpaceDN w:val="0"/>
              <w:adjustRightInd w:val="0"/>
              <w:spacing w:line="48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595959" w:themeColor="text1" w:themeTint="A6"/>
              </w:rPr>
            </w:pPr>
            <w:r w:rsidRPr="0054039C">
              <w:rPr>
                <w:rFonts w:ascii="Arial" w:hAnsi="Arial" w:cs="Arial"/>
                <w:color w:val="595959" w:themeColor="text1" w:themeTint="A6"/>
              </w:rPr>
              <w:t>Dilution</w:t>
            </w:r>
          </w:p>
        </w:tc>
        <w:tc>
          <w:tcPr>
            <w:tcW w:w="1084" w:type="dxa"/>
          </w:tcPr>
          <w:p w14:paraId="44D92402" w14:textId="77777777" w:rsidR="0054039C" w:rsidRPr="0054039C" w:rsidRDefault="0054039C" w:rsidP="0054039C">
            <w:pPr>
              <w:autoSpaceDE w:val="0"/>
              <w:autoSpaceDN w:val="0"/>
              <w:adjustRightInd w:val="0"/>
              <w:spacing w:line="48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595959" w:themeColor="text1" w:themeTint="A6"/>
              </w:rPr>
            </w:pPr>
            <w:r w:rsidRPr="0054039C">
              <w:rPr>
                <w:rFonts w:ascii="Arial" w:hAnsi="Arial" w:cs="Arial"/>
                <w:color w:val="595959" w:themeColor="text1" w:themeTint="A6"/>
              </w:rPr>
              <w:t>Final conc</w:t>
            </w:r>
          </w:p>
          <w:p w14:paraId="59472B5B" w14:textId="77777777" w:rsidR="0054039C" w:rsidRPr="0054039C" w:rsidRDefault="0054039C" w:rsidP="0054039C">
            <w:pPr>
              <w:autoSpaceDE w:val="0"/>
              <w:autoSpaceDN w:val="0"/>
              <w:adjustRightInd w:val="0"/>
              <w:spacing w:line="48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595959" w:themeColor="text1" w:themeTint="A6"/>
              </w:rPr>
            </w:pPr>
            <w:r w:rsidRPr="0054039C">
              <w:rPr>
                <w:rFonts w:ascii="Arial" w:hAnsi="Arial" w:cs="Arial"/>
                <w:color w:val="595959" w:themeColor="text1" w:themeTint="A6"/>
              </w:rPr>
              <w:t>(mg/mL)</w:t>
            </w:r>
          </w:p>
        </w:tc>
        <w:tc>
          <w:tcPr>
            <w:tcW w:w="1709" w:type="dxa"/>
          </w:tcPr>
          <w:p w14:paraId="1A57189A" w14:textId="77777777" w:rsidR="0054039C" w:rsidRPr="0054039C" w:rsidRDefault="0054039C" w:rsidP="0054039C">
            <w:pPr>
              <w:autoSpaceDE w:val="0"/>
              <w:autoSpaceDN w:val="0"/>
              <w:adjustRightInd w:val="0"/>
              <w:spacing w:line="48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595959" w:themeColor="text1" w:themeTint="A6"/>
              </w:rPr>
            </w:pPr>
            <w:r w:rsidRPr="0054039C">
              <w:rPr>
                <w:rFonts w:ascii="Arial" w:hAnsi="Arial" w:cs="Arial"/>
                <w:color w:val="595959" w:themeColor="text1" w:themeTint="A6"/>
              </w:rPr>
              <w:t>Antigen Retrieval</w:t>
            </w:r>
          </w:p>
        </w:tc>
        <w:tc>
          <w:tcPr>
            <w:tcW w:w="2552" w:type="dxa"/>
          </w:tcPr>
          <w:p w14:paraId="1A579DEB" w14:textId="77777777" w:rsidR="0054039C" w:rsidRPr="0054039C" w:rsidRDefault="0054039C" w:rsidP="0054039C">
            <w:pPr>
              <w:autoSpaceDE w:val="0"/>
              <w:autoSpaceDN w:val="0"/>
              <w:adjustRightInd w:val="0"/>
              <w:spacing w:line="48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595959" w:themeColor="text1" w:themeTint="A6"/>
              </w:rPr>
            </w:pPr>
            <w:r w:rsidRPr="0054039C">
              <w:rPr>
                <w:rFonts w:ascii="Arial" w:hAnsi="Arial" w:cs="Arial"/>
                <w:color w:val="595959" w:themeColor="text1" w:themeTint="A6"/>
              </w:rPr>
              <w:t>Source</w:t>
            </w:r>
          </w:p>
        </w:tc>
      </w:tr>
      <w:tr w:rsidR="0054039C" w:rsidRPr="0054039C" w14:paraId="6ED25F0F" w14:textId="77777777" w:rsidTr="002203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5" w:type="dxa"/>
          </w:tcPr>
          <w:p w14:paraId="1D20AE2C" w14:textId="77777777" w:rsidR="0054039C" w:rsidRPr="0054039C" w:rsidRDefault="0054039C" w:rsidP="0054039C">
            <w:pPr>
              <w:autoSpaceDE w:val="0"/>
              <w:autoSpaceDN w:val="0"/>
              <w:adjustRightInd w:val="0"/>
              <w:spacing w:line="480" w:lineRule="auto"/>
              <w:jc w:val="center"/>
              <w:rPr>
                <w:rFonts w:ascii="Arial" w:hAnsi="Arial" w:cs="Arial"/>
                <w:color w:val="595959" w:themeColor="text1" w:themeTint="A6"/>
                <w:sz w:val="20"/>
                <w:szCs w:val="20"/>
              </w:rPr>
            </w:pPr>
            <w:r w:rsidRPr="0054039C">
              <w:rPr>
                <w:rFonts w:ascii="Arial" w:hAnsi="Arial" w:cs="Arial"/>
                <w:color w:val="595959" w:themeColor="text1" w:themeTint="A6"/>
                <w:sz w:val="20"/>
                <w:szCs w:val="20"/>
              </w:rPr>
              <w:t>Ki67</w:t>
            </w:r>
          </w:p>
        </w:tc>
        <w:tc>
          <w:tcPr>
            <w:tcW w:w="1281" w:type="dxa"/>
          </w:tcPr>
          <w:p w14:paraId="09C69B3D" w14:textId="77777777" w:rsidR="0054039C" w:rsidRPr="0054039C" w:rsidRDefault="0054039C" w:rsidP="0054039C">
            <w:pPr>
              <w:autoSpaceDE w:val="0"/>
              <w:autoSpaceDN w:val="0"/>
              <w:adjustRightInd w:val="0"/>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595959" w:themeColor="text1" w:themeTint="A6"/>
                <w:sz w:val="20"/>
                <w:szCs w:val="20"/>
              </w:rPr>
            </w:pPr>
            <w:r w:rsidRPr="0054039C">
              <w:rPr>
                <w:rFonts w:ascii="Arial" w:hAnsi="Arial" w:cs="Arial"/>
                <w:color w:val="595959" w:themeColor="text1" w:themeTint="A6"/>
                <w:sz w:val="20"/>
                <w:szCs w:val="20"/>
              </w:rPr>
              <w:t>MIB-1</w:t>
            </w:r>
          </w:p>
        </w:tc>
        <w:tc>
          <w:tcPr>
            <w:tcW w:w="1035" w:type="dxa"/>
          </w:tcPr>
          <w:p w14:paraId="233E310E" w14:textId="77777777" w:rsidR="0054039C" w:rsidRPr="0054039C" w:rsidRDefault="0054039C" w:rsidP="0054039C">
            <w:pPr>
              <w:autoSpaceDE w:val="0"/>
              <w:autoSpaceDN w:val="0"/>
              <w:adjustRightInd w:val="0"/>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595959" w:themeColor="text1" w:themeTint="A6"/>
                <w:sz w:val="20"/>
                <w:szCs w:val="20"/>
              </w:rPr>
            </w:pPr>
            <w:r w:rsidRPr="0054039C">
              <w:rPr>
                <w:rFonts w:ascii="Arial" w:hAnsi="Arial" w:cs="Arial"/>
                <w:color w:val="595959" w:themeColor="text1" w:themeTint="A6"/>
                <w:sz w:val="20"/>
                <w:szCs w:val="20"/>
              </w:rPr>
              <w:t>1:50</w:t>
            </w:r>
          </w:p>
        </w:tc>
        <w:tc>
          <w:tcPr>
            <w:tcW w:w="1084" w:type="dxa"/>
          </w:tcPr>
          <w:p w14:paraId="23EC9AEA" w14:textId="77777777" w:rsidR="0054039C" w:rsidRPr="0054039C" w:rsidRDefault="0054039C" w:rsidP="0054039C">
            <w:pPr>
              <w:autoSpaceDE w:val="0"/>
              <w:autoSpaceDN w:val="0"/>
              <w:adjustRightInd w:val="0"/>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595959" w:themeColor="text1" w:themeTint="A6"/>
                <w:sz w:val="20"/>
                <w:szCs w:val="20"/>
              </w:rPr>
            </w:pPr>
            <w:r w:rsidRPr="0054039C">
              <w:rPr>
                <w:rFonts w:ascii="Arial" w:hAnsi="Arial" w:cs="Arial"/>
                <w:color w:val="595959" w:themeColor="text1" w:themeTint="A6"/>
                <w:sz w:val="20"/>
                <w:szCs w:val="20"/>
              </w:rPr>
              <w:t>Not known</w:t>
            </w:r>
          </w:p>
        </w:tc>
        <w:tc>
          <w:tcPr>
            <w:tcW w:w="1709" w:type="dxa"/>
          </w:tcPr>
          <w:p w14:paraId="46FFB8A8" w14:textId="77777777" w:rsidR="0054039C" w:rsidRPr="0054039C" w:rsidRDefault="0054039C" w:rsidP="0054039C">
            <w:pPr>
              <w:autoSpaceDE w:val="0"/>
              <w:autoSpaceDN w:val="0"/>
              <w:adjustRightInd w:val="0"/>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595959" w:themeColor="text1" w:themeTint="A6"/>
                <w:sz w:val="20"/>
                <w:szCs w:val="20"/>
              </w:rPr>
            </w:pPr>
            <w:r w:rsidRPr="0054039C">
              <w:rPr>
                <w:rFonts w:ascii="Arial" w:hAnsi="Arial" w:cs="Arial"/>
                <w:color w:val="595959" w:themeColor="text1" w:themeTint="A6"/>
                <w:sz w:val="20"/>
                <w:szCs w:val="20"/>
              </w:rPr>
              <w:t>0.01M Sodium citrate buffer</w:t>
            </w:r>
          </w:p>
        </w:tc>
        <w:tc>
          <w:tcPr>
            <w:tcW w:w="2552" w:type="dxa"/>
          </w:tcPr>
          <w:p w14:paraId="5B5BE0F8" w14:textId="77777777" w:rsidR="0054039C" w:rsidRPr="0054039C" w:rsidRDefault="0054039C" w:rsidP="0054039C">
            <w:pPr>
              <w:autoSpaceDE w:val="0"/>
              <w:autoSpaceDN w:val="0"/>
              <w:adjustRightInd w:val="0"/>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595959" w:themeColor="text1" w:themeTint="A6"/>
                <w:sz w:val="20"/>
                <w:szCs w:val="20"/>
              </w:rPr>
            </w:pPr>
            <w:r w:rsidRPr="0054039C">
              <w:rPr>
                <w:rFonts w:ascii="Arial" w:hAnsi="Arial" w:cs="Arial"/>
                <w:color w:val="595959" w:themeColor="text1" w:themeTint="A6"/>
                <w:sz w:val="20"/>
                <w:szCs w:val="20"/>
              </w:rPr>
              <w:t>Dako, Denmark.</w:t>
            </w:r>
          </w:p>
        </w:tc>
      </w:tr>
      <w:tr w:rsidR="0054039C" w:rsidRPr="0054039C" w14:paraId="55F47BEA" w14:textId="77777777" w:rsidTr="00220314">
        <w:tc>
          <w:tcPr>
            <w:cnfStyle w:val="001000000000" w:firstRow="0" w:lastRow="0" w:firstColumn="1" w:lastColumn="0" w:oddVBand="0" w:evenVBand="0" w:oddHBand="0" w:evenHBand="0" w:firstRowFirstColumn="0" w:firstRowLastColumn="0" w:lastRowFirstColumn="0" w:lastRowLastColumn="0"/>
            <w:tcW w:w="1265" w:type="dxa"/>
          </w:tcPr>
          <w:p w14:paraId="1795C1E8" w14:textId="77777777" w:rsidR="0054039C" w:rsidRPr="0054039C" w:rsidRDefault="0054039C" w:rsidP="0054039C">
            <w:pPr>
              <w:autoSpaceDE w:val="0"/>
              <w:autoSpaceDN w:val="0"/>
              <w:adjustRightInd w:val="0"/>
              <w:spacing w:line="480" w:lineRule="auto"/>
              <w:jc w:val="center"/>
              <w:rPr>
                <w:rFonts w:ascii="Arial" w:hAnsi="Arial" w:cs="Arial"/>
                <w:color w:val="595959" w:themeColor="text1" w:themeTint="A6"/>
                <w:sz w:val="20"/>
                <w:szCs w:val="20"/>
              </w:rPr>
            </w:pPr>
            <w:r w:rsidRPr="0054039C">
              <w:rPr>
                <w:rFonts w:ascii="Arial" w:hAnsi="Arial" w:cs="Arial"/>
                <w:color w:val="595959" w:themeColor="text1" w:themeTint="A6"/>
                <w:sz w:val="20"/>
                <w:szCs w:val="20"/>
              </w:rPr>
              <w:lastRenderedPageBreak/>
              <w:t>AE1/3</w:t>
            </w:r>
          </w:p>
        </w:tc>
        <w:tc>
          <w:tcPr>
            <w:tcW w:w="1281" w:type="dxa"/>
          </w:tcPr>
          <w:p w14:paraId="673C93B5" w14:textId="77777777" w:rsidR="0054039C" w:rsidRPr="0054039C" w:rsidRDefault="0054039C" w:rsidP="0054039C">
            <w:pPr>
              <w:autoSpaceDE w:val="0"/>
              <w:autoSpaceDN w:val="0"/>
              <w:adjustRightInd w:val="0"/>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595959" w:themeColor="text1" w:themeTint="A6"/>
                <w:sz w:val="20"/>
                <w:szCs w:val="20"/>
              </w:rPr>
            </w:pPr>
            <w:r w:rsidRPr="0054039C">
              <w:rPr>
                <w:rFonts w:ascii="Arial" w:hAnsi="Arial" w:cs="Arial"/>
                <w:color w:val="595959" w:themeColor="text1" w:themeTint="A6"/>
                <w:sz w:val="20"/>
                <w:szCs w:val="20"/>
              </w:rPr>
              <w:t>AE1/3</w:t>
            </w:r>
          </w:p>
        </w:tc>
        <w:tc>
          <w:tcPr>
            <w:tcW w:w="1035" w:type="dxa"/>
          </w:tcPr>
          <w:p w14:paraId="19FB69F6" w14:textId="77777777" w:rsidR="0054039C" w:rsidRPr="0054039C" w:rsidRDefault="0054039C" w:rsidP="0054039C">
            <w:pPr>
              <w:autoSpaceDE w:val="0"/>
              <w:autoSpaceDN w:val="0"/>
              <w:adjustRightInd w:val="0"/>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595959" w:themeColor="text1" w:themeTint="A6"/>
                <w:sz w:val="20"/>
                <w:szCs w:val="20"/>
              </w:rPr>
            </w:pPr>
            <w:r w:rsidRPr="0054039C">
              <w:rPr>
                <w:rFonts w:ascii="Arial" w:hAnsi="Arial" w:cs="Arial"/>
                <w:color w:val="595959" w:themeColor="text1" w:themeTint="A6"/>
                <w:sz w:val="20"/>
                <w:szCs w:val="20"/>
              </w:rPr>
              <w:t>1:100</w:t>
            </w:r>
          </w:p>
        </w:tc>
        <w:tc>
          <w:tcPr>
            <w:tcW w:w="1084" w:type="dxa"/>
          </w:tcPr>
          <w:p w14:paraId="5D1CC8B9" w14:textId="77777777" w:rsidR="0054039C" w:rsidRPr="0054039C" w:rsidRDefault="0054039C" w:rsidP="0054039C">
            <w:pPr>
              <w:autoSpaceDE w:val="0"/>
              <w:autoSpaceDN w:val="0"/>
              <w:adjustRightInd w:val="0"/>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595959" w:themeColor="text1" w:themeTint="A6"/>
                <w:sz w:val="20"/>
                <w:szCs w:val="20"/>
              </w:rPr>
            </w:pPr>
            <w:r w:rsidRPr="0054039C">
              <w:rPr>
                <w:rFonts w:ascii="Arial" w:hAnsi="Arial" w:cs="Arial"/>
                <w:color w:val="595959" w:themeColor="text1" w:themeTint="A6"/>
                <w:sz w:val="20"/>
                <w:szCs w:val="20"/>
              </w:rPr>
              <w:t>Not known</w:t>
            </w:r>
          </w:p>
        </w:tc>
        <w:tc>
          <w:tcPr>
            <w:tcW w:w="1709" w:type="dxa"/>
          </w:tcPr>
          <w:p w14:paraId="344D508D" w14:textId="77777777" w:rsidR="0054039C" w:rsidRPr="0054039C" w:rsidRDefault="0054039C" w:rsidP="0054039C">
            <w:pPr>
              <w:autoSpaceDE w:val="0"/>
              <w:autoSpaceDN w:val="0"/>
              <w:adjustRightInd w:val="0"/>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595959" w:themeColor="text1" w:themeTint="A6"/>
                <w:sz w:val="20"/>
                <w:szCs w:val="20"/>
              </w:rPr>
            </w:pPr>
            <w:r w:rsidRPr="0054039C">
              <w:rPr>
                <w:rFonts w:ascii="Arial" w:hAnsi="Arial" w:cs="Arial"/>
                <w:color w:val="595959" w:themeColor="text1" w:themeTint="A6"/>
                <w:sz w:val="20"/>
                <w:szCs w:val="20"/>
              </w:rPr>
              <w:t>0.01M Sodium citrate buffer</w:t>
            </w:r>
          </w:p>
        </w:tc>
        <w:tc>
          <w:tcPr>
            <w:tcW w:w="2552" w:type="dxa"/>
          </w:tcPr>
          <w:p w14:paraId="151807EB" w14:textId="77777777" w:rsidR="0054039C" w:rsidRPr="0054039C" w:rsidRDefault="0054039C" w:rsidP="0054039C">
            <w:pPr>
              <w:autoSpaceDE w:val="0"/>
              <w:autoSpaceDN w:val="0"/>
              <w:adjustRightInd w:val="0"/>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595959" w:themeColor="text1" w:themeTint="A6"/>
                <w:sz w:val="20"/>
                <w:szCs w:val="20"/>
              </w:rPr>
            </w:pPr>
            <w:r w:rsidRPr="0054039C">
              <w:rPr>
                <w:rFonts w:ascii="Arial" w:hAnsi="Arial" w:cs="Arial"/>
                <w:color w:val="595959" w:themeColor="text1" w:themeTint="A6"/>
                <w:sz w:val="20"/>
                <w:szCs w:val="20"/>
              </w:rPr>
              <w:t>Dako, Denmark</w:t>
            </w:r>
          </w:p>
        </w:tc>
      </w:tr>
      <w:tr w:rsidR="0054039C" w:rsidRPr="0054039C" w14:paraId="44D185FA" w14:textId="77777777" w:rsidTr="002203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5" w:type="dxa"/>
          </w:tcPr>
          <w:p w14:paraId="1F42AD08" w14:textId="77777777" w:rsidR="0054039C" w:rsidRPr="0054039C" w:rsidRDefault="0054039C" w:rsidP="0054039C">
            <w:pPr>
              <w:autoSpaceDE w:val="0"/>
              <w:autoSpaceDN w:val="0"/>
              <w:adjustRightInd w:val="0"/>
              <w:spacing w:line="480" w:lineRule="auto"/>
              <w:jc w:val="center"/>
              <w:rPr>
                <w:rFonts w:ascii="Arial" w:hAnsi="Arial" w:cs="Arial"/>
                <w:color w:val="595959" w:themeColor="text1" w:themeTint="A6"/>
                <w:sz w:val="20"/>
                <w:szCs w:val="20"/>
              </w:rPr>
            </w:pPr>
            <w:r w:rsidRPr="0054039C">
              <w:rPr>
                <w:rFonts w:ascii="Arial" w:hAnsi="Arial" w:cs="Arial"/>
                <w:color w:val="595959" w:themeColor="text1" w:themeTint="A6"/>
                <w:sz w:val="20"/>
                <w:szCs w:val="20"/>
              </w:rPr>
              <w:t>E-Cadherin</w:t>
            </w:r>
          </w:p>
        </w:tc>
        <w:tc>
          <w:tcPr>
            <w:tcW w:w="1281" w:type="dxa"/>
          </w:tcPr>
          <w:p w14:paraId="5BF4CA65" w14:textId="77777777" w:rsidR="0054039C" w:rsidRPr="0054039C" w:rsidRDefault="0054039C" w:rsidP="0054039C">
            <w:pPr>
              <w:autoSpaceDE w:val="0"/>
              <w:autoSpaceDN w:val="0"/>
              <w:adjustRightInd w:val="0"/>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595959" w:themeColor="text1" w:themeTint="A6"/>
                <w:sz w:val="20"/>
                <w:szCs w:val="20"/>
              </w:rPr>
            </w:pPr>
            <w:r w:rsidRPr="0054039C">
              <w:rPr>
                <w:rFonts w:ascii="Arial" w:hAnsi="Arial" w:cs="Arial"/>
                <w:color w:val="595959" w:themeColor="text1" w:themeTint="A6"/>
                <w:sz w:val="20"/>
                <w:szCs w:val="20"/>
              </w:rPr>
              <w:t>EP700Y</w:t>
            </w:r>
          </w:p>
        </w:tc>
        <w:tc>
          <w:tcPr>
            <w:tcW w:w="1035" w:type="dxa"/>
          </w:tcPr>
          <w:p w14:paraId="59057143" w14:textId="77777777" w:rsidR="0054039C" w:rsidRPr="0054039C" w:rsidRDefault="0054039C" w:rsidP="0054039C">
            <w:pPr>
              <w:autoSpaceDE w:val="0"/>
              <w:autoSpaceDN w:val="0"/>
              <w:adjustRightInd w:val="0"/>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595959" w:themeColor="text1" w:themeTint="A6"/>
                <w:sz w:val="20"/>
                <w:szCs w:val="20"/>
              </w:rPr>
            </w:pPr>
            <w:r w:rsidRPr="0054039C">
              <w:rPr>
                <w:rFonts w:ascii="Arial" w:hAnsi="Arial" w:cs="Arial"/>
                <w:color w:val="595959" w:themeColor="text1" w:themeTint="A6"/>
                <w:sz w:val="20"/>
                <w:szCs w:val="20"/>
              </w:rPr>
              <w:t>1:500</w:t>
            </w:r>
          </w:p>
        </w:tc>
        <w:tc>
          <w:tcPr>
            <w:tcW w:w="1084" w:type="dxa"/>
          </w:tcPr>
          <w:p w14:paraId="40D6F8BF" w14:textId="77777777" w:rsidR="0054039C" w:rsidRPr="0054039C" w:rsidRDefault="0054039C" w:rsidP="0054039C">
            <w:pPr>
              <w:autoSpaceDE w:val="0"/>
              <w:autoSpaceDN w:val="0"/>
              <w:adjustRightInd w:val="0"/>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595959" w:themeColor="text1" w:themeTint="A6"/>
                <w:sz w:val="20"/>
                <w:szCs w:val="20"/>
              </w:rPr>
            </w:pPr>
            <w:r w:rsidRPr="0054039C">
              <w:rPr>
                <w:rFonts w:ascii="Arial" w:hAnsi="Arial" w:cs="Arial"/>
                <w:color w:val="595959" w:themeColor="text1" w:themeTint="A6"/>
                <w:sz w:val="20"/>
                <w:szCs w:val="20"/>
              </w:rPr>
              <w:t>Not known</w:t>
            </w:r>
          </w:p>
        </w:tc>
        <w:tc>
          <w:tcPr>
            <w:tcW w:w="1709" w:type="dxa"/>
          </w:tcPr>
          <w:p w14:paraId="12119653" w14:textId="77777777" w:rsidR="0054039C" w:rsidRPr="0054039C" w:rsidRDefault="0054039C" w:rsidP="0054039C">
            <w:pPr>
              <w:autoSpaceDE w:val="0"/>
              <w:autoSpaceDN w:val="0"/>
              <w:adjustRightInd w:val="0"/>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595959" w:themeColor="text1" w:themeTint="A6"/>
                <w:sz w:val="20"/>
                <w:szCs w:val="20"/>
              </w:rPr>
            </w:pPr>
            <w:r w:rsidRPr="0054039C">
              <w:rPr>
                <w:rFonts w:ascii="Arial" w:hAnsi="Arial" w:cs="Arial"/>
                <w:color w:val="595959" w:themeColor="text1" w:themeTint="A6"/>
                <w:sz w:val="20"/>
                <w:szCs w:val="20"/>
              </w:rPr>
              <w:t>0.01M Sodium citrate buffer</w:t>
            </w:r>
          </w:p>
        </w:tc>
        <w:tc>
          <w:tcPr>
            <w:tcW w:w="2552" w:type="dxa"/>
          </w:tcPr>
          <w:p w14:paraId="47C0A6F3" w14:textId="77777777" w:rsidR="0054039C" w:rsidRPr="0054039C" w:rsidRDefault="0054039C" w:rsidP="0054039C">
            <w:pPr>
              <w:autoSpaceDE w:val="0"/>
              <w:autoSpaceDN w:val="0"/>
              <w:adjustRightInd w:val="0"/>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595959" w:themeColor="text1" w:themeTint="A6"/>
                <w:sz w:val="20"/>
                <w:szCs w:val="20"/>
              </w:rPr>
            </w:pPr>
            <w:r w:rsidRPr="0054039C">
              <w:rPr>
                <w:rFonts w:ascii="Arial" w:hAnsi="Arial" w:cs="Arial"/>
                <w:color w:val="595959" w:themeColor="text1" w:themeTint="A6"/>
                <w:sz w:val="20"/>
                <w:szCs w:val="20"/>
              </w:rPr>
              <w:t>Abcam, UK.</w:t>
            </w:r>
          </w:p>
        </w:tc>
      </w:tr>
      <w:tr w:rsidR="0054039C" w:rsidRPr="0054039C" w14:paraId="084CFE54" w14:textId="77777777" w:rsidTr="00220314">
        <w:tc>
          <w:tcPr>
            <w:cnfStyle w:val="001000000000" w:firstRow="0" w:lastRow="0" w:firstColumn="1" w:lastColumn="0" w:oddVBand="0" w:evenVBand="0" w:oddHBand="0" w:evenHBand="0" w:firstRowFirstColumn="0" w:firstRowLastColumn="0" w:lastRowFirstColumn="0" w:lastRowLastColumn="0"/>
            <w:tcW w:w="1265" w:type="dxa"/>
          </w:tcPr>
          <w:p w14:paraId="350DAF86" w14:textId="77777777" w:rsidR="0054039C" w:rsidRPr="0054039C" w:rsidRDefault="0054039C" w:rsidP="0054039C">
            <w:pPr>
              <w:autoSpaceDE w:val="0"/>
              <w:autoSpaceDN w:val="0"/>
              <w:adjustRightInd w:val="0"/>
              <w:spacing w:line="480" w:lineRule="auto"/>
              <w:jc w:val="center"/>
              <w:rPr>
                <w:rFonts w:ascii="Arial" w:hAnsi="Arial" w:cs="Arial"/>
                <w:color w:val="595959" w:themeColor="text1" w:themeTint="A6"/>
                <w:sz w:val="20"/>
                <w:szCs w:val="20"/>
              </w:rPr>
            </w:pPr>
            <w:r w:rsidRPr="0054039C">
              <w:rPr>
                <w:rFonts w:ascii="Arial" w:hAnsi="Arial" w:cs="Arial"/>
                <w:color w:val="595959" w:themeColor="text1" w:themeTint="A6"/>
                <w:sz w:val="20"/>
                <w:szCs w:val="20"/>
              </w:rPr>
              <w:t>Integrin β4</w:t>
            </w:r>
          </w:p>
        </w:tc>
        <w:tc>
          <w:tcPr>
            <w:tcW w:w="1281" w:type="dxa"/>
          </w:tcPr>
          <w:p w14:paraId="69136A24" w14:textId="77777777" w:rsidR="0054039C" w:rsidRPr="0054039C" w:rsidRDefault="0054039C" w:rsidP="0054039C">
            <w:pPr>
              <w:autoSpaceDE w:val="0"/>
              <w:autoSpaceDN w:val="0"/>
              <w:adjustRightInd w:val="0"/>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595959" w:themeColor="text1" w:themeTint="A6"/>
                <w:sz w:val="20"/>
                <w:szCs w:val="20"/>
              </w:rPr>
            </w:pPr>
            <w:r w:rsidRPr="0054039C">
              <w:rPr>
                <w:rFonts w:ascii="Arial" w:hAnsi="Arial" w:cs="Arial"/>
                <w:color w:val="595959" w:themeColor="text1" w:themeTint="A6"/>
                <w:sz w:val="20"/>
                <w:szCs w:val="20"/>
              </w:rPr>
              <w:t>EPR17517</w:t>
            </w:r>
          </w:p>
        </w:tc>
        <w:tc>
          <w:tcPr>
            <w:tcW w:w="1035" w:type="dxa"/>
          </w:tcPr>
          <w:p w14:paraId="28DBC557" w14:textId="77777777" w:rsidR="0054039C" w:rsidRPr="0054039C" w:rsidRDefault="0054039C" w:rsidP="0054039C">
            <w:pPr>
              <w:autoSpaceDE w:val="0"/>
              <w:autoSpaceDN w:val="0"/>
              <w:adjustRightInd w:val="0"/>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595959" w:themeColor="text1" w:themeTint="A6"/>
                <w:sz w:val="20"/>
                <w:szCs w:val="20"/>
              </w:rPr>
            </w:pPr>
            <w:r w:rsidRPr="0054039C">
              <w:rPr>
                <w:rFonts w:ascii="Arial" w:hAnsi="Arial" w:cs="Arial"/>
                <w:color w:val="595959" w:themeColor="text1" w:themeTint="A6"/>
                <w:sz w:val="20"/>
                <w:szCs w:val="20"/>
              </w:rPr>
              <w:t>1:250</w:t>
            </w:r>
          </w:p>
        </w:tc>
        <w:tc>
          <w:tcPr>
            <w:tcW w:w="1084" w:type="dxa"/>
          </w:tcPr>
          <w:p w14:paraId="122E616A" w14:textId="77777777" w:rsidR="0054039C" w:rsidRPr="0054039C" w:rsidRDefault="0054039C" w:rsidP="0054039C">
            <w:pPr>
              <w:autoSpaceDE w:val="0"/>
              <w:autoSpaceDN w:val="0"/>
              <w:adjustRightInd w:val="0"/>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595959" w:themeColor="text1" w:themeTint="A6"/>
                <w:sz w:val="20"/>
                <w:szCs w:val="20"/>
              </w:rPr>
            </w:pPr>
            <w:r w:rsidRPr="0054039C">
              <w:rPr>
                <w:rFonts w:ascii="Arial" w:hAnsi="Arial" w:cs="Arial"/>
                <w:color w:val="595959" w:themeColor="text1" w:themeTint="A6"/>
                <w:sz w:val="20"/>
                <w:szCs w:val="20"/>
              </w:rPr>
              <w:t>Not known</w:t>
            </w:r>
          </w:p>
        </w:tc>
        <w:tc>
          <w:tcPr>
            <w:tcW w:w="1709" w:type="dxa"/>
          </w:tcPr>
          <w:p w14:paraId="185BEBF0" w14:textId="77777777" w:rsidR="0054039C" w:rsidRPr="0054039C" w:rsidRDefault="0054039C" w:rsidP="0054039C">
            <w:pPr>
              <w:autoSpaceDE w:val="0"/>
              <w:autoSpaceDN w:val="0"/>
              <w:adjustRightInd w:val="0"/>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595959" w:themeColor="text1" w:themeTint="A6"/>
                <w:sz w:val="20"/>
                <w:szCs w:val="20"/>
              </w:rPr>
            </w:pPr>
            <w:r w:rsidRPr="0054039C">
              <w:rPr>
                <w:rFonts w:ascii="Arial" w:hAnsi="Arial" w:cs="Arial"/>
                <w:color w:val="595959" w:themeColor="text1" w:themeTint="A6"/>
                <w:sz w:val="20"/>
                <w:szCs w:val="20"/>
              </w:rPr>
              <w:t>Tris/EDTA buffer pH 9.0 </w:t>
            </w:r>
          </w:p>
        </w:tc>
        <w:tc>
          <w:tcPr>
            <w:tcW w:w="2552" w:type="dxa"/>
          </w:tcPr>
          <w:p w14:paraId="19771428" w14:textId="77777777" w:rsidR="0054039C" w:rsidRPr="0054039C" w:rsidRDefault="0054039C" w:rsidP="0054039C">
            <w:pPr>
              <w:autoSpaceDE w:val="0"/>
              <w:autoSpaceDN w:val="0"/>
              <w:adjustRightInd w:val="0"/>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595959" w:themeColor="text1" w:themeTint="A6"/>
                <w:sz w:val="20"/>
                <w:szCs w:val="20"/>
              </w:rPr>
            </w:pPr>
            <w:r w:rsidRPr="0054039C">
              <w:rPr>
                <w:rFonts w:ascii="Arial" w:hAnsi="Arial" w:cs="Arial"/>
                <w:color w:val="595959" w:themeColor="text1" w:themeTint="A6"/>
                <w:sz w:val="20"/>
                <w:szCs w:val="20"/>
              </w:rPr>
              <w:t>Abcam, UK.</w:t>
            </w:r>
          </w:p>
        </w:tc>
      </w:tr>
      <w:tr w:rsidR="0054039C" w:rsidRPr="0054039C" w14:paraId="26F6F409" w14:textId="77777777" w:rsidTr="002203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5" w:type="dxa"/>
          </w:tcPr>
          <w:p w14:paraId="0CC58E0C" w14:textId="77777777" w:rsidR="0054039C" w:rsidRPr="0054039C" w:rsidRDefault="0054039C" w:rsidP="0054039C">
            <w:pPr>
              <w:autoSpaceDE w:val="0"/>
              <w:autoSpaceDN w:val="0"/>
              <w:adjustRightInd w:val="0"/>
              <w:spacing w:line="480" w:lineRule="auto"/>
              <w:jc w:val="center"/>
              <w:rPr>
                <w:rFonts w:ascii="Arial" w:hAnsi="Arial" w:cs="Arial"/>
                <w:color w:val="595959" w:themeColor="text1" w:themeTint="A6"/>
                <w:sz w:val="20"/>
                <w:szCs w:val="20"/>
              </w:rPr>
            </w:pPr>
            <w:r w:rsidRPr="0054039C">
              <w:rPr>
                <w:rFonts w:ascii="Arial" w:hAnsi="Arial" w:cs="Arial"/>
                <w:color w:val="595959" w:themeColor="text1" w:themeTint="A6"/>
                <w:sz w:val="20"/>
                <w:szCs w:val="20"/>
              </w:rPr>
              <w:t>FN1-EDA</w:t>
            </w:r>
          </w:p>
        </w:tc>
        <w:tc>
          <w:tcPr>
            <w:tcW w:w="1281" w:type="dxa"/>
          </w:tcPr>
          <w:p w14:paraId="11E71850" w14:textId="77777777" w:rsidR="0054039C" w:rsidRPr="0054039C" w:rsidRDefault="0054039C" w:rsidP="0054039C">
            <w:pPr>
              <w:autoSpaceDE w:val="0"/>
              <w:autoSpaceDN w:val="0"/>
              <w:adjustRightInd w:val="0"/>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595959" w:themeColor="text1" w:themeTint="A6"/>
                <w:sz w:val="20"/>
                <w:szCs w:val="20"/>
              </w:rPr>
            </w:pPr>
            <w:r w:rsidRPr="0054039C">
              <w:rPr>
                <w:rFonts w:ascii="Arial" w:hAnsi="Arial" w:cs="Arial"/>
                <w:color w:val="595959" w:themeColor="text1" w:themeTint="A6"/>
                <w:sz w:val="20"/>
                <w:szCs w:val="20"/>
              </w:rPr>
              <w:t>IST-9</w:t>
            </w:r>
          </w:p>
        </w:tc>
        <w:tc>
          <w:tcPr>
            <w:tcW w:w="1035" w:type="dxa"/>
          </w:tcPr>
          <w:p w14:paraId="699C6025" w14:textId="77777777" w:rsidR="0054039C" w:rsidRPr="0054039C" w:rsidRDefault="0054039C" w:rsidP="0054039C">
            <w:pPr>
              <w:autoSpaceDE w:val="0"/>
              <w:autoSpaceDN w:val="0"/>
              <w:adjustRightInd w:val="0"/>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595959" w:themeColor="text1" w:themeTint="A6"/>
                <w:sz w:val="20"/>
                <w:szCs w:val="20"/>
              </w:rPr>
            </w:pPr>
            <w:r w:rsidRPr="0054039C">
              <w:rPr>
                <w:rFonts w:ascii="Arial" w:hAnsi="Arial" w:cs="Arial"/>
                <w:color w:val="595959" w:themeColor="text1" w:themeTint="A6"/>
                <w:sz w:val="20"/>
                <w:szCs w:val="20"/>
              </w:rPr>
              <w:t>1:100</w:t>
            </w:r>
          </w:p>
        </w:tc>
        <w:tc>
          <w:tcPr>
            <w:tcW w:w="1084" w:type="dxa"/>
          </w:tcPr>
          <w:p w14:paraId="2F21564A" w14:textId="77777777" w:rsidR="0054039C" w:rsidRPr="0054039C" w:rsidRDefault="0054039C" w:rsidP="0054039C">
            <w:pPr>
              <w:autoSpaceDE w:val="0"/>
              <w:autoSpaceDN w:val="0"/>
              <w:adjustRightInd w:val="0"/>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595959" w:themeColor="text1" w:themeTint="A6"/>
                <w:sz w:val="20"/>
                <w:szCs w:val="20"/>
              </w:rPr>
            </w:pPr>
            <w:r w:rsidRPr="0054039C">
              <w:rPr>
                <w:rFonts w:ascii="Arial" w:hAnsi="Arial" w:cs="Arial"/>
                <w:color w:val="595959" w:themeColor="text1" w:themeTint="A6"/>
                <w:sz w:val="20"/>
                <w:szCs w:val="20"/>
              </w:rPr>
              <w:t>0.8</w:t>
            </w:r>
          </w:p>
        </w:tc>
        <w:tc>
          <w:tcPr>
            <w:tcW w:w="1709" w:type="dxa"/>
          </w:tcPr>
          <w:p w14:paraId="2CF82F79" w14:textId="77777777" w:rsidR="0054039C" w:rsidRPr="0054039C" w:rsidRDefault="0054039C" w:rsidP="0054039C">
            <w:pPr>
              <w:autoSpaceDE w:val="0"/>
              <w:autoSpaceDN w:val="0"/>
              <w:adjustRightInd w:val="0"/>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595959" w:themeColor="text1" w:themeTint="A6"/>
                <w:sz w:val="20"/>
                <w:szCs w:val="20"/>
              </w:rPr>
            </w:pPr>
            <w:r w:rsidRPr="0054039C">
              <w:rPr>
                <w:rFonts w:ascii="Arial" w:hAnsi="Arial" w:cs="Arial"/>
                <w:color w:val="595959" w:themeColor="text1" w:themeTint="A6"/>
                <w:sz w:val="20"/>
                <w:szCs w:val="20"/>
              </w:rPr>
              <w:t>0.01M Sodium citrate buffer</w:t>
            </w:r>
          </w:p>
        </w:tc>
        <w:tc>
          <w:tcPr>
            <w:tcW w:w="2552" w:type="dxa"/>
          </w:tcPr>
          <w:p w14:paraId="4841FF96" w14:textId="77777777" w:rsidR="0054039C" w:rsidRPr="0054039C" w:rsidRDefault="0054039C" w:rsidP="0054039C">
            <w:pPr>
              <w:autoSpaceDE w:val="0"/>
              <w:autoSpaceDN w:val="0"/>
              <w:adjustRightInd w:val="0"/>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595959" w:themeColor="text1" w:themeTint="A6"/>
                <w:sz w:val="20"/>
                <w:szCs w:val="20"/>
              </w:rPr>
            </w:pPr>
            <w:r w:rsidRPr="0054039C">
              <w:rPr>
                <w:rFonts w:ascii="Arial" w:hAnsi="Arial" w:cs="Arial"/>
                <w:color w:val="595959" w:themeColor="text1" w:themeTint="A6"/>
                <w:sz w:val="20"/>
                <w:szCs w:val="20"/>
              </w:rPr>
              <w:t>Abcam, UK.</w:t>
            </w:r>
          </w:p>
        </w:tc>
      </w:tr>
      <w:tr w:rsidR="0054039C" w:rsidRPr="0054039C" w14:paraId="2D412169" w14:textId="77777777" w:rsidTr="00220314">
        <w:tc>
          <w:tcPr>
            <w:cnfStyle w:val="001000000000" w:firstRow="0" w:lastRow="0" w:firstColumn="1" w:lastColumn="0" w:oddVBand="0" w:evenVBand="0" w:oddHBand="0" w:evenHBand="0" w:firstRowFirstColumn="0" w:firstRowLastColumn="0" w:lastRowFirstColumn="0" w:lastRowLastColumn="0"/>
            <w:tcW w:w="1265" w:type="dxa"/>
          </w:tcPr>
          <w:p w14:paraId="6AFCCF3D" w14:textId="77777777" w:rsidR="0054039C" w:rsidRPr="0054039C" w:rsidRDefault="0054039C" w:rsidP="0054039C">
            <w:pPr>
              <w:autoSpaceDE w:val="0"/>
              <w:autoSpaceDN w:val="0"/>
              <w:adjustRightInd w:val="0"/>
              <w:spacing w:line="480" w:lineRule="auto"/>
              <w:jc w:val="center"/>
              <w:rPr>
                <w:rFonts w:ascii="Arial" w:hAnsi="Arial" w:cs="Arial"/>
                <w:color w:val="595959" w:themeColor="text1" w:themeTint="A6"/>
                <w:sz w:val="20"/>
                <w:szCs w:val="20"/>
              </w:rPr>
            </w:pPr>
            <w:r w:rsidRPr="0054039C">
              <w:rPr>
                <w:rFonts w:ascii="Arial" w:hAnsi="Arial" w:cs="Arial"/>
                <w:color w:val="595959" w:themeColor="text1" w:themeTint="A6"/>
                <w:sz w:val="20"/>
                <w:szCs w:val="20"/>
              </w:rPr>
              <w:t>COL1A1</w:t>
            </w:r>
          </w:p>
        </w:tc>
        <w:tc>
          <w:tcPr>
            <w:tcW w:w="1281" w:type="dxa"/>
          </w:tcPr>
          <w:p w14:paraId="7FA74C6B" w14:textId="77777777" w:rsidR="0054039C" w:rsidRPr="0054039C" w:rsidRDefault="0054039C" w:rsidP="0054039C">
            <w:pPr>
              <w:autoSpaceDE w:val="0"/>
              <w:autoSpaceDN w:val="0"/>
              <w:adjustRightInd w:val="0"/>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595959" w:themeColor="text1" w:themeTint="A6"/>
                <w:sz w:val="20"/>
                <w:szCs w:val="20"/>
              </w:rPr>
            </w:pPr>
            <w:r w:rsidRPr="0054039C">
              <w:rPr>
                <w:rFonts w:ascii="Arial" w:hAnsi="Arial" w:cs="Arial"/>
                <w:color w:val="595959" w:themeColor="text1" w:themeTint="A6"/>
                <w:sz w:val="20"/>
                <w:szCs w:val="20"/>
              </w:rPr>
              <w:t>COL1A1</w:t>
            </w:r>
          </w:p>
        </w:tc>
        <w:tc>
          <w:tcPr>
            <w:tcW w:w="1035" w:type="dxa"/>
          </w:tcPr>
          <w:p w14:paraId="502BAF6A" w14:textId="77777777" w:rsidR="0054039C" w:rsidRPr="0054039C" w:rsidRDefault="0054039C" w:rsidP="0054039C">
            <w:pPr>
              <w:autoSpaceDE w:val="0"/>
              <w:autoSpaceDN w:val="0"/>
              <w:adjustRightInd w:val="0"/>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595959" w:themeColor="text1" w:themeTint="A6"/>
                <w:sz w:val="20"/>
                <w:szCs w:val="20"/>
              </w:rPr>
            </w:pPr>
            <w:r w:rsidRPr="0054039C">
              <w:rPr>
                <w:rFonts w:ascii="Arial" w:hAnsi="Arial" w:cs="Arial"/>
                <w:color w:val="595959" w:themeColor="text1" w:themeTint="A6"/>
                <w:sz w:val="20"/>
                <w:szCs w:val="20"/>
              </w:rPr>
              <w:t>1:100</w:t>
            </w:r>
          </w:p>
        </w:tc>
        <w:tc>
          <w:tcPr>
            <w:tcW w:w="1084" w:type="dxa"/>
          </w:tcPr>
          <w:p w14:paraId="36F549CE" w14:textId="77777777" w:rsidR="0054039C" w:rsidRPr="0054039C" w:rsidRDefault="0054039C" w:rsidP="0054039C">
            <w:pPr>
              <w:autoSpaceDE w:val="0"/>
              <w:autoSpaceDN w:val="0"/>
              <w:adjustRightInd w:val="0"/>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595959" w:themeColor="text1" w:themeTint="A6"/>
                <w:sz w:val="20"/>
                <w:szCs w:val="20"/>
              </w:rPr>
            </w:pPr>
            <w:r w:rsidRPr="0054039C">
              <w:rPr>
                <w:rFonts w:ascii="Arial" w:hAnsi="Arial" w:cs="Arial"/>
                <w:color w:val="595959" w:themeColor="text1" w:themeTint="A6"/>
                <w:sz w:val="20"/>
                <w:szCs w:val="20"/>
              </w:rPr>
              <w:t>0.2</w:t>
            </w:r>
          </w:p>
        </w:tc>
        <w:tc>
          <w:tcPr>
            <w:tcW w:w="1709" w:type="dxa"/>
          </w:tcPr>
          <w:p w14:paraId="7B1D2492" w14:textId="77777777" w:rsidR="0054039C" w:rsidRPr="0054039C" w:rsidRDefault="0054039C" w:rsidP="0054039C">
            <w:pPr>
              <w:autoSpaceDE w:val="0"/>
              <w:autoSpaceDN w:val="0"/>
              <w:adjustRightInd w:val="0"/>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595959" w:themeColor="text1" w:themeTint="A6"/>
                <w:sz w:val="20"/>
                <w:szCs w:val="20"/>
              </w:rPr>
            </w:pPr>
            <w:r w:rsidRPr="0054039C">
              <w:rPr>
                <w:rFonts w:ascii="Arial" w:hAnsi="Arial" w:cs="Arial"/>
                <w:color w:val="595959" w:themeColor="text1" w:themeTint="A6"/>
                <w:sz w:val="20"/>
                <w:szCs w:val="20"/>
              </w:rPr>
              <w:t>0.01M Sodium citrate buffer</w:t>
            </w:r>
          </w:p>
        </w:tc>
        <w:tc>
          <w:tcPr>
            <w:tcW w:w="2552" w:type="dxa"/>
          </w:tcPr>
          <w:p w14:paraId="2810F2D8" w14:textId="77777777" w:rsidR="0054039C" w:rsidRPr="0054039C" w:rsidRDefault="0054039C" w:rsidP="0054039C">
            <w:pPr>
              <w:autoSpaceDE w:val="0"/>
              <w:autoSpaceDN w:val="0"/>
              <w:adjustRightInd w:val="0"/>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595959" w:themeColor="text1" w:themeTint="A6"/>
                <w:sz w:val="20"/>
                <w:szCs w:val="20"/>
              </w:rPr>
            </w:pPr>
            <w:r w:rsidRPr="0054039C">
              <w:rPr>
                <w:rFonts w:ascii="Arial" w:hAnsi="Arial" w:cs="Arial"/>
                <w:color w:val="595959" w:themeColor="text1" w:themeTint="A6"/>
                <w:sz w:val="20"/>
                <w:szCs w:val="20"/>
              </w:rPr>
              <w:t>Cell Signalling Technologies, UK.</w:t>
            </w:r>
          </w:p>
        </w:tc>
      </w:tr>
      <w:tr w:rsidR="0054039C" w:rsidRPr="0054039C" w14:paraId="61E8ADB3" w14:textId="77777777" w:rsidTr="002203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5" w:type="dxa"/>
          </w:tcPr>
          <w:p w14:paraId="36AB83ED" w14:textId="77777777" w:rsidR="0054039C" w:rsidRPr="0054039C" w:rsidRDefault="0054039C" w:rsidP="0054039C">
            <w:pPr>
              <w:autoSpaceDE w:val="0"/>
              <w:autoSpaceDN w:val="0"/>
              <w:adjustRightInd w:val="0"/>
              <w:spacing w:line="480" w:lineRule="auto"/>
              <w:jc w:val="center"/>
              <w:rPr>
                <w:rFonts w:ascii="Arial" w:hAnsi="Arial" w:cs="Arial"/>
                <w:color w:val="595959" w:themeColor="text1" w:themeTint="A6"/>
                <w:sz w:val="20"/>
                <w:szCs w:val="20"/>
              </w:rPr>
            </w:pPr>
            <w:r w:rsidRPr="0054039C">
              <w:rPr>
                <w:rFonts w:ascii="Arial" w:hAnsi="Arial" w:cs="Arial"/>
                <w:color w:val="595959" w:themeColor="text1" w:themeTint="A6"/>
                <w:sz w:val="20"/>
                <w:szCs w:val="20"/>
              </w:rPr>
              <w:t>Vimentin</w:t>
            </w:r>
          </w:p>
        </w:tc>
        <w:tc>
          <w:tcPr>
            <w:tcW w:w="1281" w:type="dxa"/>
          </w:tcPr>
          <w:p w14:paraId="6CF0D936" w14:textId="77777777" w:rsidR="0054039C" w:rsidRPr="0054039C" w:rsidRDefault="0054039C" w:rsidP="0054039C">
            <w:pPr>
              <w:autoSpaceDE w:val="0"/>
              <w:autoSpaceDN w:val="0"/>
              <w:adjustRightInd w:val="0"/>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595959" w:themeColor="text1" w:themeTint="A6"/>
                <w:sz w:val="20"/>
                <w:szCs w:val="20"/>
              </w:rPr>
            </w:pPr>
            <w:r w:rsidRPr="0054039C">
              <w:rPr>
                <w:rFonts w:ascii="Arial" w:hAnsi="Arial" w:cs="Arial"/>
                <w:color w:val="595959" w:themeColor="text1" w:themeTint="A6"/>
                <w:sz w:val="20"/>
                <w:szCs w:val="20"/>
              </w:rPr>
              <w:t>RV202</w:t>
            </w:r>
          </w:p>
        </w:tc>
        <w:tc>
          <w:tcPr>
            <w:tcW w:w="1035" w:type="dxa"/>
          </w:tcPr>
          <w:p w14:paraId="6EC9DCB5" w14:textId="77777777" w:rsidR="0054039C" w:rsidRPr="0054039C" w:rsidRDefault="0054039C" w:rsidP="0054039C">
            <w:pPr>
              <w:autoSpaceDE w:val="0"/>
              <w:autoSpaceDN w:val="0"/>
              <w:adjustRightInd w:val="0"/>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595959" w:themeColor="text1" w:themeTint="A6"/>
                <w:sz w:val="20"/>
                <w:szCs w:val="20"/>
              </w:rPr>
            </w:pPr>
            <w:r w:rsidRPr="0054039C">
              <w:rPr>
                <w:rFonts w:ascii="Arial" w:hAnsi="Arial" w:cs="Arial"/>
                <w:color w:val="595959" w:themeColor="text1" w:themeTint="A6"/>
                <w:sz w:val="20"/>
                <w:szCs w:val="20"/>
              </w:rPr>
              <w:t>1:100</w:t>
            </w:r>
          </w:p>
        </w:tc>
        <w:tc>
          <w:tcPr>
            <w:tcW w:w="1084" w:type="dxa"/>
          </w:tcPr>
          <w:p w14:paraId="512501C4" w14:textId="77777777" w:rsidR="0054039C" w:rsidRPr="0054039C" w:rsidRDefault="0054039C" w:rsidP="0054039C">
            <w:pPr>
              <w:autoSpaceDE w:val="0"/>
              <w:autoSpaceDN w:val="0"/>
              <w:adjustRightInd w:val="0"/>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595959" w:themeColor="text1" w:themeTint="A6"/>
                <w:sz w:val="20"/>
                <w:szCs w:val="20"/>
              </w:rPr>
            </w:pPr>
            <w:r w:rsidRPr="0054039C">
              <w:rPr>
                <w:rFonts w:ascii="Arial" w:hAnsi="Arial" w:cs="Arial"/>
                <w:color w:val="595959" w:themeColor="text1" w:themeTint="A6"/>
                <w:sz w:val="20"/>
                <w:szCs w:val="20"/>
              </w:rPr>
              <w:t>Not known</w:t>
            </w:r>
          </w:p>
        </w:tc>
        <w:tc>
          <w:tcPr>
            <w:tcW w:w="1709" w:type="dxa"/>
          </w:tcPr>
          <w:p w14:paraId="13C19958" w14:textId="77777777" w:rsidR="0054039C" w:rsidRPr="0054039C" w:rsidRDefault="0054039C" w:rsidP="0054039C">
            <w:pPr>
              <w:autoSpaceDE w:val="0"/>
              <w:autoSpaceDN w:val="0"/>
              <w:adjustRightInd w:val="0"/>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595959" w:themeColor="text1" w:themeTint="A6"/>
                <w:sz w:val="20"/>
                <w:szCs w:val="20"/>
              </w:rPr>
            </w:pPr>
            <w:r w:rsidRPr="0054039C">
              <w:rPr>
                <w:rFonts w:ascii="Arial" w:hAnsi="Arial" w:cs="Arial"/>
                <w:color w:val="595959" w:themeColor="text1" w:themeTint="A6"/>
                <w:sz w:val="20"/>
                <w:szCs w:val="20"/>
              </w:rPr>
              <w:t>Tris/EDTA buffer pH 9.0 </w:t>
            </w:r>
          </w:p>
        </w:tc>
        <w:tc>
          <w:tcPr>
            <w:tcW w:w="2552" w:type="dxa"/>
          </w:tcPr>
          <w:p w14:paraId="05246FFB" w14:textId="77777777" w:rsidR="0054039C" w:rsidRPr="0054039C" w:rsidRDefault="0054039C" w:rsidP="0054039C">
            <w:pPr>
              <w:autoSpaceDE w:val="0"/>
              <w:autoSpaceDN w:val="0"/>
              <w:adjustRightInd w:val="0"/>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595959" w:themeColor="text1" w:themeTint="A6"/>
                <w:sz w:val="20"/>
                <w:szCs w:val="20"/>
              </w:rPr>
            </w:pPr>
            <w:r w:rsidRPr="0054039C">
              <w:rPr>
                <w:rFonts w:ascii="Arial" w:hAnsi="Arial" w:cs="Arial"/>
                <w:color w:val="595959" w:themeColor="text1" w:themeTint="A6"/>
                <w:sz w:val="20"/>
                <w:szCs w:val="20"/>
              </w:rPr>
              <w:t>Abcam, UK.</w:t>
            </w:r>
          </w:p>
        </w:tc>
      </w:tr>
      <w:tr w:rsidR="0054039C" w:rsidRPr="0054039C" w14:paraId="5C3B44F7" w14:textId="77777777" w:rsidTr="00220314">
        <w:tc>
          <w:tcPr>
            <w:cnfStyle w:val="001000000000" w:firstRow="0" w:lastRow="0" w:firstColumn="1" w:lastColumn="0" w:oddVBand="0" w:evenVBand="0" w:oddHBand="0" w:evenHBand="0" w:firstRowFirstColumn="0" w:firstRowLastColumn="0" w:lastRowFirstColumn="0" w:lastRowLastColumn="0"/>
            <w:tcW w:w="1265" w:type="dxa"/>
          </w:tcPr>
          <w:p w14:paraId="365C8ABD" w14:textId="77777777" w:rsidR="0054039C" w:rsidRPr="0054039C" w:rsidRDefault="0054039C" w:rsidP="0054039C">
            <w:pPr>
              <w:autoSpaceDE w:val="0"/>
              <w:autoSpaceDN w:val="0"/>
              <w:adjustRightInd w:val="0"/>
              <w:spacing w:line="480" w:lineRule="auto"/>
              <w:jc w:val="center"/>
              <w:rPr>
                <w:rFonts w:ascii="Arial" w:hAnsi="Arial" w:cs="Arial"/>
                <w:color w:val="595959" w:themeColor="text1" w:themeTint="A6"/>
                <w:sz w:val="20"/>
                <w:szCs w:val="20"/>
              </w:rPr>
            </w:pPr>
            <w:r w:rsidRPr="0054039C">
              <w:rPr>
                <w:rFonts w:ascii="Arial" w:hAnsi="Arial" w:cs="Arial"/>
                <w:color w:val="595959" w:themeColor="text1" w:themeTint="A6"/>
                <w:sz w:val="20"/>
                <w:szCs w:val="20"/>
              </w:rPr>
              <w:t>αSMA</w:t>
            </w:r>
          </w:p>
        </w:tc>
        <w:tc>
          <w:tcPr>
            <w:tcW w:w="1281" w:type="dxa"/>
          </w:tcPr>
          <w:p w14:paraId="17433EEB" w14:textId="77777777" w:rsidR="0054039C" w:rsidRPr="0054039C" w:rsidRDefault="0054039C" w:rsidP="0054039C">
            <w:pPr>
              <w:autoSpaceDE w:val="0"/>
              <w:autoSpaceDN w:val="0"/>
              <w:adjustRightInd w:val="0"/>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595959" w:themeColor="text1" w:themeTint="A6"/>
                <w:sz w:val="20"/>
                <w:szCs w:val="20"/>
              </w:rPr>
            </w:pPr>
            <w:r w:rsidRPr="0054039C">
              <w:rPr>
                <w:rFonts w:ascii="Arial" w:hAnsi="Arial" w:cs="Arial"/>
                <w:color w:val="595959" w:themeColor="text1" w:themeTint="A6"/>
                <w:sz w:val="20"/>
                <w:szCs w:val="20"/>
              </w:rPr>
              <w:t>1A4</w:t>
            </w:r>
          </w:p>
        </w:tc>
        <w:tc>
          <w:tcPr>
            <w:tcW w:w="1035" w:type="dxa"/>
          </w:tcPr>
          <w:p w14:paraId="09D17113" w14:textId="77777777" w:rsidR="0054039C" w:rsidRPr="0054039C" w:rsidRDefault="0054039C" w:rsidP="0054039C">
            <w:pPr>
              <w:autoSpaceDE w:val="0"/>
              <w:autoSpaceDN w:val="0"/>
              <w:adjustRightInd w:val="0"/>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595959" w:themeColor="text1" w:themeTint="A6"/>
                <w:sz w:val="20"/>
                <w:szCs w:val="20"/>
              </w:rPr>
            </w:pPr>
            <w:r w:rsidRPr="0054039C">
              <w:rPr>
                <w:rFonts w:ascii="Arial" w:hAnsi="Arial" w:cs="Arial"/>
                <w:color w:val="595959" w:themeColor="text1" w:themeTint="A6"/>
                <w:sz w:val="20"/>
                <w:szCs w:val="20"/>
              </w:rPr>
              <w:t>1:100</w:t>
            </w:r>
          </w:p>
        </w:tc>
        <w:tc>
          <w:tcPr>
            <w:tcW w:w="1084" w:type="dxa"/>
          </w:tcPr>
          <w:p w14:paraId="42EBA61E" w14:textId="77777777" w:rsidR="0054039C" w:rsidRPr="0054039C" w:rsidRDefault="0054039C" w:rsidP="0054039C">
            <w:pPr>
              <w:autoSpaceDE w:val="0"/>
              <w:autoSpaceDN w:val="0"/>
              <w:adjustRightInd w:val="0"/>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595959" w:themeColor="text1" w:themeTint="A6"/>
                <w:sz w:val="20"/>
                <w:szCs w:val="20"/>
              </w:rPr>
            </w:pPr>
            <w:r w:rsidRPr="0054039C">
              <w:rPr>
                <w:rFonts w:ascii="Arial" w:hAnsi="Arial" w:cs="Arial"/>
                <w:color w:val="595959" w:themeColor="text1" w:themeTint="A6"/>
                <w:sz w:val="20"/>
                <w:szCs w:val="20"/>
              </w:rPr>
              <w:t>0.2</w:t>
            </w:r>
          </w:p>
        </w:tc>
        <w:tc>
          <w:tcPr>
            <w:tcW w:w="1709" w:type="dxa"/>
          </w:tcPr>
          <w:p w14:paraId="655099EC" w14:textId="77777777" w:rsidR="0054039C" w:rsidRPr="0054039C" w:rsidRDefault="0054039C" w:rsidP="0054039C">
            <w:pPr>
              <w:autoSpaceDE w:val="0"/>
              <w:autoSpaceDN w:val="0"/>
              <w:adjustRightInd w:val="0"/>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595959" w:themeColor="text1" w:themeTint="A6"/>
                <w:sz w:val="20"/>
                <w:szCs w:val="20"/>
              </w:rPr>
            </w:pPr>
            <w:r w:rsidRPr="0054039C">
              <w:rPr>
                <w:rFonts w:ascii="Arial" w:hAnsi="Arial" w:cs="Arial"/>
                <w:color w:val="595959" w:themeColor="text1" w:themeTint="A6"/>
                <w:sz w:val="20"/>
                <w:szCs w:val="20"/>
              </w:rPr>
              <w:t>0.01M Sodium citrate buffer</w:t>
            </w:r>
          </w:p>
        </w:tc>
        <w:tc>
          <w:tcPr>
            <w:tcW w:w="2552" w:type="dxa"/>
          </w:tcPr>
          <w:p w14:paraId="602DE872" w14:textId="77777777" w:rsidR="0054039C" w:rsidRPr="0054039C" w:rsidRDefault="0054039C" w:rsidP="0054039C">
            <w:pPr>
              <w:autoSpaceDE w:val="0"/>
              <w:autoSpaceDN w:val="0"/>
              <w:adjustRightInd w:val="0"/>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595959" w:themeColor="text1" w:themeTint="A6"/>
                <w:sz w:val="20"/>
                <w:szCs w:val="20"/>
              </w:rPr>
            </w:pPr>
            <w:r w:rsidRPr="0054039C">
              <w:rPr>
                <w:rFonts w:ascii="Arial" w:hAnsi="Arial" w:cs="Arial"/>
                <w:color w:val="595959" w:themeColor="text1" w:themeTint="A6"/>
                <w:sz w:val="20"/>
                <w:szCs w:val="20"/>
              </w:rPr>
              <w:t>Sigma-Aldrich, UK.</w:t>
            </w:r>
          </w:p>
        </w:tc>
      </w:tr>
      <w:tr w:rsidR="0054039C" w:rsidRPr="0054039C" w14:paraId="628D61AA" w14:textId="77777777" w:rsidTr="002203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5" w:type="dxa"/>
          </w:tcPr>
          <w:p w14:paraId="68D1929E" w14:textId="77777777" w:rsidR="0054039C" w:rsidRPr="0054039C" w:rsidRDefault="0054039C" w:rsidP="0054039C">
            <w:pPr>
              <w:autoSpaceDE w:val="0"/>
              <w:autoSpaceDN w:val="0"/>
              <w:adjustRightInd w:val="0"/>
              <w:spacing w:line="480" w:lineRule="auto"/>
              <w:jc w:val="center"/>
              <w:rPr>
                <w:rFonts w:ascii="Arial" w:hAnsi="Arial" w:cs="Arial"/>
                <w:color w:val="595959" w:themeColor="text1" w:themeTint="A6"/>
                <w:sz w:val="20"/>
                <w:szCs w:val="20"/>
              </w:rPr>
            </w:pPr>
            <w:r w:rsidRPr="0054039C">
              <w:rPr>
                <w:rFonts w:ascii="Arial" w:hAnsi="Arial" w:cs="Arial"/>
                <w:color w:val="595959" w:themeColor="text1" w:themeTint="A6"/>
                <w:sz w:val="20"/>
                <w:szCs w:val="20"/>
              </w:rPr>
              <w:t>CK-14</w:t>
            </w:r>
          </w:p>
        </w:tc>
        <w:tc>
          <w:tcPr>
            <w:tcW w:w="1281" w:type="dxa"/>
          </w:tcPr>
          <w:p w14:paraId="4AF29DE6" w14:textId="77777777" w:rsidR="0054039C" w:rsidRPr="0054039C" w:rsidRDefault="0054039C" w:rsidP="0054039C">
            <w:pPr>
              <w:autoSpaceDE w:val="0"/>
              <w:autoSpaceDN w:val="0"/>
              <w:adjustRightInd w:val="0"/>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595959" w:themeColor="text1" w:themeTint="A6"/>
                <w:sz w:val="20"/>
                <w:szCs w:val="20"/>
              </w:rPr>
            </w:pPr>
            <w:r w:rsidRPr="0054039C">
              <w:rPr>
                <w:rFonts w:ascii="Arial" w:hAnsi="Arial" w:cs="Arial"/>
                <w:color w:val="595959" w:themeColor="text1" w:themeTint="A6"/>
                <w:sz w:val="20"/>
                <w:szCs w:val="20"/>
              </w:rPr>
              <w:t>LL002</w:t>
            </w:r>
          </w:p>
        </w:tc>
        <w:tc>
          <w:tcPr>
            <w:tcW w:w="1035" w:type="dxa"/>
          </w:tcPr>
          <w:p w14:paraId="58A06CFA" w14:textId="77777777" w:rsidR="0054039C" w:rsidRPr="0054039C" w:rsidRDefault="0054039C" w:rsidP="0054039C">
            <w:pPr>
              <w:autoSpaceDE w:val="0"/>
              <w:autoSpaceDN w:val="0"/>
              <w:adjustRightInd w:val="0"/>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595959" w:themeColor="text1" w:themeTint="A6"/>
                <w:sz w:val="20"/>
                <w:szCs w:val="20"/>
              </w:rPr>
            </w:pPr>
            <w:r w:rsidRPr="0054039C">
              <w:rPr>
                <w:rFonts w:ascii="Arial" w:hAnsi="Arial" w:cs="Arial"/>
                <w:color w:val="595959" w:themeColor="text1" w:themeTint="A6"/>
                <w:sz w:val="20"/>
                <w:szCs w:val="20"/>
              </w:rPr>
              <w:t>1:1000</w:t>
            </w:r>
          </w:p>
        </w:tc>
        <w:tc>
          <w:tcPr>
            <w:tcW w:w="1084" w:type="dxa"/>
          </w:tcPr>
          <w:p w14:paraId="1D81864B" w14:textId="77777777" w:rsidR="0054039C" w:rsidRPr="0054039C" w:rsidRDefault="0054039C" w:rsidP="0054039C">
            <w:pPr>
              <w:autoSpaceDE w:val="0"/>
              <w:autoSpaceDN w:val="0"/>
              <w:adjustRightInd w:val="0"/>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595959" w:themeColor="text1" w:themeTint="A6"/>
                <w:sz w:val="20"/>
                <w:szCs w:val="20"/>
              </w:rPr>
            </w:pPr>
            <w:r w:rsidRPr="0054039C">
              <w:rPr>
                <w:rFonts w:ascii="Arial" w:hAnsi="Arial" w:cs="Arial"/>
                <w:color w:val="595959" w:themeColor="text1" w:themeTint="A6"/>
                <w:sz w:val="20"/>
                <w:szCs w:val="20"/>
              </w:rPr>
              <w:t>0.1</w:t>
            </w:r>
          </w:p>
        </w:tc>
        <w:tc>
          <w:tcPr>
            <w:tcW w:w="1709" w:type="dxa"/>
          </w:tcPr>
          <w:p w14:paraId="0D09AC10" w14:textId="77777777" w:rsidR="0054039C" w:rsidRPr="0054039C" w:rsidRDefault="0054039C" w:rsidP="0054039C">
            <w:pPr>
              <w:autoSpaceDE w:val="0"/>
              <w:autoSpaceDN w:val="0"/>
              <w:adjustRightInd w:val="0"/>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595959" w:themeColor="text1" w:themeTint="A6"/>
                <w:sz w:val="20"/>
                <w:szCs w:val="20"/>
              </w:rPr>
            </w:pPr>
            <w:r w:rsidRPr="0054039C">
              <w:rPr>
                <w:rFonts w:ascii="Arial" w:hAnsi="Arial" w:cs="Arial"/>
                <w:color w:val="595959" w:themeColor="text1" w:themeTint="A6"/>
                <w:sz w:val="20"/>
                <w:szCs w:val="20"/>
              </w:rPr>
              <w:t>Tris/EDTA buffer pH 9.0 </w:t>
            </w:r>
          </w:p>
        </w:tc>
        <w:tc>
          <w:tcPr>
            <w:tcW w:w="2552" w:type="dxa"/>
          </w:tcPr>
          <w:p w14:paraId="471A99DC" w14:textId="77777777" w:rsidR="0054039C" w:rsidRPr="0054039C" w:rsidRDefault="0054039C" w:rsidP="0054039C">
            <w:pPr>
              <w:autoSpaceDE w:val="0"/>
              <w:autoSpaceDN w:val="0"/>
              <w:adjustRightInd w:val="0"/>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595959" w:themeColor="text1" w:themeTint="A6"/>
                <w:sz w:val="20"/>
                <w:szCs w:val="20"/>
              </w:rPr>
            </w:pPr>
            <w:r w:rsidRPr="0054039C">
              <w:rPr>
                <w:rFonts w:ascii="Arial" w:hAnsi="Arial" w:cs="Arial"/>
                <w:color w:val="595959" w:themeColor="text1" w:themeTint="A6"/>
                <w:sz w:val="20"/>
                <w:szCs w:val="20"/>
              </w:rPr>
              <w:t>Thermo-Scientific, UK.</w:t>
            </w:r>
          </w:p>
        </w:tc>
      </w:tr>
      <w:tr w:rsidR="0054039C" w:rsidRPr="0054039C" w14:paraId="3E95D9A2" w14:textId="77777777" w:rsidTr="00220314">
        <w:tc>
          <w:tcPr>
            <w:cnfStyle w:val="001000000000" w:firstRow="0" w:lastRow="0" w:firstColumn="1" w:lastColumn="0" w:oddVBand="0" w:evenVBand="0" w:oddHBand="0" w:evenHBand="0" w:firstRowFirstColumn="0" w:firstRowLastColumn="0" w:lastRowFirstColumn="0" w:lastRowLastColumn="0"/>
            <w:tcW w:w="1265" w:type="dxa"/>
          </w:tcPr>
          <w:p w14:paraId="64E8A14E" w14:textId="77777777" w:rsidR="0054039C" w:rsidRPr="0054039C" w:rsidRDefault="0054039C" w:rsidP="0054039C">
            <w:pPr>
              <w:autoSpaceDE w:val="0"/>
              <w:autoSpaceDN w:val="0"/>
              <w:adjustRightInd w:val="0"/>
              <w:spacing w:line="480" w:lineRule="auto"/>
              <w:jc w:val="center"/>
              <w:rPr>
                <w:rFonts w:ascii="Arial" w:hAnsi="Arial" w:cs="Arial"/>
                <w:color w:val="595959" w:themeColor="text1" w:themeTint="A6"/>
                <w:sz w:val="20"/>
                <w:szCs w:val="20"/>
              </w:rPr>
            </w:pPr>
            <w:r w:rsidRPr="0054039C">
              <w:rPr>
                <w:rFonts w:ascii="Arial" w:hAnsi="Arial" w:cs="Arial"/>
                <w:color w:val="595959" w:themeColor="text1" w:themeTint="A6"/>
                <w:sz w:val="20"/>
                <w:szCs w:val="20"/>
              </w:rPr>
              <w:t>COLIV</w:t>
            </w:r>
          </w:p>
        </w:tc>
        <w:tc>
          <w:tcPr>
            <w:tcW w:w="1281" w:type="dxa"/>
          </w:tcPr>
          <w:p w14:paraId="4B81126A" w14:textId="77777777" w:rsidR="0054039C" w:rsidRPr="0054039C" w:rsidRDefault="0054039C" w:rsidP="0054039C">
            <w:pPr>
              <w:autoSpaceDE w:val="0"/>
              <w:autoSpaceDN w:val="0"/>
              <w:adjustRightInd w:val="0"/>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595959" w:themeColor="text1" w:themeTint="A6"/>
                <w:sz w:val="20"/>
                <w:szCs w:val="20"/>
              </w:rPr>
            </w:pPr>
            <w:r w:rsidRPr="0054039C">
              <w:rPr>
                <w:rFonts w:ascii="Arial" w:hAnsi="Arial" w:cs="Arial"/>
                <w:color w:val="595959" w:themeColor="text1" w:themeTint="A6"/>
                <w:sz w:val="20"/>
                <w:szCs w:val="20"/>
              </w:rPr>
              <w:t>COL-94</w:t>
            </w:r>
          </w:p>
        </w:tc>
        <w:tc>
          <w:tcPr>
            <w:tcW w:w="1035" w:type="dxa"/>
          </w:tcPr>
          <w:p w14:paraId="31AC479F" w14:textId="77777777" w:rsidR="0054039C" w:rsidRPr="0054039C" w:rsidRDefault="0054039C" w:rsidP="0054039C">
            <w:pPr>
              <w:autoSpaceDE w:val="0"/>
              <w:autoSpaceDN w:val="0"/>
              <w:adjustRightInd w:val="0"/>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595959" w:themeColor="text1" w:themeTint="A6"/>
                <w:sz w:val="20"/>
                <w:szCs w:val="20"/>
              </w:rPr>
            </w:pPr>
            <w:r w:rsidRPr="0054039C">
              <w:rPr>
                <w:rFonts w:ascii="Arial" w:hAnsi="Arial" w:cs="Arial"/>
                <w:color w:val="595959" w:themeColor="text1" w:themeTint="A6"/>
                <w:sz w:val="20"/>
                <w:szCs w:val="20"/>
              </w:rPr>
              <w:t>1:500</w:t>
            </w:r>
          </w:p>
        </w:tc>
        <w:tc>
          <w:tcPr>
            <w:tcW w:w="1084" w:type="dxa"/>
          </w:tcPr>
          <w:p w14:paraId="394473CE" w14:textId="77777777" w:rsidR="0054039C" w:rsidRPr="0054039C" w:rsidRDefault="0054039C" w:rsidP="0054039C">
            <w:pPr>
              <w:autoSpaceDE w:val="0"/>
              <w:autoSpaceDN w:val="0"/>
              <w:adjustRightInd w:val="0"/>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595959" w:themeColor="text1" w:themeTint="A6"/>
                <w:sz w:val="20"/>
                <w:szCs w:val="20"/>
              </w:rPr>
            </w:pPr>
            <w:r w:rsidRPr="0054039C">
              <w:rPr>
                <w:rFonts w:ascii="Arial" w:hAnsi="Arial" w:cs="Arial"/>
                <w:color w:val="595959" w:themeColor="text1" w:themeTint="A6"/>
                <w:sz w:val="20"/>
                <w:szCs w:val="20"/>
              </w:rPr>
              <w:t>Not known</w:t>
            </w:r>
          </w:p>
        </w:tc>
        <w:tc>
          <w:tcPr>
            <w:tcW w:w="1709" w:type="dxa"/>
          </w:tcPr>
          <w:p w14:paraId="121B85E6" w14:textId="77777777" w:rsidR="0054039C" w:rsidRPr="0054039C" w:rsidRDefault="0054039C" w:rsidP="0054039C">
            <w:pPr>
              <w:autoSpaceDE w:val="0"/>
              <w:autoSpaceDN w:val="0"/>
              <w:adjustRightInd w:val="0"/>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595959" w:themeColor="text1" w:themeTint="A6"/>
                <w:sz w:val="20"/>
                <w:szCs w:val="20"/>
              </w:rPr>
            </w:pPr>
            <w:r w:rsidRPr="0054039C">
              <w:rPr>
                <w:rFonts w:ascii="Arial" w:hAnsi="Arial" w:cs="Arial"/>
                <w:color w:val="595959" w:themeColor="text1" w:themeTint="A6"/>
                <w:sz w:val="20"/>
                <w:szCs w:val="20"/>
              </w:rPr>
              <w:t>0.01M Sodium citrate buffer</w:t>
            </w:r>
          </w:p>
        </w:tc>
        <w:tc>
          <w:tcPr>
            <w:tcW w:w="2552" w:type="dxa"/>
          </w:tcPr>
          <w:p w14:paraId="44EC76C9" w14:textId="77777777" w:rsidR="0054039C" w:rsidRPr="0054039C" w:rsidRDefault="0054039C" w:rsidP="0054039C">
            <w:pPr>
              <w:autoSpaceDE w:val="0"/>
              <w:autoSpaceDN w:val="0"/>
              <w:adjustRightInd w:val="0"/>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595959" w:themeColor="text1" w:themeTint="A6"/>
                <w:sz w:val="20"/>
                <w:szCs w:val="20"/>
              </w:rPr>
            </w:pPr>
            <w:r w:rsidRPr="0054039C">
              <w:rPr>
                <w:rFonts w:ascii="Arial" w:hAnsi="Arial" w:cs="Arial"/>
                <w:color w:val="595959" w:themeColor="text1" w:themeTint="A6"/>
                <w:sz w:val="20"/>
                <w:szCs w:val="20"/>
              </w:rPr>
              <w:t>Sigma-Aldrich, UK.</w:t>
            </w:r>
          </w:p>
        </w:tc>
      </w:tr>
    </w:tbl>
    <w:p w14:paraId="15CAE2D0" w14:textId="77777777" w:rsidR="0054039C" w:rsidRPr="0054039C" w:rsidRDefault="0054039C" w:rsidP="0054039C">
      <w:pPr>
        <w:autoSpaceDE w:val="0"/>
        <w:autoSpaceDN w:val="0"/>
        <w:adjustRightInd w:val="0"/>
        <w:spacing w:after="0" w:line="480" w:lineRule="auto"/>
        <w:jc w:val="both"/>
        <w:rPr>
          <w:rFonts w:ascii="Arial" w:hAnsi="Arial" w:cs="Arial"/>
          <w:b/>
          <w:color w:val="595959" w:themeColor="text1" w:themeTint="A6"/>
          <w:lang w:val="en-US"/>
        </w:rPr>
      </w:pPr>
    </w:p>
    <w:p w14:paraId="236BF991" w14:textId="77777777" w:rsidR="0054039C" w:rsidRPr="0054039C" w:rsidRDefault="0054039C" w:rsidP="0054039C">
      <w:pPr>
        <w:keepNext/>
        <w:keepLines/>
        <w:spacing w:before="40" w:after="0"/>
        <w:outlineLvl w:val="2"/>
        <w:rPr>
          <w:rFonts w:ascii="Arial" w:eastAsiaTheme="majorEastAsia" w:hAnsi="Arial" w:cs="Arial"/>
          <w:color w:val="595959" w:themeColor="text1" w:themeTint="A6"/>
        </w:rPr>
      </w:pPr>
      <w:bookmarkStart w:id="173" w:name="_Toc515897485"/>
    </w:p>
    <w:p w14:paraId="415397D5" w14:textId="7266F529" w:rsidR="0054039C" w:rsidRPr="0054039C" w:rsidRDefault="0054039C" w:rsidP="00BF5135">
      <w:pPr>
        <w:pStyle w:val="Heading4"/>
        <w:rPr>
          <w:rFonts w:ascii="Arial" w:hAnsi="Arial" w:cs="Arial"/>
          <w:color w:val="595959" w:themeColor="text1" w:themeTint="A6"/>
        </w:rPr>
      </w:pPr>
      <w:bookmarkStart w:id="174" w:name="_Toc534278616"/>
      <w:bookmarkStart w:id="175" w:name="_Toc34208325"/>
      <w:r w:rsidRPr="0054039C">
        <w:rPr>
          <w:rFonts w:ascii="Arial" w:hAnsi="Arial" w:cs="Arial"/>
          <w:color w:val="595959" w:themeColor="text1" w:themeTint="A6"/>
        </w:rPr>
        <w:t>2.2.9.6 DAB staining optical density quantification using ImageJ</w:t>
      </w:r>
      <w:bookmarkEnd w:id="174"/>
      <w:bookmarkEnd w:id="175"/>
    </w:p>
    <w:p w14:paraId="3EF496C7" w14:textId="77777777" w:rsidR="0054039C" w:rsidRPr="0054039C" w:rsidRDefault="0054039C" w:rsidP="0054039C"/>
    <w:p w14:paraId="4849264F" w14:textId="73676D4E" w:rsidR="0054039C" w:rsidRPr="0054039C" w:rsidRDefault="0054039C" w:rsidP="0054039C">
      <w:pPr>
        <w:spacing w:line="480" w:lineRule="auto"/>
        <w:jc w:val="both"/>
        <w:rPr>
          <w:rFonts w:ascii="Arial" w:hAnsi="Arial" w:cs="Arial"/>
          <w:color w:val="595959" w:themeColor="text1" w:themeTint="A6"/>
        </w:rPr>
      </w:pPr>
      <w:r w:rsidRPr="0054039C">
        <w:rPr>
          <w:rFonts w:ascii="Arial" w:hAnsi="Arial" w:cs="Arial"/>
          <w:color w:val="595959" w:themeColor="text1" w:themeTint="A6"/>
        </w:rPr>
        <w:t xml:space="preserve">Immunohistochemically stained sections were imaged at x40 magnification and further analysed by ImageJ. </w:t>
      </w:r>
      <w:bookmarkStart w:id="176" w:name="_Hlk535589725"/>
      <w:r w:rsidRPr="0054039C">
        <w:rPr>
          <w:rFonts w:ascii="Arial" w:hAnsi="Arial" w:cs="Arial"/>
          <w:color w:val="595959" w:themeColor="text1" w:themeTint="A6"/>
        </w:rPr>
        <w:t xml:space="preserve">All images were converted into 8-bit colour images and colour deconvolution performed using the DAB and haematoxylin settings. For each image a region of interest (ROI) was created. The size of the ROI was kept consistent w= 402 pixel, h= 402 pixel, unless an area was </w:t>
      </w:r>
      <w:r w:rsidRPr="00A03706">
        <w:rPr>
          <w:rFonts w:ascii="Arial" w:hAnsi="Arial" w:cs="Arial"/>
          <w:color w:val="595959" w:themeColor="text1" w:themeTint="A6"/>
        </w:rPr>
        <w:t xml:space="preserve">smaller due to </w:t>
      </w:r>
      <w:r w:rsidR="002B616B" w:rsidRPr="00A03706">
        <w:rPr>
          <w:rFonts w:ascii="Arial" w:hAnsi="Arial" w:cs="Arial"/>
          <w:color w:val="595959" w:themeColor="text1" w:themeTint="A6"/>
        </w:rPr>
        <w:t xml:space="preserve">protein </w:t>
      </w:r>
      <w:r w:rsidR="001053D1" w:rsidRPr="00A03706">
        <w:rPr>
          <w:rFonts w:ascii="Arial" w:hAnsi="Arial" w:cs="Arial"/>
          <w:color w:val="595959" w:themeColor="text1" w:themeTint="A6"/>
        </w:rPr>
        <w:t>tissue-expression</w:t>
      </w:r>
      <w:r w:rsidRPr="00A03706">
        <w:rPr>
          <w:rFonts w:ascii="Arial" w:hAnsi="Arial" w:cs="Arial"/>
          <w:color w:val="595959" w:themeColor="text1" w:themeTint="A6"/>
        </w:rPr>
        <w:t xml:space="preserve">; where the ROI was </w:t>
      </w:r>
      <w:r w:rsidRPr="0054039C">
        <w:rPr>
          <w:rFonts w:ascii="Arial" w:hAnsi="Arial" w:cs="Arial"/>
          <w:color w:val="595959" w:themeColor="text1" w:themeTint="A6"/>
        </w:rPr>
        <w:t xml:space="preserve">halved to w=201 pixel, h= 201 pixel. Mean grey values were set for each image, and intensity measured for the image. These intensity values were then converted to an optical density </w:t>
      </w:r>
      <w:r w:rsidRPr="0054039C">
        <w:rPr>
          <w:rFonts w:ascii="Arial" w:hAnsi="Arial" w:cs="Arial"/>
          <w:color w:val="595959" w:themeColor="text1" w:themeTint="A6"/>
        </w:rPr>
        <w:lastRenderedPageBreak/>
        <w:t xml:space="preserve">(OD) score. </w:t>
      </w:r>
      <w:bookmarkEnd w:id="176"/>
      <w:r w:rsidRPr="0054039C">
        <w:rPr>
          <w:rFonts w:ascii="Arial" w:hAnsi="Arial" w:cs="Arial"/>
          <w:color w:val="595959" w:themeColor="text1" w:themeTint="A6"/>
        </w:rPr>
        <w:t>For images the main optical density range is normally between 0.5-1.25 (where 0 is no density and 1 is considered black). The following calculation was used:</w:t>
      </w:r>
    </w:p>
    <w:p w14:paraId="394F929F" w14:textId="77777777" w:rsidR="0054039C" w:rsidRPr="0054039C" w:rsidRDefault="0054039C" w:rsidP="0054039C">
      <w:pPr>
        <w:spacing w:after="0" w:line="240" w:lineRule="auto"/>
        <w:jc w:val="both"/>
        <w:rPr>
          <w:rFonts w:ascii="Arial" w:hAnsi="Arial" w:cs="Arial"/>
          <w:color w:val="595959" w:themeColor="text1" w:themeTint="A6"/>
          <w:u w:val="single"/>
        </w:rPr>
      </w:pPr>
      <w:r w:rsidRPr="0054039C">
        <w:rPr>
          <w:rFonts w:ascii="Arial" w:hAnsi="Arial" w:cs="Arial"/>
          <w:color w:val="595959" w:themeColor="text1" w:themeTint="A6"/>
        </w:rPr>
        <w:tab/>
      </w:r>
      <w:r w:rsidRPr="0054039C">
        <w:rPr>
          <w:rFonts w:ascii="Arial" w:hAnsi="Arial" w:cs="Arial"/>
          <w:color w:val="595959" w:themeColor="text1" w:themeTint="A6"/>
        </w:rPr>
        <w:tab/>
      </w:r>
      <w:r w:rsidRPr="0054039C">
        <w:rPr>
          <w:rFonts w:ascii="Arial" w:hAnsi="Arial" w:cs="Arial"/>
          <w:color w:val="595959" w:themeColor="text1" w:themeTint="A6"/>
        </w:rPr>
        <w:tab/>
        <w:t xml:space="preserve">OD= Log    </w:t>
      </w:r>
      <w:r w:rsidRPr="0054039C">
        <w:rPr>
          <w:rFonts w:ascii="Arial" w:hAnsi="Arial" w:cs="Arial"/>
          <w:color w:val="595959" w:themeColor="text1" w:themeTint="A6"/>
          <w:u w:val="single"/>
        </w:rPr>
        <w:t>(max intensity)</w:t>
      </w:r>
    </w:p>
    <w:p w14:paraId="3CB8A325" w14:textId="77777777" w:rsidR="0054039C" w:rsidRPr="0054039C" w:rsidRDefault="0054039C" w:rsidP="0054039C">
      <w:pPr>
        <w:spacing w:after="0" w:line="240" w:lineRule="auto"/>
        <w:jc w:val="both"/>
        <w:rPr>
          <w:rFonts w:ascii="Arial" w:hAnsi="Arial" w:cs="Arial"/>
          <w:color w:val="595959" w:themeColor="text1" w:themeTint="A6"/>
        </w:rPr>
      </w:pPr>
      <w:r w:rsidRPr="0054039C">
        <w:rPr>
          <w:rFonts w:ascii="Arial" w:hAnsi="Arial" w:cs="Arial"/>
          <w:color w:val="595959" w:themeColor="text1" w:themeTint="A6"/>
        </w:rPr>
        <w:tab/>
      </w:r>
      <w:r w:rsidRPr="0054039C">
        <w:rPr>
          <w:rFonts w:ascii="Arial" w:hAnsi="Arial" w:cs="Arial"/>
          <w:color w:val="595959" w:themeColor="text1" w:themeTint="A6"/>
        </w:rPr>
        <w:tab/>
      </w:r>
      <w:r w:rsidRPr="0054039C">
        <w:rPr>
          <w:rFonts w:ascii="Arial" w:hAnsi="Arial" w:cs="Arial"/>
          <w:color w:val="595959" w:themeColor="text1" w:themeTint="A6"/>
        </w:rPr>
        <w:tab/>
        <w:t xml:space="preserve">                   (Mean intensity)</w:t>
      </w:r>
    </w:p>
    <w:p w14:paraId="1257A3ED" w14:textId="77777777" w:rsidR="0054039C" w:rsidRPr="0054039C" w:rsidRDefault="0054039C" w:rsidP="0054039C">
      <w:pPr>
        <w:spacing w:after="0" w:line="240" w:lineRule="auto"/>
        <w:jc w:val="both"/>
        <w:rPr>
          <w:rFonts w:ascii="Arial" w:hAnsi="Arial" w:cs="Arial"/>
          <w:color w:val="595959" w:themeColor="text1" w:themeTint="A6"/>
        </w:rPr>
      </w:pPr>
    </w:p>
    <w:p w14:paraId="47387AA3" w14:textId="79903A27" w:rsidR="0054039C" w:rsidRPr="0054039C" w:rsidRDefault="0054039C" w:rsidP="0054039C">
      <w:pPr>
        <w:spacing w:after="0" w:line="480" w:lineRule="auto"/>
        <w:jc w:val="both"/>
        <w:rPr>
          <w:rFonts w:ascii="Arial" w:hAnsi="Arial" w:cs="Arial"/>
          <w:color w:val="595959" w:themeColor="text1" w:themeTint="A6"/>
        </w:rPr>
      </w:pPr>
      <w:r w:rsidRPr="0054039C">
        <w:rPr>
          <w:rFonts w:ascii="Arial" w:hAnsi="Arial" w:cs="Arial"/>
          <w:color w:val="595959" w:themeColor="text1" w:themeTint="A6"/>
        </w:rPr>
        <w:t xml:space="preserve">To limit bias, each image was assessed by studying three separate areas, and the average of each image taken (mean intensity), three biological repeats were analysed with 2 slides analysed for each protein of interest. Results were converted and analysed for statistical significance using unpaired T -Tests </w:t>
      </w:r>
      <w:r w:rsidR="009D6217">
        <w:rPr>
          <w:rFonts w:ascii="Arial" w:hAnsi="Arial" w:cs="Arial"/>
          <w:color w:val="595959" w:themeColor="text1" w:themeTint="A6"/>
        </w:rPr>
        <w:t xml:space="preserve">in </w:t>
      </w:r>
      <w:r w:rsidRPr="0054039C">
        <w:rPr>
          <w:rFonts w:ascii="Arial" w:hAnsi="Arial" w:cs="Arial"/>
          <w:color w:val="595959" w:themeColor="text1" w:themeTint="A6"/>
        </w:rPr>
        <w:t xml:space="preserve">Graphpad </w:t>
      </w:r>
      <w:r w:rsidR="009D6217">
        <w:rPr>
          <w:rFonts w:ascii="Arial" w:hAnsi="Arial" w:cs="Arial"/>
          <w:color w:val="595959" w:themeColor="text1" w:themeTint="A6"/>
        </w:rPr>
        <w:t xml:space="preserve">prism </w:t>
      </w:r>
      <w:r w:rsidRPr="0054039C">
        <w:rPr>
          <w:rFonts w:ascii="Arial" w:hAnsi="Arial" w:cs="Arial"/>
          <w:color w:val="595959" w:themeColor="text1" w:themeTint="A6"/>
        </w:rPr>
        <w:t xml:space="preserve">software.  </w:t>
      </w:r>
    </w:p>
    <w:p w14:paraId="23BB7DB1" w14:textId="360B674B" w:rsidR="0054039C" w:rsidRPr="0054039C" w:rsidRDefault="0054039C" w:rsidP="0095592C">
      <w:pPr>
        <w:pStyle w:val="Heading4"/>
        <w:rPr>
          <w:rFonts w:ascii="Arial" w:hAnsi="Arial" w:cs="Arial"/>
          <w:color w:val="595959" w:themeColor="text1" w:themeTint="A6"/>
          <w:szCs w:val="24"/>
        </w:rPr>
      </w:pPr>
      <w:bookmarkStart w:id="177" w:name="_Toc534278617"/>
      <w:bookmarkStart w:id="178" w:name="_Toc34208326"/>
      <w:r w:rsidRPr="0054039C">
        <w:rPr>
          <w:rFonts w:ascii="Arial" w:hAnsi="Arial" w:cs="Arial"/>
          <w:color w:val="595959" w:themeColor="text1" w:themeTint="A6"/>
          <w:szCs w:val="24"/>
        </w:rPr>
        <w:t>2.2.9.7 Zymography</w:t>
      </w:r>
      <w:bookmarkEnd w:id="173"/>
      <w:bookmarkEnd w:id="177"/>
      <w:bookmarkEnd w:id="178"/>
    </w:p>
    <w:p w14:paraId="6AD1AD1D" w14:textId="77777777" w:rsidR="0054039C" w:rsidRPr="0054039C" w:rsidRDefault="0054039C" w:rsidP="0054039C"/>
    <w:p w14:paraId="08EB2C1F" w14:textId="2C272566" w:rsidR="0054039C" w:rsidRPr="0054039C" w:rsidRDefault="0054039C" w:rsidP="0054039C">
      <w:pPr>
        <w:autoSpaceDE w:val="0"/>
        <w:autoSpaceDN w:val="0"/>
        <w:adjustRightInd w:val="0"/>
        <w:spacing w:after="0" w:line="480" w:lineRule="auto"/>
        <w:jc w:val="both"/>
        <w:rPr>
          <w:rFonts w:ascii="Arial" w:hAnsi="Arial" w:cs="Arial"/>
          <w:color w:val="595959" w:themeColor="text1" w:themeTint="A6"/>
          <w:lang w:val="en-US"/>
        </w:rPr>
      </w:pPr>
      <w:r w:rsidRPr="0054039C">
        <w:rPr>
          <w:rFonts w:ascii="Arial" w:hAnsi="Arial" w:cs="Arial"/>
          <w:color w:val="595959" w:themeColor="text1" w:themeTint="A6"/>
          <w:lang w:val="en-US"/>
        </w:rPr>
        <w:t xml:space="preserve">Gelatin zymography was used to detect activity of two gelatinase enzymes, the matrix metalloproteinases (MMP) MMP-2 and MMP-9. This protocol was optimised for detecting secreted MMP-9 and MMP-2 activity in conditioned media. Matrices were cultured in FDM media in inserts (5 mL/well). After 3 weeks of growth, the matrices were washed cells twice with PBS and were developed for a further 1 week in low-serum (1%) FDM media. The collected conditioned media was then centrifuged at 1000 g for 5 minutes to eliminate dead cells. Conditioned media was then concentrated using spin columns with a molecular cut off point of 5 kDa by centrifugation at 10,000 </w:t>
      </w:r>
      <w:r w:rsidR="00817668">
        <w:rPr>
          <w:rFonts w:ascii="Arial" w:hAnsi="Arial" w:cs="Arial"/>
          <w:color w:val="595959" w:themeColor="text1" w:themeTint="A6"/>
          <w:lang w:val="en-US"/>
        </w:rPr>
        <w:t>rpm</w:t>
      </w:r>
      <w:r w:rsidRPr="0054039C">
        <w:rPr>
          <w:rFonts w:ascii="Arial" w:hAnsi="Arial" w:cs="Arial"/>
          <w:color w:val="595959" w:themeColor="text1" w:themeTint="A6"/>
          <w:lang w:val="en-US"/>
        </w:rPr>
        <w:t xml:space="preserve"> for 15 minutes. </w:t>
      </w:r>
    </w:p>
    <w:p w14:paraId="41085B08" w14:textId="77777777" w:rsidR="0054039C" w:rsidRPr="0054039C" w:rsidRDefault="0054039C" w:rsidP="0054039C">
      <w:pPr>
        <w:keepNext/>
        <w:keepLines/>
        <w:spacing w:before="40" w:after="0"/>
        <w:outlineLvl w:val="3"/>
        <w:rPr>
          <w:rFonts w:ascii="Arial" w:eastAsiaTheme="majorEastAsia" w:hAnsi="Arial" w:cs="Arial"/>
          <w:iCs/>
          <w:color w:val="595959" w:themeColor="text1" w:themeTint="A6"/>
          <w:lang w:val="en-US"/>
        </w:rPr>
      </w:pPr>
    </w:p>
    <w:p w14:paraId="78991D77" w14:textId="77777777" w:rsidR="0054039C" w:rsidRPr="0054039C" w:rsidRDefault="0054039C" w:rsidP="0095592C">
      <w:pPr>
        <w:pStyle w:val="Heading5"/>
        <w:rPr>
          <w:rFonts w:ascii="Arial" w:hAnsi="Arial" w:cs="Arial"/>
          <w:iCs/>
          <w:color w:val="595959" w:themeColor="text1" w:themeTint="A6"/>
          <w:lang w:val="en-US"/>
        </w:rPr>
      </w:pPr>
      <w:bookmarkStart w:id="179" w:name="_Toc534278618"/>
      <w:bookmarkStart w:id="180" w:name="_Toc34208327"/>
      <w:r w:rsidRPr="0054039C">
        <w:rPr>
          <w:rFonts w:ascii="Arial" w:hAnsi="Arial" w:cs="Arial"/>
          <w:iCs/>
          <w:color w:val="595959" w:themeColor="text1" w:themeTint="A6"/>
          <w:lang w:val="en-US"/>
        </w:rPr>
        <w:t>2.2.9.7.1 Gel preparation</w:t>
      </w:r>
      <w:bookmarkEnd w:id="179"/>
      <w:bookmarkEnd w:id="180"/>
      <w:r w:rsidRPr="0054039C">
        <w:rPr>
          <w:rFonts w:ascii="Arial" w:hAnsi="Arial" w:cs="Arial"/>
          <w:iCs/>
          <w:color w:val="595959" w:themeColor="text1" w:themeTint="A6"/>
          <w:lang w:val="en-US"/>
        </w:rPr>
        <w:t xml:space="preserve"> </w:t>
      </w:r>
    </w:p>
    <w:p w14:paraId="250C5D16" w14:textId="77777777" w:rsidR="0054039C" w:rsidRPr="0054039C" w:rsidRDefault="0054039C" w:rsidP="0054039C">
      <w:pPr>
        <w:rPr>
          <w:lang w:val="en-US"/>
        </w:rPr>
      </w:pPr>
    </w:p>
    <w:p w14:paraId="665BDC66" w14:textId="0A0E2B50" w:rsidR="0054039C" w:rsidRDefault="0054039C" w:rsidP="0054039C">
      <w:pPr>
        <w:autoSpaceDE w:val="0"/>
        <w:autoSpaceDN w:val="0"/>
        <w:adjustRightInd w:val="0"/>
        <w:spacing w:after="0" w:line="480" w:lineRule="auto"/>
        <w:jc w:val="both"/>
        <w:rPr>
          <w:rFonts w:ascii="Arial" w:hAnsi="Arial" w:cs="Arial"/>
          <w:color w:val="595959" w:themeColor="text1" w:themeTint="A6"/>
          <w:lang w:val="en-US"/>
        </w:rPr>
      </w:pPr>
      <w:r w:rsidRPr="0054039C">
        <w:rPr>
          <w:rFonts w:ascii="Arial" w:hAnsi="Arial" w:cs="Arial"/>
          <w:color w:val="595959" w:themeColor="text1" w:themeTint="A6"/>
          <w:lang w:val="en-US"/>
        </w:rPr>
        <w:t>The conditioned media was adjusted in all samples to the same protein concentration. For each sample, a low protein concentration (5 µg/mL) and a high protein concentration (10 µg/mL) was tested. A 5x non-reducing sample buffer was added to samples (Table 2.12). A 7.5% acrylamide gel was used containing gelatin (Table 2.13). Using 1 mm thickness plates. Samples were loaded to each well (10 μL protein per well). A protein molecular weight marker was added in one well. The gel was run at 150 V until a good band separation was achieved.</w:t>
      </w:r>
    </w:p>
    <w:p w14:paraId="5CA046B2" w14:textId="77777777" w:rsidR="00365E9A" w:rsidRPr="0054039C" w:rsidRDefault="00365E9A" w:rsidP="0054039C">
      <w:pPr>
        <w:autoSpaceDE w:val="0"/>
        <w:autoSpaceDN w:val="0"/>
        <w:adjustRightInd w:val="0"/>
        <w:spacing w:after="0" w:line="480" w:lineRule="auto"/>
        <w:jc w:val="both"/>
        <w:rPr>
          <w:rFonts w:ascii="Arial" w:hAnsi="Arial" w:cs="Arial"/>
          <w:color w:val="595959" w:themeColor="text1" w:themeTint="A6"/>
          <w:lang w:val="en-US"/>
        </w:rPr>
      </w:pPr>
    </w:p>
    <w:p w14:paraId="6D2312DD" w14:textId="77777777" w:rsidR="0054039C" w:rsidRPr="0054039C" w:rsidRDefault="0054039C" w:rsidP="0054039C">
      <w:pPr>
        <w:autoSpaceDE w:val="0"/>
        <w:autoSpaceDN w:val="0"/>
        <w:adjustRightInd w:val="0"/>
        <w:spacing w:after="0" w:line="480" w:lineRule="auto"/>
        <w:jc w:val="both"/>
        <w:rPr>
          <w:rFonts w:ascii="Arial" w:hAnsi="Arial" w:cs="Arial"/>
          <w:color w:val="595959" w:themeColor="text1" w:themeTint="A6"/>
          <w:lang w:val="en-US"/>
        </w:rPr>
      </w:pPr>
    </w:p>
    <w:p w14:paraId="52C93BF4" w14:textId="77777777" w:rsidR="0054039C" w:rsidRPr="00220314" w:rsidRDefault="0054039C" w:rsidP="0054039C">
      <w:pPr>
        <w:autoSpaceDE w:val="0"/>
        <w:autoSpaceDN w:val="0"/>
        <w:adjustRightInd w:val="0"/>
        <w:spacing w:after="0" w:line="480" w:lineRule="auto"/>
        <w:jc w:val="both"/>
        <w:rPr>
          <w:rFonts w:ascii="Arial" w:hAnsi="Arial" w:cs="Arial"/>
          <w:b/>
          <w:color w:val="595959" w:themeColor="text1" w:themeTint="A6"/>
        </w:rPr>
      </w:pPr>
      <w:r w:rsidRPr="00220314">
        <w:rPr>
          <w:rFonts w:ascii="Arial" w:hAnsi="Arial" w:cs="Arial"/>
          <w:b/>
          <w:color w:val="595959" w:themeColor="text1" w:themeTint="A6"/>
        </w:rPr>
        <w:lastRenderedPageBreak/>
        <w:t>Table 2.12 A 5x non-reducing sample buffer (pH 6.8)</w:t>
      </w:r>
    </w:p>
    <w:tbl>
      <w:tblPr>
        <w:tblStyle w:val="GridTable4-Accent31"/>
        <w:tblW w:w="0" w:type="auto"/>
        <w:tblLook w:val="04A0" w:firstRow="1" w:lastRow="0" w:firstColumn="1" w:lastColumn="0" w:noHBand="0" w:noVBand="1"/>
      </w:tblPr>
      <w:tblGrid>
        <w:gridCol w:w="4260"/>
        <w:gridCol w:w="4260"/>
      </w:tblGrid>
      <w:tr w:rsidR="0054039C" w:rsidRPr="0054039C" w14:paraId="59257F24" w14:textId="77777777" w:rsidTr="00220314">
        <w:trPr>
          <w:cnfStyle w:val="100000000000" w:firstRow="1" w:lastRow="0" w:firstColumn="0" w:lastColumn="0" w:oddVBand="0" w:evenVBand="0" w:oddHBand="0" w:evenHBand="0" w:firstRowFirstColumn="0" w:firstRowLastColumn="0" w:lastRowFirstColumn="0" w:lastRowLastColumn="0"/>
          <w:trHeight w:val="263"/>
        </w:trPr>
        <w:tc>
          <w:tcPr>
            <w:cnfStyle w:val="001000000000" w:firstRow="0" w:lastRow="0" w:firstColumn="1" w:lastColumn="0" w:oddVBand="0" w:evenVBand="0" w:oddHBand="0" w:evenHBand="0" w:firstRowFirstColumn="0" w:firstRowLastColumn="0" w:lastRowFirstColumn="0" w:lastRowLastColumn="0"/>
            <w:tcW w:w="4260" w:type="dxa"/>
            <w:hideMark/>
          </w:tcPr>
          <w:p w14:paraId="0D0DE8C5" w14:textId="77777777" w:rsidR="0054039C" w:rsidRPr="0054039C" w:rsidRDefault="0054039C" w:rsidP="0054039C">
            <w:pPr>
              <w:spacing w:line="360" w:lineRule="atLeast"/>
              <w:jc w:val="center"/>
              <w:textAlignment w:val="baseline"/>
              <w:rPr>
                <w:rFonts w:ascii="Arial" w:eastAsia="Times New Roman" w:hAnsi="Arial" w:cs="Arial"/>
                <w:color w:val="666666"/>
              </w:rPr>
            </w:pPr>
            <w:r w:rsidRPr="0054039C">
              <w:rPr>
                <w:rFonts w:ascii="Arial" w:eastAsia="Times New Roman" w:hAnsi="Arial" w:cs="Arial"/>
                <w:color w:val="666666"/>
              </w:rPr>
              <w:t>Final concentration</w:t>
            </w:r>
          </w:p>
        </w:tc>
        <w:tc>
          <w:tcPr>
            <w:tcW w:w="4260" w:type="dxa"/>
            <w:hideMark/>
          </w:tcPr>
          <w:p w14:paraId="69A77AF9" w14:textId="77777777" w:rsidR="0054039C" w:rsidRPr="0054039C" w:rsidRDefault="0054039C" w:rsidP="0054039C">
            <w:pPr>
              <w:spacing w:line="360" w:lineRule="atLeast"/>
              <w:jc w:val="center"/>
              <w:textAlignment w:val="baseline"/>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666666"/>
              </w:rPr>
            </w:pPr>
            <w:r w:rsidRPr="0054039C">
              <w:rPr>
                <w:rFonts w:ascii="Arial" w:eastAsia="Times New Roman" w:hAnsi="Arial" w:cs="Arial"/>
                <w:color w:val="666666"/>
              </w:rPr>
              <w:t>For 250 mL</w:t>
            </w:r>
          </w:p>
        </w:tc>
      </w:tr>
      <w:tr w:rsidR="0054039C" w:rsidRPr="0054039C" w14:paraId="5CFBF0CA" w14:textId="77777777" w:rsidTr="00220314">
        <w:trPr>
          <w:cnfStyle w:val="000000100000" w:firstRow="0" w:lastRow="0" w:firstColumn="0" w:lastColumn="0" w:oddVBand="0" w:evenVBand="0" w:oddHBand="1" w:evenHBand="0" w:firstRowFirstColumn="0" w:firstRowLastColumn="0" w:lastRowFirstColumn="0" w:lastRowLastColumn="0"/>
          <w:trHeight w:val="458"/>
        </w:trPr>
        <w:tc>
          <w:tcPr>
            <w:cnfStyle w:val="001000000000" w:firstRow="0" w:lastRow="0" w:firstColumn="1" w:lastColumn="0" w:oddVBand="0" w:evenVBand="0" w:oddHBand="0" w:evenHBand="0" w:firstRowFirstColumn="0" w:firstRowLastColumn="0" w:lastRowFirstColumn="0" w:lastRowLastColumn="0"/>
            <w:tcW w:w="4260" w:type="dxa"/>
            <w:hideMark/>
          </w:tcPr>
          <w:p w14:paraId="0E8B7C5F" w14:textId="77777777" w:rsidR="0054039C" w:rsidRPr="0054039C" w:rsidRDefault="0054039C" w:rsidP="0054039C">
            <w:pPr>
              <w:spacing w:line="360" w:lineRule="atLeast"/>
              <w:jc w:val="center"/>
              <w:textAlignment w:val="baseline"/>
              <w:rPr>
                <w:rFonts w:ascii="Arial" w:eastAsia="Times New Roman" w:hAnsi="Arial" w:cs="Arial"/>
                <w:color w:val="333333"/>
              </w:rPr>
            </w:pPr>
            <w:r w:rsidRPr="0054039C">
              <w:rPr>
                <w:rFonts w:ascii="Arial" w:eastAsia="Times New Roman" w:hAnsi="Arial" w:cs="Arial"/>
                <w:color w:val="333333"/>
              </w:rPr>
              <w:t>4% SDS</w:t>
            </w:r>
          </w:p>
        </w:tc>
        <w:tc>
          <w:tcPr>
            <w:tcW w:w="4260" w:type="dxa"/>
            <w:hideMark/>
          </w:tcPr>
          <w:p w14:paraId="182EF865" w14:textId="77777777" w:rsidR="0054039C" w:rsidRPr="0054039C" w:rsidRDefault="0054039C" w:rsidP="0054039C">
            <w:pPr>
              <w:spacing w:line="360" w:lineRule="atLeast"/>
              <w:jc w:val="center"/>
              <w:textAlignment w:val="baseline"/>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33333"/>
              </w:rPr>
            </w:pPr>
            <w:r w:rsidRPr="0054039C">
              <w:rPr>
                <w:rFonts w:ascii="Arial" w:eastAsia="Times New Roman" w:hAnsi="Arial" w:cs="Arial"/>
                <w:color w:val="333333"/>
              </w:rPr>
              <w:t>10 g</w:t>
            </w:r>
          </w:p>
        </w:tc>
      </w:tr>
      <w:tr w:rsidR="0054039C" w:rsidRPr="0054039C" w14:paraId="3E0A718A" w14:textId="77777777" w:rsidTr="00220314">
        <w:trPr>
          <w:trHeight w:val="440"/>
        </w:trPr>
        <w:tc>
          <w:tcPr>
            <w:cnfStyle w:val="001000000000" w:firstRow="0" w:lastRow="0" w:firstColumn="1" w:lastColumn="0" w:oddVBand="0" w:evenVBand="0" w:oddHBand="0" w:evenHBand="0" w:firstRowFirstColumn="0" w:firstRowLastColumn="0" w:lastRowFirstColumn="0" w:lastRowLastColumn="0"/>
            <w:tcW w:w="4260" w:type="dxa"/>
            <w:hideMark/>
          </w:tcPr>
          <w:p w14:paraId="485154C4" w14:textId="77777777" w:rsidR="0054039C" w:rsidRPr="0054039C" w:rsidRDefault="0054039C" w:rsidP="0054039C">
            <w:pPr>
              <w:spacing w:line="360" w:lineRule="atLeast"/>
              <w:jc w:val="center"/>
              <w:textAlignment w:val="baseline"/>
              <w:rPr>
                <w:rFonts w:ascii="Arial" w:eastAsia="Times New Roman" w:hAnsi="Arial" w:cs="Arial"/>
                <w:color w:val="333333"/>
              </w:rPr>
            </w:pPr>
            <w:r w:rsidRPr="0054039C">
              <w:rPr>
                <w:rFonts w:ascii="Arial" w:eastAsia="Times New Roman" w:hAnsi="Arial" w:cs="Arial"/>
                <w:color w:val="333333"/>
              </w:rPr>
              <w:t>20% glycerol</w:t>
            </w:r>
          </w:p>
        </w:tc>
        <w:tc>
          <w:tcPr>
            <w:tcW w:w="4260" w:type="dxa"/>
            <w:hideMark/>
          </w:tcPr>
          <w:p w14:paraId="732DC5CE" w14:textId="77777777" w:rsidR="0054039C" w:rsidRPr="0054039C" w:rsidRDefault="0054039C" w:rsidP="0054039C">
            <w:pPr>
              <w:spacing w:line="360" w:lineRule="atLeast"/>
              <w:jc w:val="center"/>
              <w:textAlignment w:val="baseline"/>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33333"/>
              </w:rPr>
            </w:pPr>
            <w:r w:rsidRPr="0054039C">
              <w:rPr>
                <w:rFonts w:ascii="Arial" w:eastAsia="Times New Roman" w:hAnsi="Arial" w:cs="Arial"/>
                <w:color w:val="333333"/>
              </w:rPr>
              <w:t>50 mL of 100%</w:t>
            </w:r>
          </w:p>
        </w:tc>
      </w:tr>
      <w:tr w:rsidR="0054039C" w:rsidRPr="0054039C" w14:paraId="3463E9BE" w14:textId="77777777" w:rsidTr="00220314">
        <w:trPr>
          <w:cnfStyle w:val="000000100000" w:firstRow="0" w:lastRow="0" w:firstColumn="0" w:lastColumn="0" w:oddVBand="0" w:evenVBand="0" w:oddHBand="1" w:evenHBand="0" w:firstRowFirstColumn="0" w:firstRowLastColumn="0" w:lastRowFirstColumn="0" w:lastRowLastColumn="0"/>
          <w:trHeight w:val="422"/>
        </w:trPr>
        <w:tc>
          <w:tcPr>
            <w:cnfStyle w:val="001000000000" w:firstRow="0" w:lastRow="0" w:firstColumn="1" w:lastColumn="0" w:oddVBand="0" w:evenVBand="0" w:oddHBand="0" w:evenHBand="0" w:firstRowFirstColumn="0" w:firstRowLastColumn="0" w:lastRowFirstColumn="0" w:lastRowLastColumn="0"/>
            <w:tcW w:w="4260" w:type="dxa"/>
            <w:hideMark/>
          </w:tcPr>
          <w:p w14:paraId="31B27ECB" w14:textId="77777777" w:rsidR="0054039C" w:rsidRPr="0054039C" w:rsidRDefault="0054039C" w:rsidP="0054039C">
            <w:pPr>
              <w:spacing w:line="360" w:lineRule="atLeast"/>
              <w:jc w:val="center"/>
              <w:textAlignment w:val="baseline"/>
              <w:rPr>
                <w:rFonts w:ascii="Arial" w:eastAsia="Times New Roman" w:hAnsi="Arial" w:cs="Arial"/>
                <w:color w:val="333333"/>
              </w:rPr>
            </w:pPr>
            <w:r w:rsidRPr="0054039C">
              <w:rPr>
                <w:rFonts w:ascii="Arial" w:eastAsia="Times New Roman" w:hAnsi="Arial" w:cs="Arial"/>
                <w:color w:val="333333"/>
              </w:rPr>
              <w:t>0.01% bromophenol blue</w:t>
            </w:r>
          </w:p>
        </w:tc>
        <w:tc>
          <w:tcPr>
            <w:tcW w:w="4260" w:type="dxa"/>
            <w:hideMark/>
          </w:tcPr>
          <w:p w14:paraId="27B70C69" w14:textId="77777777" w:rsidR="0054039C" w:rsidRPr="0054039C" w:rsidRDefault="0054039C" w:rsidP="0054039C">
            <w:pPr>
              <w:spacing w:line="360" w:lineRule="atLeast"/>
              <w:jc w:val="center"/>
              <w:textAlignment w:val="baseline"/>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33333"/>
              </w:rPr>
            </w:pPr>
            <w:r w:rsidRPr="0054039C">
              <w:rPr>
                <w:rFonts w:ascii="Arial" w:eastAsia="Times New Roman" w:hAnsi="Arial" w:cs="Arial"/>
                <w:color w:val="333333"/>
              </w:rPr>
              <w:t>0.025 g</w:t>
            </w:r>
          </w:p>
        </w:tc>
      </w:tr>
      <w:tr w:rsidR="0054039C" w:rsidRPr="0054039C" w14:paraId="49175F4B" w14:textId="77777777" w:rsidTr="00220314">
        <w:trPr>
          <w:trHeight w:val="458"/>
        </w:trPr>
        <w:tc>
          <w:tcPr>
            <w:cnfStyle w:val="001000000000" w:firstRow="0" w:lastRow="0" w:firstColumn="1" w:lastColumn="0" w:oddVBand="0" w:evenVBand="0" w:oddHBand="0" w:evenHBand="0" w:firstRowFirstColumn="0" w:firstRowLastColumn="0" w:lastRowFirstColumn="0" w:lastRowLastColumn="0"/>
            <w:tcW w:w="4260" w:type="dxa"/>
            <w:hideMark/>
          </w:tcPr>
          <w:p w14:paraId="780AF071" w14:textId="77777777" w:rsidR="0054039C" w:rsidRPr="0054039C" w:rsidRDefault="0054039C" w:rsidP="0054039C">
            <w:pPr>
              <w:spacing w:line="360" w:lineRule="atLeast"/>
              <w:jc w:val="center"/>
              <w:textAlignment w:val="baseline"/>
              <w:rPr>
                <w:rFonts w:ascii="Arial" w:eastAsia="Times New Roman" w:hAnsi="Arial" w:cs="Arial"/>
                <w:color w:val="333333"/>
              </w:rPr>
            </w:pPr>
            <w:r w:rsidRPr="0054039C">
              <w:rPr>
                <w:rFonts w:ascii="Arial" w:eastAsia="Times New Roman" w:hAnsi="Arial" w:cs="Arial"/>
                <w:color w:val="333333"/>
              </w:rPr>
              <w:t>125 mM Tris-HCl</w:t>
            </w:r>
          </w:p>
        </w:tc>
        <w:tc>
          <w:tcPr>
            <w:tcW w:w="4260" w:type="dxa"/>
            <w:hideMark/>
          </w:tcPr>
          <w:p w14:paraId="56B717C2" w14:textId="77777777" w:rsidR="0054039C" w:rsidRPr="0054039C" w:rsidRDefault="0054039C" w:rsidP="0054039C">
            <w:pPr>
              <w:spacing w:line="360" w:lineRule="atLeast"/>
              <w:jc w:val="center"/>
              <w:textAlignment w:val="baseline"/>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33333"/>
              </w:rPr>
            </w:pPr>
            <w:r w:rsidRPr="0054039C">
              <w:rPr>
                <w:rFonts w:ascii="Arial" w:eastAsia="Times New Roman" w:hAnsi="Arial" w:cs="Arial"/>
                <w:color w:val="333333"/>
              </w:rPr>
              <w:t>4.91 g</w:t>
            </w:r>
          </w:p>
        </w:tc>
      </w:tr>
      <w:tr w:rsidR="0054039C" w:rsidRPr="0054039C" w14:paraId="26802912" w14:textId="77777777" w:rsidTr="00220314">
        <w:trPr>
          <w:cnfStyle w:val="000000100000" w:firstRow="0" w:lastRow="0" w:firstColumn="0" w:lastColumn="0" w:oddVBand="0" w:evenVBand="0" w:oddHBand="1" w:evenHBand="0" w:firstRowFirstColumn="0" w:firstRowLastColumn="0" w:lastRowFirstColumn="0" w:lastRowLastColumn="0"/>
          <w:trHeight w:val="422"/>
        </w:trPr>
        <w:tc>
          <w:tcPr>
            <w:cnfStyle w:val="001000000000" w:firstRow="0" w:lastRow="0" w:firstColumn="1" w:lastColumn="0" w:oddVBand="0" w:evenVBand="0" w:oddHBand="0" w:evenHBand="0" w:firstRowFirstColumn="0" w:firstRowLastColumn="0" w:lastRowFirstColumn="0" w:lastRowLastColumn="0"/>
            <w:tcW w:w="4260" w:type="dxa"/>
            <w:hideMark/>
          </w:tcPr>
          <w:p w14:paraId="20AF96B7" w14:textId="77777777" w:rsidR="0054039C" w:rsidRPr="0054039C" w:rsidRDefault="0054039C" w:rsidP="0054039C">
            <w:pPr>
              <w:spacing w:after="240" w:line="360" w:lineRule="atLeast"/>
              <w:jc w:val="center"/>
              <w:rPr>
                <w:rFonts w:ascii="Arial" w:eastAsia="Times New Roman" w:hAnsi="Arial" w:cs="Arial"/>
                <w:color w:val="333333"/>
              </w:rPr>
            </w:pPr>
            <w:r w:rsidRPr="0054039C">
              <w:rPr>
                <w:rFonts w:ascii="Arial" w:eastAsia="Times New Roman" w:hAnsi="Arial" w:cs="Arial"/>
                <w:color w:val="333333"/>
              </w:rPr>
              <w:t>H</w:t>
            </w:r>
            <w:r w:rsidRPr="0054039C">
              <w:rPr>
                <w:rFonts w:ascii="Arial" w:eastAsia="Times New Roman" w:hAnsi="Arial" w:cs="Arial"/>
                <w:color w:val="333333"/>
                <w:bdr w:val="none" w:sz="0" w:space="0" w:color="auto" w:frame="1"/>
                <w:vertAlign w:val="subscript"/>
              </w:rPr>
              <w:t>2</w:t>
            </w:r>
            <w:r w:rsidRPr="0054039C">
              <w:rPr>
                <w:rFonts w:ascii="Arial" w:eastAsia="Times New Roman" w:hAnsi="Arial" w:cs="Arial"/>
                <w:color w:val="333333"/>
              </w:rPr>
              <w:t>O</w:t>
            </w:r>
          </w:p>
        </w:tc>
        <w:tc>
          <w:tcPr>
            <w:tcW w:w="4260" w:type="dxa"/>
            <w:hideMark/>
          </w:tcPr>
          <w:p w14:paraId="0B35B57D" w14:textId="77777777" w:rsidR="0054039C" w:rsidRPr="0054039C" w:rsidRDefault="0054039C" w:rsidP="0054039C">
            <w:pPr>
              <w:spacing w:line="360" w:lineRule="atLeast"/>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33333"/>
              </w:rPr>
            </w:pPr>
            <w:r w:rsidRPr="0054039C">
              <w:rPr>
                <w:rFonts w:ascii="Arial" w:eastAsia="Times New Roman" w:hAnsi="Arial" w:cs="Arial"/>
                <w:color w:val="333333"/>
              </w:rPr>
              <w:t>200 mL</w:t>
            </w:r>
          </w:p>
        </w:tc>
      </w:tr>
    </w:tbl>
    <w:p w14:paraId="1DB454E8" w14:textId="77777777" w:rsidR="0054039C" w:rsidRPr="0054039C" w:rsidRDefault="0054039C" w:rsidP="0054039C">
      <w:pPr>
        <w:keepNext/>
        <w:keepLines/>
        <w:spacing w:before="40" w:after="0"/>
        <w:outlineLvl w:val="3"/>
        <w:rPr>
          <w:rFonts w:ascii="Arial" w:eastAsiaTheme="majorEastAsia" w:hAnsi="Arial" w:cs="Arial"/>
          <w:iCs/>
          <w:color w:val="595959" w:themeColor="text1" w:themeTint="A6"/>
          <w:lang w:val="en-US"/>
        </w:rPr>
      </w:pPr>
      <w:bookmarkStart w:id="181" w:name="_Toc515897486"/>
    </w:p>
    <w:bookmarkEnd w:id="181"/>
    <w:p w14:paraId="0CA5295A" w14:textId="77777777" w:rsidR="00220314" w:rsidRDefault="00220314" w:rsidP="0054039C">
      <w:pPr>
        <w:autoSpaceDE w:val="0"/>
        <w:autoSpaceDN w:val="0"/>
        <w:adjustRightInd w:val="0"/>
        <w:spacing w:after="0" w:line="480" w:lineRule="auto"/>
        <w:jc w:val="both"/>
        <w:rPr>
          <w:rFonts w:ascii="Arial" w:hAnsi="Arial" w:cs="Arial"/>
          <w:b/>
          <w:color w:val="595959" w:themeColor="text1" w:themeTint="A6"/>
          <w:szCs w:val="21"/>
        </w:rPr>
      </w:pPr>
    </w:p>
    <w:p w14:paraId="7CF32D71" w14:textId="3A91F65D" w:rsidR="0054039C" w:rsidRPr="00220314" w:rsidRDefault="0054039C" w:rsidP="0054039C">
      <w:pPr>
        <w:autoSpaceDE w:val="0"/>
        <w:autoSpaceDN w:val="0"/>
        <w:adjustRightInd w:val="0"/>
        <w:spacing w:after="0" w:line="480" w:lineRule="auto"/>
        <w:jc w:val="both"/>
        <w:rPr>
          <w:rFonts w:ascii="Arial" w:hAnsi="Arial" w:cs="Arial"/>
          <w:b/>
          <w:color w:val="595959" w:themeColor="text1" w:themeTint="A6"/>
          <w:szCs w:val="21"/>
        </w:rPr>
      </w:pPr>
      <w:r w:rsidRPr="00220314">
        <w:rPr>
          <w:rFonts w:ascii="Arial" w:hAnsi="Arial" w:cs="Arial"/>
          <w:b/>
          <w:color w:val="595959" w:themeColor="text1" w:themeTint="A6"/>
          <w:szCs w:val="21"/>
        </w:rPr>
        <w:t xml:space="preserve">Table 2.13 7.5% acrylamide gel reagents </w:t>
      </w:r>
    </w:p>
    <w:tbl>
      <w:tblPr>
        <w:tblStyle w:val="GridTable4-Accent31"/>
        <w:tblW w:w="0" w:type="auto"/>
        <w:tblLook w:val="04A0" w:firstRow="1" w:lastRow="0" w:firstColumn="1" w:lastColumn="0" w:noHBand="0" w:noVBand="1"/>
      </w:tblPr>
      <w:tblGrid>
        <w:gridCol w:w="2254"/>
        <w:gridCol w:w="2254"/>
        <w:gridCol w:w="2235"/>
        <w:gridCol w:w="2235"/>
      </w:tblGrid>
      <w:tr w:rsidR="0054039C" w:rsidRPr="0054039C" w14:paraId="2F2B8FE6" w14:textId="77777777" w:rsidTr="0022031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gridSpan w:val="2"/>
            <w:hideMark/>
          </w:tcPr>
          <w:p w14:paraId="182335AC" w14:textId="77777777" w:rsidR="0054039C" w:rsidRPr="0054039C" w:rsidRDefault="0054039C" w:rsidP="0054039C">
            <w:pPr>
              <w:spacing w:line="360" w:lineRule="atLeast"/>
              <w:jc w:val="center"/>
              <w:textAlignment w:val="baseline"/>
              <w:rPr>
                <w:rFonts w:ascii="Arial" w:eastAsia="Times New Roman" w:hAnsi="Arial" w:cs="Arial"/>
                <w:color w:val="666666"/>
                <w:sz w:val="24"/>
                <w:szCs w:val="24"/>
              </w:rPr>
            </w:pPr>
            <w:r w:rsidRPr="0054039C">
              <w:rPr>
                <w:rFonts w:ascii="Arial" w:eastAsia="Times New Roman" w:hAnsi="Arial" w:cs="Arial"/>
                <w:color w:val="666666"/>
                <w:sz w:val="24"/>
                <w:szCs w:val="24"/>
              </w:rPr>
              <w:t>Separating gel (7.5 % acrylamide)</w:t>
            </w:r>
          </w:p>
        </w:tc>
        <w:tc>
          <w:tcPr>
            <w:tcW w:w="4470" w:type="dxa"/>
            <w:gridSpan w:val="2"/>
            <w:hideMark/>
          </w:tcPr>
          <w:p w14:paraId="19CED76F" w14:textId="77777777" w:rsidR="0054039C" w:rsidRPr="0054039C" w:rsidRDefault="0054039C" w:rsidP="0054039C">
            <w:pPr>
              <w:spacing w:line="360" w:lineRule="atLeast"/>
              <w:jc w:val="center"/>
              <w:textAlignment w:val="baseline"/>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666666"/>
                <w:sz w:val="24"/>
                <w:szCs w:val="24"/>
              </w:rPr>
            </w:pPr>
            <w:r w:rsidRPr="0054039C">
              <w:rPr>
                <w:rFonts w:ascii="Arial" w:eastAsia="Times New Roman" w:hAnsi="Arial" w:cs="Arial"/>
                <w:color w:val="666666"/>
                <w:sz w:val="24"/>
                <w:szCs w:val="24"/>
              </w:rPr>
              <w:t>Stacking gel</w:t>
            </w:r>
          </w:p>
        </w:tc>
      </w:tr>
      <w:tr w:rsidR="0054039C" w:rsidRPr="0054039C" w14:paraId="058664F7" w14:textId="77777777" w:rsidTr="00220314">
        <w:trPr>
          <w:cnfStyle w:val="000000100000" w:firstRow="0" w:lastRow="0" w:firstColumn="0" w:lastColumn="0" w:oddVBand="0" w:evenVBand="0" w:oddHBand="1" w:evenHBand="0" w:firstRowFirstColumn="0" w:firstRowLastColumn="0" w:lastRowFirstColumn="0" w:lastRowLastColumn="0"/>
          <w:trHeight w:val="458"/>
        </w:trPr>
        <w:tc>
          <w:tcPr>
            <w:cnfStyle w:val="001000000000" w:firstRow="0" w:lastRow="0" w:firstColumn="1" w:lastColumn="0" w:oddVBand="0" w:evenVBand="0" w:oddHBand="0" w:evenHBand="0" w:firstRowFirstColumn="0" w:firstRowLastColumn="0" w:lastRowFirstColumn="0" w:lastRowLastColumn="0"/>
            <w:tcW w:w="2254" w:type="dxa"/>
            <w:hideMark/>
          </w:tcPr>
          <w:p w14:paraId="353C247A" w14:textId="77777777" w:rsidR="0054039C" w:rsidRPr="0054039C" w:rsidRDefault="0054039C" w:rsidP="0054039C">
            <w:pPr>
              <w:spacing w:line="360" w:lineRule="atLeast"/>
              <w:jc w:val="center"/>
              <w:textAlignment w:val="baseline"/>
              <w:rPr>
                <w:rFonts w:ascii="Arial" w:eastAsia="Times New Roman" w:hAnsi="Arial" w:cs="Arial"/>
                <w:color w:val="333333"/>
              </w:rPr>
            </w:pPr>
            <w:r w:rsidRPr="0054039C">
              <w:rPr>
                <w:rFonts w:ascii="Arial" w:eastAsia="Times New Roman" w:hAnsi="Arial" w:cs="Arial"/>
                <w:color w:val="333333"/>
              </w:rPr>
              <w:t>1.5 M Tris pH 8.8</w:t>
            </w:r>
          </w:p>
        </w:tc>
        <w:tc>
          <w:tcPr>
            <w:tcW w:w="2254" w:type="dxa"/>
            <w:hideMark/>
          </w:tcPr>
          <w:p w14:paraId="5F501F74" w14:textId="77777777" w:rsidR="0054039C" w:rsidRPr="0054039C" w:rsidRDefault="0054039C" w:rsidP="0054039C">
            <w:pPr>
              <w:spacing w:line="360" w:lineRule="atLeast"/>
              <w:jc w:val="center"/>
              <w:textAlignment w:val="baseline"/>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33333"/>
              </w:rPr>
            </w:pPr>
            <w:r w:rsidRPr="0054039C">
              <w:rPr>
                <w:rFonts w:ascii="Arial" w:eastAsia="Times New Roman" w:hAnsi="Arial" w:cs="Arial"/>
                <w:color w:val="333333"/>
              </w:rPr>
              <w:t>2 mL</w:t>
            </w:r>
          </w:p>
        </w:tc>
        <w:tc>
          <w:tcPr>
            <w:tcW w:w="2235" w:type="dxa"/>
            <w:hideMark/>
          </w:tcPr>
          <w:p w14:paraId="1FD39BC1" w14:textId="77777777" w:rsidR="0054039C" w:rsidRPr="0054039C" w:rsidRDefault="0054039C" w:rsidP="0054039C">
            <w:pPr>
              <w:spacing w:line="360" w:lineRule="atLeast"/>
              <w:jc w:val="center"/>
              <w:textAlignment w:val="baseline"/>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33333"/>
              </w:rPr>
            </w:pPr>
            <w:r w:rsidRPr="0054039C">
              <w:rPr>
                <w:rFonts w:ascii="Arial" w:eastAsia="Times New Roman" w:hAnsi="Arial" w:cs="Arial"/>
                <w:color w:val="333333"/>
              </w:rPr>
              <w:t>0.5 M Tris pH 6.8</w:t>
            </w:r>
          </w:p>
        </w:tc>
        <w:tc>
          <w:tcPr>
            <w:tcW w:w="2235" w:type="dxa"/>
            <w:hideMark/>
          </w:tcPr>
          <w:p w14:paraId="140B0333" w14:textId="77777777" w:rsidR="0054039C" w:rsidRPr="0054039C" w:rsidRDefault="0054039C" w:rsidP="0054039C">
            <w:pPr>
              <w:spacing w:line="360" w:lineRule="atLeast"/>
              <w:jc w:val="center"/>
              <w:textAlignment w:val="baseline"/>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33333"/>
              </w:rPr>
            </w:pPr>
            <w:r w:rsidRPr="0054039C">
              <w:rPr>
                <w:rFonts w:ascii="Arial" w:eastAsia="Times New Roman" w:hAnsi="Arial" w:cs="Arial"/>
                <w:color w:val="333333"/>
              </w:rPr>
              <w:t>1.25 mL</w:t>
            </w:r>
          </w:p>
        </w:tc>
      </w:tr>
      <w:tr w:rsidR="0054039C" w:rsidRPr="0054039C" w14:paraId="027C6F79" w14:textId="77777777" w:rsidTr="00220314">
        <w:trPr>
          <w:trHeight w:val="440"/>
        </w:trPr>
        <w:tc>
          <w:tcPr>
            <w:cnfStyle w:val="001000000000" w:firstRow="0" w:lastRow="0" w:firstColumn="1" w:lastColumn="0" w:oddVBand="0" w:evenVBand="0" w:oddHBand="0" w:evenHBand="0" w:firstRowFirstColumn="0" w:firstRowLastColumn="0" w:lastRowFirstColumn="0" w:lastRowLastColumn="0"/>
            <w:tcW w:w="2254" w:type="dxa"/>
            <w:hideMark/>
          </w:tcPr>
          <w:p w14:paraId="0FDC1C5E" w14:textId="77777777" w:rsidR="0054039C" w:rsidRPr="0054039C" w:rsidRDefault="0054039C" w:rsidP="0054039C">
            <w:pPr>
              <w:spacing w:line="360" w:lineRule="atLeast"/>
              <w:jc w:val="center"/>
              <w:textAlignment w:val="baseline"/>
              <w:rPr>
                <w:rFonts w:ascii="Arial" w:eastAsia="Times New Roman" w:hAnsi="Arial" w:cs="Arial"/>
                <w:color w:val="333333"/>
              </w:rPr>
            </w:pPr>
            <w:r w:rsidRPr="0054039C">
              <w:rPr>
                <w:rFonts w:ascii="Arial" w:eastAsia="Times New Roman" w:hAnsi="Arial" w:cs="Arial"/>
                <w:color w:val="333333"/>
              </w:rPr>
              <w:t>30% acrylamide</w:t>
            </w:r>
          </w:p>
        </w:tc>
        <w:tc>
          <w:tcPr>
            <w:tcW w:w="2254" w:type="dxa"/>
            <w:hideMark/>
          </w:tcPr>
          <w:p w14:paraId="0A390450" w14:textId="77777777" w:rsidR="0054039C" w:rsidRPr="0054039C" w:rsidRDefault="0054039C" w:rsidP="0054039C">
            <w:pPr>
              <w:spacing w:line="360" w:lineRule="atLeast"/>
              <w:jc w:val="center"/>
              <w:textAlignment w:val="baseline"/>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33333"/>
              </w:rPr>
            </w:pPr>
            <w:r w:rsidRPr="0054039C">
              <w:rPr>
                <w:rFonts w:ascii="Arial" w:eastAsia="Times New Roman" w:hAnsi="Arial" w:cs="Arial"/>
                <w:color w:val="333333"/>
              </w:rPr>
              <w:t>2 mL</w:t>
            </w:r>
          </w:p>
        </w:tc>
        <w:tc>
          <w:tcPr>
            <w:tcW w:w="2235" w:type="dxa"/>
            <w:hideMark/>
          </w:tcPr>
          <w:p w14:paraId="48673373" w14:textId="77777777" w:rsidR="0054039C" w:rsidRPr="0054039C" w:rsidRDefault="0054039C" w:rsidP="0054039C">
            <w:pPr>
              <w:spacing w:line="360" w:lineRule="atLeast"/>
              <w:jc w:val="center"/>
              <w:textAlignment w:val="baseline"/>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33333"/>
              </w:rPr>
            </w:pPr>
            <w:r w:rsidRPr="0054039C">
              <w:rPr>
                <w:rFonts w:ascii="Arial" w:eastAsia="Times New Roman" w:hAnsi="Arial" w:cs="Arial"/>
                <w:color w:val="333333"/>
              </w:rPr>
              <w:t>30% acrylamide</w:t>
            </w:r>
          </w:p>
        </w:tc>
        <w:tc>
          <w:tcPr>
            <w:tcW w:w="2235" w:type="dxa"/>
            <w:hideMark/>
          </w:tcPr>
          <w:p w14:paraId="3A2D9A12" w14:textId="77777777" w:rsidR="0054039C" w:rsidRPr="0054039C" w:rsidRDefault="0054039C" w:rsidP="0054039C">
            <w:pPr>
              <w:spacing w:line="360" w:lineRule="atLeast"/>
              <w:jc w:val="center"/>
              <w:textAlignment w:val="baseline"/>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33333"/>
              </w:rPr>
            </w:pPr>
            <w:r w:rsidRPr="0054039C">
              <w:rPr>
                <w:rFonts w:ascii="Arial" w:eastAsia="Times New Roman" w:hAnsi="Arial" w:cs="Arial"/>
                <w:color w:val="333333"/>
              </w:rPr>
              <w:t>0.67 mL</w:t>
            </w:r>
          </w:p>
        </w:tc>
      </w:tr>
      <w:tr w:rsidR="0054039C" w:rsidRPr="0054039C" w14:paraId="039394C1" w14:textId="77777777" w:rsidTr="00220314">
        <w:trPr>
          <w:cnfStyle w:val="000000100000" w:firstRow="0" w:lastRow="0" w:firstColumn="0" w:lastColumn="0" w:oddVBand="0" w:evenVBand="0" w:oddHBand="1" w:evenHBand="0" w:firstRowFirstColumn="0" w:firstRowLastColumn="0" w:lastRowFirstColumn="0" w:lastRowLastColumn="0"/>
          <w:trHeight w:val="440"/>
        </w:trPr>
        <w:tc>
          <w:tcPr>
            <w:cnfStyle w:val="001000000000" w:firstRow="0" w:lastRow="0" w:firstColumn="1" w:lastColumn="0" w:oddVBand="0" w:evenVBand="0" w:oddHBand="0" w:evenHBand="0" w:firstRowFirstColumn="0" w:firstRowLastColumn="0" w:lastRowFirstColumn="0" w:lastRowLastColumn="0"/>
            <w:tcW w:w="2254" w:type="dxa"/>
            <w:hideMark/>
          </w:tcPr>
          <w:p w14:paraId="7ACD1AA5" w14:textId="77777777" w:rsidR="0054039C" w:rsidRPr="0054039C" w:rsidRDefault="0054039C" w:rsidP="0054039C">
            <w:pPr>
              <w:spacing w:line="360" w:lineRule="atLeast"/>
              <w:jc w:val="center"/>
              <w:textAlignment w:val="baseline"/>
              <w:rPr>
                <w:rFonts w:ascii="Arial" w:eastAsia="Times New Roman" w:hAnsi="Arial" w:cs="Arial"/>
                <w:color w:val="333333"/>
              </w:rPr>
            </w:pPr>
            <w:r w:rsidRPr="0054039C">
              <w:rPr>
                <w:rFonts w:ascii="Arial" w:eastAsia="Times New Roman" w:hAnsi="Arial" w:cs="Arial"/>
                <w:color w:val="333333"/>
              </w:rPr>
              <w:t>H</w:t>
            </w:r>
            <w:r w:rsidRPr="0054039C">
              <w:rPr>
                <w:rFonts w:ascii="Arial" w:eastAsia="Times New Roman" w:hAnsi="Arial" w:cs="Arial"/>
                <w:color w:val="333333"/>
                <w:bdr w:val="none" w:sz="0" w:space="0" w:color="auto" w:frame="1"/>
                <w:vertAlign w:val="subscript"/>
              </w:rPr>
              <w:t>2</w:t>
            </w:r>
            <w:r w:rsidRPr="0054039C">
              <w:rPr>
                <w:rFonts w:ascii="Arial" w:eastAsia="Times New Roman" w:hAnsi="Arial" w:cs="Arial"/>
                <w:color w:val="333333"/>
              </w:rPr>
              <w:t>O</w:t>
            </w:r>
          </w:p>
        </w:tc>
        <w:tc>
          <w:tcPr>
            <w:tcW w:w="2254" w:type="dxa"/>
            <w:hideMark/>
          </w:tcPr>
          <w:p w14:paraId="298413CC" w14:textId="77777777" w:rsidR="0054039C" w:rsidRPr="0054039C" w:rsidRDefault="0054039C" w:rsidP="0054039C">
            <w:pPr>
              <w:spacing w:line="360" w:lineRule="atLeast"/>
              <w:jc w:val="center"/>
              <w:textAlignment w:val="baseline"/>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33333"/>
              </w:rPr>
            </w:pPr>
            <w:r w:rsidRPr="0054039C">
              <w:rPr>
                <w:rFonts w:ascii="Arial" w:eastAsia="Times New Roman" w:hAnsi="Arial" w:cs="Arial"/>
                <w:color w:val="333333"/>
              </w:rPr>
              <w:t>2 mL</w:t>
            </w:r>
          </w:p>
        </w:tc>
        <w:tc>
          <w:tcPr>
            <w:tcW w:w="2235" w:type="dxa"/>
            <w:hideMark/>
          </w:tcPr>
          <w:p w14:paraId="4AF83A39" w14:textId="77777777" w:rsidR="0054039C" w:rsidRPr="0054039C" w:rsidRDefault="0054039C" w:rsidP="0054039C">
            <w:pPr>
              <w:spacing w:line="360" w:lineRule="atLeast"/>
              <w:jc w:val="center"/>
              <w:textAlignment w:val="baseline"/>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33333"/>
              </w:rPr>
            </w:pPr>
            <w:r w:rsidRPr="0054039C">
              <w:rPr>
                <w:rFonts w:ascii="Arial" w:eastAsia="Times New Roman" w:hAnsi="Arial" w:cs="Arial"/>
                <w:color w:val="333333"/>
              </w:rPr>
              <w:t>H</w:t>
            </w:r>
            <w:r w:rsidRPr="0054039C">
              <w:rPr>
                <w:rFonts w:ascii="Arial" w:eastAsia="Times New Roman" w:hAnsi="Arial" w:cs="Arial"/>
                <w:color w:val="333333"/>
                <w:bdr w:val="none" w:sz="0" w:space="0" w:color="auto" w:frame="1"/>
                <w:vertAlign w:val="subscript"/>
              </w:rPr>
              <w:t>2</w:t>
            </w:r>
            <w:r w:rsidRPr="0054039C">
              <w:rPr>
                <w:rFonts w:ascii="Arial" w:eastAsia="Times New Roman" w:hAnsi="Arial" w:cs="Arial"/>
                <w:color w:val="333333"/>
              </w:rPr>
              <w:t>O</w:t>
            </w:r>
          </w:p>
        </w:tc>
        <w:tc>
          <w:tcPr>
            <w:tcW w:w="2235" w:type="dxa"/>
            <w:hideMark/>
          </w:tcPr>
          <w:p w14:paraId="2FDE70A1" w14:textId="77777777" w:rsidR="0054039C" w:rsidRPr="0054039C" w:rsidRDefault="0054039C" w:rsidP="0054039C">
            <w:pPr>
              <w:spacing w:line="360" w:lineRule="atLeast"/>
              <w:jc w:val="center"/>
              <w:textAlignment w:val="baseline"/>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33333"/>
              </w:rPr>
            </w:pPr>
            <w:r w:rsidRPr="0054039C">
              <w:rPr>
                <w:rFonts w:ascii="Arial" w:eastAsia="Times New Roman" w:hAnsi="Arial" w:cs="Arial"/>
                <w:color w:val="333333"/>
              </w:rPr>
              <w:t>3.08 mL</w:t>
            </w:r>
          </w:p>
        </w:tc>
      </w:tr>
      <w:tr w:rsidR="0054039C" w:rsidRPr="0054039C" w14:paraId="44330FB7" w14:textId="77777777" w:rsidTr="00220314">
        <w:trPr>
          <w:trHeight w:val="440"/>
        </w:trPr>
        <w:tc>
          <w:tcPr>
            <w:cnfStyle w:val="001000000000" w:firstRow="0" w:lastRow="0" w:firstColumn="1" w:lastColumn="0" w:oddVBand="0" w:evenVBand="0" w:oddHBand="0" w:evenHBand="0" w:firstRowFirstColumn="0" w:firstRowLastColumn="0" w:lastRowFirstColumn="0" w:lastRowLastColumn="0"/>
            <w:tcW w:w="2254" w:type="dxa"/>
            <w:hideMark/>
          </w:tcPr>
          <w:p w14:paraId="4FBE4F6F" w14:textId="77777777" w:rsidR="0054039C" w:rsidRPr="0054039C" w:rsidRDefault="0054039C" w:rsidP="0054039C">
            <w:pPr>
              <w:spacing w:line="360" w:lineRule="atLeast"/>
              <w:jc w:val="center"/>
              <w:textAlignment w:val="baseline"/>
              <w:rPr>
                <w:rFonts w:ascii="Arial" w:eastAsia="Times New Roman" w:hAnsi="Arial" w:cs="Arial"/>
                <w:color w:val="333333"/>
              </w:rPr>
            </w:pPr>
            <w:r w:rsidRPr="0054039C">
              <w:rPr>
                <w:rFonts w:ascii="Arial" w:eastAsia="Times New Roman" w:hAnsi="Arial" w:cs="Arial"/>
                <w:color w:val="333333"/>
              </w:rPr>
              <w:t>4 mg/mL gelatin</w:t>
            </w:r>
          </w:p>
        </w:tc>
        <w:tc>
          <w:tcPr>
            <w:tcW w:w="2254" w:type="dxa"/>
            <w:hideMark/>
          </w:tcPr>
          <w:p w14:paraId="52FA2C51" w14:textId="77777777" w:rsidR="0054039C" w:rsidRPr="0054039C" w:rsidRDefault="0054039C" w:rsidP="0054039C">
            <w:pPr>
              <w:spacing w:line="360" w:lineRule="atLeast"/>
              <w:jc w:val="center"/>
              <w:textAlignment w:val="baseline"/>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33333"/>
              </w:rPr>
            </w:pPr>
            <w:r w:rsidRPr="0054039C">
              <w:rPr>
                <w:rFonts w:ascii="Arial" w:eastAsia="Times New Roman" w:hAnsi="Arial" w:cs="Arial"/>
                <w:color w:val="333333"/>
              </w:rPr>
              <w:t>2 mL</w:t>
            </w:r>
          </w:p>
        </w:tc>
        <w:tc>
          <w:tcPr>
            <w:tcW w:w="2235" w:type="dxa"/>
            <w:hideMark/>
          </w:tcPr>
          <w:p w14:paraId="6282F4D8" w14:textId="77777777" w:rsidR="0054039C" w:rsidRPr="0054039C" w:rsidRDefault="0054039C" w:rsidP="0054039C">
            <w:pPr>
              <w:spacing w:line="360" w:lineRule="atLeast"/>
              <w:jc w:val="center"/>
              <w:textAlignment w:val="baseline"/>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33333"/>
              </w:rPr>
            </w:pPr>
            <w:r w:rsidRPr="0054039C">
              <w:rPr>
                <w:rFonts w:ascii="Arial" w:eastAsia="Times New Roman" w:hAnsi="Arial" w:cs="Arial"/>
                <w:color w:val="333333"/>
              </w:rPr>
              <w:t>10 % SDS</w:t>
            </w:r>
          </w:p>
        </w:tc>
        <w:tc>
          <w:tcPr>
            <w:tcW w:w="2235" w:type="dxa"/>
            <w:hideMark/>
          </w:tcPr>
          <w:p w14:paraId="54F7DF01" w14:textId="77777777" w:rsidR="0054039C" w:rsidRPr="0054039C" w:rsidRDefault="0054039C" w:rsidP="0054039C">
            <w:pPr>
              <w:spacing w:line="360" w:lineRule="atLeast"/>
              <w:jc w:val="center"/>
              <w:textAlignment w:val="baseline"/>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33333"/>
              </w:rPr>
            </w:pPr>
            <w:r w:rsidRPr="0054039C">
              <w:rPr>
                <w:rFonts w:ascii="Arial" w:eastAsia="Times New Roman" w:hAnsi="Arial" w:cs="Arial"/>
                <w:color w:val="333333"/>
              </w:rPr>
              <w:t>50 μL</w:t>
            </w:r>
          </w:p>
        </w:tc>
      </w:tr>
      <w:tr w:rsidR="0054039C" w:rsidRPr="0054039C" w14:paraId="12FDC186" w14:textId="77777777" w:rsidTr="00220314">
        <w:trPr>
          <w:cnfStyle w:val="000000100000" w:firstRow="0" w:lastRow="0" w:firstColumn="0" w:lastColumn="0" w:oddVBand="0" w:evenVBand="0" w:oddHBand="1" w:evenHBand="0" w:firstRowFirstColumn="0" w:firstRowLastColumn="0" w:lastRowFirstColumn="0" w:lastRowLastColumn="0"/>
          <w:trHeight w:val="440"/>
        </w:trPr>
        <w:tc>
          <w:tcPr>
            <w:cnfStyle w:val="001000000000" w:firstRow="0" w:lastRow="0" w:firstColumn="1" w:lastColumn="0" w:oddVBand="0" w:evenVBand="0" w:oddHBand="0" w:evenHBand="0" w:firstRowFirstColumn="0" w:firstRowLastColumn="0" w:lastRowFirstColumn="0" w:lastRowLastColumn="0"/>
            <w:tcW w:w="2254" w:type="dxa"/>
            <w:hideMark/>
          </w:tcPr>
          <w:p w14:paraId="75EEBDF6" w14:textId="77777777" w:rsidR="0054039C" w:rsidRPr="0054039C" w:rsidRDefault="0054039C" w:rsidP="0054039C">
            <w:pPr>
              <w:spacing w:line="360" w:lineRule="atLeast"/>
              <w:jc w:val="center"/>
              <w:textAlignment w:val="baseline"/>
              <w:rPr>
                <w:rFonts w:ascii="Arial" w:eastAsia="Times New Roman" w:hAnsi="Arial" w:cs="Arial"/>
                <w:color w:val="333333"/>
              </w:rPr>
            </w:pPr>
            <w:r w:rsidRPr="0054039C">
              <w:rPr>
                <w:rFonts w:ascii="Arial" w:eastAsia="Times New Roman" w:hAnsi="Arial" w:cs="Arial"/>
                <w:color w:val="333333"/>
              </w:rPr>
              <w:t>10% SDS</w:t>
            </w:r>
          </w:p>
        </w:tc>
        <w:tc>
          <w:tcPr>
            <w:tcW w:w="2254" w:type="dxa"/>
            <w:hideMark/>
          </w:tcPr>
          <w:p w14:paraId="62FA8871" w14:textId="77777777" w:rsidR="0054039C" w:rsidRPr="0054039C" w:rsidRDefault="0054039C" w:rsidP="0054039C">
            <w:pPr>
              <w:spacing w:line="360" w:lineRule="atLeast"/>
              <w:jc w:val="center"/>
              <w:textAlignment w:val="baseline"/>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33333"/>
              </w:rPr>
            </w:pPr>
            <w:r w:rsidRPr="0054039C">
              <w:rPr>
                <w:rFonts w:ascii="Arial" w:eastAsia="Times New Roman" w:hAnsi="Arial" w:cs="Arial"/>
                <w:color w:val="333333"/>
              </w:rPr>
              <w:t>80 μL</w:t>
            </w:r>
          </w:p>
        </w:tc>
        <w:tc>
          <w:tcPr>
            <w:tcW w:w="2235" w:type="dxa"/>
            <w:hideMark/>
          </w:tcPr>
          <w:p w14:paraId="40513D7A" w14:textId="77777777" w:rsidR="0054039C" w:rsidRPr="0054039C" w:rsidRDefault="0054039C" w:rsidP="0054039C">
            <w:pPr>
              <w:spacing w:line="360" w:lineRule="atLeast"/>
              <w:jc w:val="center"/>
              <w:textAlignment w:val="baseline"/>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33333"/>
              </w:rPr>
            </w:pPr>
            <w:r w:rsidRPr="0054039C">
              <w:rPr>
                <w:rFonts w:ascii="Arial" w:eastAsia="Times New Roman" w:hAnsi="Arial" w:cs="Arial"/>
                <w:color w:val="333333"/>
              </w:rPr>
              <w:t>10 % APS</w:t>
            </w:r>
          </w:p>
        </w:tc>
        <w:tc>
          <w:tcPr>
            <w:tcW w:w="2235" w:type="dxa"/>
            <w:hideMark/>
          </w:tcPr>
          <w:p w14:paraId="07B056C7" w14:textId="77777777" w:rsidR="0054039C" w:rsidRPr="0054039C" w:rsidRDefault="0054039C" w:rsidP="0054039C">
            <w:pPr>
              <w:spacing w:line="360" w:lineRule="atLeast"/>
              <w:jc w:val="center"/>
              <w:textAlignment w:val="baseline"/>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33333"/>
              </w:rPr>
            </w:pPr>
            <w:r w:rsidRPr="0054039C">
              <w:rPr>
                <w:rFonts w:ascii="Arial" w:eastAsia="Times New Roman" w:hAnsi="Arial" w:cs="Arial"/>
                <w:color w:val="333333"/>
              </w:rPr>
              <w:t>50 μL</w:t>
            </w:r>
          </w:p>
        </w:tc>
      </w:tr>
      <w:tr w:rsidR="0054039C" w:rsidRPr="0054039C" w14:paraId="66F90730" w14:textId="77777777" w:rsidTr="00220314">
        <w:trPr>
          <w:trHeight w:val="440"/>
        </w:trPr>
        <w:tc>
          <w:tcPr>
            <w:cnfStyle w:val="001000000000" w:firstRow="0" w:lastRow="0" w:firstColumn="1" w:lastColumn="0" w:oddVBand="0" w:evenVBand="0" w:oddHBand="0" w:evenHBand="0" w:firstRowFirstColumn="0" w:firstRowLastColumn="0" w:lastRowFirstColumn="0" w:lastRowLastColumn="0"/>
            <w:tcW w:w="2254" w:type="dxa"/>
            <w:hideMark/>
          </w:tcPr>
          <w:p w14:paraId="2BF5F21F" w14:textId="77777777" w:rsidR="0054039C" w:rsidRPr="0054039C" w:rsidRDefault="0054039C" w:rsidP="0054039C">
            <w:pPr>
              <w:spacing w:line="360" w:lineRule="atLeast"/>
              <w:jc w:val="center"/>
              <w:textAlignment w:val="baseline"/>
              <w:rPr>
                <w:rFonts w:ascii="Arial" w:eastAsia="Times New Roman" w:hAnsi="Arial" w:cs="Arial"/>
                <w:color w:val="333333"/>
              </w:rPr>
            </w:pPr>
            <w:r w:rsidRPr="0054039C">
              <w:rPr>
                <w:rFonts w:ascii="Arial" w:eastAsia="Times New Roman" w:hAnsi="Arial" w:cs="Arial"/>
                <w:color w:val="333333"/>
              </w:rPr>
              <w:t>10% APS</w:t>
            </w:r>
          </w:p>
        </w:tc>
        <w:tc>
          <w:tcPr>
            <w:tcW w:w="2254" w:type="dxa"/>
            <w:hideMark/>
          </w:tcPr>
          <w:p w14:paraId="15564AD5" w14:textId="77777777" w:rsidR="0054039C" w:rsidRPr="0054039C" w:rsidRDefault="0054039C" w:rsidP="0054039C">
            <w:pPr>
              <w:spacing w:line="360" w:lineRule="atLeast"/>
              <w:jc w:val="center"/>
              <w:textAlignment w:val="baseline"/>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33333"/>
              </w:rPr>
            </w:pPr>
            <w:r w:rsidRPr="0054039C">
              <w:rPr>
                <w:rFonts w:ascii="Arial" w:eastAsia="Times New Roman" w:hAnsi="Arial" w:cs="Arial"/>
                <w:color w:val="333333"/>
              </w:rPr>
              <w:t>80 μL</w:t>
            </w:r>
          </w:p>
        </w:tc>
        <w:tc>
          <w:tcPr>
            <w:tcW w:w="2235" w:type="dxa"/>
            <w:hideMark/>
          </w:tcPr>
          <w:p w14:paraId="2A81905E" w14:textId="77777777" w:rsidR="0054039C" w:rsidRPr="0054039C" w:rsidRDefault="0054039C" w:rsidP="0054039C">
            <w:pPr>
              <w:spacing w:line="360" w:lineRule="atLeast"/>
              <w:jc w:val="center"/>
              <w:textAlignment w:val="baseline"/>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33333"/>
              </w:rPr>
            </w:pPr>
            <w:r w:rsidRPr="0054039C">
              <w:rPr>
                <w:rFonts w:ascii="Arial" w:eastAsia="Times New Roman" w:hAnsi="Arial" w:cs="Arial"/>
                <w:color w:val="333333"/>
              </w:rPr>
              <w:t>TEMED</w:t>
            </w:r>
          </w:p>
        </w:tc>
        <w:tc>
          <w:tcPr>
            <w:tcW w:w="2235" w:type="dxa"/>
            <w:hideMark/>
          </w:tcPr>
          <w:p w14:paraId="478C2876" w14:textId="77777777" w:rsidR="0054039C" w:rsidRPr="0054039C" w:rsidRDefault="0054039C" w:rsidP="0054039C">
            <w:pPr>
              <w:spacing w:line="360" w:lineRule="atLeast"/>
              <w:jc w:val="center"/>
              <w:textAlignment w:val="baseline"/>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33333"/>
              </w:rPr>
            </w:pPr>
            <w:r w:rsidRPr="0054039C">
              <w:rPr>
                <w:rFonts w:ascii="Arial" w:eastAsia="Times New Roman" w:hAnsi="Arial" w:cs="Arial"/>
                <w:color w:val="333333"/>
              </w:rPr>
              <w:t>10 μL</w:t>
            </w:r>
          </w:p>
        </w:tc>
      </w:tr>
      <w:tr w:rsidR="0054039C" w:rsidRPr="0054039C" w14:paraId="5C0CFB3C" w14:textId="77777777" w:rsidTr="00220314">
        <w:trPr>
          <w:cnfStyle w:val="000000100000" w:firstRow="0" w:lastRow="0" w:firstColumn="0" w:lastColumn="0" w:oddVBand="0" w:evenVBand="0" w:oddHBand="1" w:evenHBand="0" w:firstRowFirstColumn="0" w:firstRowLastColumn="0" w:lastRowFirstColumn="0" w:lastRowLastColumn="0"/>
          <w:trHeight w:val="440"/>
        </w:trPr>
        <w:tc>
          <w:tcPr>
            <w:cnfStyle w:val="001000000000" w:firstRow="0" w:lastRow="0" w:firstColumn="1" w:lastColumn="0" w:oddVBand="0" w:evenVBand="0" w:oddHBand="0" w:evenHBand="0" w:firstRowFirstColumn="0" w:firstRowLastColumn="0" w:lastRowFirstColumn="0" w:lastRowLastColumn="0"/>
            <w:tcW w:w="2254" w:type="dxa"/>
            <w:hideMark/>
          </w:tcPr>
          <w:p w14:paraId="7A95B1D9" w14:textId="77777777" w:rsidR="0054039C" w:rsidRPr="0054039C" w:rsidRDefault="0054039C" w:rsidP="0054039C">
            <w:pPr>
              <w:spacing w:line="360" w:lineRule="atLeast"/>
              <w:jc w:val="center"/>
              <w:textAlignment w:val="baseline"/>
              <w:rPr>
                <w:rFonts w:ascii="Arial" w:eastAsia="Times New Roman" w:hAnsi="Arial" w:cs="Arial"/>
                <w:color w:val="333333"/>
              </w:rPr>
            </w:pPr>
            <w:r w:rsidRPr="0054039C">
              <w:rPr>
                <w:rFonts w:ascii="Arial" w:eastAsia="Times New Roman" w:hAnsi="Arial" w:cs="Arial"/>
                <w:color w:val="333333"/>
              </w:rPr>
              <w:t>TEMED</w:t>
            </w:r>
          </w:p>
        </w:tc>
        <w:tc>
          <w:tcPr>
            <w:tcW w:w="0" w:type="auto"/>
            <w:hideMark/>
          </w:tcPr>
          <w:p w14:paraId="5BD4C3DF" w14:textId="77777777" w:rsidR="0054039C" w:rsidRPr="0054039C" w:rsidRDefault="0054039C" w:rsidP="0054039C">
            <w:pPr>
              <w:spacing w:line="360" w:lineRule="atLeast"/>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rPr>
            </w:pPr>
            <w:r w:rsidRPr="0054039C">
              <w:rPr>
                <w:rFonts w:ascii="Arial" w:eastAsia="Times New Roman" w:hAnsi="Arial" w:cs="Arial"/>
                <w:color w:val="333333"/>
              </w:rPr>
              <w:t>10 μL</w:t>
            </w:r>
          </w:p>
        </w:tc>
        <w:tc>
          <w:tcPr>
            <w:tcW w:w="0" w:type="auto"/>
            <w:hideMark/>
          </w:tcPr>
          <w:p w14:paraId="0C6B2D8A" w14:textId="77777777" w:rsidR="0054039C" w:rsidRPr="0054039C" w:rsidRDefault="0054039C" w:rsidP="0054039C">
            <w:pPr>
              <w:spacing w:line="360" w:lineRule="atLeast"/>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rPr>
            </w:pPr>
          </w:p>
        </w:tc>
        <w:tc>
          <w:tcPr>
            <w:tcW w:w="2235" w:type="dxa"/>
            <w:hideMark/>
          </w:tcPr>
          <w:p w14:paraId="06BEAD5A" w14:textId="77777777" w:rsidR="0054039C" w:rsidRPr="0054039C" w:rsidRDefault="0054039C" w:rsidP="0054039C">
            <w:pPr>
              <w:spacing w:line="360" w:lineRule="atLeast"/>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rPr>
            </w:pPr>
          </w:p>
        </w:tc>
      </w:tr>
    </w:tbl>
    <w:p w14:paraId="790F06B5" w14:textId="77777777" w:rsidR="0054039C" w:rsidRPr="0054039C" w:rsidRDefault="0054039C" w:rsidP="0054039C">
      <w:pPr>
        <w:autoSpaceDE w:val="0"/>
        <w:autoSpaceDN w:val="0"/>
        <w:adjustRightInd w:val="0"/>
        <w:spacing w:after="0" w:line="480" w:lineRule="auto"/>
        <w:jc w:val="both"/>
        <w:rPr>
          <w:rFonts w:ascii="Arial" w:hAnsi="Arial" w:cs="Arial"/>
          <w:color w:val="595959" w:themeColor="text1" w:themeTint="A6"/>
          <w:lang w:val="en-US"/>
        </w:rPr>
      </w:pPr>
    </w:p>
    <w:p w14:paraId="50814CC2" w14:textId="77777777" w:rsidR="0054039C" w:rsidRPr="0054039C" w:rsidRDefault="0054039C" w:rsidP="0095592C">
      <w:pPr>
        <w:pStyle w:val="Heading5"/>
        <w:rPr>
          <w:rFonts w:ascii="Arial" w:hAnsi="Arial" w:cs="Arial"/>
          <w:iCs/>
          <w:color w:val="595959" w:themeColor="text1" w:themeTint="A6"/>
          <w:lang w:val="en-US"/>
        </w:rPr>
      </w:pPr>
      <w:bookmarkStart w:id="182" w:name="_Toc515897487"/>
      <w:bookmarkStart w:id="183" w:name="_Toc534278619"/>
      <w:bookmarkStart w:id="184" w:name="_Toc34208328"/>
      <w:r w:rsidRPr="0054039C">
        <w:rPr>
          <w:rFonts w:ascii="Arial" w:hAnsi="Arial" w:cs="Arial"/>
          <w:iCs/>
          <w:color w:val="595959" w:themeColor="text1" w:themeTint="A6"/>
          <w:lang w:val="en-US"/>
        </w:rPr>
        <w:t>2.2.9.7.2 Gel washing and staining</w:t>
      </w:r>
      <w:bookmarkEnd w:id="182"/>
      <w:bookmarkEnd w:id="183"/>
      <w:bookmarkEnd w:id="184"/>
      <w:r w:rsidRPr="0054039C">
        <w:rPr>
          <w:rFonts w:ascii="Arial" w:hAnsi="Arial" w:cs="Arial"/>
          <w:iCs/>
          <w:color w:val="595959" w:themeColor="text1" w:themeTint="A6"/>
          <w:lang w:val="en-US"/>
        </w:rPr>
        <w:t xml:space="preserve"> </w:t>
      </w:r>
    </w:p>
    <w:p w14:paraId="0B6A83D3" w14:textId="77777777" w:rsidR="0054039C" w:rsidRPr="0054039C" w:rsidRDefault="0054039C" w:rsidP="0054039C">
      <w:pPr>
        <w:rPr>
          <w:lang w:val="en-US"/>
        </w:rPr>
      </w:pPr>
    </w:p>
    <w:p w14:paraId="104FE4DC" w14:textId="4D47CED9" w:rsidR="0054039C" w:rsidRPr="0054039C" w:rsidRDefault="0054039C" w:rsidP="0054039C">
      <w:pPr>
        <w:autoSpaceDE w:val="0"/>
        <w:autoSpaceDN w:val="0"/>
        <w:adjustRightInd w:val="0"/>
        <w:spacing w:after="0" w:line="480" w:lineRule="auto"/>
        <w:jc w:val="both"/>
        <w:rPr>
          <w:rFonts w:ascii="Arial" w:hAnsi="Arial" w:cs="Arial"/>
          <w:color w:val="595959" w:themeColor="text1" w:themeTint="A6"/>
          <w:lang w:val="en-US"/>
        </w:rPr>
      </w:pPr>
      <w:r w:rsidRPr="0054039C">
        <w:rPr>
          <w:rFonts w:ascii="Arial" w:hAnsi="Arial" w:cs="Arial"/>
          <w:color w:val="595959" w:themeColor="text1" w:themeTint="A6"/>
          <w:lang w:val="en-US"/>
        </w:rPr>
        <w:t xml:space="preserve">Once run, the gel was washed twice for 30 minutes with washing buffer to remove any residual SDS (Table 2.14) before a further rinse for 10 minutes in incubation buffer at 37°C with gentle agitation (Table 2.15). Fresh incubation buffer (contains the cofactors necessary for the gelatinase reaction to occur) was then added and the gel incubated for 24 h at 37°C (table 2.16). The gel was then stained with Coomassie blue staining solution (table 2.17) for 1 h before being rinsed with </w:t>
      </w:r>
      <w:r w:rsidR="003E18D8">
        <w:rPr>
          <w:rFonts w:ascii="Arial" w:hAnsi="Arial" w:cs="Arial"/>
          <w:color w:val="595959" w:themeColor="text1" w:themeTint="A6"/>
          <w:lang w:val="en-US"/>
        </w:rPr>
        <w:t>d</w:t>
      </w:r>
      <w:r w:rsidRPr="0054039C">
        <w:rPr>
          <w:rFonts w:ascii="Arial" w:hAnsi="Arial" w:cs="Arial"/>
          <w:color w:val="595959" w:themeColor="text1" w:themeTint="A6"/>
          <w:lang w:val="en-US"/>
        </w:rPr>
        <w:t>H</w:t>
      </w:r>
      <w:r w:rsidRPr="0054039C">
        <w:rPr>
          <w:rFonts w:ascii="Arial" w:hAnsi="Arial" w:cs="Arial"/>
          <w:color w:val="595959" w:themeColor="text1" w:themeTint="A6"/>
          <w:vertAlign w:val="subscript"/>
          <w:lang w:val="en-US"/>
        </w:rPr>
        <w:t>2</w:t>
      </w:r>
      <w:r w:rsidRPr="0054039C">
        <w:rPr>
          <w:rFonts w:ascii="Arial" w:hAnsi="Arial" w:cs="Arial"/>
          <w:color w:val="595959" w:themeColor="text1" w:themeTint="A6"/>
          <w:lang w:val="en-US"/>
        </w:rPr>
        <w:t>O. Finally, the gel was incubated with de-staining solution (table 2.18) until the bands were clearly visible. Areas of enzyme activity appear as white bands against a dark blue background.</w:t>
      </w:r>
    </w:p>
    <w:p w14:paraId="640B9008" w14:textId="77777777" w:rsidR="0054039C" w:rsidRPr="0054039C" w:rsidRDefault="0054039C" w:rsidP="0054039C">
      <w:pPr>
        <w:autoSpaceDE w:val="0"/>
        <w:autoSpaceDN w:val="0"/>
        <w:adjustRightInd w:val="0"/>
        <w:spacing w:after="0" w:line="480" w:lineRule="auto"/>
        <w:jc w:val="both"/>
        <w:rPr>
          <w:rFonts w:ascii="Arial" w:hAnsi="Arial" w:cs="Arial"/>
          <w:color w:val="595959" w:themeColor="text1" w:themeTint="A6"/>
          <w:lang w:val="en-US"/>
        </w:rPr>
      </w:pPr>
    </w:p>
    <w:p w14:paraId="2AA16105" w14:textId="77777777" w:rsidR="0054039C" w:rsidRPr="00220314" w:rsidRDefault="0054039C" w:rsidP="0054039C">
      <w:pPr>
        <w:autoSpaceDE w:val="0"/>
        <w:autoSpaceDN w:val="0"/>
        <w:adjustRightInd w:val="0"/>
        <w:spacing w:after="0" w:line="480" w:lineRule="auto"/>
        <w:jc w:val="both"/>
        <w:rPr>
          <w:rFonts w:ascii="Arial" w:hAnsi="Arial" w:cs="Arial"/>
          <w:b/>
          <w:color w:val="595959" w:themeColor="text1" w:themeTint="A6"/>
          <w:szCs w:val="21"/>
          <w:lang w:val="en-US"/>
        </w:rPr>
      </w:pPr>
      <w:r w:rsidRPr="00220314">
        <w:rPr>
          <w:rFonts w:ascii="Arial" w:hAnsi="Arial" w:cs="Arial"/>
          <w:b/>
          <w:color w:val="595959" w:themeColor="text1" w:themeTint="A6"/>
          <w:szCs w:val="21"/>
          <w:lang w:val="en-US"/>
        </w:rPr>
        <w:lastRenderedPageBreak/>
        <w:t>Table 2.14 Washing buffer (pH 7.5)</w:t>
      </w:r>
    </w:p>
    <w:tbl>
      <w:tblPr>
        <w:tblStyle w:val="GridTable4-Accent31"/>
        <w:tblW w:w="0" w:type="auto"/>
        <w:tblLook w:val="04A0" w:firstRow="1" w:lastRow="0" w:firstColumn="1" w:lastColumn="0" w:noHBand="0" w:noVBand="1"/>
      </w:tblPr>
      <w:tblGrid>
        <w:gridCol w:w="4260"/>
        <w:gridCol w:w="4260"/>
      </w:tblGrid>
      <w:tr w:rsidR="0054039C" w:rsidRPr="0054039C" w14:paraId="5D341EE3" w14:textId="77777777" w:rsidTr="00220314">
        <w:trPr>
          <w:cnfStyle w:val="100000000000" w:firstRow="1" w:lastRow="0" w:firstColumn="0" w:lastColumn="0" w:oddVBand="0" w:evenVBand="0" w:oddHBand="0" w:evenHBand="0" w:firstRowFirstColumn="0" w:firstRowLastColumn="0" w:lastRowFirstColumn="0" w:lastRowLastColumn="0"/>
          <w:trHeight w:val="263"/>
        </w:trPr>
        <w:tc>
          <w:tcPr>
            <w:cnfStyle w:val="001000000000" w:firstRow="0" w:lastRow="0" w:firstColumn="1" w:lastColumn="0" w:oddVBand="0" w:evenVBand="0" w:oddHBand="0" w:evenHBand="0" w:firstRowFirstColumn="0" w:firstRowLastColumn="0" w:lastRowFirstColumn="0" w:lastRowLastColumn="0"/>
            <w:tcW w:w="4260" w:type="dxa"/>
            <w:hideMark/>
          </w:tcPr>
          <w:p w14:paraId="0C13B5B1" w14:textId="77777777" w:rsidR="0054039C" w:rsidRPr="0054039C" w:rsidRDefault="0054039C" w:rsidP="0054039C">
            <w:pPr>
              <w:spacing w:line="360" w:lineRule="atLeast"/>
              <w:jc w:val="center"/>
              <w:textAlignment w:val="baseline"/>
              <w:rPr>
                <w:rFonts w:ascii="Arial" w:eastAsia="Times New Roman" w:hAnsi="Arial" w:cs="Arial"/>
                <w:color w:val="666666"/>
              </w:rPr>
            </w:pPr>
            <w:r w:rsidRPr="0054039C">
              <w:rPr>
                <w:rFonts w:ascii="Arial" w:eastAsia="Times New Roman" w:hAnsi="Arial" w:cs="Arial"/>
                <w:color w:val="666666"/>
              </w:rPr>
              <w:t>Final concentration</w:t>
            </w:r>
          </w:p>
        </w:tc>
        <w:tc>
          <w:tcPr>
            <w:tcW w:w="4260" w:type="dxa"/>
            <w:hideMark/>
          </w:tcPr>
          <w:p w14:paraId="6B2DF59B" w14:textId="77777777" w:rsidR="0054039C" w:rsidRPr="0054039C" w:rsidRDefault="0054039C" w:rsidP="0054039C">
            <w:pPr>
              <w:spacing w:line="360" w:lineRule="atLeast"/>
              <w:jc w:val="center"/>
              <w:textAlignment w:val="baseline"/>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666666"/>
              </w:rPr>
            </w:pPr>
            <w:r w:rsidRPr="0054039C">
              <w:rPr>
                <w:rFonts w:ascii="Arial" w:eastAsia="Times New Roman" w:hAnsi="Arial" w:cs="Arial"/>
                <w:color w:val="666666"/>
              </w:rPr>
              <w:t>For 250 mL</w:t>
            </w:r>
          </w:p>
        </w:tc>
      </w:tr>
      <w:tr w:rsidR="0054039C" w:rsidRPr="0054039C" w14:paraId="2A107998" w14:textId="77777777" w:rsidTr="0022031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4260" w:type="dxa"/>
            <w:hideMark/>
          </w:tcPr>
          <w:p w14:paraId="3391D3BD" w14:textId="77777777" w:rsidR="0054039C" w:rsidRPr="0054039C" w:rsidRDefault="0054039C" w:rsidP="0054039C">
            <w:pPr>
              <w:spacing w:line="360" w:lineRule="atLeast"/>
              <w:jc w:val="center"/>
              <w:textAlignment w:val="baseline"/>
              <w:rPr>
                <w:rFonts w:ascii="Arial" w:eastAsia="Times New Roman" w:hAnsi="Arial" w:cs="Arial"/>
                <w:color w:val="333333"/>
              </w:rPr>
            </w:pPr>
            <w:r w:rsidRPr="0054039C">
              <w:rPr>
                <w:rFonts w:ascii="Arial" w:eastAsia="Times New Roman" w:hAnsi="Arial" w:cs="Arial"/>
                <w:color w:val="333333"/>
              </w:rPr>
              <w:t>2.5% Triton X-100</w:t>
            </w:r>
          </w:p>
        </w:tc>
        <w:tc>
          <w:tcPr>
            <w:tcW w:w="4260" w:type="dxa"/>
            <w:hideMark/>
          </w:tcPr>
          <w:p w14:paraId="7C74DB5D" w14:textId="77777777" w:rsidR="0054039C" w:rsidRPr="0054039C" w:rsidRDefault="0054039C" w:rsidP="0054039C">
            <w:pPr>
              <w:spacing w:line="360" w:lineRule="atLeast"/>
              <w:jc w:val="center"/>
              <w:textAlignment w:val="baseline"/>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33333"/>
              </w:rPr>
            </w:pPr>
            <w:r w:rsidRPr="0054039C">
              <w:rPr>
                <w:rFonts w:ascii="Arial" w:eastAsia="Times New Roman" w:hAnsi="Arial" w:cs="Arial"/>
                <w:color w:val="333333"/>
              </w:rPr>
              <w:t>6.25 mL of 100%</w:t>
            </w:r>
          </w:p>
        </w:tc>
      </w:tr>
      <w:tr w:rsidR="0054039C" w:rsidRPr="0054039C" w14:paraId="130C39D6" w14:textId="77777777" w:rsidTr="00220314">
        <w:trPr>
          <w:trHeight w:val="270"/>
        </w:trPr>
        <w:tc>
          <w:tcPr>
            <w:cnfStyle w:val="001000000000" w:firstRow="0" w:lastRow="0" w:firstColumn="1" w:lastColumn="0" w:oddVBand="0" w:evenVBand="0" w:oddHBand="0" w:evenHBand="0" w:firstRowFirstColumn="0" w:firstRowLastColumn="0" w:lastRowFirstColumn="0" w:lastRowLastColumn="0"/>
            <w:tcW w:w="4260" w:type="dxa"/>
            <w:hideMark/>
          </w:tcPr>
          <w:p w14:paraId="55158AF8" w14:textId="77777777" w:rsidR="0054039C" w:rsidRPr="0054039C" w:rsidRDefault="0054039C" w:rsidP="0054039C">
            <w:pPr>
              <w:spacing w:line="360" w:lineRule="atLeast"/>
              <w:jc w:val="center"/>
              <w:textAlignment w:val="baseline"/>
              <w:rPr>
                <w:rFonts w:ascii="Arial" w:eastAsia="Times New Roman" w:hAnsi="Arial" w:cs="Arial"/>
                <w:color w:val="333333"/>
              </w:rPr>
            </w:pPr>
            <w:r w:rsidRPr="0054039C">
              <w:rPr>
                <w:rFonts w:ascii="Arial" w:eastAsia="Times New Roman" w:hAnsi="Arial" w:cs="Arial"/>
                <w:color w:val="333333"/>
              </w:rPr>
              <w:t>50 mM Tris HCl</w:t>
            </w:r>
          </w:p>
        </w:tc>
        <w:tc>
          <w:tcPr>
            <w:tcW w:w="4260" w:type="dxa"/>
            <w:hideMark/>
          </w:tcPr>
          <w:p w14:paraId="36812243" w14:textId="77777777" w:rsidR="0054039C" w:rsidRPr="0054039C" w:rsidRDefault="0054039C" w:rsidP="0054039C">
            <w:pPr>
              <w:spacing w:line="360" w:lineRule="atLeast"/>
              <w:jc w:val="center"/>
              <w:textAlignment w:val="baseline"/>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33333"/>
              </w:rPr>
            </w:pPr>
            <w:r w:rsidRPr="0054039C">
              <w:rPr>
                <w:rFonts w:ascii="Arial" w:eastAsia="Times New Roman" w:hAnsi="Arial" w:cs="Arial"/>
                <w:color w:val="333333"/>
              </w:rPr>
              <w:t>12.5 mL of 1 M stock</w:t>
            </w:r>
          </w:p>
        </w:tc>
      </w:tr>
      <w:tr w:rsidR="0054039C" w:rsidRPr="0054039C" w14:paraId="6E9E36BC" w14:textId="77777777" w:rsidTr="0022031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4260" w:type="dxa"/>
            <w:hideMark/>
          </w:tcPr>
          <w:p w14:paraId="571383E2" w14:textId="77777777" w:rsidR="0054039C" w:rsidRPr="0054039C" w:rsidRDefault="0054039C" w:rsidP="0054039C">
            <w:pPr>
              <w:spacing w:line="360" w:lineRule="atLeast"/>
              <w:jc w:val="center"/>
              <w:textAlignment w:val="baseline"/>
              <w:rPr>
                <w:rFonts w:ascii="Arial" w:eastAsia="Times New Roman" w:hAnsi="Arial" w:cs="Arial"/>
                <w:color w:val="333333"/>
              </w:rPr>
            </w:pPr>
            <w:r w:rsidRPr="0054039C">
              <w:rPr>
                <w:rFonts w:ascii="Arial" w:eastAsia="Times New Roman" w:hAnsi="Arial" w:cs="Arial"/>
                <w:color w:val="333333"/>
              </w:rPr>
              <w:t>5 mM CaCl</w:t>
            </w:r>
            <w:r w:rsidRPr="0054039C">
              <w:rPr>
                <w:rFonts w:ascii="Arial" w:eastAsia="Times New Roman" w:hAnsi="Arial" w:cs="Arial"/>
                <w:color w:val="333333"/>
                <w:bdr w:val="none" w:sz="0" w:space="0" w:color="auto" w:frame="1"/>
                <w:vertAlign w:val="subscript"/>
              </w:rPr>
              <w:t>2</w:t>
            </w:r>
          </w:p>
        </w:tc>
        <w:tc>
          <w:tcPr>
            <w:tcW w:w="4260" w:type="dxa"/>
            <w:hideMark/>
          </w:tcPr>
          <w:p w14:paraId="22B75756" w14:textId="77777777" w:rsidR="0054039C" w:rsidRPr="0054039C" w:rsidRDefault="0054039C" w:rsidP="0054039C">
            <w:pPr>
              <w:spacing w:line="360" w:lineRule="atLeast"/>
              <w:jc w:val="center"/>
              <w:textAlignment w:val="baseline"/>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33333"/>
              </w:rPr>
            </w:pPr>
            <w:r w:rsidRPr="0054039C">
              <w:rPr>
                <w:rFonts w:ascii="Arial" w:eastAsia="Times New Roman" w:hAnsi="Arial" w:cs="Arial"/>
                <w:color w:val="333333"/>
              </w:rPr>
              <w:t>625 μL of 2 M stock</w:t>
            </w:r>
          </w:p>
        </w:tc>
      </w:tr>
      <w:tr w:rsidR="0054039C" w:rsidRPr="0054039C" w14:paraId="0DBFD1A7" w14:textId="77777777" w:rsidTr="00220314">
        <w:trPr>
          <w:trHeight w:val="270"/>
        </w:trPr>
        <w:tc>
          <w:tcPr>
            <w:cnfStyle w:val="001000000000" w:firstRow="0" w:lastRow="0" w:firstColumn="1" w:lastColumn="0" w:oddVBand="0" w:evenVBand="0" w:oddHBand="0" w:evenHBand="0" w:firstRowFirstColumn="0" w:firstRowLastColumn="0" w:lastRowFirstColumn="0" w:lastRowLastColumn="0"/>
            <w:tcW w:w="4260" w:type="dxa"/>
            <w:hideMark/>
          </w:tcPr>
          <w:p w14:paraId="46A6C8DA" w14:textId="77777777" w:rsidR="0054039C" w:rsidRPr="0054039C" w:rsidRDefault="0054039C" w:rsidP="0054039C">
            <w:pPr>
              <w:spacing w:line="360" w:lineRule="atLeast"/>
              <w:jc w:val="center"/>
              <w:textAlignment w:val="baseline"/>
              <w:rPr>
                <w:rFonts w:ascii="Arial" w:eastAsia="Times New Roman" w:hAnsi="Arial" w:cs="Arial"/>
                <w:color w:val="333333"/>
              </w:rPr>
            </w:pPr>
            <w:r w:rsidRPr="0054039C">
              <w:rPr>
                <w:rFonts w:ascii="Arial" w:eastAsia="Times New Roman" w:hAnsi="Arial" w:cs="Arial"/>
                <w:color w:val="333333"/>
              </w:rPr>
              <w:t>1 μM ZnCl</w:t>
            </w:r>
            <w:r w:rsidRPr="0054039C">
              <w:rPr>
                <w:rFonts w:ascii="Arial" w:eastAsia="Times New Roman" w:hAnsi="Arial" w:cs="Arial"/>
                <w:color w:val="333333"/>
                <w:bdr w:val="none" w:sz="0" w:space="0" w:color="auto" w:frame="1"/>
                <w:vertAlign w:val="subscript"/>
              </w:rPr>
              <w:t>2</w:t>
            </w:r>
          </w:p>
        </w:tc>
        <w:tc>
          <w:tcPr>
            <w:tcW w:w="4260" w:type="dxa"/>
            <w:hideMark/>
          </w:tcPr>
          <w:p w14:paraId="07742519" w14:textId="77777777" w:rsidR="0054039C" w:rsidRPr="0054039C" w:rsidRDefault="0054039C" w:rsidP="0054039C">
            <w:pPr>
              <w:spacing w:line="360" w:lineRule="atLeast"/>
              <w:jc w:val="center"/>
              <w:textAlignment w:val="baseline"/>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33333"/>
              </w:rPr>
            </w:pPr>
            <w:r w:rsidRPr="0054039C">
              <w:rPr>
                <w:rFonts w:ascii="Arial" w:eastAsia="Times New Roman" w:hAnsi="Arial" w:cs="Arial"/>
                <w:color w:val="333333"/>
              </w:rPr>
              <w:t>2.5 μL of 0.1 M stock</w:t>
            </w:r>
          </w:p>
        </w:tc>
      </w:tr>
      <w:tr w:rsidR="0054039C" w:rsidRPr="0054039C" w14:paraId="335284EF" w14:textId="77777777" w:rsidTr="00220314">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4260" w:type="dxa"/>
            <w:hideMark/>
          </w:tcPr>
          <w:p w14:paraId="12DAB588" w14:textId="77777777" w:rsidR="0054039C" w:rsidRPr="0054039C" w:rsidRDefault="0054039C" w:rsidP="0054039C">
            <w:pPr>
              <w:spacing w:line="360" w:lineRule="atLeast"/>
              <w:jc w:val="center"/>
              <w:textAlignment w:val="baseline"/>
              <w:rPr>
                <w:rFonts w:ascii="Arial" w:eastAsia="Times New Roman" w:hAnsi="Arial" w:cs="Arial"/>
                <w:color w:val="333333"/>
              </w:rPr>
            </w:pPr>
            <w:r w:rsidRPr="0054039C">
              <w:rPr>
                <w:rFonts w:ascii="Arial" w:eastAsia="Times New Roman" w:hAnsi="Arial" w:cs="Arial"/>
                <w:color w:val="333333"/>
              </w:rPr>
              <w:t>H</w:t>
            </w:r>
            <w:r w:rsidRPr="0054039C">
              <w:rPr>
                <w:rFonts w:ascii="Arial" w:eastAsia="Times New Roman" w:hAnsi="Arial" w:cs="Arial"/>
                <w:color w:val="333333"/>
                <w:bdr w:val="none" w:sz="0" w:space="0" w:color="auto" w:frame="1"/>
                <w:vertAlign w:val="subscript"/>
              </w:rPr>
              <w:t>2</w:t>
            </w:r>
            <w:r w:rsidRPr="0054039C">
              <w:rPr>
                <w:rFonts w:ascii="Arial" w:eastAsia="Times New Roman" w:hAnsi="Arial" w:cs="Arial"/>
                <w:color w:val="333333"/>
              </w:rPr>
              <w:t>O</w:t>
            </w:r>
          </w:p>
        </w:tc>
        <w:tc>
          <w:tcPr>
            <w:tcW w:w="4260" w:type="dxa"/>
            <w:hideMark/>
          </w:tcPr>
          <w:p w14:paraId="6B72EF48" w14:textId="77777777" w:rsidR="0054039C" w:rsidRPr="0054039C" w:rsidRDefault="0054039C" w:rsidP="0054039C">
            <w:pPr>
              <w:spacing w:line="360" w:lineRule="atLeast"/>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33333"/>
              </w:rPr>
            </w:pPr>
            <w:r w:rsidRPr="0054039C">
              <w:rPr>
                <w:rFonts w:ascii="Arial" w:eastAsia="Times New Roman" w:hAnsi="Arial" w:cs="Arial"/>
                <w:color w:val="333333"/>
              </w:rPr>
              <w:t>228 mL + 2 mL 2% NaN</w:t>
            </w:r>
            <w:r w:rsidRPr="0054039C">
              <w:rPr>
                <w:rFonts w:ascii="Arial" w:eastAsia="Times New Roman" w:hAnsi="Arial" w:cs="Arial"/>
                <w:color w:val="333333"/>
                <w:bdr w:val="none" w:sz="0" w:space="0" w:color="auto" w:frame="1"/>
                <w:vertAlign w:val="subscript"/>
              </w:rPr>
              <w:t>3</w:t>
            </w:r>
          </w:p>
        </w:tc>
      </w:tr>
    </w:tbl>
    <w:p w14:paraId="1FA67630" w14:textId="77777777" w:rsidR="0054039C" w:rsidRPr="0054039C" w:rsidRDefault="0054039C" w:rsidP="0054039C">
      <w:pPr>
        <w:autoSpaceDE w:val="0"/>
        <w:autoSpaceDN w:val="0"/>
        <w:adjustRightInd w:val="0"/>
        <w:spacing w:after="0" w:line="480" w:lineRule="auto"/>
        <w:jc w:val="both"/>
        <w:rPr>
          <w:rFonts w:ascii="Arial" w:hAnsi="Arial" w:cs="Arial"/>
          <w:b/>
          <w:color w:val="595959" w:themeColor="text1" w:themeTint="A6"/>
          <w:sz w:val="24"/>
          <w:lang w:val="en-US"/>
        </w:rPr>
      </w:pPr>
    </w:p>
    <w:p w14:paraId="5010D8B7" w14:textId="77777777" w:rsidR="0054039C" w:rsidRPr="00220314" w:rsidRDefault="0054039C" w:rsidP="0054039C">
      <w:pPr>
        <w:autoSpaceDE w:val="0"/>
        <w:autoSpaceDN w:val="0"/>
        <w:adjustRightInd w:val="0"/>
        <w:spacing w:after="0" w:line="480" w:lineRule="auto"/>
        <w:jc w:val="both"/>
        <w:rPr>
          <w:rFonts w:ascii="Arial" w:hAnsi="Arial" w:cs="Arial"/>
          <w:b/>
          <w:color w:val="595959" w:themeColor="text1" w:themeTint="A6"/>
          <w:szCs w:val="21"/>
          <w:lang w:val="en-US"/>
        </w:rPr>
      </w:pPr>
      <w:r w:rsidRPr="00220314">
        <w:rPr>
          <w:rFonts w:ascii="Arial" w:hAnsi="Arial" w:cs="Arial"/>
          <w:b/>
          <w:color w:val="595959" w:themeColor="text1" w:themeTint="A6"/>
          <w:szCs w:val="21"/>
          <w:lang w:val="en-US"/>
        </w:rPr>
        <w:t>Table 2.15 Incubation buffer (pH 7.5)</w:t>
      </w:r>
    </w:p>
    <w:tbl>
      <w:tblPr>
        <w:tblStyle w:val="GridTable4-Accent31"/>
        <w:tblW w:w="0" w:type="auto"/>
        <w:tblLook w:val="04A0" w:firstRow="1" w:lastRow="0" w:firstColumn="1" w:lastColumn="0" w:noHBand="0" w:noVBand="1"/>
      </w:tblPr>
      <w:tblGrid>
        <w:gridCol w:w="4260"/>
        <w:gridCol w:w="4260"/>
      </w:tblGrid>
      <w:tr w:rsidR="0054039C" w:rsidRPr="0054039C" w14:paraId="5D65052D" w14:textId="77777777" w:rsidTr="00220314">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4260" w:type="dxa"/>
            <w:hideMark/>
          </w:tcPr>
          <w:p w14:paraId="3156D70C" w14:textId="77777777" w:rsidR="0054039C" w:rsidRPr="0054039C" w:rsidRDefault="0054039C" w:rsidP="0054039C">
            <w:pPr>
              <w:spacing w:line="360" w:lineRule="atLeast"/>
              <w:jc w:val="center"/>
              <w:textAlignment w:val="baseline"/>
              <w:rPr>
                <w:rFonts w:ascii="Arial" w:eastAsia="Times New Roman" w:hAnsi="Arial" w:cs="Arial"/>
                <w:color w:val="666666"/>
              </w:rPr>
            </w:pPr>
            <w:r w:rsidRPr="0054039C">
              <w:rPr>
                <w:rFonts w:ascii="Arial" w:eastAsia="Times New Roman" w:hAnsi="Arial" w:cs="Arial"/>
                <w:color w:val="666666"/>
              </w:rPr>
              <w:t>Final concentration</w:t>
            </w:r>
          </w:p>
        </w:tc>
        <w:tc>
          <w:tcPr>
            <w:tcW w:w="4260" w:type="dxa"/>
            <w:hideMark/>
          </w:tcPr>
          <w:p w14:paraId="6B84B6C8" w14:textId="77777777" w:rsidR="0054039C" w:rsidRPr="0054039C" w:rsidRDefault="0054039C" w:rsidP="0054039C">
            <w:pPr>
              <w:spacing w:line="360" w:lineRule="atLeast"/>
              <w:jc w:val="center"/>
              <w:textAlignment w:val="baseline"/>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666666"/>
              </w:rPr>
            </w:pPr>
            <w:r w:rsidRPr="0054039C">
              <w:rPr>
                <w:rFonts w:ascii="Arial" w:eastAsia="Times New Roman" w:hAnsi="Arial" w:cs="Arial"/>
                <w:color w:val="666666"/>
              </w:rPr>
              <w:t>For 250 mL</w:t>
            </w:r>
          </w:p>
        </w:tc>
      </w:tr>
      <w:tr w:rsidR="0054039C" w:rsidRPr="0054039C" w14:paraId="2E4307F0" w14:textId="77777777" w:rsidTr="0022031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4260" w:type="dxa"/>
            <w:hideMark/>
          </w:tcPr>
          <w:p w14:paraId="07846631" w14:textId="77777777" w:rsidR="0054039C" w:rsidRPr="0054039C" w:rsidRDefault="0054039C" w:rsidP="0054039C">
            <w:pPr>
              <w:spacing w:line="360" w:lineRule="atLeast"/>
              <w:jc w:val="center"/>
              <w:textAlignment w:val="baseline"/>
              <w:rPr>
                <w:rFonts w:ascii="Arial" w:eastAsia="Times New Roman" w:hAnsi="Arial" w:cs="Arial"/>
                <w:color w:val="333333"/>
              </w:rPr>
            </w:pPr>
            <w:r w:rsidRPr="0054039C">
              <w:rPr>
                <w:rFonts w:ascii="Arial" w:eastAsia="Times New Roman" w:hAnsi="Arial" w:cs="Arial"/>
                <w:color w:val="333333"/>
              </w:rPr>
              <w:t>1% Triton X-100</w:t>
            </w:r>
          </w:p>
        </w:tc>
        <w:tc>
          <w:tcPr>
            <w:tcW w:w="4260" w:type="dxa"/>
            <w:hideMark/>
          </w:tcPr>
          <w:p w14:paraId="7D512D47" w14:textId="77777777" w:rsidR="0054039C" w:rsidRPr="0054039C" w:rsidRDefault="0054039C" w:rsidP="0054039C">
            <w:pPr>
              <w:spacing w:line="360" w:lineRule="atLeast"/>
              <w:jc w:val="center"/>
              <w:textAlignment w:val="baseline"/>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33333"/>
              </w:rPr>
            </w:pPr>
            <w:r w:rsidRPr="0054039C">
              <w:rPr>
                <w:rFonts w:ascii="Arial" w:eastAsia="Times New Roman" w:hAnsi="Arial" w:cs="Arial"/>
                <w:color w:val="333333"/>
              </w:rPr>
              <w:t>2.5 mL of 100%</w:t>
            </w:r>
          </w:p>
        </w:tc>
      </w:tr>
      <w:tr w:rsidR="0054039C" w:rsidRPr="0054039C" w14:paraId="5D1C8C13" w14:textId="77777777" w:rsidTr="00220314">
        <w:trPr>
          <w:trHeight w:val="270"/>
        </w:trPr>
        <w:tc>
          <w:tcPr>
            <w:cnfStyle w:val="001000000000" w:firstRow="0" w:lastRow="0" w:firstColumn="1" w:lastColumn="0" w:oddVBand="0" w:evenVBand="0" w:oddHBand="0" w:evenHBand="0" w:firstRowFirstColumn="0" w:firstRowLastColumn="0" w:lastRowFirstColumn="0" w:lastRowLastColumn="0"/>
            <w:tcW w:w="4260" w:type="dxa"/>
            <w:hideMark/>
          </w:tcPr>
          <w:p w14:paraId="5C944180" w14:textId="77777777" w:rsidR="0054039C" w:rsidRPr="0054039C" w:rsidRDefault="0054039C" w:rsidP="0054039C">
            <w:pPr>
              <w:spacing w:line="360" w:lineRule="atLeast"/>
              <w:jc w:val="center"/>
              <w:textAlignment w:val="baseline"/>
              <w:rPr>
                <w:rFonts w:ascii="Arial" w:eastAsia="Times New Roman" w:hAnsi="Arial" w:cs="Arial"/>
                <w:color w:val="333333"/>
              </w:rPr>
            </w:pPr>
            <w:r w:rsidRPr="0054039C">
              <w:rPr>
                <w:rFonts w:ascii="Arial" w:eastAsia="Times New Roman" w:hAnsi="Arial" w:cs="Arial"/>
                <w:color w:val="333333"/>
              </w:rPr>
              <w:t>50 mM Tris-HCl</w:t>
            </w:r>
          </w:p>
        </w:tc>
        <w:tc>
          <w:tcPr>
            <w:tcW w:w="4260" w:type="dxa"/>
            <w:hideMark/>
          </w:tcPr>
          <w:p w14:paraId="3EA1B7FF" w14:textId="77777777" w:rsidR="0054039C" w:rsidRPr="0054039C" w:rsidRDefault="0054039C" w:rsidP="0054039C">
            <w:pPr>
              <w:spacing w:line="360" w:lineRule="atLeast"/>
              <w:jc w:val="center"/>
              <w:textAlignment w:val="baseline"/>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33333"/>
              </w:rPr>
            </w:pPr>
            <w:r w:rsidRPr="0054039C">
              <w:rPr>
                <w:rFonts w:ascii="Arial" w:eastAsia="Times New Roman" w:hAnsi="Arial" w:cs="Arial"/>
                <w:color w:val="333333"/>
              </w:rPr>
              <w:t>12.5 mL of 1 M</w:t>
            </w:r>
          </w:p>
        </w:tc>
      </w:tr>
      <w:tr w:rsidR="0054039C" w:rsidRPr="0054039C" w14:paraId="3CA3C69B" w14:textId="77777777" w:rsidTr="0022031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4260" w:type="dxa"/>
            <w:hideMark/>
          </w:tcPr>
          <w:p w14:paraId="2B3697F6" w14:textId="77777777" w:rsidR="0054039C" w:rsidRPr="0054039C" w:rsidRDefault="0054039C" w:rsidP="0054039C">
            <w:pPr>
              <w:spacing w:line="360" w:lineRule="atLeast"/>
              <w:jc w:val="center"/>
              <w:textAlignment w:val="baseline"/>
              <w:rPr>
                <w:rFonts w:ascii="Arial" w:eastAsia="Times New Roman" w:hAnsi="Arial" w:cs="Arial"/>
                <w:color w:val="333333"/>
              </w:rPr>
            </w:pPr>
            <w:r w:rsidRPr="0054039C">
              <w:rPr>
                <w:rFonts w:ascii="Arial" w:eastAsia="Times New Roman" w:hAnsi="Arial" w:cs="Arial"/>
                <w:color w:val="333333"/>
              </w:rPr>
              <w:t>5 mM CaCl</w:t>
            </w:r>
            <w:r w:rsidRPr="0054039C">
              <w:rPr>
                <w:rFonts w:ascii="Arial" w:eastAsia="Times New Roman" w:hAnsi="Arial" w:cs="Arial"/>
                <w:color w:val="333333"/>
                <w:bdr w:val="none" w:sz="0" w:space="0" w:color="auto" w:frame="1"/>
                <w:vertAlign w:val="subscript"/>
              </w:rPr>
              <w:t>2</w:t>
            </w:r>
          </w:p>
        </w:tc>
        <w:tc>
          <w:tcPr>
            <w:tcW w:w="4260" w:type="dxa"/>
            <w:hideMark/>
          </w:tcPr>
          <w:p w14:paraId="687070C9" w14:textId="77777777" w:rsidR="0054039C" w:rsidRPr="0054039C" w:rsidRDefault="0054039C" w:rsidP="0054039C">
            <w:pPr>
              <w:spacing w:line="360" w:lineRule="atLeast"/>
              <w:jc w:val="center"/>
              <w:textAlignment w:val="baseline"/>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33333"/>
              </w:rPr>
            </w:pPr>
            <w:r w:rsidRPr="0054039C">
              <w:rPr>
                <w:rFonts w:ascii="Arial" w:eastAsia="Times New Roman" w:hAnsi="Arial" w:cs="Arial"/>
                <w:color w:val="333333"/>
              </w:rPr>
              <w:t>625 μL of 2 M</w:t>
            </w:r>
          </w:p>
        </w:tc>
      </w:tr>
      <w:tr w:rsidR="0054039C" w:rsidRPr="0054039C" w14:paraId="7BF7C88B" w14:textId="77777777" w:rsidTr="00220314">
        <w:trPr>
          <w:trHeight w:val="422"/>
        </w:trPr>
        <w:tc>
          <w:tcPr>
            <w:cnfStyle w:val="001000000000" w:firstRow="0" w:lastRow="0" w:firstColumn="1" w:lastColumn="0" w:oddVBand="0" w:evenVBand="0" w:oddHBand="0" w:evenHBand="0" w:firstRowFirstColumn="0" w:firstRowLastColumn="0" w:lastRowFirstColumn="0" w:lastRowLastColumn="0"/>
            <w:tcW w:w="4260" w:type="dxa"/>
            <w:hideMark/>
          </w:tcPr>
          <w:p w14:paraId="7206FE40" w14:textId="77777777" w:rsidR="0054039C" w:rsidRPr="0054039C" w:rsidRDefault="0054039C" w:rsidP="0054039C">
            <w:pPr>
              <w:spacing w:line="360" w:lineRule="atLeast"/>
              <w:jc w:val="center"/>
              <w:textAlignment w:val="baseline"/>
              <w:rPr>
                <w:rFonts w:ascii="Arial" w:eastAsia="Times New Roman" w:hAnsi="Arial" w:cs="Arial"/>
                <w:color w:val="333333"/>
              </w:rPr>
            </w:pPr>
            <w:r w:rsidRPr="0054039C">
              <w:rPr>
                <w:rFonts w:ascii="Arial" w:eastAsia="Times New Roman" w:hAnsi="Arial" w:cs="Arial"/>
                <w:color w:val="333333"/>
              </w:rPr>
              <w:t>1 µM ZnCl</w:t>
            </w:r>
            <w:r w:rsidRPr="0054039C">
              <w:rPr>
                <w:rFonts w:ascii="Arial" w:eastAsia="Times New Roman" w:hAnsi="Arial" w:cs="Arial"/>
                <w:color w:val="333333"/>
                <w:bdr w:val="none" w:sz="0" w:space="0" w:color="auto" w:frame="1"/>
                <w:vertAlign w:val="subscript"/>
              </w:rPr>
              <w:t>2</w:t>
            </w:r>
          </w:p>
        </w:tc>
        <w:tc>
          <w:tcPr>
            <w:tcW w:w="4260" w:type="dxa"/>
            <w:hideMark/>
          </w:tcPr>
          <w:p w14:paraId="1154C434" w14:textId="77777777" w:rsidR="0054039C" w:rsidRPr="0054039C" w:rsidRDefault="0054039C" w:rsidP="0054039C">
            <w:pPr>
              <w:spacing w:line="360" w:lineRule="atLeast"/>
              <w:jc w:val="center"/>
              <w:textAlignment w:val="baseline"/>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33333"/>
              </w:rPr>
            </w:pPr>
            <w:r w:rsidRPr="0054039C">
              <w:rPr>
                <w:rFonts w:ascii="Arial" w:eastAsia="Times New Roman" w:hAnsi="Arial" w:cs="Arial"/>
                <w:color w:val="333333"/>
              </w:rPr>
              <w:t>2.5 μL of 0.1 M</w:t>
            </w:r>
          </w:p>
        </w:tc>
      </w:tr>
      <w:tr w:rsidR="0054039C" w:rsidRPr="0054039C" w14:paraId="0119A346" w14:textId="77777777" w:rsidTr="00220314">
        <w:trPr>
          <w:cnfStyle w:val="000000100000" w:firstRow="0" w:lastRow="0" w:firstColumn="0" w:lastColumn="0" w:oddVBand="0" w:evenVBand="0" w:oddHBand="1" w:evenHBand="0" w:firstRowFirstColumn="0" w:firstRowLastColumn="0" w:lastRowFirstColumn="0" w:lastRowLastColumn="0"/>
          <w:trHeight w:val="458"/>
        </w:trPr>
        <w:tc>
          <w:tcPr>
            <w:cnfStyle w:val="001000000000" w:firstRow="0" w:lastRow="0" w:firstColumn="1" w:lastColumn="0" w:oddVBand="0" w:evenVBand="0" w:oddHBand="0" w:evenHBand="0" w:firstRowFirstColumn="0" w:firstRowLastColumn="0" w:lastRowFirstColumn="0" w:lastRowLastColumn="0"/>
            <w:tcW w:w="4260" w:type="dxa"/>
            <w:hideMark/>
          </w:tcPr>
          <w:p w14:paraId="6BD56B8A" w14:textId="77777777" w:rsidR="0054039C" w:rsidRPr="0054039C" w:rsidRDefault="0054039C" w:rsidP="0054039C">
            <w:pPr>
              <w:spacing w:after="240" w:line="360" w:lineRule="atLeast"/>
              <w:jc w:val="center"/>
              <w:textAlignment w:val="baseline"/>
              <w:rPr>
                <w:rFonts w:ascii="Arial" w:eastAsia="Times New Roman" w:hAnsi="Arial" w:cs="Arial"/>
                <w:color w:val="333333"/>
              </w:rPr>
            </w:pPr>
            <w:r w:rsidRPr="0054039C">
              <w:rPr>
                <w:rFonts w:ascii="Arial" w:eastAsia="Times New Roman" w:hAnsi="Arial" w:cs="Arial"/>
                <w:color w:val="333333"/>
              </w:rPr>
              <w:t>H</w:t>
            </w:r>
            <w:r w:rsidRPr="0054039C">
              <w:rPr>
                <w:rFonts w:ascii="Arial" w:eastAsia="Times New Roman" w:hAnsi="Arial" w:cs="Arial"/>
                <w:color w:val="333333"/>
                <w:bdr w:val="none" w:sz="0" w:space="0" w:color="auto" w:frame="1"/>
                <w:vertAlign w:val="subscript"/>
              </w:rPr>
              <w:t>2</w:t>
            </w:r>
            <w:r w:rsidRPr="0054039C">
              <w:rPr>
                <w:rFonts w:ascii="Arial" w:eastAsia="Times New Roman" w:hAnsi="Arial" w:cs="Arial"/>
                <w:color w:val="333333"/>
              </w:rPr>
              <w:t>O</w:t>
            </w:r>
          </w:p>
        </w:tc>
        <w:tc>
          <w:tcPr>
            <w:tcW w:w="4260" w:type="dxa"/>
            <w:hideMark/>
          </w:tcPr>
          <w:p w14:paraId="758B6E76" w14:textId="77777777" w:rsidR="0054039C" w:rsidRPr="0054039C" w:rsidRDefault="0054039C" w:rsidP="0054039C">
            <w:pPr>
              <w:spacing w:line="360" w:lineRule="atLeast"/>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33333"/>
              </w:rPr>
            </w:pPr>
            <w:r w:rsidRPr="0054039C">
              <w:rPr>
                <w:rFonts w:ascii="Arial" w:eastAsia="Times New Roman" w:hAnsi="Arial" w:cs="Arial"/>
                <w:color w:val="333333"/>
              </w:rPr>
              <w:t>233 mL + 2 mL 2% NaN</w:t>
            </w:r>
            <w:r w:rsidRPr="0054039C">
              <w:rPr>
                <w:rFonts w:ascii="Arial" w:eastAsia="Times New Roman" w:hAnsi="Arial" w:cs="Arial"/>
                <w:color w:val="333333"/>
                <w:bdr w:val="none" w:sz="0" w:space="0" w:color="auto" w:frame="1"/>
                <w:vertAlign w:val="subscript"/>
              </w:rPr>
              <w:t>3</w:t>
            </w:r>
          </w:p>
        </w:tc>
      </w:tr>
    </w:tbl>
    <w:p w14:paraId="4F997864" w14:textId="77777777" w:rsidR="0054039C" w:rsidRPr="0054039C" w:rsidRDefault="0054039C" w:rsidP="0054039C">
      <w:pPr>
        <w:autoSpaceDE w:val="0"/>
        <w:autoSpaceDN w:val="0"/>
        <w:adjustRightInd w:val="0"/>
        <w:spacing w:after="0" w:line="480" w:lineRule="auto"/>
        <w:jc w:val="both"/>
        <w:rPr>
          <w:rFonts w:ascii="Arial" w:hAnsi="Arial" w:cs="Arial"/>
          <w:b/>
          <w:color w:val="595959" w:themeColor="text1" w:themeTint="A6"/>
          <w:sz w:val="24"/>
        </w:rPr>
      </w:pPr>
    </w:p>
    <w:p w14:paraId="69987570" w14:textId="373013D3" w:rsidR="0054039C" w:rsidRPr="00220314" w:rsidRDefault="0054039C" w:rsidP="0054039C">
      <w:pPr>
        <w:autoSpaceDE w:val="0"/>
        <w:autoSpaceDN w:val="0"/>
        <w:adjustRightInd w:val="0"/>
        <w:spacing w:after="0" w:line="480" w:lineRule="auto"/>
        <w:jc w:val="both"/>
        <w:rPr>
          <w:rFonts w:ascii="Arial" w:hAnsi="Arial" w:cs="Arial"/>
          <w:b/>
          <w:color w:val="595959" w:themeColor="text1" w:themeTint="A6"/>
          <w:szCs w:val="21"/>
        </w:rPr>
      </w:pPr>
      <w:r w:rsidRPr="00220314">
        <w:rPr>
          <w:rFonts w:ascii="Arial" w:hAnsi="Arial" w:cs="Arial"/>
          <w:b/>
          <w:color w:val="595959" w:themeColor="text1" w:themeTint="A6"/>
          <w:szCs w:val="21"/>
        </w:rPr>
        <w:t xml:space="preserve">Table 2.16 Coomassie staining solution </w:t>
      </w:r>
    </w:p>
    <w:tbl>
      <w:tblPr>
        <w:tblStyle w:val="GridTable4-Accent31"/>
        <w:tblW w:w="0" w:type="auto"/>
        <w:tblLook w:val="04A0" w:firstRow="1" w:lastRow="0" w:firstColumn="1" w:lastColumn="0" w:noHBand="0" w:noVBand="1"/>
      </w:tblPr>
      <w:tblGrid>
        <w:gridCol w:w="4260"/>
        <w:gridCol w:w="4260"/>
      </w:tblGrid>
      <w:tr w:rsidR="0054039C" w:rsidRPr="0054039C" w14:paraId="6EDCF539" w14:textId="77777777" w:rsidTr="00220314">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4260" w:type="dxa"/>
            <w:hideMark/>
          </w:tcPr>
          <w:p w14:paraId="18DE3BF5" w14:textId="77777777" w:rsidR="0054039C" w:rsidRPr="0054039C" w:rsidRDefault="0054039C" w:rsidP="0054039C">
            <w:pPr>
              <w:spacing w:line="360" w:lineRule="atLeast"/>
              <w:jc w:val="center"/>
              <w:textAlignment w:val="baseline"/>
              <w:rPr>
                <w:rFonts w:ascii="Arial" w:eastAsia="Times New Roman" w:hAnsi="Arial" w:cs="Arial"/>
                <w:color w:val="666666"/>
                <w:sz w:val="24"/>
                <w:szCs w:val="24"/>
              </w:rPr>
            </w:pPr>
          </w:p>
        </w:tc>
        <w:tc>
          <w:tcPr>
            <w:tcW w:w="4260" w:type="dxa"/>
            <w:hideMark/>
          </w:tcPr>
          <w:p w14:paraId="20AED98F" w14:textId="77777777" w:rsidR="0054039C" w:rsidRPr="0054039C" w:rsidRDefault="0054039C" w:rsidP="0054039C">
            <w:pPr>
              <w:spacing w:line="360" w:lineRule="atLeast"/>
              <w:jc w:val="center"/>
              <w:textAlignment w:val="baseline"/>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666666"/>
                <w:sz w:val="24"/>
                <w:szCs w:val="24"/>
              </w:rPr>
            </w:pPr>
            <w:r w:rsidRPr="0054039C">
              <w:rPr>
                <w:rFonts w:ascii="Arial" w:eastAsia="Times New Roman" w:hAnsi="Arial" w:cs="Arial"/>
                <w:color w:val="666666"/>
                <w:sz w:val="24"/>
                <w:szCs w:val="24"/>
              </w:rPr>
              <w:t>For 100 mL</w:t>
            </w:r>
          </w:p>
        </w:tc>
      </w:tr>
      <w:tr w:rsidR="0054039C" w:rsidRPr="0054039C" w14:paraId="241AF03A" w14:textId="77777777" w:rsidTr="0022031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4260" w:type="dxa"/>
            <w:hideMark/>
          </w:tcPr>
          <w:p w14:paraId="2DB88757" w14:textId="77777777" w:rsidR="0054039C" w:rsidRPr="0054039C" w:rsidRDefault="0054039C" w:rsidP="0054039C">
            <w:pPr>
              <w:spacing w:line="360" w:lineRule="atLeast"/>
              <w:jc w:val="center"/>
              <w:textAlignment w:val="baseline"/>
              <w:rPr>
                <w:rFonts w:ascii="Arial" w:eastAsia="Times New Roman" w:hAnsi="Arial" w:cs="Arial"/>
                <w:color w:val="333333"/>
              </w:rPr>
            </w:pPr>
            <w:r w:rsidRPr="0054039C">
              <w:rPr>
                <w:rFonts w:ascii="Arial" w:eastAsia="Times New Roman" w:hAnsi="Arial" w:cs="Arial"/>
                <w:color w:val="333333"/>
              </w:rPr>
              <w:t>Methanol</w:t>
            </w:r>
          </w:p>
        </w:tc>
        <w:tc>
          <w:tcPr>
            <w:tcW w:w="4260" w:type="dxa"/>
            <w:hideMark/>
          </w:tcPr>
          <w:p w14:paraId="1B2CE35C" w14:textId="77777777" w:rsidR="0054039C" w:rsidRPr="0054039C" w:rsidRDefault="0054039C" w:rsidP="0054039C">
            <w:pPr>
              <w:spacing w:line="360" w:lineRule="atLeast"/>
              <w:jc w:val="center"/>
              <w:textAlignment w:val="baseline"/>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33333"/>
              </w:rPr>
            </w:pPr>
            <w:r w:rsidRPr="0054039C">
              <w:rPr>
                <w:rFonts w:ascii="Arial" w:eastAsia="Times New Roman" w:hAnsi="Arial" w:cs="Arial"/>
                <w:color w:val="333333"/>
              </w:rPr>
              <w:t>40 mL</w:t>
            </w:r>
          </w:p>
        </w:tc>
      </w:tr>
      <w:tr w:rsidR="0054039C" w:rsidRPr="0054039C" w14:paraId="46365528" w14:textId="77777777" w:rsidTr="00220314">
        <w:trPr>
          <w:trHeight w:val="270"/>
        </w:trPr>
        <w:tc>
          <w:tcPr>
            <w:cnfStyle w:val="001000000000" w:firstRow="0" w:lastRow="0" w:firstColumn="1" w:lastColumn="0" w:oddVBand="0" w:evenVBand="0" w:oddHBand="0" w:evenHBand="0" w:firstRowFirstColumn="0" w:firstRowLastColumn="0" w:lastRowFirstColumn="0" w:lastRowLastColumn="0"/>
            <w:tcW w:w="4260" w:type="dxa"/>
            <w:hideMark/>
          </w:tcPr>
          <w:p w14:paraId="387EB690" w14:textId="77777777" w:rsidR="0054039C" w:rsidRPr="0054039C" w:rsidRDefault="0054039C" w:rsidP="0054039C">
            <w:pPr>
              <w:spacing w:line="360" w:lineRule="atLeast"/>
              <w:jc w:val="center"/>
              <w:textAlignment w:val="baseline"/>
              <w:rPr>
                <w:rFonts w:ascii="Arial" w:eastAsia="Times New Roman" w:hAnsi="Arial" w:cs="Arial"/>
                <w:color w:val="333333"/>
              </w:rPr>
            </w:pPr>
            <w:r w:rsidRPr="0054039C">
              <w:rPr>
                <w:rFonts w:ascii="Arial" w:eastAsia="Times New Roman" w:hAnsi="Arial" w:cs="Arial"/>
                <w:color w:val="333333"/>
              </w:rPr>
              <w:t>Acetic acid</w:t>
            </w:r>
          </w:p>
        </w:tc>
        <w:tc>
          <w:tcPr>
            <w:tcW w:w="4260" w:type="dxa"/>
            <w:hideMark/>
          </w:tcPr>
          <w:p w14:paraId="702E95D1" w14:textId="77777777" w:rsidR="0054039C" w:rsidRPr="0054039C" w:rsidRDefault="0054039C" w:rsidP="0054039C">
            <w:pPr>
              <w:spacing w:line="360" w:lineRule="atLeast"/>
              <w:jc w:val="center"/>
              <w:textAlignment w:val="baseline"/>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33333"/>
              </w:rPr>
            </w:pPr>
            <w:r w:rsidRPr="0054039C">
              <w:rPr>
                <w:rFonts w:ascii="Arial" w:eastAsia="Times New Roman" w:hAnsi="Arial" w:cs="Arial"/>
                <w:color w:val="333333"/>
              </w:rPr>
              <w:t>10 mL</w:t>
            </w:r>
          </w:p>
        </w:tc>
      </w:tr>
      <w:tr w:rsidR="0054039C" w:rsidRPr="0054039C" w14:paraId="766B5C07" w14:textId="77777777" w:rsidTr="0022031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4260" w:type="dxa"/>
            <w:hideMark/>
          </w:tcPr>
          <w:p w14:paraId="2D6DBE78" w14:textId="77777777" w:rsidR="0054039C" w:rsidRPr="0054039C" w:rsidRDefault="0054039C" w:rsidP="0054039C">
            <w:pPr>
              <w:spacing w:line="360" w:lineRule="atLeast"/>
              <w:jc w:val="center"/>
              <w:textAlignment w:val="baseline"/>
              <w:rPr>
                <w:rFonts w:ascii="Arial" w:eastAsia="Times New Roman" w:hAnsi="Arial" w:cs="Arial"/>
                <w:color w:val="333333"/>
              </w:rPr>
            </w:pPr>
            <w:r w:rsidRPr="0054039C">
              <w:rPr>
                <w:rFonts w:ascii="Arial" w:eastAsia="Times New Roman" w:hAnsi="Arial" w:cs="Arial"/>
                <w:color w:val="333333"/>
              </w:rPr>
              <w:t>H</w:t>
            </w:r>
            <w:r w:rsidRPr="0054039C">
              <w:rPr>
                <w:rFonts w:ascii="Arial" w:eastAsia="Times New Roman" w:hAnsi="Arial" w:cs="Arial"/>
                <w:color w:val="333333"/>
                <w:bdr w:val="none" w:sz="0" w:space="0" w:color="auto" w:frame="1"/>
                <w:vertAlign w:val="subscript"/>
              </w:rPr>
              <w:t>2</w:t>
            </w:r>
            <w:r w:rsidRPr="0054039C">
              <w:rPr>
                <w:rFonts w:ascii="Arial" w:eastAsia="Times New Roman" w:hAnsi="Arial" w:cs="Arial"/>
                <w:color w:val="333333"/>
              </w:rPr>
              <w:t>O</w:t>
            </w:r>
          </w:p>
        </w:tc>
        <w:tc>
          <w:tcPr>
            <w:tcW w:w="4260" w:type="dxa"/>
            <w:hideMark/>
          </w:tcPr>
          <w:p w14:paraId="6630BA63" w14:textId="77777777" w:rsidR="0054039C" w:rsidRPr="0054039C" w:rsidRDefault="0054039C" w:rsidP="0054039C">
            <w:pPr>
              <w:spacing w:line="360" w:lineRule="atLeast"/>
              <w:jc w:val="center"/>
              <w:textAlignment w:val="baseline"/>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33333"/>
              </w:rPr>
            </w:pPr>
            <w:r w:rsidRPr="0054039C">
              <w:rPr>
                <w:rFonts w:ascii="Arial" w:eastAsia="Times New Roman" w:hAnsi="Arial" w:cs="Arial"/>
                <w:color w:val="333333"/>
              </w:rPr>
              <w:t>50 mL</w:t>
            </w:r>
          </w:p>
        </w:tc>
      </w:tr>
      <w:tr w:rsidR="0054039C" w:rsidRPr="0054039C" w14:paraId="58CE1B97" w14:textId="77777777" w:rsidTr="00220314">
        <w:trPr>
          <w:trHeight w:val="422"/>
        </w:trPr>
        <w:tc>
          <w:tcPr>
            <w:cnfStyle w:val="001000000000" w:firstRow="0" w:lastRow="0" w:firstColumn="1" w:lastColumn="0" w:oddVBand="0" w:evenVBand="0" w:oddHBand="0" w:evenHBand="0" w:firstRowFirstColumn="0" w:firstRowLastColumn="0" w:lastRowFirstColumn="0" w:lastRowLastColumn="0"/>
            <w:tcW w:w="4260" w:type="dxa"/>
            <w:hideMark/>
          </w:tcPr>
          <w:p w14:paraId="0FB6603F" w14:textId="77777777" w:rsidR="0054039C" w:rsidRPr="0054039C" w:rsidRDefault="0054039C" w:rsidP="0054039C">
            <w:pPr>
              <w:spacing w:line="360" w:lineRule="atLeast"/>
              <w:jc w:val="center"/>
              <w:textAlignment w:val="baseline"/>
              <w:rPr>
                <w:rFonts w:ascii="Arial" w:eastAsia="Times New Roman" w:hAnsi="Arial" w:cs="Arial"/>
                <w:color w:val="333333"/>
              </w:rPr>
            </w:pPr>
            <w:r w:rsidRPr="0054039C">
              <w:rPr>
                <w:rFonts w:ascii="Arial" w:eastAsia="Times New Roman" w:hAnsi="Arial" w:cs="Arial"/>
                <w:color w:val="333333"/>
              </w:rPr>
              <w:t>Coomassie Blue</w:t>
            </w:r>
          </w:p>
        </w:tc>
        <w:tc>
          <w:tcPr>
            <w:tcW w:w="4260" w:type="dxa"/>
            <w:hideMark/>
          </w:tcPr>
          <w:p w14:paraId="62971359" w14:textId="77777777" w:rsidR="0054039C" w:rsidRPr="0054039C" w:rsidRDefault="0054039C" w:rsidP="0054039C">
            <w:pPr>
              <w:spacing w:line="360" w:lineRule="atLeast"/>
              <w:jc w:val="center"/>
              <w:textAlignment w:val="baseline"/>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33333"/>
              </w:rPr>
            </w:pPr>
            <w:r w:rsidRPr="0054039C">
              <w:rPr>
                <w:rFonts w:ascii="Arial" w:eastAsia="Times New Roman" w:hAnsi="Arial" w:cs="Arial"/>
                <w:color w:val="333333"/>
              </w:rPr>
              <w:t>0.5 g</w:t>
            </w:r>
          </w:p>
        </w:tc>
      </w:tr>
    </w:tbl>
    <w:p w14:paraId="76055D06" w14:textId="77777777" w:rsidR="0054039C" w:rsidRPr="0054039C" w:rsidRDefault="0054039C" w:rsidP="0054039C">
      <w:pPr>
        <w:autoSpaceDE w:val="0"/>
        <w:autoSpaceDN w:val="0"/>
        <w:adjustRightInd w:val="0"/>
        <w:spacing w:after="0" w:line="480" w:lineRule="auto"/>
        <w:jc w:val="both"/>
        <w:rPr>
          <w:rFonts w:ascii="Arial" w:hAnsi="Arial" w:cs="Arial"/>
          <w:b/>
          <w:color w:val="595959" w:themeColor="text1" w:themeTint="A6"/>
          <w:lang w:val="en-US"/>
        </w:rPr>
      </w:pPr>
    </w:p>
    <w:p w14:paraId="46CEA1F8" w14:textId="77777777" w:rsidR="0054039C" w:rsidRPr="00220314" w:rsidRDefault="0054039C" w:rsidP="0054039C">
      <w:pPr>
        <w:autoSpaceDE w:val="0"/>
        <w:autoSpaceDN w:val="0"/>
        <w:adjustRightInd w:val="0"/>
        <w:spacing w:after="0" w:line="480" w:lineRule="auto"/>
        <w:jc w:val="both"/>
        <w:rPr>
          <w:rFonts w:ascii="Arial" w:hAnsi="Arial" w:cs="Arial"/>
          <w:b/>
          <w:color w:val="595959" w:themeColor="text1" w:themeTint="A6"/>
          <w:szCs w:val="21"/>
          <w:lang w:val="en-US"/>
        </w:rPr>
      </w:pPr>
      <w:r w:rsidRPr="00220314">
        <w:rPr>
          <w:rFonts w:ascii="Arial" w:hAnsi="Arial" w:cs="Arial"/>
          <w:b/>
          <w:color w:val="595959" w:themeColor="text1" w:themeTint="A6"/>
          <w:szCs w:val="21"/>
          <w:lang w:val="en-US"/>
        </w:rPr>
        <w:t xml:space="preserve">Table 2.17 De-staining solution </w:t>
      </w:r>
    </w:p>
    <w:tbl>
      <w:tblPr>
        <w:tblStyle w:val="GridTable4-Accent31"/>
        <w:tblW w:w="0" w:type="auto"/>
        <w:tblLook w:val="04A0" w:firstRow="1" w:lastRow="0" w:firstColumn="1" w:lastColumn="0" w:noHBand="0" w:noVBand="1"/>
      </w:tblPr>
      <w:tblGrid>
        <w:gridCol w:w="4260"/>
        <w:gridCol w:w="4260"/>
      </w:tblGrid>
      <w:tr w:rsidR="0054039C" w:rsidRPr="0054039C" w14:paraId="08A52439" w14:textId="77777777" w:rsidTr="00220314">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4260" w:type="dxa"/>
            <w:hideMark/>
          </w:tcPr>
          <w:p w14:paraId="00288B6D" w14:textId="77777777" w:rsidR="0054039C" w:rsidRPr="0054039C" w:rsidRDefault="0054039C" w:rsidP="0054039C">
            <w:pPr>
              <w:spacing w:line="360" w:lineRule="atLeast"/>
              <w:jc w:val="center"/>
              <w:textAlignment w:val="baseline"/>
              <w:rPr>
                <w:rFonts w:ascii="Arial" w:eastAsia="Times New Roman" w:hAnsi="Arial" w:cs="Arial"/>
                <w:color w:val="666666"/>
                <w:sz w:val="24"/>
                <w:szCs w:val="24"/>
              </w:rPr>
            </w:pPr>
          </w:p>
        </w:tc>
        <w:tc>
          <w:tcPr>
            <w:tcW w:w="4260" w:type="dxa"/>
            <w:hideMark/>
          </w:tcPr>
          <w:p w14:paraId="2E799064" w14:textId="77777777" w:rsidR="0054039C" w:rsidRPr="0054039C" w:rsidRDefault="0054039C" w:rsidP="0054039C">
            <w:pPr>
              <w:spacing w:line="360" w:lineRule="atLeast"/>
              <w:jc w:val="center"/>
              <w:textAlignment w:val="baseline"/>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666666"/>
                <w:sz w:val="24"/>
                <w:szCs w:val="24"/>
              </w:rPr>
            </w:pPr>
            <w:r w:rsidRPr="0054039C">
              <w:rPr>
                <w:rFonts w:ascii="Arial" w:eastAsia="Times New Roman" w:hAnsi="Arial" w:cs="Arial"/>
                <w:color w:val="666666"/>
                <w:sz w:val="24"/>
                <w:szCs w:val="24"/>
              </w:rPr>
              <w:t>For 1 L</w:t>
            </w:r>
          </w:p>
        </w:tc>
      </w:tr>
      <w:tr w:rsidR="0054039C" w:rsidRPr="0054039C" w14:paraId="5FB8D82C" w14:textId="77777777" w:rsidTr="0022031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4260" w:type="dxa"/>
            <w:hideMark/>
          </w:tcPr>
          <w:p w14:paraId="426B630B" w14:textId="77777777" w:rsidR="0054039C" w:rsidRPr="0054039C" w:rsidRDefault="0054039C" w:rsidP="0054039C">
            <w:pPr>
              <w:spacing w:line="360" w:lineRule="atLeast"/>
              <w:jc w:val="center"/>
              <w:textAlignment w:val="baseline"/>
              <w:rPr>
                <w:rFonts w:ascii="Arial" w:eastAsia="Times New Roman" w:hAnsi="Arial" w:cs="Arial"/>
                <w:color w:val="333333"/>
              </w:rPr>
            </w:pPr>
            <w:r w:rsidRPr="0054039C">
              <w:rPr>
                <w:rFonts w:ascii="Arial" w:eastAsia="Times New Roman" w:hAnsi="Arial" w:cs="Arial"/>
                <w:color w:val="333333"/>
              </w:rPr>
              <w:t>Methanol</w:t>
            </w:r>
          </w:p>
        </w:tc>
        <w:tc>
          <w:tcPr>
            <w:tcW w:w="4260" w:type="dxa"/>
            <w:hideMark/>
          </w:tcPr>
          <w:p w14:paraId="2CC369A6" w14:textId="77777777" w:rsidR="0054039C" w:rsidRPr="0054039C" w:rsidRDefault="0054039C" w:rsidP="0054039C">
            <w:pPr>
              <w:spacing w:line="360" w:lineRule="atLeast"/>
              <w:jc w:val="center"/>
              <w:textAlignment w:val="baseline"/>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33333"/>
              </w:rPr>
            </w:pPr>
            <w:r w:rsidRPr="0054039C">
              <w:rPr>
                <w:rFonts w:ascii="Arial" w:eastAsia="Times New Roman" w:hAnsi="Arial" w:cs="Arial"/>
                <w:color w:val="333333"/>
              </w:rPr>
              <w:t>400 mL</w:t>
            </w:r>
          </w:p>
        </w:tc>
      </w:tr>
      <w:tr w:rsidR="0054039C" w:rsidRPr="0054039C" w14:paraId="17E45C78" w14:textId="77777777" w:rsidTr="00220314">
        <w:trPr>
          <w:trHeight w:val="270"/>
        </w:trPr>
        <w:tc>
          <w:tcPr>
            <w:cnfStyle w:val="001000000000" w:firstRow="0" w:lastRow="0" w:firstColumn="1" w:lastColumn="0" w:oddVBand="0" w:evenVBand="0" w:oddHBand="0" w:evenHBand="0" w:firstRowFirstColumn="0" w:firstRowLastColumn="0" w:lastRowFirstColumn="0" w:lastRowLastColumn="0"/>
            <w:tcW w:w="4260" w:type="dxa"/>
            <w:hideMark/>
          </w:tcPr>
          <w:p w14:paraId="514A0C24" w14:textId="77777777" w:rsidR="0054039C" w:rsidRPr="0054039C" w:rsidRDefault="0054039C" w:rsidP="0054039C">
            <w:pPr>
              <w:spacing w:line="360" w:lineRule="atLeast"/>
              <w:jc w:val="center"/>
              <w:textAlignment w:val="baseline"/>
              <w:rPr>
                <w:rFonts w:ascii="Arial" w:eastAsia="Times New Roman" w:hAnsi="Arial" w:cs="Arial"/>
                <w:color w:val="333333"/>
              </w:rPr>
            </w:pPr>
            <w:r w:rsidRPr="0054039C">
              <w:rPr>
                <w:rFonts w:ascii="Arial" w:eastAsia="Times New Roman" w:hAnsi="Arial" w:cs="Arial"/>
                <w:color w:val="333333"/>
              </w:rPr>
              <w:t>Acetic acid</w:t>
            </w:r>
          </w:p>
        </w:tc>
        <w:tc>
          <w:tcPr>
            <w:tcW w:w="4260" w:type="dxa"/>
            <w:hideMark/>
          </w:tcPr>
          <w:p w14:paraId="20C09A18" w14:textId="77777777" w:rsidR="0054039C" w:rsidRPr="0054039C" w:rsidRDefault="0054039C" w:rsidP="0054039C">
            <w:pPr>
              <w:spacing w:line="360" w:lineRule="atLeast"/>
              <w:jc w:val="center"/>
              <w:textAlignment w:val="baseline"/>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33333"/>
              </w:rPr>
            </w:pPr>
            <w:r w:rsidRPr="0054039C">
              <w:rPr>
                <w:rFonts w:ascii="Arial" w:eastAsia="Times New Roman" w:hAnsi="Arial" w:cs="Arial"/>
                <w:color w:val="333333"/>
              </w:rPr>
              <w:t>100 mL</w:t>
            </w:r>
          </w:p>
        </w:tc>
      </w:tr>
      <w:tr w:rsidR="0054039C" w:rsidRPr="0054039C" w14:paraId="6DDE147E" w14:textId="77777777" w:rsidTr="0022031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4260" w:type="dxa"/>
            <w:hideMark/>
          </w:tcPr>
          <w:p w14:paraId="2EBC2197" w14:textId="77777777" w:rsidR="0054039C" w:rsidRPr="0054039C" w:rsidRDefault="0054039C" w:rsidP="0054039C">
            <w:pPr>
              <w:spacing w:line="360" w:lineRule="atLeast"/>
              <w:jc w:val="center"/>
              <w:textAlignment w:val="baseline"/>
              <w:rPr>
                <w:rFonts w:ascii="Arial" w:eastAsia="Times New Roman" w:hAnsi="Arial" w:cs="Arial"/>
                <w:color w:val="333333"/>
              </w:rPr>
            </w:pPr>
            <w:r w:rsidRPr="0054039C">
              <w:rPr>
                <w:rFonts w:ascii="Arial" w:eastAsia="Times New Roman" w:hAnsi="Arial" w:cs="Arial"/>
                <w:color w:val="333333"/>
              </w:rPr>
              <w:t>H</w:t>
            </w:r>
            <w:r w:rsidRPr="0054039C">
              <w:rPr>
                <w:rFonts w:ascii="Arial" w:eastAsia="Times New Roman" w:hAnsi="Arial" w:cs="Arial"/>
                <w:color w:val="333333"/>
                <w:bdr w:val="none" w:sz="0" w:space="0" w:color="auto" w:frame="1"/>
                <w:vertAlign w:val="subscript"/>
              </w:rPr>
              <w:t>2</w:t>
            </w:r>
            <w:r w:rsidRPr="0054039C">
              <w:rPr>
                <w:rFonts w:ascii="Arial" w:eastAsia="Times New Roman" w:hAnsi="Arial" w:cs="Arial"/>
                <w:color w:val="333333"/>
              </w:rPr>
              <w:t>O</w:t>
            </w:r>
          </w:p>
        </w:tc>
        <w:tc>
          <w:tcPr>
            <w:tcW w:w="4260" w:type="dxa"/>
            <w:hideMark/>
          </w:tcPr>
          <w:p w14:paraId="026167F7" w14:textId="77777777" w:rsidR="0054039C" w:rsidRPr="0054039C" w:rsidRDefault="0054039C" w:rsidP="0054039C">
            <w:pPr>
              <w:spacing w:line="360" w:lineRule="atLeast"/>
              <w:ind w:left="720"/>
              <w:contextualSpacing/>
              <w:textAlignment w:val="baseline"/>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33333"/>
              </w:rPr>
            </w:pPr>
            <w:r w:rsidRPr="0054039C">
              <w:rPr>
                <w:rFonts w:ascii="Arial" w:eastAsia="Times New Roman" w:hAnsi="Arial" w:cs="Arial"/>
                <w:color w:val="333333"/>
              </w:rPr>
              <w:t xml:space="preserve">               500 mL</w:t>
            </w:r>
          </w:p>
        </w:tc>
      </w:tr>
    </w:tbl>
    <w:p w14:paraId="7BC51497" w14:textId="77777777" w:rsidR="0054039C" w:rsidRPr="0054039C" w:rsidRDefault="0054039C" w:rsidP="0095592C">
      <w:pPr>
        <w:pStyle w:val="Heading3"/>
        <w:rPr>
          <w:rFonts w:ascii="Arial" w:hAnsi="Arial" w:cs="Arial"/>
          <w:color w:val="595959" w:themeColor="text1" w:themeTint="A6"/>
          <w:lang w:val="en-US"/>
        </w:rPr>
      </w:pPr>
      <w:bookmarkStart w:id="185" w:name="_Toc515897488"/>
      <w:bookmarkStart w:id="186" w:name="_Toc534278620"/>
    </w:p>
    <w:p w14:paraId="52B3EE7F" w14:textId="35BEDB52" w:rsidR="0054039C" w:rsidRDefault="0054039C" w:rsidP="0095592C">
      <w:pPr>
        <w:pStyle w:val="Heading3"/>
        <w:rPr>
          <w:rFonts w:ascii="Arial" w:hAnsi="Arial" w:cs="Arial"/>
          <w:color w:val="595959" w:themeColor="text1" w:themeTint="A6"/>
          <w:lang w:val="en-US"/>
        </w:rPr>
      </w:pPr>
      <w:bookmarkStart w:id="187" w:name="_Toc34208329"/>
      <w:r w:rsidRPr="0054039C">
        <w:rPr>
          <w:rFonts w:ascii="Arial" w:hAnsi="Arial" w:cs="Arial"/>
          <w:color w:val="595959" w:themeColor="text1" w:themeTint="A6"/>
          <w:lang w:val="en-US"/>
        </w:rPr>
        <w:t xml:space="preserve">2.2.10 Matrix </w:t>
      </w:r>
      <w:bookmarkEnd w:id="185"/>
      <w:r w:rsidRPr="001C5D8A">
        <w:rPr>
          <w:rFonts w:ascii="Arial" w:hAnsi="Arial" w:cs="Arial"/>
          <w:color w:val="595959" w:themeColor="text1" w:themeTint="A6"/>
        </w:rPr>
        <w:t>characterisation</w:t>
      </w:r>
      <w:bookmarkEnd w:id="186"/>
      <w:bookmarkEnd w:id="187"/>
      <w:r w:rsidRPr="0054039C">
        <w:rPr>
          <w:rFonts w:ascii="Arial" w:hAnsi="Arial" w:cs="Arial"/>
          <w:color w:val="595959" w:themeColor="text1" w:themeTint="A6"/>
          <w:lang w:val="en-US"/>
        </w:rPr>
        <w:t xml:space="preserve"> </w:t>
      </w:r>
    </w:p>
    <w:p w14:paraId="75F0A357" w14:textId="77777777" w:rsidR="0095592C" w:rsidRPr="0095592C" w:rsidRDefault="0095592C" w:rsidP="0095592C">
      <w:pPr>
        <w:pStyle w:val="Heading4"/>
        <w:rPr>
          <w:lang w:val="en-US"/>
        </w:rPr>
      </w:pPr>
    </w:p>
    <w:p w14:paraId="5BD171E6" w14:textId="77777777" w:rsidR="0054039C" w:rsidRPr="0054039C" w:rsidRDefault="0054039C" w:rsidP="0095592C">
      <w:pPr>
        <w:pStyle w:val="Heading4"/>
        <w:rPr>
          <w:rFonts w:ascii="Arial" w:hAnsi="Arial" w:cs="Arial"/>
          <w:color w:val="595959" w:themeColor="text1" w:themeTint="A6"/>
          <w:lang w:val="en-US"/>
        </w:rPr>
      </w:pPr>
      <w:bookmarkStart w:id="188" w:name="_Toc534278621"/>
      <w:bookmarkStart w:id="189" w:name="_Toc34208330"/>
      <w:bookmarkStart w:id="190" w:name="_Toc515897489"/>
      <w:r w:rsidRPr="0054039C">
        <w:rPr>
          <w:rFonts w:ascii="Arial" w:hAnsi="Arial" w:cs="Arial"/>
          <w:color w:val="595959" w:themeColor="text1" w:themeTint="A6"/>
          <w:lang w:val="en-US"/>
        </w:rPr>
        <w:t>2.2.10.1 Trans-epithelial electrical resistance</w:t>
      </w:r>
      <w:bookmarkEnd w:id="188"/>
      <w:bookmarkEnd w:id="189"/>
      <w:r w:rsidRPr="0054039C">
        <w:rPr>
          <w:rFonts w:ascii="Arial" w:hAnsi="Arial" w:cs="Arial"/>
          <w:color w:val="595959" w:themeColor="text1" w:themeTint="A6"/>
          <w:lang w:val="en-US"/>
        </w:rPr>
        <w:t xml:space="preserve"> </w:t>
      </w:r>
      <w:bookmarkEnd w:id="190"/>
    </w:p>
    <w:p w14:paraId="0D0B76C0" w14:textId="77777777" w:rsidR="0054039C" w:rsidRPr="0054039C" w:rsidRDefault="0054039C" w:rsidP="0054039C">
      <w:pPr>
        <w:rPr>
          <w:lang w:val="en-US"/>
        </w:rPr>
      </w:pPr>
    </w:p>
    <w:p w14:paraId="0BD75056" w14:textId="438F0DE3" w:rsidR="0054039C" w:rsidRPr="0054039C" w:rsidRDefault="0054039C" w:rsidP="0054039C">
      <w:pPr>
        <w:autoSpaceDE w:val="0"/>
        <w:autoSpaceDN w:val="0"/>
        <w:adjustRightInd w:val="0"/>
        <w:spacing w:after="0" w:line="480" w:lineRule="auto"/>
        <w:jc w:val="both"/>
        <w:rPr>
          <w:rFonts w:ascii="Arial" w:hAnsi="Arial" w:cs="Arial"/>
          <w:color w:val="595959" w:themeColor="text1" w:themeTint="A6"/>
        </w:rPr>
      </w:pPr>
      <w:bookmarkStart w:id="191" w:name="_Hlk535586934"/>
      <w:r w:rsidRPr="0054039C">
        <w:rPr>
          <w:rFonts w:ascii="Arial" w:hAnsi="Arial" w:cs="Arial"/>
          <w:color w:val="595959" w:themeColor="text1" w:themeTint="A6"/>
        </w:rPr>
        <w:lastRenderedPageBreak/>
        <w:t xml:space="preserve">Cell matrix integrity was confirmed by </w:t>
      </w:r>
      <w:r w:rsidRPr="0054039C">
        <w:rPr>
          <w:rFonts w:ascii="Arial" w:hAnsi="Arial" w:cs="Arial"/>
          <w:color w:val="595959" w:themeColor="text1" w:themeTint="A6"/>
          <w:lang w:val="en-US"/>
        </w:rPr>
        <w:t>trans-epithelial electrical resistance (</w:t>
      </w:r>
      <w:r w:rsidRPr="0054039C">
        <w:rPr>
          <w:rFonts w:ascii="Arial" w:hAnsi="Arial" w:cs="Arial"/>
          <w:color w:val="595959" w:themeColor="text1" w:themeTint="A6"/>
        </w:rPr>
        <w:t>TEER); a method of measuring the resistance produced by cell barrier formation, detected by a dual electrode positioned in both the apical and basolateral compartments of the developing fibroblast-derived matrices and full thickness oral mucosa equivalents (Figure 2.5). The elec</w:t>
      </w:r>
      <w:r w:rsidR="001C5D8A">
        <w:rPr>
          <w:rFonts w:ascii="Arial" w:hAnsi="Arial" w:cs="Arial"/>
          <w:color w:val="595959" w:themeColor="text1" w:themeTint="A6"/>
        </w:rPr>
        <w:t>t</w:t>
      </w:r>
      <w:r w:rsidRPr="0054039C">
        <w:rPr>
          <w:rFonts w:ascii="Arial" w:hAnsi="Arial" w:cs="Arial"/>
          <w:color w:val="595959" w:themeColor="text1" w:themeTint="A6"/>
        </w:rPr>
        <w:t>rodes were washed with ethanol and the developing matrices were washed with PBS and 300 μL and 500 μL was added to the inner and outer well of the cell culture system, respectively. The TEER values were measured using an EVOM</w:t>
      </w:r>
      <w:r w:rsidRPr="0054039C">
        <w:rPr>
          <w:rFonts w:ascii="Arial" w:hAnsi="Arial" w:cs="Arial"/>
          <w:color w:val="595959" w:themeColor="text1" w:themeTint="A6"/>
          <w:vertAlign w:val="superscript"/>
        </w:rPr>
        <w:t>2</w:t>
      </w:r>
      <w:r w:rsidRPr="0054039C">
        <w:rPr>
          <w:rFonts w:ascii="Arial" w:hAnsi="Arial" w:cs="Arial"/>
          <w:color w:val="595959" w:themeColor="text1" w:themeTint="A6"/>
        </w:rPr>
        <w:t xml:space="preserve"> voltmeter at three locations per matrix/model, and the average of these values was used. The change of resistance was analysed over time for a total of 41 days. A blank resistance measurement of the insert plus PBS was also measured for preconditioning. </w:t>
      </w:r>
      <w:bookmarkEnd w:id="191"/>
      <w:r w:rsidRPr="0054039C">
        <w:rPr>
          <w:rFonts w:ascii="Arial" w:hAnsi="Arial" w:cs="Arial"/>
          <w:color w:val="595959" w:themeColor="text1" w:themeTint="A6"/>
        </w:rPr>
        <w:t xml:space="preserve">The following calculation was used to accurately measure resistance: </w:t>
      </w:r>
    </w:p>
    <w:p w14:paraId="5E31A9A3" w14:textId="77777777" w:rsidR="0054039C" w:rsidRPr="0054039C" w:rsidRDefault="0054039C" w:rsidP="0054039C">
      <w:pPr>
        <w:autoSpaceDE w:val="0"/>
        <w:autoSpaceDN w:val="0"/>
        <w:adjustRightInd w:val="0"/>
        <w:spacing w:after="0" w:line="240" w:lineRule="auto"/>
        <w:ind w:firstLine="720"/>
        <w:jc w:val="center"/>
        <w:rPr>
          <w:rFonts w:ascii="Arial" w:hAnsi="Arial" w:cs="Arial"/>
          <w:color w:val="595959" w:themeColor="text1" w:themeTint="A6"/>
          <w:sz w:val="28"/>
          <w:szCs w:val="28"/>
          <w:vertAlign w:val="superscript"/>
        </w:rPr>
      </w:pPr>
      <w:r w:rsidRPr="0054039C">
        <w:rPr>
          <w:rFonts w:ascii="Arial" w:hAnsi="Arial" w:cs="Arial"/>
          <w:color w:val="595959" w:themeColor="text1" w:themeTint="A6"/>
          <w:sz w:val="28"/>
          <w:szCs w:val="28"/>
        </w:rPr>
        <w:t xml:space="preserve">R </w:t>
      </w:r>
      <w:r w:rsidRPr="0054039C">
        <w:rPr>
          <w:rFonts w:ascii="Arial" w:hAnsi="Arial" w:cs="Arial"/>
          <w:color w:val="595959" w:themeColor="text1" w:themeTint="A6"/>
          <w:sz w:val="28"/>
          <w:szCs w:val="28"/>
          <w:vertAlign w:val="subscript"/>
        </w:rPr>
        <w:t>total</w:t>
      </w:r>
      <w:r w:rsidRPr="0054039C">
        <w:rPr>
          <w:rFonts w:ascii="Arial" w:hAnsi="Arial" w:cs="Arial"/>
          <w:color w:val="595959" w:themeColor="text1" w:themeTint="A6"/>
          <w:sz w:val="28"/>
          <w:szCs w:val="28"/>
        </w:rPr>
        <w:t>= x</w:t>
      </w:r>
      <w:r w:rsidRPr="0054039C">
        <w:rPr>
          <w:rFonts w:ascii="Arial" w:hAnsi="Arial" w:cs="Arial"/>
          <w:color w:val="595959" w:themeColor="text1" w:themeTint="A6"/>
          <w:sz w:val="28"/>
          <w:szCs w:val="28"/>
          <w:vertAlign w:val="superscript"/>
        </w:rPr>
        <w:t>1</w:t>
      </w:r>
    </w:p>
    <w:p w14:paraId="3245CD79" w14:textId="77777777" w:rsidR="0054039C" w:rsidRPr="0054039C" w:rsidRDefault="0054039C" w:rsidP="0054039C">
      <w:pPr>
        <w:autoSpaceDE w:val="0"/>
        <w:autoSpaceDN w:val="0"/>
        <w:adjustRightInd w:val="0"/>
        <w:spacing w:after="0" w:line="240" w:lineRule="auto"/>
        <w:ind w:firstLine="720"/>
        <w:jc w:val="center"/>
        <w:rPr>
          <w:rFonts w:ascii="Arial" w:hAnsi="Arial" w:cs="Arial"/>
          <w:color w:val="595959" w:themeColor="text1" w:themeTint="A6"/>
          <w:sz w:val="28"/>
          <w:szCs w:val="28"/>
          <w:vertAlign w:val="superscript"/>
        </w:rPr>
      </w:pPr>
      <w:r w:rsidRPr="0054039C">
        <w:rPr>
          <w:rFonts w:ascii="Arial" w:hAnsi="Arial" w:cs="Arial"/>
          <w:color w:val="595959" w:themeColor="text1" w:themeTint="A6"/>
          <w:sz w:val="28"/>
          <w:szCs w:val="28"/>
        </w:rPr>
        <w:t xml:space="preserve">R </w:t>
      </w:r>
      <w:r w:rsidRPr="0054039C">
        <w:rPr>
          <w:rFonts w:ascii="Arial" w:hAnsi="Arial" w:cs="Arial"/>
          <w:color w:val="595959" w:themeColor="text1" w:themeTint="A6"/>
          <w:sz w:val="28"/>
          <w:szCs w:val="28"/>
          <w:vertAlign w:val="subscript"/>
        </w:rPr>
        <w:t>blank</w:t>
      </w:r>
      <w:r w:rsidRPr="0054039C">
        <w:rPr>
          <w:rFonts w:ascii="Arial" w:hAnsi="Arial" w:cs="Arial"/>
          <w:color w:val="595959" w:themeColor="text1" w:themeTint="A6"/>
          <w:sz w:val="28"/>
          <w:szCs w:val="28"/>
        </w:rPr>
        <w:t>= x</w:t>
      </w:r>
      <w:r w:rsidRPr="0054039C">
        <w:rPr>
          <w:rFonts w:ascii="Arial" w:hAnsi="Arial" w:cs="Arial"/>
          <w:color w:val="595959" w:themeColor="text1" w:themeTint="A6"/>
          <w:sz w:val="28"/>
          <w:szCs w:val="28"/>
          <w:vertAlign w:val="superscript"/>
        </w:rPr>
        <w:t>2</w:t>
      </w:r>
    </w:p>
    <w:p w14:paraId="3AE86D14" w14:textId="77777777" w:rsidR="0054039C" w:rsidRPr="0054039C" w:rsidRDefault="0054039C" w:rsidP="0054039C">
      <w:pPr>
        <w:autoSpaceDE w:val="0"/>
        <w:autoSpaceDN w:val="0"/>
        <w:adjustRightInd w:val="0"/>
        <w:spacing w:after="0" w:line="240" w:lineRule="auto"/>
        <w:ind w:firstLine="720"/>
        <w:jc w:val="center"/>
        <w:rPr>
          <w:rFonts w:ascii="Arial" w:hAnsi="Arial" w:cs="Arial"/>
          <w:color w:val="595959" w:themeColor="text1" w:themeTint="A6"/>
          <w:sz w:val="28"/>
          <w:szCs w:val="28"/>
        </w:rPr>
      </w:pPr>
      <w:r w:rsidRPr="0054039C">
        <w:rPr>
          <w:rFonts w:ascii="Arial" w:hAnsi="Arial" w:cs="Arial"/>
          <w:color w:val="595959" w:themeColor="text1" w:themeTint="A6"/>
          <w:sz w:val="28"/>
          <w:szCs w:val="28"/>
        </w:rPr>
        <w:t xml:space="preserve">R </w:t>
      </w:r>
      <w:r w:rsidRPr="0054039C">
        <w:rPr>
          <w:rFonts w:ascii="Arial" w:hAnsi="Arial" w:cs="Arial"/>
          <w:color w:val="595959" w:themeColor="text1" w:themeTint="A6"/>
          <w:sz w:val="28"/>
          <w:szCs w:val="28"/>
          <w:vertAlign w:val="subscript"/>
        </w:rPr>
        <w:t>blank</w:t>
      </w:r>
      <w:r w:rsidRPr="0054039C">
        <w:rPr>
          <w:rFonts w:ascii="Arial" w:hAnsi="Arial" w:cs="Arial"/>
          <w:color w:val="595959" w:themeColor="text1" w:themeTint="A6"/>
          <w:sz w:val="28"/>
          <w:szCs w:val="28"/>
        </w:rPr>
        <w:t xml:space="preserve"> +R </w:t>
      </w:r>
      <w:r w:rsidRPr="0054039C">
        <w:rPr>
          <w:rFonts w:ascii="Arial" w:hAnsi="Arial" w:cs="Arial"/>
          <w:color w:val="595959" w:themeColor="text1" w:themeTint="A6"/>
          <w:sz w:val="28"/>
          <w:szCs w:val="28"/>
          <w:vertAlign w:val="subscript"/>
        </w:rPr>
        <w:t>true tissue</w:t>
      </w:r>
      <w:r w:rsidRPr="0054039C">
        <w:rPr>
          <w:rFonts w:ascii="Arial" w:hAnsi="Arial" w:cs="Arial"/>
          <w:color w:val="595959" w:themeColor="text1" w:themeTint="A6"/>
          <w:sz w:val="28"/>
          <w:szCs w:val="28"/>
        </w:rPr>
        <w:t xml:space="preserve">= R </w:t>
      </w:r>
      <w:r w:rsidRPr="0054039C">
        <w:rPr>
          <w:rFonts w:ascii="Arial" w:hAnsi="Arial" w:cs="Arial"/>
          <w:color w:val="595959" w:themeColor="text1" w:themeTint="A6"/>
          <w:sz w:val="28"/>
          <w:szCs w:val="28"/>
          <w:vertAlign w:val="subscript"/>
        </w:rPr>
        <w:t>total</w:t>
      </w:r>
    </w:p>
    <w:p w14:paraId="01AD751B" w14:textId="77777777" w:rsidR="0054039C" w:rsidRPr="0054039C" w:rsidRDefault="0054039C" w:rsidP="0054039C">
      <w:pPr>
        <w:autoSpaceDE w:val="0"/>
        <w:autoSpaceDN w:val="0"/>
        <w:adjustRightInd w:val="0"/>
        <w:spacing w:after="0" w:line="240" w:lineRule="auto"/>
        <w:ind w:firstLine="720"/>
        <w:jc w:val="center"/>
        <w:rPr>
          <w:rFonts w:ascii="Arial" w:hAnsi="Arial" w:cs="Arial"/>
          <w:color w:val="595959" w:themeColor="text1" w:themeTint="A6"/>
          <w:sz w:val="28"/>
          <w:szCs w:val="28"/>
        </w:rPr>
      </w:pPr>
      <w:r w:rsidRPr="0054039C">
        <w:rPr>
          <w:rFonts w:ascii="Arial" w:hAnsi="Arial" w:cs="Arial"/>
          <w:color w:val="595959" w:themeColor="text1" w:themeTint="A6"/>
          <w:sz w:val="28"/>
          <w:szCs w:val="28"/>
        </w:rPr>
        <w:t xml:space="preserve">R </w:t>
      </w:r>
      <w:r w:rsidRPr="0054039C">
        <w:rPr>
          <w:rFonts w:ascii="Arial" w:hAnsi="Arial" w:cs="Arial"/>
          <w:color w:val="595959" w:themeColor="text1" w:themeTint="A6"/>
          <w:sz w:val="28"/>
          <w:szCs w:val="28"/>
          <w:vertAlign w:val="subscript"/>
        </w:rPr>
        <w:t>true tissue</w:t>
      </w:r>
      <w:r w:rsidRPr="0054039C">
        <w:rPr>
          <w:rFonts w:ascii="Arial" w:hAnsi="Arial" w:cs="Arial"/>
          <w:color w:val="595959" w:themeColor="text1" w:themeTint="A6"/>
          <w:sz w:val="28"/>
          <w:szCs w:val="28"/>
        </w:rPr>
        <w:t xml:space="preserve">= R </w:t>
      </w:r>
      <w:r w:rsidRPr="0054039C">
        <w:rPr>
          <w:rFonts w:ascii="Arial" w:hAnsi="Arial" w:cs="Arial"/>
          <w:color w:val="595959" w:themeColor="text1" w:themeTint="A6"/>
          <w:sz w:val="28"/>
          <w:szCs w:val="28"/>
          <w:vertAlign w:val="subscript"/>
        </w:rPr>
        <w:t>total</w:t>
      </w:r>
      <w:r w:rsidRPr="0054039C">
        <w:rPr>
          <w:rFonts w:ascii="Arial" w:hAnsi="Arial" w:cs="Arial"/>
          <w:color w:val="595959" w:themeColor="text1" w:themeTint="A6"/>
          <w:sz w:val="28"/>
          <w:szCs w:val="28"/>
        </w:rPr>
        <w:t xml:space="preserve"> – R </w:t>
      </w:r>
      <w:r w:rsidRPr="0054039C">
        <w:rPr>
          <w:rFonts w:ascii="Arial" w:hAnsi="Arial" w:cs="Arial"/>
          <w:color w:val="595959" w:themeColor="text1" w:themeTint="A6"/>
          <w:sz w:val="28"/>
          <w:szCs w:val="28"/>
          <w:vertAlign w:val="subscript"/>
        </w:rPr>
        <w:t>blank</w:t>
      </w:r>
    </w:p>
    <w:p w14:paraId="7672424E" w14:textId="77777777" w:rsidR="0054039C" w:rsidRPr="0054039C" w:rsidRDefault="0054039C" w:rsidP="0054039C">
      <w:pPr>
        <w:autoSpaceDE w:val="0"/>
        <w:autoSpaceDN w:val="0"/>
        <w:adjustRightInd w:val="0"/>
        <w:spacing w:after="0" w:line="240" w:lineRule="auto"/>
        <w:ind w:firstLine="720"/>
        <w:jc w:val="center"/>
        <w:rPr>
          <w:rFonts w:ascii="Arial" w:hAnsi="Arial" w:cs="Arial"/>
          <w:color w:val="595959" w:themeColor="text1" w:themeTint="A6"/>
          <w:sz w:val="28"/>
          <w:szCs w:val="28"/>
        </w:rPr>
      </w:pPr>
      <w:r w:rsidRPr="0054039C">
        <w:rPr>
          <w:rFonts w:ascii="Arial" w:hAnsi="Arial" w:cs="Arial"/>
          <w:color w:val="595959" w:themeColor="text1" w:themeTint="A6"/>
          <w:sz w:val="28"/>
          <w:szCs w:val="28"/>
        </w:rPr>
        <w:t xml:space="preserve">R </w:t>
      </w:r>
      <w:r w:rsidRPr="0054039C">
        <w:rPr>
          <w:rFonts w:ascii="Arial" w:hAnsi="Arial" w:cs="Arial"/>
          <w:color w:val="595959" w:themeColor="text1" w:themeTint="A6"/>
          <w:sz w:val="28"/>
          <w:szCs w:val="28"/>
          <w:vertAlign w:val="subscript"/>
        </w:rPr>
        <w:t>true tissue</w:t>
      </w:r>
      <w:r w:rsidRPr="0054039C">
        <w:rPr>
          <w:rFonts w:ascii="Arial" w:hAnsi="Arial" w:cs="Arial"/>
          <w:color w:val="595959" w:themeColor="text1" w:themeTint="A6"/>
          <w:sz w:val="28"/>
          <w:szCs w:val="28"/>
        </w:rPr>
        <w:t>= x</w:t>
      </w:r>
      <w:r w:rsidRPr="0054039C">
        <w:rPr>
          <w:rFonts w:ascii="Arial" w:hAnsi="Arial" w:cs="Arial"/>
          <w:color w:val="595959" w:themeColor="text1" w:themeTint="A6"/>
          <w:sz w:val="28"/>
          <w:szCs w:val="28"/>
          <w:vertAlign w:val="superscript"/>
        </w:rPr>
        <w:t>1</w:t>
      </w:r>
      <w:r w:rsidRPr="0054039C">
        <w:rPr>
          <w:rFonts w:ascii="Arial" w:hAnsi="Arial" w:cs="Arial"/>
          <w:color w:val="595959" w:themeColor="text1" w:themeTint="A6"/>
          <w:sz w:val="28"/>
          <w:szCs w:val="28"/>
        </w:rPr>
        <w:t>- x</w:t>
      </w:r>
      <w:r w:rsidRPr="0054039C">
        <w:rPr>
          <w:rFonts w:ascii="Arial" w:hAnsi="Arial" w:cs="Arial"/>
          <w:color w:val="595959" w:themeColor="text1" w:themeTint="A6"/>
          <w:sz w:val="28"/>
          <w:szCs w:val="28"/>
          <w:vertAlign w:val="superscript"/>
        </w:rPr>
        <w:t>2</w:t>
      </w:r>
      <w:r w:rsidRPr="0054039C">
        <w:rPr>
          <w:rFonts w:ascii="Arial" w:hAnsi="Arial" w:cs="Arial"/>
          <w:color w:val="595959" w:themeColor="text1" w:themeTint="A6"/>
          <w:sz w:val="28"/>
          <w:szCs w:val="28"/>
        </w:rPr>
        <w:t xml:space="preserve"> = Ans (Ω)</w:t>
      </w:r>
    </w:p>
    <w:p w14:paraId="18669EB4" w14:textId="77777777" w:rsidR="0054039C" w:rsidRPr="0054039C" w:rsidRDefault="0054039C" w:rsidP="0054039C">
      <w:pPr>
        <w:autoSpaceDE w:val="0"/>
        <w:autoSpaceDN w:val="0"/>
        <w:adjustRightInd w:val="0"/>
        <w:spacing w:after="0" w:line="240" w:lineRule="auto"/>
        <w:ind w:firstLine="720"/>
        <w:jc w:val="center"/>
        <w:rPr>
          <w:rFonts w:ascii="Arial" w:hAnsi="Arial" w:cs="Arial"/>
          <w:color w:val="595959" w:themeColor="text1" w:themeTint="A6"/>
          <w:sz w:val="28"/>
          <w:szCs w:val="28"/>
        </w:rPr>
      </w:pPr>
    </w:p>
    <w:p w14:paraId="33E32D3E" w14:textId="77777777" w:rsidR="0054039C" w:rsidRPr="0054039C" w:rsidRDefault="0054039C" w:rsidP="0054039C">
      <w:pPr>
        <w:autoSpaceDE w:val="0"/>
        <w:autoSpaceDN w:val="0"/>
        <w:adjustRightInd w:val="0"/>
        <w:spacing w:after="0" w:line="240" w:lineRule="auto"/>
        <w:ind w:firstLine="720"/>
        <w:jc w:val="center"/>
        <w:rPr>
          <w:rFonts w:ascii="Arial" w:hAnsi="Arial" w:cs="Arial"/>
          <w:color w:val="595959" w:themeColor="text1" w:themeTint="A6"/>
        </w:rPr>
      </w:pPr>
      <w:r w:rsidRPr="0054039C">
        <w:rPr>
          <w:rFonts w:ascii="Arial" w:hAnsi="Arial" w:cs="Arial"/>
          <w:color w:val="595959" w:themeColor="text1" w:themeTint="A6"/>
        </w:rPr>
        <w:t>TEER Reported = Resistance (Ω) X effective membrane (cm</w:t>
      </w:r>
      <w:r w:rsidRPr="0054039C">
        <w:rPr>
          <w:rFonts w:ascii="Arial" w:hAnsi="Arial" w:cs="Arial"/>
          <w:color w:val="595959" w:themeColor="text1" w:themeTint="A6"/>
          <w:vertAlign w:val="superscript"/>
        </w:rPr>
        <w:t>2</w:t>
      </w:r>
      <w:r w:rsidRPr="0054039C">
        <w:rPr>
          <w:rFonts w:ascii="Arial" w:hAnsi="Arial" w:cs="Arial"/>
          <w:color w:val="595959" w:themeColor="text1" w:themeTint="A6"/>
        </w:rPr>
        <w:t xml:space="preserve">). </w:t>
      </w:r>
    </w:p>
    <w:p w14:paraId="2D4B72CD" w14:textId="77777777" w:rsidR="0054039C" w:rsidRPr="0054039C" w:rsidRDefault="0054039C" w:rsidP="0054039C">
      <w:pPr>
        <w:autoSpaceDE w:val="0"/>
        <w:autoSpaceDN w:val="0"/>
        <w:adjustRightInd w:val="0"/>
        <w:spacing w:after="0" w:line="240" w:lineRule="auto"/>
        <w:rPr>
          <w:rFonts w:ascii="Arial" w:hAnsi="Arial" w:cs="Arial"/>
          <w:color w:val="595959" w:themeColor="text1" w:themeTint="A6"/>
          <w:sz w:val="28"/>
          <w:szCs w:val="28"/>
        </w:rPr>
      </w:pPr>
    </w:p>
    <w:p w14:paraId="427FDCB1" w14:textId="77777777" w:rsidR="0054039C" w:rsidRPr="0054039C" w:rsidRDefault="0054039C" w:rsidP="0054039C">
      <w:pPr>
        <w:autoSpaceDE w:val="0"/>
        <w:autoSpaceDN w:val="0"/>
        <w:adjustRightInd w:val="0"/>
        <w:spacing w:after="0" w:line="240" w:lineRule="auto"/>
        <w:ind w:firstLine="720"/>
        <w:rPr>
          <w:rFonts w:ascii="Arial" w:hAnsi="Arial" w:cs="Arial"/>
          <w:color w:val="595959" w:themeColor="text1" w:themeTint="A6"/>
          <w:sz w:val="28"/>
          <w:szCs w:val="28"/>
        </w:rPr>
      </w:pPr>
    </w:p>
    <w:p w14:paraId="3E42514F" w14:textId="77777777" w:rsidR="0054039C" w:rsidRPr="0054039C" w:rsidRDefault="0054039C" w:rsidP="0054039C">
      <w:pPr>
        <w:autoSpaceDE w:val="0"/>
        <w:autoSpaceDN w:val="0"/>
        <w:adjustRightInd w:val="0"/>
        <w:spacing w:after="0" w:line="240" w:lineRule="auto"/>
        <w:ind w:firstLine="720"/>
        <w:rPr>
          <w:rFonts w:ascii="Arial" w:hAnsi="Arial" w:cs="Arial"/>
          <w:color w:val="595959" w:themeColor="text1" w:themeTint="A6"/>
          <w:sz w:val="28"/>
          <w:szCs w:val="28"/>
        </w:rPr>
      </w:pPr>
    </w:p>
    <w:p w14:paraId="113629D4" w14:textId="77777777" w:rsidR="0054039C" w:rsidRPr="0054039C" w:rsidRDefault="0054039C" w:rsidP="0054039C">
      <w:pPr>
        <w:autoSpaceDE w:val="0"/>
        <w:autoSpaceDN w:val="0"/>
        <w:adjustRightInd w:val="0"/>
        <w:spacing w:after="0" w:line="240" w:lineRule="auto"/>
        <w:ind w:firstLine="720"/>
        <w:rPr>
          <w:rFonts w:ascii="Arial" w:hAnsi="Arial" w:cs="Arial"/>
          <w:color w:val="595959" w:themeColor="text1" w:themeTint="A6"/>
          <w:sz w:val="28"/>
          <w:szCs w:val="28"/>
        </w:rPr>
      </w:pPr>
      <w:r w:rsidRPr="0054039C">
        <w:rPr>
          <w:rFonts w:ascii="Arial" w:hAnsi="Arial" w:cs="Arial"/>
          <w:noProof/>
          <w:color w:val="595959" w:themeColor="text1" w:themeTint="A6"/>
          <w:sz w:val="28"/>
          <w:szCs w:val="28"/>
          <w:lang w:eastAsia="zh-CN"/>
        </w:rPr>
        <w:drawing>
          <wp:anchor distT="0" distB="0" distL="114300" distR="114300" simplePos="0" relativeHeight="251658259" behindDoc="0" locked="0" layoutInCell="1" allowOverlap="1" wp14:anchorId="2382A1B6" wp14:editId="6A61F33E">
            <wp:simplePos x="0" y="0"/>
            <wp:positionH relativeFrom="margin">
              <wp:align>left</wp:align>
            </wp:positionH>
            <wp:positionV relativeFrom="paragraph">
              <wp:posOffset>34289</wp:posOffset>
            </wp:positionV>
            <wp:extent cx="5855254" cy="3057525"/>
            <wp:effectExtent l="0" t="0" r="0" b="0"/>
            <wp:wrapNone/>
            <wp:docPr id="1572" name="Picture 1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855254" cy="3057525"/>
                    </a:xfrm>
                    <a:prstGeom prst="rect">
                      <a:avLst/>
                    </a:prstGeom>
                    <a:noFill/>
                  </pic:spPr>
                </pic:pic>
              </a:graphicData>
            </a:graphic>
            <wp14:sizeRelH relativeFrom="margin">
              <wp14:pctWidth>0</wp14:pctWidth>
            </wp14:sizeRelH>
            <wp14:sizeRelV relativeFrom="margin">
              <wp14:pctHeight>0</wp14:pctHeight>
            </wp14:sizeRelV>
          </wp:anchor>
        </w:drawing>
      </w:r>
    </w:p>
    <w:p w14:paraId="65EF7398" w14:textId="77777777" w:rsidR="0054039C" w:rsidRPr="0054039C" w:rsidRDefault="0054039C" w:rsidP="0054039C">
      <w:pPr>
        <w:autoSpaceDE w:val="0"/>
        <w:autoSpaceDN w:val="0"/>
        <w:adjustRightInd w:val="0"/>
        <w:spacing w:after="0" w:line="240" w:lineRule="auto"/>
        <w:ind w:firstLine="720"/>
        <w:rPr>
          <w:rFonts w:ascii="Arial" w:hAnsi="Arial" w:cs="Arial"/>
          <w:color w:val="595959" w:themeColor="text1" w:themeTint="A6"/>
          <w:sz w:val="28"/>
          <w:szCs w:val="28"/>
        </w:rPr>
      </w:pPr>
    </w:p>
    <w:p w14:paraId="2E32764C" w14:textId="77777777" w:rsidR="0054039C" w:rsidRPr="0054039C" w:rsidRDefault="0054039C" w:rsidP="0054039C">
      <w:pPr>
        <w:autoSpaceDE w:val="0"/>
        <w:autoSpaceDN w:val="0"/>
        <w:adjustRightInd w:val="0"/>
        <w:spacing w:after="0" w:line="240" w:lineRule="auto"/>
        <w:ind w:firstLine="720"/>
        <w:rPr>
          <w:rFonts w:ascii="Arial" w:hAnsi="Arial" w:cs="Arial"/>
          <w:color w:val="595959" w:themeColor="text1" w:themeTint="A6"/>
          <w:sz w:val="28"/>
          <w:szCs w:val="28"/>
        </w:rPr>
      </w:pPr>
    </w:p>
    <w:p w14:paraId="60F1008C" w14:textId="77777777" w:rsidR="0054039C" w:rsidRPr="0054039C" w:rsidRDefault="0054039C" w:rsidP="0054039C">
      <w:pPr>
        <w:autoSpaceDE w:val="0"/>
        <w:autoSpaceDN w:val="0"/>
        <w:adjustRightInd w:val="0"/>
        <w:spacing w:after="0" w:line="240" w:lineRule="auto"/>
        <w:ind w:firstLine="720"/>
        <w:rPr>
          <w:rFonts w:ascii="Arial" w:hAnsi="Arial" w:cs="Arial"/>
          <w:color w:val="595959" w:themeColor="text1" w:themeTint="A6"/>
          <w:sz w:val="28"/>
          <w:szCs w:val="28"/>
        </w:rPr>
      </w:pPr>
    </w:p>
    <w:p w14:paraId="18AEEAE1" w14:textId="77777777" w:rsidR="0054039C" w:rsidRPr="0054039C" w:rsidRDefault="0054039C" w:rsidP="0054039C">
      <w:pPr>
        <w:autoSpaceDE w:val="0"/>
        <w:autoSpaceDN w:val="0"/>
        <w:adjustRightInd w:val="0"/>
        <w:spacing w:after="0" w:line="240" w:lineRule="auto"/>
        <w:ind w:firstLine="720"/>
        <w:rPr>
          <w:rFonts w:ascii="Arial" w:hAnsi="Arial" w:cs="Arial"/>
          <w:color w:val="595959" w:themeColor="text1" w:themeTint="A6"/>
          <w:sz w:val="28"/>
          <w:szCs w:val="28"/>
        </w:rPr>
      </w:pPr>
    </w:p>
    <w:p w14:paraId="0975826C" w14:textId="77777777" w:rsidR="0054039C" w:rsidRPr="0054039C" w:rsidRDefault="0054039C" w:rsidP="0054039C">
      <w:pPr>
        <w:autoSpaceDE w:val="0"/>
        <w:autoSpaceDN w:val="0"/>
        <w:adjustRightInd w:val="0"/>
        <w:spacing w:after="0" w:line="240" w:lineRule="auto"/>
        <w:ind w:firstLine="720"/>
        <w:rPr>
          <w:rFonts w:ascii="Arial" w:hAnsi="Arial" w:cs="Arial"/>
          <w:color w:val="595959" w:themeColor="text1" w:themeTint="A6"/>
          <w:sz w:val="28"/>
          <w:szCs w:val="28"/>
        </w:rPr>
      </w:pPr>
    </w:p>
    <w:p w14:paraId="7C19240D" w14:textId="77777777" w:rsidR="0054039C" w:rsidRPr="0054039C" w:rsidRDefault="0054039C" w:rsidP="0054039C">
      <w:pPr>
        <w:autoSpaceDE w:val="0"/>
        <w:autoSpaceDN w:val="0"/>
        <w:adjustRightInd w:val="0"/>
        <w:spacing w:after="0" w:line="240" w:lineRule="auto"/>
        <w:ind w:firstLine="720"/>
        <w:rPr>
          <w:rFonts w:ascii="Arial" w:hAnsi="Arial" w:cs="Arial"/>
          <w:color w:val="595959" w:themeColor="text1" w:themeTint="A6"/>
          <w:sz w:val="28"/>
          <w:szCs w:val="28"/>
        </w:rPr>
      </w:pPr>
    </w:p>
    <w:p w14:paraId="6B88F71D" w14:textId="77777777" w:rsidR="0054039C" w:rsidRPr="0054039C" w:rsidRDefault="0054039C" w:rsidP="0054039C">
      <w:pPr>
        <w:autoSpaceDE w:val="0"/>
        <w:autoSpaceDN w:val="0"/>
        <w:adjustRightInd w:val="0"/>
        <w:spacing w:after="0" w:line="240" w:lineRule="auto"/>
        <w:ind w:firstLine="720"/>
        <w:rPr>
          <w:rFonts w:ascii="Arial" w:hAnsi="Arial" w:cs="Arial"/>
          <w:color w:val="595959" w:themeColor="text1" w:themeTint="A6"/>
          <w:sz w:val="28"/>
          <w:szCs w:val="28"/>
        </w:rPr>
      </w:pPr>
    </w:p>
    <w:p w14:paraId="007CFF10" w14:textId="77777777" w:rsidR="0054039C" w:rsidRPr="0054039C" w:rsidRDefault="0054039C" w:rsidP="0054039C">
      <w:pPr>
        <w:autoSpaceDE w:val="0"/>
        <w:autoSpaceDN w:val="0"/>
        <w:adjustRightInd w:val="0"/>
        <w:spacing w:after="0" w:line="240" w:lineRule="auto"/>
        <w:ind w:firstLine="720"/>
        <w:rPr>
          <w:rFonts w:ascii="Arial" w:hAnsi="Arial" w:cs="Arial"/>
          <w:color w:val="595959" w:themeColor="text1" w:themeTint="A6"/>
          <w:sz w:val="28"/>
          <w:szCs w:val="28"/>
        </w:rPr>
      </w:pPr>
    </w:p>
    <w:p w14:paraId="5651AF1A" w14:textId="77777777" w:rsidR="0054039C" w:rsidRPr="0054039C" w:rsidRDefault="0054039C" w:rsidP="0054039C">
      <w:pPr>
        <w:autoSpaceDE w:val="0"/>
        <w:autoSpaceDN w:val="0"/>
        <w:adjustRightInd w:val="0"/>
        <w:spacing w:after="0" w:line="240" w:lineRule="auto"/>
        <w:ind w:firstLine="720"/>
        <w:rPr>
          <w:rFonts w:ascii="Arial" w:hAnsi="Arial" w:cs="Arial"/>
          <w:color w:val="595959" w:themeColor="text1" w:themeTint="A6"/>
          <w:sz w:val="28"/>
          <w:szCs w:val="28"/>
        </w:rPr>
      </w:pPr>
    </w:p>
    <w:p w14:paraId="16B74B52" w14:textId="77777777" w:rsidR="0054039C" w:rsidRPr="0054039C" w:rsidRDefault="0054039C" w:rsidP="0054039C">
      <w:pPr>
        <w:autoSpaceDE w:val="0"/>
        <w:autoSpaceDN w:val="0"/>
        <w:adjustRightInd w:val="0"/>
        <w:spacing w:after="0" w:line="240" w:lineRule="auto"/>
        <w:ind w:firstLine="720"/>
        <w:rPr>
          <w:rFonts w:ascii="Arial" w:hAnsi="Arial" w:cs="Arial"/>
          <w:color w:val="595959" w:themeColor="text1" w:themeTint="A6"/>
          <w:sz w:val="28"/>
          <w:szCs w:val="28"/>
        </w:rPr>
      </w:pPr>
    </w:p>
    <w:p w14:paraId="10D143B0" w14:textId="77777777" w:rsidR="0054039C" w:rsidRPr="0054039C" w:rsidRDefault="0054039C" w:rsidP="0054039C">
      <w:pPr>
        <w:autoSpaceDE w:val="0"/>
        <w:autoSpaceDN w:val="0"/>
        <w:adjustRightInd w:val="0"/>
        <w:spacing w:after="0" w:line="240" w:lineRule="auto"/>
        <w:ind w:firstLine="720"/>
        <w:rPr>
          <w:rFonts w:ascii="Arial" w:hAnsi="Arial" w:cs="Arial"/>
          <w:color w:val="595959" w:themeColor="text1" w:themeTint="A6"/>
          <w:sz w:val="28"/>
          <w:szCs w:val="28"/>
        </w:rPr>
      </w:pPr>
    </w:p>
    <w:p w14:paraId="471E6192" w14:textId="77777777" w:rsidR="0054039C" w:rsidRPr="0054039C" w:rsidRDefault="0054039C" w:rsidP="0054039C">
      <w:pPr>
        <w:autoSpaceDE w:val="0"/>
        <w:autoSpaceDN w:val="0"/>
        <w:adjustRightInd w:val="0"/>
        <w:spacing w:after="0" w:line="240" w:lineRule="auto"/>
        <w:ind w:firstLine="720"/>
        <w:rPr>
          <w:rFonts w:ascii="Arial" w:hAnsi="Arial" w:cs="Arial"/>
          <w:color w:val="595959" w:themeColor="text1" w:themeTint="A6"/>
          <w:sz w:val="28"/>
          <w:szCs w:val="28"/>
        </w:rPr>
      </w:pPr>
    </w:p>
    <w:p w14:paraId="73920570" w14:textId="77777777" w:rsidR="0054039C" w:rsidRPr="0054039C" w:rsidRDefault="0054039C" w:rsidP="0054039C">
      <w:pPr>
        <w:autoSpaceDE w:val="0"/>
        <w:autoSpaceDN w:val="0"/>
        <w:adjustRightInd w:val="0"/>
        <w:spacing w:after="0" w:line="240" w:lineRule="auto"/>
        <w:ind w:firstLine="720"/>
        <w:rPr>
          <w:rFonts w:ascii="Arial" w:hAnsi="Arial" w:cs="Arial"/>
          <w:color w:val="595959" w:themeColor="text1" w:themeTint="A6"/>
          <w:sz w:val="28"/>
          <w:szCs w:val="28"/>
        </w:rPr>
      </w:pPr>
    </w:p>
    <w:p w14:paraId="251927D2" w14:textId="77777777" w:rsidR="0054039C" w:rsidRPr="0054039C" w:rsidRDefault="0054039C" w:rsidP="00365E9A">
      <w:pPr>
        <w:autoSpaceDE w:val="0"/>
        <w:autoSpaceDN w:val="0"/>
        <w:adjustRightInd w:val="0"/>
        <w:spacing w:after="0" w:line="240" w:lineRule="auto"/>
        <w:rPr>
          <w:rFonts w:ascii="Arial" w:hAnsi="Arial" w:cs="Arial"/>
          <w:color w:val="595959" w:themeColor="text1" w:themeTint="A6"/>
          <w:sz w:val="28"/>
          <w:szCs w:val="28"/>
        </w:rPr>
      </w:pPr>
    </w:p>
    <w:p w14:paraId="51196F91" w14:textId="77777777" w:rsidR="0054039C" w:rsidRPr="0054039C" w:rsidRDefault="0054039C" w:rsidP="0054039C">
      <w:pPr>
        <w:autoSpaceDE w:val="0"/>
        <w:autoSpaceDN w:val="0"/>
        <w:adjustRightInd w:val="0"/>
        <w:spacing w:after="0" w:line="240" w:lineRule="auto"/>
        <w:ind w:firstLine="720"/>
        <w:rPr>
          <w:rFonts w:ascii="Arial" w:hAnsi="Arial" w:cs="Arial"/>
          <w:color w:val="595959" w:themeColor="text1" w:themeTint="A6"/>
          <w:sz w:val="28"/>
          <w:szCs w:val="28"/>
        </w:rPr>
      </w:pPr>
    </w:p>
    <w:p w14:paraId="6379374F" w14:textId="0BC50212" w:rsidR="00761CBB" w:rsidRPr="00F443AB" w:rsidRDefault="00F443AB" w:rsidP="00365E9A">
      <w:pPr>
        <w:autoSpaceDE w:val="0"/>
        <w:autoSpaceDN w:val="0"/>
        <w:adjustRightInd w:val="0"/>
        <w:spacing w:after="0" w:line="240" w:lineRule="auto"/>
        <w:rPr>
          <w:rFonts w:ascii="Arial" w:hAnsi="Arial" w:cs="Arial"/>
          <w:color w:val="595959" w:themeColor="text1" w:themeTint="A6"/>
          <w:sz w:val="28"/>
          <w:szCs w:val="28"/>
        </w:rPr>
      </w:pPr>
      <w:r w:rsidRPr="0054039C">
        <w:rPr>
          <w:rFonts w:ascii="Arial" w:hAnsi="Arial" w:cs="Arial"/>
          <w:noProof/>
          <w:color w:val="595959" w:themeColor="text1" w:themeTint="A6"/>
          <w:sz w:val="24"/>
          <w:szCs w:val="24"/>
          <w:lang w:eastAsia="zh-CN"/>
        </w:rPr>
        <mc:AlternateContent>
          <mc:Choice Requires="wps">
            <w:drawing>
              <wp:anchor distT="0" distB="0" distL="114300" distR="114300" simplePos="0" relativeHeight="251658258" behindDoc="0" locked="0" layoutInCell="1" allowOverlap="1" wp14:anchorId="5A73C6B9" wp14:editId="27D1155D">
                <wp:simplePos x="0" y="0"/>
                <wp:positionH relativeFrom="margin">
                  <wp:align>left</wp:align>
                </wp:positionH>
                <wp:positionV relativeFrom="paragraph">
                  <wp:posOffset>15875</wp:posOffset>
                </wp:positionV>
                <wp:extent cx="6045835" cy="279400"/>
                <wp:effectExtent l="0" t="0" r="0" b="6350"/>
                <wp:wrapNone/>
                <wp:docPr id="31"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45835" cy="279400"/>
                        </a:xfrm>
                        <a:prstGeom prst="rect">
                          <a:avLst/>
                        </a:prstGeom>
                        <a:solidFill>
                          <a:srgbClr val="FFFFFF"/>
                        </a:solidFill>
                        <a:ln w="9525">
                          <a:noFill/>
                          <a:miter lim="800000"/>
                          <a:headEnd/>
                          <a:tailEnd/>
                        </a:ln>
                      </wps:spPr>
                      <wps:txbx>
                        <w:txbxContent>
                          <w:p w14:paraId="3152882C" w14:textId="77777777" w:rsidR="008A47AC" w:rsidRPr="001C5D8A" w:rsidRDefault="008A47AC" w:rsidP="0054039C">
                            <w:pPr>
                              <w:pStyle w:val="Caption"/>
                              <w:keepNext/>
                              <w:jc w:val="both"/>
                              <w:rPr>
                                <w:rFonts w:ascii="Arial Narrow" w:hAnsi="Arial Narrow"/>
                                <w:b/>
                                <w:i w:val="0"/>
                                <w:sz w:val="22"/>
                                <w:szCs w:val="22"/>
                              </w:rPr>
                            </w:pPr>
                            <w:r w:rsidRPr="001C5D8A">
                              <w:rPr>
                                <w:rFonts w:ascii="Arial Narrow" w:hAnsi="Arial Narrow"/>
                                <w:b/>
                                <w:i w:val="0"/>
                                <w:color w:val="595959" w:themeColor="text1" w:themeTint="A6"/>
                                <w:sz w:val="22"/>
                                <w:szCs w:val="22"/>
                              </w:rPr>
                              <w:t>Figure 2.5 Schematic of TEER analysis set-up</w:t>
                            </w:r>
                          </w:p>
                          <w:p w14:paraId="463EBC27" w14:textId="77777777" w:rsidR="008A47AC" w:rsidRPr="00575592" w:rsidRDefault="008A47AC" w:rsidP="0054039C">
                            <w:pPr>
                              <w:pStyle w:val="NormalWeb"/>
                              <w:spacing w:after="200" w:line="276" w:lineRule="auto"/>
                              <w:jc w:val="both"/>
                            </w:pPr>
                            <w:r>
                              <w:rPr>
                                <w:rFonts w:ascii="Arial Narrow" w:eastAsia="SimSun" w:hAnsi="Arial Narrow" w:cs="Arial"/>
                                <w:color w:val="595959"/>
                                <w:kern w:val="24"/>
                                <w:sz w:val="22"/>
                                <w:szCs w:val="22"/>
                              </w:rPr>
                              <w:tab/>
                            </w:r>
                            <w:r>
                              <w:rPr>
                                <w:rFonts w:ascii="Arial Narrow" w:eastAsia="SimSun" w:hAnsi="Arial Narrow" w:cs="Arial"/>
                                <w:color w:val="595959"/>
                                <w:kern w:val="24"/>
                                <w:sz w:val="22"/>
                                <w:szCs w:val="22"/>
                              </w:rPr>
                              <w:tab/>
                            </w:r>
                            <w:r>
                              <w:rPr>
                                <w:rFonts w:ascii="Arial Narrow" w:eastAsia="SimSun" w:hAnsi="Arial Narrow" w:cs="Arial"/>
                                <w:color w:val="595959"/>
                                <w:kern w:val="24"/>
                                <w:sz w:val="22"/>
                                <w:szCs w:val="22"/>
                              </w:rPr>
                              <w:tab/>
                            </w:r>
                            <w:r>
                              <w:rPr>
                                <w:rFonts w:ascii="Arial Narrow" w:eastAsia="SimSun" w:hAnsi="Arial Narrow" w:cs="Arial"/>
                                <w:color w:val="595959"/>
                                <w:kern w:val="24"/>
                                <w:sz w:val="22"/>
                                <w:szCs w:val="22"/>
                              </w:rPr>
                              <w:tab/>
                            </w:r>
                            <w:r>
                              <w:rPr>
                                <w:rFonts w:ascii="Arial Narrow" w:eastAsia="SimSun" w:hAnsi="Arial Narrow" w:cs="Arial"/>
                                <w:color w:val="595959"/>
                                <w:kern w:val="24"/>
                                <w:sz w:val="22"/>
                                <w:szCs w:val="22"/>
                              </w:rPr>
                              <w:tab/>
                            </w:r>
                          </w:p>
                          <w:p w14:paraId="6FC4F889" w14:textId="77777777" w:rsidR="008A47AC" w:rsidRPr="009C15E0" w:rsidRDefault="008A47AC" w:rsidP="0054039C">
                            <w:pPr>
                              <w:pStyle w:val="NormalWeb"/>
                              <w:spacing w:after="200"/>
                              <w:ind w:left="7920"/>
                              <w:jc w:val="both"/>
                              <w:rPr>
                                <w:rFonts w:ascii="Arial Narrow" w:eastAsia="SimSun" w:hAnsi="Arial Narrow" w:cs="Arial"/>
                                <w:color w:val="595959" w:themeColor="text1" w:themeTint="A6"/>
                                <w:kern w:val="24"/>
                                <w:sz w:val="22"/>
                                <w:szCs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73C6B9" id="Text Box 31" o:spid="_x0000_s1058" type="#_x0000_t202" style="position:absolute;margin-left:0;margin-top:1.25pt;width:476.05pt;height:22pt;z-index:25165825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" stroked="f">
                <v:textbox>
                  <w:txbxContent>
                    <w:p w14:paraId="3152882C" w14:textId="77777777" w:rsidR="008A47AC" w:rsidRPr="001C5D8A" w:rsidRDefault="008A47AC" w:rsidP="0054039C">
                      <w:pPr>
                        <w:pStyle w:val="Caption"/>
                        <w:keepNext/>
                        <w:jc w:val="both"/>
                        <w:rPr>
                          <w:rFonts w:ascii="Arial Narrow" w:hAnsi="Arial Narrow"/>
                          <w:b/>
                          <w:i w:val="0"/>
                          <w:sz w:val="22"/>
                          <w:szCs w:val="22"/>
                        </w:rPr>
                      </w:pPr>
                      <w:r w:rsidRPr="001C5D8A">
                        <w:rPr>
                          <w:rFonts w:ascii="Arial Narrow" w:hAnsi="Arial Narrow"/>
                          <w:b/>
                          <w:i w:val="0"/>
                          <w:color w:val="595959" w:themeColor="text1" w:themeTint="A6"/>
                          <w:sz w:val="22"/>
                          <w:szCs w:val="22"/>
                        </w:rPr>
                        <w:t>Figure 2.5 Schematic of TEER analysis set-up</w:t>
                      </w:r>
                    </w:p>
                    <w:p w14:paraId="463EBC27" w14:textId="77777777" w:rsidR="008A47AC" w:rsidRPr="00575592" w:rsidRDefault="008A47AC" w:rsidP="0054039C">
                      <w:pPr>
                        <w:pStyle w:val="NormalWeb"/>
                        <w:spacing w:after="200" w:line="276" w:lineRule="auto"/>
                        <w:jc w:val="both"/>
                      </w:pPr>
                      <w:r>
                        <w:rPr>
                          <w:rFonts w:ascii="Arial Narrow" w:eastAsia="SimSun" w:hAnsi="Arial Narrow" w:cs="Arial"/>
                          <w:color w:val="595959"/>
                          <w:kern w:val="24"/>
                          <w:sz w:val="22"/>
                          <w:szCs w:val="22"/>
                        </w:rPr>
                        <w:tab/>
                      </w:r>
                      <w:r>
                        <w:rPr>
                          <w:rFonts w:ascii="Arial Narrow" w:eastAsia="SimSun" w:hAnsi="Arial Narrow" w:cs="Arial"/>
                          <w:color w:val="595959"/>
                          <w:kern w:val="24"/>
                          <w:sz w:val="22"/>
                          <w:szCs w:val="22"/>
                        </w:rPr>
                        <w:tab/>
                      </w:r>
                      <w:r>
                        <w:rPr>
                          <w:rFonts w:ascii="Arial Narrow" w:eastAsia="SimSun" w:hAnsi="Arial Narrow" w:cs="Arial"/>
                          <w:color w:val="595959"/>
                          <w:kern w:val="24"/>
                          <w:sz w:val="22"/>
                          <w:szCs w:val="22"/>
                        </w:rPr>
                        <w:tab/>
                      </w:r>
                      <w:r>
                        <w:rPr>
                          <w:rFonts w:ascii="Arial Narrow" w:eastAsia="SimSun" w:hAnsi="Arial Narrow" w:cs="Arial"/>
                          <w:color w:val="595959"/>
                          <w:kern w:val="24"/>
                          <w:sz w:val="22"/>
                          <w:szCs w:val="22"/>
                        </w:rPr>
                        <w:tab/>
                      </w:r>
                      <w:r>
                        <w:rPr>
                          <w:rFonts w:ascii="Arial Narrow" w:eastAsia="SimSun" w:hAnsi="Arial Narrow" w:cs="Arial"/>
                          <w:color w:val="595959"/>
                          <w:kern w:val="24"/>
                          <w:sz w:val="22"/>
                          <w:szCs w:val="22"/>
                        </w:rPr>
                        <w:tab/>
                      </w:r>
                    </w:p>
                    <w:p w14:paraId="6FC4F889" w14:textId="77777777" w:rsidR="008A47AC" w:rsidRPr="009C15E0" w:rsidRDefault="008A47AC" w:rsidP="0054039C">
                      <w:pPr>
                        <w:pStyle w:val="NormalWeb"/>
                        <w:spacing w:after="200"/>
                        <w:ind w:left="7920"/>
                        <w:jc w:val="both"/>
                        <w:rPr>
                          <w:rFonts w:ascii="Arial Narrow" w:eastAsia="SimSun" w:hAnsi="Arial Narrow" w:cs="Arial"/>
                          <w:color w:val="595959" w:themeColor="text1" w:themeTint="A6"/>
                          <w:kern w:val="24"/>
                          <w:sz w:val="22"/>
                          <w:szCs w:val="22"/>
                        </w:rPr>
                      </w:pPr>
                    </w:p>
                  </w:txbxContent>
                </v:textbox>
                <w10:wrap anchorx="margin"/>
              </v:shape>
            </w:pict>
          </mc:Fallback>
        </mc:AlternateContent>
      </w:r>
      <w:bookmarkStart w:id="192" w:name="_Toc515897490"/>
      <w:bookmarkStart w:id="193" w:name="_Toc534278622"/>
    </w:p>
    <w:p w14:paraId="675F9345" w14:textId="77777777" w:rsidR="00761CBB" w:rsidRDefault="00761CBB" w:rsidP="0054039C">
      <w:pPr>
        <w:keepNext/>
        <w:keepLines/>
        <w:spacing w:before="40" w:after="0"/>
        <w:outlineLvl w:val="2"/>
        <w:rPr>
          <w:rFonts w:ascii="Arial" w:eastAsiaTheme="majorEastAsia" w:hAnsi="Arial" w:cs="Arial"/>
          <w:color w:val="595959" w:themeColor="text1" w:themeTint="A6"/>
        </w:rPr>
      </w:pPr>
    </w:p>
    <w:p w14:paraId="76164606" w14:textId="5A01B837" w:rsidR="0054039C" w:rsidRPr="0054039C" w:rsidRDefault="00F443AB" w:rsidP="00F443AB">
      <w:pPr>
        <w:pStyle w:val="Heading4"/>
        <w:rPr>
          <w:rFonts w:ascii="Arial" w:hAnsi="Arial" w:cs="Arial"/>
          <w:color w:val="595959" w:themeColor="text1" w:themeTint="A6"/>
        </w:rPr>
      </w:pPr>
      <w:bookmarkStart w:id="194" w:name="_Toc34208331"/>
      <w:bookmarkStart w:id="195" w:name="_Hlk535588083"/>
      <w:r>
        <w:rPr>
          <w:rFonts w:ascii="Arial" w:hAnsi="Arial" w:cs="Arial"/>
          <w:color w:val="595959" w:themeColor="text1" w:themeTint="A6"/>
        </w:rPr>
        <w:t xml:space="preserve">2.2.10.2 </w:t>
      </w:r>
      <w:r w:rsidR="0054039C" w:rsidRPr="0054039C">
        <w:rPr>
          <w:rFonts w:ascii="Arial" w:hAnsi="Arial" w:cs="Arial"/>
          <w:color w:val="595959" w:themeColor="text1" w:themeTint="A6"/>
        </w:rPr>
        <w:t>PrestoBlue</w:t>
      </w:r>
      <w:r w:rsidR="0054039C" w:rsidRPr="00A45F5A">
        <w:rPr>
          <w:rFonts w:ascii="Arial" w:hAnsi="Arial" w:cs="Arial"/>
          <w:color w:val="595959" w:themeColor="text1" w:themeTint="A6"/>
          <w:vertAlign w:val="superscript"/>
        </w:rPr>
        <w:t>®</w:t>
      </w:r>
      <w:r w:rsidR="0054039C" w:rsidRPr="0054039C">
        <w:rPr>
          <w:rFonts w:ascii="Arial" w:hAnsi="Arial" w:cs="Arial"/>
          <w:color w:val="595959" w:themeColor="text1" w:themeTint="A6"/>
        </w:rPr>
        <w:t xml:space="preserve"> cell metabolism assay</w:t>
      </w:r>
      <w:bookmarkEnd w:id="192"/>
      <w:bookmarkEnd w:id="193"/>
      <w:bookmarkEnd w:id="194"/>
    </w:p>
    <w:p w14:paraId="4F894D1D" w14:textId="77777777" w:rsidR="0054039C" w:rsidRPr="0054039C" w:rsidRDefault="0054039C" w:rsidP="0054039C"/>
    <w:p w14:paraId="616031F7" w14:textId="70B699AB" w:rsidR="0054039C" w:rsidRPr="0054039C" w:rsidRDefault="0054039C" w:rsidP="0054039C">
      <w:pPr>
        <w:autoSpaceDE w:val="0"/>
        <w:autoSpaceDN w:val="0"/>
        <w:adjustRightInd w:val="0"/>
        <w:spacing w:after="0" w:line="480" w:lineRule="auto"/>
        <w:jc w:val="both"/>
        <w:rPr>
          <w:rFonts w:ascii="Arial" w:hAnsi="Arial" w:cs="Arial"/>
          <w:color w:val="595959" w:themeColor="text1" w:themeTint="A6"/>
          <w:lang w:val="en-US"/>
        </w:rPr>
      </w:pPr>
      <w:r w:rsidRPr="0054039C">
        <w:rPr>
          <w:rFonts w:ascii="Arial" w:hAnsi="Arial" w:cs="Arial"/>
          <w:color w:val="595959" w:themeColor="text1" w:themeTint="A6"/>
          <w:lang w:val="en-US"/>
        </w:rPr>
        <w:t>In order to quantitatively assess fibroblast proliferation and viability in the developing matrices a PrestoBlue</w:t>
      </w:r>
      <w:r w:rsidRPr="00A45F5A">
        <w:rPr>
          <w:rFonts w:ascii="Arial" w:hAnsi="Arial" w:cs="Arial"/>
          <w:color w:val="595959" w:themeColor="text1" w:themeTint="A6"/>
          <w:vertAlign w:val="superscript"/>
        </w:rPr>
        <w:t>®</w:t>
      </w:r>
      <w:r w:rsidRPr="0054039C">
        <w:rPr>
          <w:rFonts w:ascii="Arial" w:hAnsi="Arial" w:cs="Arial"/>
          <w:color w:val="595959" w:themeColor="text1" w:themeTint="A6"/>
          <w:lang w:val="en-US"/>
        </w:rPr>
        <w:t xml:space="preserve"> Cell Viability reagent (</w:t>
      </w:r>
      <w:r w:rsidRPr="0054039C">
        <w:rPr>
          <w:rFonts w:ascii="Arial" w:hAnsi="Arial" w:cs="Arial"/>
          <w:color w:val="595959" w:themeColor="text1" w:themeTint="A6"/>
        </w:rPr>
        <w:t>50 μL)</w:t>
      </w:r>
      <w:r w:rsidRPr="0054039C">
        <w:rPr>
          <w:rFonts w:ascii="Arial" w:hAnsi="Arial" w:cs="Arial"/>
          <w:color w:val="595959" w:themeColor="text1" w:themeTint="A6"/>
          <w:lang w:val="en-US"/>
        </w:rPr>
        <w:t xml:space="preserve"> (Life technologies, UK) was added directly to the matrix culture medium (500 </w:t>
      </w:r>
      <w:r w:rsidRPr="0054039C">
        <w:rPr>
          <w:rFonts w:ascii="Arial" w:hAnsi="Arial" w:cs="Arial"/>
          <w:color w:val="595959" w:themeColor="text1" w:themeTint="A6"/>
        </w:rPr>
        <w:t>μL)</w:t>
      </w:r>
      <w:r w:rsidRPr="0054039C">
        <w:rPr>
          <w:rFonts w:ascii="Arial" w:hAnsi="Arial" w:cs="Arial"/>
          <w:color w:val="595959" w:themeColor="text1" w:themeTint="A6"/>
          <w:lang w:val="en-US"/>
        </w:rPr>
        <w:t>. The PrestoBlue</w:t>
      </w:r>
      <w:r w:rsidRPr="00A45F5A">
        <w:rPr>
          <w:rFonts w:ascii="Arial" w:hAnsi="Arial" w:cs="Arial"/>
          <w:color w:val="595959" w:themeColor="text1" w:themeTint="A6"/>
          <w:vertAlign w:val="superscript"/>
          <w:lang w:val="en-US"/>
        </w:rPr>
        <w:t>®</w:t>
      </w:r>
      <w:r w:rsidRPr="0054039C">
        <w:rPr>
          <w:rFonts w:ascii="Arial" w:hAnsi="Arial" w:cs="Arial"/>
          <w:color w:val="595959" w:themeColor="text1" w:themeTint="A6"/>
          <w:lang w:val="en-US"/>
        </w:rPr>
        <w:t xml:space="preserve"> assay is based on resazurin which functions as a cell metabolism indicator. Resazurin; which is weakly fluorescent, is reduced to resorufin in viable cells in the process of cellular respiration and acts as an electron acceptor from the following sources: NADPH, FADH, FMNH, NADH and cytochromes. This reduction causes PrestoBlue</w:t>
      </w:r>
      <w:r w:rsidRPr="00A45F5A">
        <w:rPr>
          <w:rFonts w:ascii="Arial" w:hAnsi="Arial" w:cs="Arial"/>
          <w:color w:val="595959" w:themeColor="text1" w:themeTint="A6"/>
          <w:vertAlign w:val="superscript"/>
          <w:lang w:val="en-US"/>
        </w:rPr>
        <w:t>®</w:t>
      </w:r>
      <w:r w:rsidRPr="0054039C">
        <w:rPr>
          <w:rFonts w:ascii="Arial" w:hAnsi="Arial" w:cs="Arial"/>
          <w:color w:val="595959" w:themeColor="text1" w:themeTint="A6"/>
          <w:lang w:val="en-US"/>
        </w:rPr>
        <w:t xml:space="preserve"> to change from its weak-fluorescent form to strong fluorescent form. This fluorescent conversion is then directly proportional to the number of metabolically active cells. To quantify this change, fluorescence measurements can be evaluated using a form of spectrometer. The solution was incubated for </w:t>
      </w:r>
      <w:r w:rsidR="00DB4347">
        <w:rPr>
          <w:rFonts w:ascii="Arial" w:hAnsi="Arial" w:cs="Arial"/>
          <w:color w:val="595959" w:themeColor="text1" w:themeTint="A6"/>
          <w:lang w:val="en-US"/>
        </w:rPr>
        <w:t>30 mins</w:t>
      </w:r>
      <w:r w:rsidRPr="0054039C">
        <w:rPr>
          <w:rFonts w:ascii="Arial" w:hAnsi="Arial" w:cs="Arial"/>
          <w:color w:val="595959" w:themeColor="text1" w:themeTint="A6"/>
          <w:lang w:val="en-US"/>
        </w:rPr>
        <w:t xml:space="preserve"> at 37</w:t>
      </w:r>
      <w:r w:rsidRPr="0054039C">
        <w:rPr>
          <w:rFonts w:ascii="Arial" w:hAnsi="Arial" w:cs="Arial"/>
          <w:color w:val="595959" w:themeColor="text1" w:themeTint="A6"/>
          <w:vertAlign w:val="superscript"/>
          <w:lang w:val="en-US"/>
        </w:rPr>
        <w:t>o</w:t>
      </w:r>
      <w:r w:rsidRPr="0054039C">
        <w:rPr>
          <w:rFonts w:ascii="Arial" w:hAnsi="Arial" w:cs="Arial"/>
          <w:color w:val="595959" w:themeColor="text1" w:themeTint="A6"/>
          <w:lang w:val="en-US"/>
        </w:rPr>
        <w:t>C</w:t>
      </w:r>
      <w:r w:rsidR="00837C3E">
        <w:rPr>
          <w:rFonts w:ascii="Arial" w:hAnsi="Arial" w:cs="Arial"/>
          <w:color w:val="595959" w:themeColor="text1" w:themeTint="A6"/>
          <w:lang w:val="en-US"/>
        </w:rPr>
        <w:t>, according to manufacturer’s instructions</w:t>
      </w:r>
      <w:r w:rsidRPr="0054039C">
        <w:rPr>
          <w:rFonts w:ascii="Arial" w:hAnsi="Arial" w:cs="Arial"/>
          <w:color w:val="595959" w:themeColor="text1" w:themeTint="A6"/>
          <w:lang w:val="en-US"/>
        </w:rPr>
        <w:t xml:space="preserve">. In living cells this reagent produces a colour change due the reducing environment of metabolising cells. To correct for background, a control well was included with only cell culture media and all samples normalised to this. The colour change was assessed by a fluorescence spectrum recorded by spectrometry at an excitation of 535 nm (25 nm bandwidth) and emission of 615 nm (10 nm bandwidth). Triplicates were taken for each sample investigated and repeated samples were taken over the 41 days of the developing matrices and oral mucosa models.  </w:t>
      </w:r>
    </w:p>
    <w:bookmarkEnd w:id="195"/>
    <w:p w14:paraId="4269C82B" w14:textId="77777777" w:rsidR="0054039C" w:rsidRPr="0054039C" w:rsidRDefault="0054039C" w:rsidP="0054039C">
      <w:pPr>
        <w:autoSpaceDE w:val="0"/>
        <w:autoSpaceDN w:val="0"/>
        <w:adjustRightInd w:val="0"/>
        <w:spacing w:after="0" w:line="480" w:lineRule="auto"/>
        <w:jc w:val="both"/>
        <w:rPr>
          <w:rFonts w:ascii="Arial" w:hAnsi="Arial" w:cs="Arial"/>
          <w:color w:val="595959" w:themeColor="text1" w:themeTint="A6"/>
        </w:rPr>
      </w:pPr>
    </w:p>
    <w:p w14:paraId="6F30E1A0" w14:textId="77777777" w:rsidR="0054039C" w:rsidRPr="0054039C" w:rsidRDefault="0054039C" w:rsidP="00F443AB">
      <w:pPr>
        <w:pStyle w:val="Heading4"/>
        <w:rPr>
          <w:rFonts w:ascii="Arial" w:hAnsi="Arial" w:cs="Arial"/>
          <w:color w:val="595959" w:themeColor="text1" w:themeTint="A6"/>
          <w:szCs w:val="24"/>
        </w:rPr>
      </w:pPr>
      <w:bookmarkStart w:id="196" w:name="_Toc534278623"/>
      <w:bookmarkStart w:id="197" w:name="_Toc34208332"/>
      <w:r w:rsidRPr="0054039C">
        <w:rPr>
          <w:rFonts w:ascii="Arial" w:hAnsi="Arial" w:cs="Arial"/>
          <w:color w:val="595959" w:themeColor="text1" w:themeTint="A6"/>
          <w:szCs w:val="24"/>
        </w:rPr>
        <w:t>2.2.10.3 Fibroblast-derived matrices thickness measurements</w:t>
      </w:r>
      <w:bookmarkEnd w:id="196"/>
      <w:bookmarkEnd w:id="197"/>
    </w:p>
    <w:p w14:paraId="414CA652" w14:textId="77777777" w:rsidR="0054039C" w:rsidRPr="0054039C" w:rsidRDefault="0054039C" w:rsidP="0054039C"/>
    <w:p w14:paraId="3495608C" w14:textId="77777777" w:rsidR="0054039C" w:rsidRPr="0054039C" w:rsidRDefault="0054039C" w:rsidP="0054039C">
      <w:pPr>
        <w:autoSpaceDE w:val="0"/>
        <w:autoSpaceDN w:val="0"/>
        <w:adjustRightInd w:val="0"/>
        <w:spacing w:after="0" w:line="480" w:lineRule="auto"/>
        <w:jc w:val="both"/>
        <w:rPr>
          <w:rFonts w:ascii="Arial" w:hAnsi="Arial" w:cs="Arial"/>
          <w:color w:val="595959" w:themeColor="text1" w:themeTint="A6"/>
          <w:lang w:val="en-US"/>
        </w:rPr>
      </w:pPr>
      <w:bookmarkStart w:id="198" w:name="_Hlk535581392"/>
      <w:r w:rsidRPr="0054039C">
        <w:rPr>
          <w:rFonts w:ascii="Arial" w:hAnsi="Arial" w:cs="Arial"/>
          <w:color w:val="595959" w:themeColor="text1" w:themeTint="A6"/>
          <w:lang w:val="en-US"/>
        </w:rPr>
        <w:t xml:space="preserve">To assess changes in the bulk deposition of ECM for NOF/CAF matrices; their thickness was measured after a 4-week culture period. Matrices embedded perpendicularly in paraffin-blocks were sectioned (6µm), stained with H&amp;E and analysed by Cell^D software or ImageJ. Triplicate cultures were imaged at x40 magnification in three regions across the matrix. Measurements were taken at three locations per region. </w:t>
      </w:r>
    </w:p>
    <w:p w14:paraId="61A59CA5" w14:textId="77777777" w:rsidR="0054039C" w:rsidRPr="0054039C" w:rsidRDefault="0054039C" w:rsidP="0054039C">
      <w:pPr>
        <w:autoSpaceDE w:val="0"/>
        <w:autoSpaceDN w:val="0"/>
        <w:adjustRightInd w:val="0"/>
        <w:spacing w:after="0" w:line="480" w:lineRule="auto"/>
        <w:jc w:val="both"/>
        <w:rPr>
          <w:rFonts w:ascii="Arial" w:hAnsi="Arial" w:cs="Arial"/>
          <w:color w:val="595959" w:themeColor="text1" w:themeTint="A6"/>
          <w:lang w:val="en-US"/>
        </w:rPr>
      </w:pPr>
    </w:p>
    <w:p w14:paraId="6199CD83" w14:textId="69BF1712" w:rsidR="0054039C" w:rsidRDefault="0054039C" w:rsidP="00F443AB">
      <w:pPr>
        <w:pStyle w:val="Heading4"/>
        <w:rPr>
          <w:rFonts w:ascii="Arial" w:hAnsi="Arial" w:cs="Arial"/>
          <w:bCs/>
          <w:color w:val="595959" w:themeColor="text1" w:themeTint="A6"/>
        </w:rPr>
      </w:pPr>
      <w:bookmarkStart w:id="199" w:name="_Toc34208333"/>
      <w:r w:rsidRPr="0054039C">
        <w:rPr>
          <w:rFonts w:ascii="Arial" w:hAnsi="Arial" w:cs="Arial"/>
          <w:bCs/>
          <w:color w:val="595959" w:themeColor="text1" w:themeTint="A6"/>
        </w:rPr>
        <w:lastRenderedPageBreak/>
        <w:t>2.2.10.4 The effects of stromal inhibitors on FDM</w:t>
      </w:r>
      <w:bookmarkEnd w:id="199"/>
      <w:r w:rsidRPr="0054039C">
        <w:rPr>
          <w:rFonts w:ascii="Arial" w:hAnsi="Arial" w:cs="Arial"/>
          <w:bCs/>
          <w:color w:val="595959" w:themeColor="text1" w:themeTint="A6"/>
        </w:rPr>
        <w:t xml:space="preserve"> </w:t>
      </w:r>
    </w:p>
    <w:p w14:paraId="6146590B" w14:textId="77777777" w:rsidR="00F443AB" w:rsidRDefault="00F443AB" w:rsidP="0054039C">
      <w:pPr>
        <w:spacing w:line="480" w:lineRule="auto"/>
        <w:jc w:val="both"/>
      </w:pPr>
    </w:p>
    <w:p w14:paraId="646E0A02" w14:textId="69E74348" w:rsidR="0054039C" w:rsidRPr="0054039C" w:rsidRDefault="0054039C" w:rsidP="0054039C">
      <w:pPr>
        <w:spacing w:line="480" w:lineRule="auto"/>
        <w:jc w:val="both"/>
        <w:rPr>
          <w:rFonts w:ascii="Arial" w:hAnsi="Arial" w:cs="Arial"/>
          <w:bCs/>
          <w:iCs/>
          <w:color w:val="595959" w:themeColor="text1" w:themeTint="A6"/>
        </w:rPr>
      </w:pPr>
      <w:r w:rsidRPr="0054039C">
        <w:rPr>
          <w:rFonts w:ascii="Arial" w:hAnsi="Arial" w:cs="Arial"/>
          <w:bCs/>
          <w:iCs/>
          <w:color w:val="595959" w:themeColor="text1" w:themeTint="A6"/>
        </w:rPr>
        <w:t xml:space="preserve"> NOF/CAF-derived matrices were developed for three weeks as described in 2.2.6.1 without the addition of growth factors. Day 21 the matrices were treated with either a vehicle control (</w:t>
      </w:r>
      <w:r w:rsidRPr="0054039C">
        <w:rPr>
          <w:rFonts w:ascii="Arial" w:hAnsi="Arial" w:cs="Arial"/>
          <w:color w:val="595959" w:themeColor="text1" w:themeTint="A6"/>
          <w:lang w:val="en-US"/>
        </w:rPr>
        <w:t>4 mM HCl containing BSA (1 mg/mL)</w:t>
      </w:r>
      <w:r w:rsidRPr="0054039C">
        <w:rPr>
          <w:rFonts w:ascii="Arial" w:hAnsi="Arial" w:cs="Arial"/>
          <w:bCs/>
          <w:iCs/>
          <w:color w:val="595959" w:themeColor="text1" w:themeTint="A6"/>
        </w:rPr>
        <w:t>), 10 ng/mL TGFβ-1, 10 ng/mL Scriptaid, 10 ng/mL Batimastat, or with the drugs in combination with TGFβ-1  for a further 7 days in low serum containing media (5%). RNA and protein w</w:t>
      </w:r>
      <w:r w:rsidR="00ED4B26">
        <w:rPr>
          <w:rFonts w:ascii="Arial" w:hAnsi="Arial" w:cs="Arial"/>
          <w:bCs/>
          <w:iCs/>
          <w:color w:val="595959" w:themeColor="text1" w:themeTint="A6"/>
        </w:rPr>
        <w:t>ere</w:t>
      </w:r>
      <w:r w:rsidRPr="0054039C">
        <w:rPr>
          <w:rFonts w:ascii="Arial" w:hAnsi="Arial" w:cs="Arial"/>
          <w:bCs/>
          <w:iCs/>
          <w:color w:val="595959" w:themeColor="text1" w:themeTint="A6"/>
        </w:rPr>
        <w:t xml:space="preserve"> collected and analysed as described in sections 2.2.7 and 2.2.9. </w:t>
      </w:r>
      <w:bookmarkEnd w:id="198"/>
    </w:p>
    <w:p w14:paraId="6C82CC62" w14:textId="77777777" w:rsidR="0054039C" w:rsidRPr="0054039C" w:rsidRDefault="0054039C" w:rsidP="00ED4B26">
      <w:pPr>
        <w:pStyle w:val="Heading3"/>
        <w:rPr>
          <w:rFonts w:ascii="Arial" w:hAnsi="Arial" w:cs="Arial"/>
          <w:color w:val="595959" w:themeColor="text1" w:themeTint="A6"/>
        </w:rPr>
      </w:pPr>
      <w:bookmarkStart w:id="200" w:name="_Toc534278624"/>
      <w:bookmarkStart w:id="201" w:name="_Toc34208334"/>
      <w:r w:rsidRPr="0054039C">
        <w:rPr>
          <w:rFonts w:ascii="Arial" w:hAnsi="Arial" w:cs="Arial"/>
          <w:color w:val="595959" w:themeColor="text1" w:themeTint="A6"/>
        </w:rPr>
        <w:t>2.2.11 Microscopy</w:t>
      </w:r>
      <w:bookmarkEnd w:id="200"/>
      <w:bookmarkEnd w:id="201"/>
      <w:r w:rsidRPr="0054039C">
        <w:rPr>
          <w:rFonts w:ascii="Arial" w:hAnsi="Arial" w:cs="Arial"/>
          <w:color w:val="595959" w:themeColor="text1" w:themeTint="A6"/>
        </w:rPr>
        <w:t xml:space="preserve"> </w:t>
      </w:r>
    </w:p>
    <w:p w14:paraId="70E7CDC0" w14:textId="77777777" w:rsidR="0054039C" w:rsidRPr="0054039C" w:rsidRDefault="0054039C" w:rsidP="0054039C"/>
    <w:p w14:paraId="07CD2C39" w14:textId="77777777" w:rsidR="0054039C" w:rsidRPr="0054039C" w:rsidRDefault="0054039C" w:rsidP="00FA4D93">
      <w:pPr>
        <w:pStyle w:val="Heading4"/>
        <w:rPr>
          <w:rFonts w:ascii="Arial" w:hAnsi="Arial" w:cs="Arial"/>
          <w:color w:val="595959" w:themeColor="text1" w:themeTint="A6"/>
          <w:szCs w:val="24"/>
        </w:rPr>
      </w:pPr>
      <w:bookmarkStart w:id="202" w:name="_Toc534278625"/>
      <w:bookmarkStart w:id="203" w:name="_Toc34208335"/>
      <w:r w:rsidRPr="0054039C">
        <w:rPr>
          <w:rFonts w:ascii="Arial" w:hAnsi="Arial" w:cs="Arial"/>
          <w:color w:val="595959" w:themeColor="text1" w:themeTint="A6"/>
          <w:szCs w:val="24"/>
        </w:rPr>
        <w:t>2.2.11.1 Light microscopy</w:t>
      </w:r>
      <w:bookmarkEnd w:id="202"/>
      <w:bookmarkEnd w:id="203"/>
      <w:r w:rsidRPr="0054039C">
        <w:rPr>
          <w:rFonts w:ascii="Arial" w:hAnsi="Arial" w:cs="Arial"/>
          <w:color w:val="595959" w:themeColor="text1" w:themeTint="A6"/>
          <w:szCs w:val="24"/>
        </w:rPr>
        <w:t xml:space="preserve"> </w:t>
      </w:r>
    </w:p>
    <w:p w14:paraId="652648B8" w14:textId="77777777" w:rsidR="0054039C" w:rsidRPr="0054039C" w:rsidRDefault="0054039C" w:rsidP="0054039C"/>
    <w:p w14:paraId="08C095A9" w14:textId="77777777" w:rsidR="0054039C" w:rsidRPr="0054039C" w:rsidRDefault="0054039C" w:rsidP="0054039C">
      <w:pPr>
        <w:spacing w:line="480" w:lineRule="auto"/>
        <w:jc w:val="both"/>
        <w:rPr>
          <w:rFonts w:ascii="Arial" w:hAnsi="Arial" w:cs="Arial"/>
          <w:bCs/>
          <w:iCs/>
          <w:color w:val="595959" w:themeColor="text1" w:themeTint="A6"/>
        </w:rPr>
      </w:pPr>
      <w:r w:rsidRPr="0054039C">
        <w:rPr>
          <w:rFonts w:ascii="Arial" w:hAnsi="Arial" w:cs="Arial"/>
          <w:bCs/>
          <w:iCs/>
          <w:color w:val="595959" w:themeColor="text1" w:themeTint="A6"/>
        </w:rPr>
        <w:t xml:space="preserve">During routine tissue culture, cell morphology was consistently observed, as well as qualitatively assessing cell health. Cell detachment during passaging was observed by light microscopy at x10 magnification. </w:t>
      </w:r>
    </w:p>
    <w:p w14:paraId="5F3A2D90" w14:textId="77777777" w:rsidR="0054039C" w:rsidRPr="0054039C" w:rsidRDefault="0054039C" w:rsidP="00FA4D93">
      <w:pPr>
        <w:pStyle w:val="Heading4"/>
        <w:rPr>
          <w:rFonts w:ascii="Arial" w:hAnsi="Arial" w:cs="Arial"/>
          <w:color w:val="595959" w:themeColor="text1" w:themeTint="A6"/>
          <w:szCs w:val="24"/>
          <w:lang w:val="en-US"/>
        </w:rPr>
      </w:pPr>
      <w:bookmarkStart w:id="204" w:name="_Toc534278626"/>
      <w:bookmarkStart w:id="205" w:name="_Toc34208336"/>
      <w:r w:rsidRPr="0054039C">
        <w:rPr>
          <w:rFonts w:ascii="Arial" w:hAnsi="Arial" w:cs="Arial"/>
          <w:color w:val="595959" w:themeColor="text1" w:themeTint="A6"/>
          <w:szCs w:val="24"/>
        </w:rPr>
        <w:t xml:space="preserve">2.2.11.2 </w:t>
      </w:r>
      <w:r w:rsidRPr="0054039C">
        <w:rPr>
          <w:rFonts w:ascii="Arial" w:hAnsi="Arial" w:cs="Arial"/>
          <w:color w:val="595959" w:themeColor="text1" w:themeTint="A6"/>
          <w:szCs w:val="24"/>
          <w:lang w:val="en-US"/>
        </w:rPr>
        <w:t>Scanning electron microscopy</w:t>
      </w:r>
      <w:bookmarkEnd w:id="204"/>
      <w:bookmarkEnd w:id="205"/>
      <w:r w:rsidRPr="0054039C">
        <w:rPr>
          <w:rFonts w:ascii="Arial" w:hAnsi="Arial" w:cs="Arial"/>
          <w:color w:val="595959" w:themeColor="text1" w:themeTint="A6"/>
          <w:szCs w:val="24"/>
          <w:lang w:val="en-US"/>
        </w:rPr>
        <w:t xml:space="preserve"> </w:t>
      </w:r>
    </w:p>
    <w:p w14:paraId="55F2DDDB" w14:textId="77777777" w:rsidR="0054039C" w:rsidRPr="0054039C" w:rsidRDefault="0054039C" w:rsidP="0054039C">
      <w:pPr>
        <w:rPr>
          <w:lang w:val="en-US"/>
        </w:rPr>
      </w:pPr>
    </w:p>
    <w:p w14:paraId="72687F6A" w14:textId="156F1B6D" w:rsidR="0054039C" w:rsidRDefault="0054039C" w:rsidP="0054039C">
      <w:pPr>
        <w:autoSpaceDE w:val="0"/>
        <w:autoSpaceDN w:val="0"/>
        <w:adjustRightInd w:val="0"/>
        <w:spacing w:after="0" w:line="480" w:lineRule="auto"/>
        <w:jc w:val="both"/>
        <w:rPr>
          <w:rFonts w:ascii="Arial" w:hAnsi="Arial" w:cs="Arial"/>
          <w:color w:val="595959" w:themeColor="text1" w:themeTint="A6"/>
        </w:rPr>
      </w:pPr>
      <w:bookmarkStart w:id="206" w:name="_Hlk535581520"/>
      <w:r w:rsidRPr="0054039C">
        <w:rPr>
          <w:rFonts w:ascii="Arial" w:hAnsi="Arial" w:cs="Arial"/>
          <w:color w:val="595959" w:themeColor="text1" w:themeTint="A6"/>
        </w:rPr>
        <w:t>Matrices were fixed in fresh 2.5-3% glutaraldehyde in 0.1 M phosphate buffer, overnight at 4</w:t>
      </w:r>
      <w:r w:rsidRPr="0054039C">
        <w:rPr>
          <w:rFonts w:ascii="Arial" w:hAnsi="Arial" w:cs="Arial"/>
          <w:color w:val="595959" w:themeColor="text1" w:themeTint="A6"/>
          <w:vertAlign w:val="superscript"/>
        </w:rPr>
        <w:t>o</w:t>
      </w:r>
      <w:r w:rsidRPr="0054039C">
        <w:rPr>
          <w:rFonts w:ascii="Arial" w:hAnsi="Arial" w:cs="Arial"/>
          <w:color w:val="595959" w:themeColor="text1" w:themeTint="A6"/>
        </w:rPr>
        <w:t>C then washed in 0.1 M phosphate buffer twice with 30-minute intervals at 4</w:t>
      </w:r>
      <w:r w:rsidRPr="0054039C">
        <w:rPr>
          <w:rFonts w:ascii="Arial" w:hAnsi="Arial" w:cs="Arial"/>
          <w:color w:val="595959" w:themeColor="text1" w:themeTint="A6"/>
          <w:vertAlign w:val="superscript"/>
        </w:rPr>
        <w:t>o</w:t>
      </w:r>
      <w:r w:rsidRPr="0054039C">
        <w:rPr>
          <w:rFonts w:ascii="Arial" w:hAnsi="Arial" w:cs="Arial"/>
          <w:color w:val="595959" w:themeColor="text1" w:themeTint="A6"/>
        </w:rPr>
        <w:t>C. Secondary fixation was carried out in 2% OsO</w:t>
      </w:r>
      <w:r w:rsidRPr="0054039C">
        <w:rPr>
          <w:rFonts w:ascii="Arial" w:hAnsi="Arial" w:cs="Arial"/>
          <w:color w:val="595959" w:themeColor="text1" w:themeTint="A6"/>
          <w:vertAlign w:val="subscript"/>
        </w:rPr>
        <w:t>4</w:t>
      </w:r>
      <w:r w:rsidRPr="0054039C">
        <w:rPr>
          <w:rFonts w:ascii="Arial" w:hAnsi="Arial" w:cs="Arial"/>
          <w:color w:val="595959" w:themeColor="text1" w:themeTint="A6"/>
        </w:rPr>
        <w:t xml:space="preserve"> for 2 h at </w:t>
      </w:r>
      <w:r w:rsidR="00DF1F1D">
        <w:rPr>
          <w:rFonts w:ascii="Arial" w:hAnsi="Arial" w:cs="Arial"/>
          <w:color w:val="595959" w:themeColor="text1" w:themeTint="A6"/>
        </w:rPr>
        <w:t>r</w:t>
      </w:r>
      <w:r w:rsidRPr="0054039C">
        <w:rPr>
          <w:rFonts w:ascii="Arial" w:hAnsi="Arial" w:cs="Arial"/>
          <w:color w:val="595959" w:themeColor="text1" w:themeTint="A6"/>
        </w:rPr>
        <w:t>oom temperature and pressure and again washed in 0.1 M phosphate buffer. Dehydration of the matrices was performed through a graded ethanol series to allow the infiltration of propylene oxide/Araldite resin (1:1 v/v). Matrices were embedded in araldite epon for 6-8 h at room temperature and then placed in fresh araldite epon for a further 48-72 h at 60</w:t>
      </w:r>
      <w:r w:rsidRPr="0054039C">
        <w:rPr>
          <w:rFonts w:ascii="Arial" w:hAnsi="Arial" w:cs="Arial"/>
          <w:color w:val="595959" w:themeColor="text1" w:themeTint="A6"/>
          <w:vertAlign w:val="superscript"/>
        </w:rPr>
        <w:t>o</w:t>
      </w:r>
      <w:r w:rsidRPr="0054039C">
        <w:rPr>
          <w:rFonts w:ascii="Arial" w:hAnsi="Arial" w:cs="Arial"/>
          <w:color w:val="595959" w:themeColor="text1" w:themeTint="A6"/>
        </w:rPr>
        <w:t>C. Ultrathin sections (90 nm) were cut using a</w:t>
      </w:r>
      <w:r w:rsidR="00574010">
        <w:rPr>
          <w:rFonts w:ascii="Arial" w:hAnsi="Arial" w:cs="Arial"/>
          <w:color w:val="595959" w:themeColor="text1" w:themeTint="A6"/>
        </w:rPr>
        <w:t>n</w:t>
      </w:r>
      <w:r w:rsidRPr="0054039C">
        <w:rPr>
          <w:rFonts w:ascii="Arial" w:hAnsi="Arial" w:cs="Arial"/>
          <w:color w:val="595959" w:themeColor="text1" w:themeTint="A6"/>
        </w:rPr>
        <w:t xml:space="preserve"> ultramicrotome and stained in 3% aqueous uranyl acetate and Reynold’s lead citrate for 5 minutes. Sections were examined using a scanning electron microscope at an accelerating voltage of 80 Kv. </w:t>
      </w:r>
      <w:bookmarkEnd w:id="206"/>
    </w:p>
    <w:p w14:paraId="627BE436" w14:textId="77777777" w:rsidR="00FA4D93" w:rsidRPr="00FA4D93" w:rsidRDefault="00FA4D93" w:rsidP="00FA4D93">
      <w:pPr>
        <w:pStyle w:val="Heading4"/>
        <w:rPr>
          <w:rFonts w:ascii="Arial" w:hAnsi="Arial" w:cs="Arial"/>
          <w:color w:val="595959" w:themeColor="text1" w:themeTint="A6"/>
        </w:rPr>
      </w:pPr>
    </w:p>
    <w:p w14:paraId="2DED08A2" w14:textId="77777777" w:rsidR="0054039C" w:rsidRPr="0054039C" w:rsidRDefault="0054039C" w:rsidP="00FA4D93">
      <w:pPr>
        <w:pStyle w:val="Heading4"/>
        <w:rPr>
          <w:rFonts w:ascii="Arial" w:hAnsi="Arial" w:cs="Arial"/>
          <w:color w:val="595959" w:themeColor="text1" w:themeTint="A6"/>
          <w:szCs w:val="24"/>
        </w:rPr>
      </w:pPr>
      <w:bookmarkStart w:id="207" w:name="_Toc534278627"/>
      <w:bookmarkStart w:id="208" w:name="_Toc34208337"/>
      <w:r w:rsidRPr="0054039C">
        <w:rPr>
          <w:rFonts w:ascii="Arial" w:hAnsi="Arial" w:cs="Arial"/>
          <w:color w:val="595959" w:themeColor="text1" w:themeTint="A6"/>
          <w:szCs w:val="24"/>
        </w:rPr>
        <w:t xml:space="preserve">2.2.11.3 </w:t>
      </w:r>
      <w:bookmarkStart w:id="209" w:name="_Hlk535588292"/>
      <w:r w:rsidRPr="0054039C">
        <w:rPr>
          <w:rFonts w:ascii="Arial" w:hAnsi="Arial" w:cs="Arial"/>
          <w:color w:val="595959" w:themeColor="text1" w:themeTint="A6"/>
          <w:szCs w:val="24"/>
        </w:rPr>
        <w:t>Second harmonic generation microscopy</w:t>
      </w:r>
      <w:bookmarkEnd w:id="207"/>
      <w:bookmarkEnd w:id="208"/>
      <w:r w:rsidRPr="0054039C">
        <w:rPr>
          <w:rFonts w:ascii="Arial" w:hAnsi="Arial" w:cs="Arial"/>
          <w:color w:val="595959" w:themeColor="text1" w:themeTint="A6"/>
          <w:szCs w:val="24"/>
        </w:rPr>
        <w:t xml:space="preserve"> </w:t>
      </w:r>
    </w:p>
    <w:p w14:paraId="797103E4" w14:textId="77777777" w:rsidR="0054039C" w:rsidRPr="0054039C" w:rsidRDefault="0054039C" w:rsidP="0054039C"/>
    <w:p w14:paraId="7FAF483F" w14:textId="0219FC35" w:rsidR="0054039C" w:rsidRPr="0054039C" w:rsidRDefault="0054039C" w:rsidP="0054039C">
      <w:pPr>
        <w:autoSpaceDE w:val="0"/>
        <w:autoSpaceDN w:val="0"/>
        <w:adjustRightInd w:val="0"/>
        <w:spacing w:line="480" w:lineRule="auto"/>
        <w:jc w:val="both"/>
        <w:rPr>
          <w:rFonts w:ascii="Arial" w:hAnsi="Arial" w:cs="Arial"/>
          <w:color w:val="595959" w:themeColor="text1" w:themeTint="A6"/>
        </w:rPr>
      </w:pPr>
      <w:r w:rsidRPr="0054039C">
        <w:rPr>
          <w:rFonts w:ascii="Arial" w:hAnsi="Arial" w:cs="Arial"/>
          <w:color w:val="595959" w:themeColor="text1" w:themeTint="A6"/>
        </w:rPr>
        <w:t xml:space="preserve">Fibrillar collagen was imaged using an </w:t>
      </w:r>
      <w:r w:rsidR="00782B47">
        <w:rPr>
          <w:rFonts w:ascii="Arial" w:hAnsi="Arial" w:cs="Arial"/>
          <w:color w:val="595959" w:themeColor="text1" w:themeTint="A6"/>
        </w:rPr>
        <w:t>upri</w:t>
      </w:r>
      <w:r w:rsidR="00A32EF8">
        <w:rPr>
          <w:rFonts w:ascii="Arial" w:hAnsi="Arial" w:cs="Arial"/>
          <w:color w:val="595959" w:themeColor="text1" w:themeTint="A6"/>
        </w:rPr>
        <w:t>ght</w:t>
      </w:r>
      <w:r w:rsidRPr="0054039C">
        <w:rPr>
          <w:rFonts w:ascii="Arial" w:hAnsi="Arial" w:cs="Arial"/>
          <w:color w:val="595959" w:themeColor="text1" w:themeTint="A6"/>
        </w:rPr>
        <w:t xml:space="preserve"> multi-photon laser scanning microscope </w:t>
      </w:r>
      <w:r w:rsidR="00A32EF8">
        <w:rPr>
          <w:rFonts w:ascii="Arial" w:hAnsi="Arial" w:cs="Arial"/>
          <w:color w:val="595959" w:themeColor="text1" w:themeTint="A6"/>
        </w:rPr>
        <w:t>(</w:t>
      </w:r>
      <w:r w:rsidRPr="0054039C">
        <w:rPr>
          <w:rFonts w:ascii="Arial" w:hAnsi="Arial" w:cs="Arial"/>
          <w:color w:val="595959" w:themeColor="text1" w:themeTint="A6"/>
          <w:lang w:val="en-US"/>
        </w:rPr>
        <w:t>LSM</w:t>
      </w:r>
      <w:r w:rsidR="00A32EF8">
        <w:rPr>
          <w:rFonts w:ascii="Arial" w:hAnsi="Arial" w:cs="Arial"/>
          <w:color w:val="595959" w:themeColor="text1" w:themeTint="A6"/>
          <w:lang w:val="en-US"/>
        </w:rPr>
        <w:t>)</w:t>
      </w:r>
      <w:r w:rsidRPr="0054039C">
        <w:rPr>
          <w:rFonts w:ascii="Arial" w:hAnsi="Arial" w:cs="Arial"/>
          <w:color w:val="595959" w:themeColor="text1" w:themeTint="A6"/>
          <w:lang w:val="en-US"/>
        </w:rPr>
        <w:t xml:space="preserve">. </w:t>
      </w:r>
      <w:r w:rsidRPr="0054039C">
        <w:rPr>
          <w:rFonts w:ascii="Arial" w:hAnsi="Arial" w:cs="Arial"/>
          <w:color w:val="595959" w:themeColor="text1" w:themeTint="A6"/>
        </w:rPr>
        <w:t>A laser at 950 nm was focused onto the sample using a 40x/0.8 dipping lens objective (Nikon S Fluor) using non-descanned detectors. All images were acquired using LSM Image browser, which is also compatible with ImageJ. Collagen fibre analysis from SHG images was performed using CurveAlign</w:t>
      </w:r>
      <w:r w:rsidR="00432CC1">
        <w:rPr>
          <w:rFonts w:ascii="Arial" w:hAnsi="Arial" w:cs="Arial"/>
          <w:color w:val="595959" w:themeColor="text1" w:themeTint="A6"/>
        </w:rPr>
        <w:t xml:space="preserve"> (CurveAlign, LOCI, version 3.0</w:t>
      </w:r>
      <w:r w:rsidR="005B7816">
        <w:rPr>
          <w:rFonts w:ascii="Arial" w:hAnsi="Arial" w:cs="Arial"/>
          <w:color w:val="595959" w:themeColor="text1" w:themeTint="A6"/>
        </w:rPr>
        <w:t>, 2017</w:t>
      </w:r>
      <w:r w:rsidR="00432CC1">
        <w:rPr>
          <w:rFonts w:ascii="Arial" w:hAnsi="Arial" w:cs="Arial"/>
          <w:color w:val="595959" w:themeColor="text1" w:themeTint="A6"/>
        </w:rPr>
        <w:t xml:space="preserve">) </w:t>
      </w:r>
      <w:r w:rsidRPr="0054039C">
        <w:rPr>
          <w:rFonts w:ascii="Arial" w:hAnsi="Arial" w:cs="Arial"/>
          <w:color w:val="595959" w:themeColor="text1" w:themeTint="A6"/>
        </w:rPr>
        <w:t>and CtFIRE</w:t>
      </w:r>
      <w:r w:rsidR="003B747B">
        <w:rPr>
          <w:rFonts w:ascii="Arial" w:hAnsi="Arial" w:cs="Arial"/>
          <w:color w:val="595959" w:themeColor="text1" w:themeTint="A6"/>
        </w:rPr>
        <w:t xml:space="preserve"> (</w:t>
      </w:r>
      <w:r w:rsidR="00DC15D0">
        <w:rPr>
          <w:rFonts w:ascii="Arial" w:hAnsi="Arial" w:cs="Arial"/>
          <w:color w:val="595959" w:themeColor="text1" w:themeTint="A6"/>
        </w:rPr>
        <w:t xml:space="preserve">Bredfeldt </w:t>
      </w:r>
      <w:r w:rsidR="00DC15D0" w:rsidRPr="00DC15D0">
        <w:rPr>
          <w:rFonts w:ascii="Arial" w:hAnsi="Arial" w:cs="Arial"/>
          <w:i/>
          <w:iCs/>
          <w:color w:val="595959" w:themeColor="text1" w:themeTint="A6"/>
        </w:rPr>
        <w:t>et al.,</w:t>
      </w:r>
      <w:r w:rsidR="00DC15D0">
        <w:rPr>
          <w:rFonts w:ascii="Arial" w:hAnsi="Arial" w:cs="Arial"/>
          <w:color w:val="595959" w:themeColor="text1" w:themeTint="A6"/>
        </w:rPr>
        <w:t xml:space="preserve"> 2014). </w:t>
      </w:r>
      <w:r w:rsidRPr="0054039C">
        <w:rPr>
          <w:rFonts w:ascii="Arial" w:hAnsi="Arial" w:cs="Arial"/>
          <w:color w:val="595959" w:themeColor="text1" w:themeTint="A6"/>
        </w:rPr>
        <w:t>512 × 512 pixel images (457 μm</w:t>
      </w:r>
      <w:r w:rsidRPr="0054039C">
        <w:rPr>
          <w:rFonts w:ascii="Arial" w:hAnsi="Arial" w:cs="Arial"/>
          <w:color w:val="595959" w:themeColor="text1" w:themeTint="A6"/>
          <w:vertAlign w:val="superscript"/>
        </w:rPr>
        <w:t>2</w:t>
      </w:r>
      <w:r w:rsidRPr="0054039C">
        <w:rPr>
          <w:rFonts w:ascii="Arial" w:hAnsi="Arial" w:cs="Arial"/>
          <w:color w:val="595959" w:themeColor="text1" w:themeTint="A6"/>
        </w:rPr>
        <w:t xml:space="preserve"> area) were analysed. For collagen fibre angle, length and alignment measurements, CurveAlign analysis was performed using default parameters. For each sample, five areas were imaged; taking a 100-image z stack (1 μM increments) for each area. </w:t>
      </w:r>
    </w:p>
    <w:p w14:paraId="270161E6" w14:textId="77777777" w:rsidR="0054039C" w:rsidRPr="0054039C" w:rsidRDefault="0054039C" w:rsidP="0017242B">
      <w:pPr>
        <w:pStyle w:val="Heading4"/>
        <w:rPr>
          <w:rFonts w:ascii="Arial" w:hAnsi="Arial" w:cs="Arial"/>
          <w:color w:val="595959" w:themeColor="text1" w:themeTint="A6"/>
          <w:szCs w:val="24"/>
          <w:lang w:val="en-US"/>
        </w:rPr>
      </w:pPr>
      <w:bookmarkStart w:id="210" w:name="_Toc534278628"/>
      <w:bookmarkStart w:id="211" w:name="_Toc34208338"/>
      <w:bookmarkEnd w:id="209"/>
      <w:r w:rsidRPr="0054039C">
        <w:rPr>
          <w:rFonts w:ascii="Arial" w:hAnsi="Arial" w:cs="Arial"/>
          <w:color w:val="595959" w:themeColor="text1" w:themeTint="A6"/>
          <w:szCs w:val="24"/>
          <w:lang w:val="en-US"/>
        </w:rPr>
        <w:t>2.2.11.4 Atomic force microscopy</w:t>
      </w:r>
      <w:bookmarkEnd w:id="210"/>
      <w:bookmarkEnd w:id="211"/>
    </w:p>
    <w:p w14:paraId="7B157A3D" w14:textId="77777777" w:rsidR="0054039C" w:rsidRPr="0054039C" w:rsidRDefault="0054039C" w:rsidP="0054039C">
      <w:pPr>
        <w:rPr>
          <w:lang w:val="en-US"/>
        </w:rPr>
      </w:pPr>
    </w:p>
    <w:p w14:paraId="01FF6429" w14:textId="18B5225D" w:rsidR="0054039C" w:rsidRDefault="0054039C" w:rsidP="0054039C">
      <w:pPr>
        <w:autoSpaceDE w:val="0"/>
        <w:autoSpaceDN w:val="0"/>
        <w:adjustRightInd w:val="0"/>
        <w:spacing w:line="480" w:lineRule="auto"/>
        <w:jc w:val="both"/>
        <w:rPr>
          <w:rFonts w:ascii="Arial" w:hAnsi="Arial" w:cs="Arial"/>
          <w:color w:val="595959" w:themeColor="text1" w:themeTint="A6"/>
          <w:lang w:val="en-US"/>
        </w:rPr>
      </w:pPr>
      <w:bookmarkStart w:id="212" w:name="_Hlk535588362"/>
      <w:r w:rsidRPr="0054039C">
        <w:rPr>
          <w:rFonts w:ascii="Arial" w:hAnsi="Arial" w:cs="Arial"/>
          <w:color w:val="595959" w:themeColor="text1" w:themeTint="A6"/>
          <w:lang w:val="en-US"/>
        </w:rPr>
        <w:t xml:space="preserve">Matrices were prepared as described in section 2.2.6.2 (FDM for large organotypic inserts). For all experiments the matrices the culture media was removed, and matrices washed and stored in PBS during analysis.  All images were obtained on an Agilent 5500 microscope equipped with close loop scanners.  Contact mode imaging was employed for topographic imaging using silicon tips having a nominal force constant of between 0.02-0.77 N/m. Forces were minimized during scanning at a level below 1 nN. Scan rates were between 0.5–1 kHz and all images were recorded at 512-pixel resolution. Measurements were carried out in </w:t>
      </w:r>
      <w:r w:rsidR="00452AC0">
        <w:rPr>
          <w:rFonts w:ascii="Arial" w:hAnsi="Arial" w:cs="Arial"/>
          <w:color w:val="595959" w:themeColor="text1" w:themeTint="A6"/>
          <w:lang w:val="en-US"/>
        </w:rPr>
        <w:t xml:space="preserve">PBS </w:t>
      </w:r>
      <w:r w:rsidRPr="0054039C">
        <w:rPr>
          <w:rFonts w:ascii="Arial" w:hAnsi="Arial" w:cs="Arial"/>
          <w:color w:val="595959" w:themeColor="text1" w:themeTint="A6"/>
          <w:lang w:val="en-US"/>
        </w:rPr>
        <w:t>at room temperature (~20°C). Processing and analysis of images was performed using version 6.3.3 of SPIP software.</w:t>
      </w:r>
      <w:r w:rsidRPr="0054039C">
        <w:rPr>
          <w:rFonts w:ascii="Arial" w:hAnsi="Arial" w:cs="Arial"/>
          <w:b/>
          <w:bCs/>
          <w:color w:val="595959" w:themeColor="text1" w:themeTint="A6"/>
          <w:lang w:val="en-US"/>
        </w:rPr>
        <w:t> </w:t>
      </w:r>
      <w:r w:rsidRPr="0054039C">
        <w:rPr>
          <w:rFonts w:ascii="Arial" w:hAnsi="Arial" w:cs="Arial"/>
          <w:color w:val="595959" w:themeColor="text1" w:themeTint="A6"/>
          <w:lang w:val="en-US"/>
        </w:rPr>
        <w:t>Indentation measurements were taken using the same cantilevers used for imaging, silicon cantilevers with a manufacturer specified tip radius of less than 7 nm. Determination of the cantilever spring constant was achieved using thermal K method using the equipartition theorem as proposed by Hutter and Bechhoefer (Figure 2.6). For all indentation experiments curves were taken along fibres and different fibres. Experiments were repeated using different sample preparations and using three different AFM cantilevers</w:t>
      </w:r>
      <w:bookmarkEnd w:id="212"/>
      <w:r w:rsidR="00DD4B6B">
        <w:rPr>
          <w:rFonts w:ascii="Arial" w:hAnsi="Arial" w:cs="Arial"/>
          <w:color w:val="595959" w:themeColor="text1" w:themeTint="A6"/>
          <w:lang w:val="en-US"/>
        </w:rPr>
        <w:t xml:space="preserve"> (nm). </w:t>
      </w:r>
    </w:p>
    <w:p w14:paraId="6107A523" w14:textId="40CAD1FD" w:rsidR="00FA4D93" w:rsidRDefault="00FA4D93" w:rsidP="0054039C">
      <w:pPr>
        <w:autoSpaceDE w:val="0"/>
        <w:autoSpaceDN w:val="0"/>
        <w:adjustRightInd w:val="0"/>
        <w:spacing w:line="480" w:lineRule="auto"/>
        <w:jc w:val="both"/>
        <w:rPr>
          <w:rFonts w:ascii="Arial" w:hAnsi="Arial" w:cs="Arial"/>
          <w:color w:val="595959" w:themeColor="text1" w:themeTint="A6"/>
          <w:lang w:val="en-US"/>
        </w:rPr>
      </w:pPr>
    </w:p>
    <w:p w14:paraId="3FE6AA3B" w14:textId="0F1D72AD" w:rsidR="00FA4D93" w:rsidRDefault="00FA4D93" w:rsidP="0054039C">
      <w:pPr>
        <w:autoSpaceDE w:val="0"/>
        <w:autoSpaceDN w:val="0"/>
        <w:adjustRightInd w:val="0"/>
        <w:spacing w:line="480" w:lineRule="auto"/>
        <w:jc w:val="both"/>
        <w:rPr>
          <w:rFonts w:ascii="Arial" w:hAnsi="Arial" w:cs="Arial"/>
          <w:color w:val="595959" w:themeColor="text1" w:themeTint="A6"/>
          <w:lang w:val="en-US"/>
        </w:rPr>
      </w:pPr>
    </w:p>
    <w:p w14:paraId="77C51722" w14:textId="5F156DB5" w:rsidR="00FA4D93" w:rsidRDefault="00FA4D93" w:rsidP="0054039C">
      <w:pPr>
        <w:autoSpaceDE w:val="0"/>
        <w:autoSpaceDN w:val="0"/>
        <w:adjustRightInd w:val="0"/>
        <w:spacing w:line="480" w:lineRule="auto"/>
        <w:jc w:val="both"/>
        <w:rPr>
          <w:rFonts w:ascii="Arial" w:hAnsi="Arial" w:cs="Arial"/>
          <w:color w:val="595959" w:themeColor="text1" w:themeTint="A6"/>
          <w:lang w:val="en-US"/>
        </w:rPr>
      </w:pPr>
    </w:p>
    <w:p w14:paraId="541EAA6B" w14:textId="377CB9C4" w:rsidR="00FA4D93" w:rsidRDefault="00FA4D93" w:rsidP="0054039C">
      <w:pPr>
        <w:autoSpaceDE w:val="0"/>
        <w:autoSpaceDN w:val="0"/>
        <w:adjustRightInd w:val="0"/>
        <w:spacing w:line="480" w:lineRule="auto"/>
        <w:jc w:val="both"/>
        <w:rPr>
          <w:rFonts w:ascii="Arial" w:hAnsi="Arial" w:cs="Arial"/>
          <w:color w:val="595959" w:themeColor="text1" w:themeTint="A6"/>
          <w:lang w:val="en-US"/>
        </w:rPr>
      </w:pPr>
    </w:p>
    <w:p w14:paraId="46EF6773" w14:textId="77777777" w:rsidR="00FA4D93" w:rsidRPr="0054039C" w:rsidRDefault="00FA4D93" w:rsidP="0054039C">
      <w:pPr>
        <w:autoSpaceDE w:val="0"/>
        <w:autoSpaceDN w:val="0"/>
        <w:adjustRightInd w:val="0"/>
        <w:spacing w:line="480" w:lineRule="auto"/>
        <w:jc w:val="both"/>
        <w:rPr>
          <w:rFonts w:ascii="Arial" w:hAnsi="Arial" w:cs="Arial"/>
          <w:color w:val="595959" w:themeColor="text1" w:themeTint="A6"/>
          <w:lang w:val="en-US"/>
        </w:rPr>
      </w:pPr>
    </w:p>
    <w:p w14:paraId="3DB21EE2" w14:textId="77777777" w:rsidR="0054039C" w:rsidRPr="0054039C" w:rsidRDefault="0054039C" w:rsidP="0054039C">
      <w:pPr>
        <w:autoSpaceDE w:val="0"/>
        <w:autoSpaceDN w:val="0"/>
        <w:adjustRightInd w:val="0"/>
        <w:spacing w:line="480" w:lineRule="auto"/>
        <w:jc w:val="both"/>
        <w:rPr>
          <w:rFonts w:ascii="Arial" w:hAnsi="Arial" w:cs="Arial"/>
          <w:color w:val="595959" w:themeColor="text1" w:themeTint="A6"/>
          <w:lang w:val="en-US"/>
        </w:rPr>
      </w:pPr>
      <w:r w:rsidRPr="0054039C">
        <w:rPr>
          <w:rFonts w:ascii="Arial" w:hAnsi="Arial" w:cs="Arial"/>
          <w:noProof/>
          <w:color w:val="595959" w:themeColor="text1" w:themeTint="A6"/>
          <w:lang w:eastAsia="zh-CN"/>
        </w:rPr>
        <w:drawing>
          <wp:anchor distT="0" distB="0" distL="114300" distR="114300" simplePos="0" relativeHeight="251658260" behindDoc="0" locked="0" layoutInCell="1" allowOverlap="1" wp14:anchorId="39EB75EA" wp14:editId="655E604F">
            <wp:simplePos x="0" y="0"/>
            <wp:positionH relativeFrom="margin">
              <wp:align>center</wp:align>
            </wp:positionH>
            <wp:positionV relativeFrom="paragraph">
              <wp:posOffset>137160</wp:posOffset>
            </wp:positionV>
            <wp:extent cx="3914775" cy="4647016"/>
            <wp:effectExtent l="0" t="0" r="0" b="1270"/>
            <wp:wrapNone/>
            <wp:docPr id="1573" name="Picture 1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914775" cy="4647016"/>
                    </a:xfrm>
                    <a:prstGeom prst="rect">
                      <a:avLst/>
                    </a:prstGeom>
                    <a:noFill/>
                  </pic:spPr>
                </pic:pic>
              </a:graphicData>
            </a:graphic>
            <wp14:sizeRelH relativeFrom="margin">
              <wp14:pctWidth>0</wp14:pctWidth>
            </wp14:sizeRelH>
            <wp14:sizeRelV relativeFrom="margin">
              <wp14:pctHeight>0</wp14:pctHeight>
            </wp14:sizeRelV>
          </wp:anchor>
        </w:drawing>
      </w:r>
    </w:p>
    <w:p w14:paraId="7557A176" w14:textId="77777777" w:rsidR="0054039C" w:rsidRPr="0054039C" w:rsidRDefault="0054039C" w:rsidP="0054039C">
      <w:pPr>
        <w:autoSpaceDE w:val="0"/>
        <w:autoSpaceDN w:val="0"/>
        <w:adjustRightInd w:val="0"/>
        <w:spacing w:line="480" w:lineRule="auto"/>
        <w:jc w:val="both"/>
        <w:rPr>
          <w:rFonts w:ascii="Arial" w:hAnsi="Arial" w:cs="Arial"/>
          <w:color w:val="595959" w:themeColor="text1" w:themeTint="A6"/>
          <w:lang w:val="en-US"/>
        </w:rPr>
      </w:pPr>
    </w:p>
    <w:p w14:paraId="3DDA2926" w14:textId="77777777" w:rsidR="0054039C" w:rsidRPr="0054039C" w:rsidRDefault="0054039C" w:rsidP="0054039C">
      <w:pPr>
        <w:autoSpaceDE w:val="0"/>
        <w:autoSpaceDN w:val="0"/>
        <w:adjustRightInd w:val="0"/>
        <w:spacing w:line="480" w:lineRule="auto"/>
        <w:jc w:val="both"/>
        <w:rPr>
          <w:rFonts w:ascii="Arial" w:hAnsi="Arial" w:cs="Arial"/>
          <w:color w:val="595959" w:themeColor="text1" w:themeTint="A6"/>
          <w:lang w:val="en-US"/>
        </w:rPr>
      </w:pPr>
    </w:p>
    <w:p w14:paraId="75696540" w14:textId="77777777" w:rsidR="0054039C" w:rsidRPr="0054039C" w:rsidRDefault="0054039C" w:rsidP="0054039C">
      <w:pPr>
        <w:autoSpaceDE w:val="0"/>
        <w:autoSpaceDN w:val="0"/>
        <w:adjustRightInd w:val="0"/>
        <w:spacing w:line="480" w:lineRule="auto"/>
        <w:jc w:val="both"/>
        <w:rPr>
          <w:rFonts w:ascii="Arial" w:hAnsi="Arial" w:cs="Arial"/>
          <w:color w:val="595959" w:themeColor="text1" w:themeTint="A6"/>
          <w:lang w:val="en-US"/>
        </w:rPr>
      </w:pPr>
    </w:p>
    <w:p w14:paraId="675E4F45" w14:textId="77777777" w:rsidR="0054039C" w:rsidRPr="0054039C" w:rsidRDefault="0054039C" w:rsidP="0054039C">
      <w:pPr>
        <w:autoSpaceDE w:val="0"/>
        <w:autoSpaceDN w:val="0"/>
        <w:adjustRightInd w:val="0"/>
        <w:spacing w:line="480" w:lineRule="auto"/>
        <w:jc w:val="both"/>
        <w:rPr>
          <w:rFonts w:ascii="Arial" w:hAnsi="Arial" w:cs="Arial"/>
          <w:color w:val="595959" w:themeColor="text1" w:themeTint="A6"/>
          <w:lang w:val="en-US"/>
        </w:rPr>
      </w:pPr>
    </w:p>
    <w:p w14:paraId="2813F032" w14:textId="77777777" w:rsidR="0054039C" w:rsidRPr="0054039C" w:rsidRDefault="0054039C" w:rsidP="0054039C">
      <w:pPr>
        <w:autoSpaceDE w:val="0"/>
        <w:autoSpaceDN w:val="0"/>
        <w:adjustRightInd w:val="0"/>
        <w:spacing w:line="480" w:lineRule="auto"/>
        <w:jc w:val="both"/>
        <w:rPr>
          <w:rFonts w:ascii="Arial" w:hAnsi="Arial" w:cs="Arial"/>
          <w:color w:val="595959" w:themeColor="text1" w:themeTint="A6"/>
          <w:lang w:val="en-US"/>
        </w:rPr>
      </w:pPr>
    </w:p>
    <w:p w14:paraId="1FF277BF" w14:textId="77777777" w:rsidR="0054039C" w:rsidRPr="0054039C" w:rsidRDefault="0054039C" w:rsidP="0054039C">
      <w:pPr>
        <w:autoSpaceDE w:val="0"/>
        <w:autoSpaceDN w:val="0"/>
        <w:adjustRightInd w:val="0"/>
        <w:spacing w:line="480" w:lineRule="auto"/>
        <w:jc w:val="both"/>
        <w:rPr>
          <w:rFonts w:ascii="Arial" w:hAnsi="Arial" w:cs="Arial"/>
          <w:color w:val="595959" w:themeColor="text1" w:themeTint="A6"/>
          <w:lang w:val="en-US"/>
        </w:rPr>
      </w:pPr>
    </w:p>
    <w:p w14:paraId="33E89C1A" w14:textId="77777777" w:rsidR="0054039C" w:rsidRPr="0054039C" w:rsidRDefault="0054039C" w:rsidP="0054039C">
      <w:pPr>
        <w:autoSpaceDE w:val="0"/>
        <w:autoSpaceDN w:val="0"/>
        <w:adjustRightInd w:val="0"/>
        <w:spacing w:line="480" w:lineRule="auto"/>
        <w:jc w:val="both"/>
        <w:rPr>
          <w:rFonts w:ascii="Arial" w:hAnsi="Arial" w:cs="Arial"/>
          <w:color w:val="595959" w:themeColor="text1" w:themeTint="A6"/>
          <w:lang w:val="en-US"/>
        </w:rPr>
      </w:pPr>
    </w:p>
    <w:p w14:paraId="7DB95062" w14:textId="77777777" w:rsidR="0054039C" w:rsidRPr="0054039C" w:rsidRDefault="0054039C" w:rsidP="0054039C">
      <w:pPr>
        <w:autoSpaceDE w:val="0"/>
        <w:autoSpaceDN w:val="0"/>
        <w:adjustRightInd w:val="0"/>
        <w:spacing w:line="480" w:lineRule="auto"/>
        <w:jc w:val="both"/>
        <w:rPr>
          <w:rFonts w:ascii="Arial" w:hAnsi="Arial" w:cs="Arial"/>
          <w:color w:val="595959" w:themeColor="text1" w:themeTint="A6"/>
          <w:lang w:val="en-US"/>
        </w:rPr>
      </w:pPr>
    </w:p>
    <w:p w14:paraId="494DAF9E" w14:textId="77777777" w:rsidR="0054039C" w:rsidRPr="0054039C" w:rsidRDefault="0054039C" w:rsidP="0054039C">
      <w:pPr>
        <w:autoSpaceDE w:val="0"/>
        <w:autoSpaceDN w:val="0"/>
        <w:adjustRightInd w:val="0"/>
        <w:spacing w:line="480" w:lineRule="auto"/>
        <w:jc w:val="both"/>
        <w:rPr>
          <w:rFonts w:ascii="Arial" w:hAnsi="Arial" w:cs="Arial"/>
          <w:color w:val="595959" w:themeColor="text1" w:themeTint="A6"/>
          <w:lang w:val="en-US"/>
        </w:rPr>
      </w:pPr>
    </w:p>
    <w:p w14:paraId="44572F84" w14:textId="77777777" w:rsidR="0054039C" w:rsidRPr="0054039C" w:rsidRDefault="0054039C" w:rsidP="0054039C">
      <w:pPr>
        <w:autoSpaceDE w:val="0"/>
        <w:autoSpaceDN w:val="0"/>
        <w:adjustRightInd w:val="0"/>
        <w:spacing w:line="480" w:lineRule="auto"/>
        <w:jc w:val="both"/>
        <w:rPr>
          <w:rFonts w:ascii="Arial" w:hAnsi="Arial" w:cs="Arial"/>
          <w:color w:val="595959" w:themeColor="text1" w:themeTint="A6"/>
          <w:lang w:val="en-US"/>
        </w:rPr>
      </w:pPr>
    </w:p>
    <w:p w14:paraId="5FC6C31A" w14:textId="77777777" w:rsidR="0054039C" w:rsidRPr="0054039C" w:rsidRDefault="0054039C" w:rsidP="0054039C">
      <w:pPr>
        <w:autoSpaceDE w:val="0"/>
        <w:autoSpaceDN w:val="0"/>
        <w:adjustRightInd w:val="0"/>
        <w:spacing w:line="480" w:lineRule="auto"/>
        <w:jc w:val="both"/>
        <w:rPr>
          <w:rFonts w:ascii="Arial" w:hAnsi="Arial" w:cs="Arial"/>
          <w:color w:val="595959" w:themeColor="text1" w:themeTint="A6"/>
          <w:lang w:val="en-US"/>
        </w:rPr>
      </w:pPr>
    </w:p>
    <w:p w14:paraId="6737A8B7" w14:textId="77777777" w:rsidR="0054039C" w:rsidRPr="0054039C" w:rsidRDefault="0054039C" w:rsidP="0054039C">
      <w:pPr>
        <w:autoSpaceDE w:val="0"/>
        <w:autoSpaceDN w:val="0"/>
        <w:adjustRightInd w:val="0"/>
        <w:spacing w:line="480" w:lineRule="auto"/>
        <w:jc w:val="both"/>
        <w:rPr>
          <w:rFonts w:ascii="Arial" w:hAnsi="Arial" w:cs="Arial"/>
          <w:color w:val="595959" w:themeColor="text1" w:themeTint="A6"/>
          <w:lang w:val="en-US"/>
        </w:rPr>
      </w:pPr>
    </w:p>
    <w:p w14:paraId="5D506060" w14:textId="77777777" w:rsidR="0054039C" w:rsidRPr="0054039C" w:rsidRDefault="0054039C" w:rsidP="0054039C">
      <w:pPr>
        <w:autoSpaceDE w:val="0"/>
        <w:autoSpaceDN w:val="0"/>
        <w:adjustRightInd w:val="0"/>
        <w:spacing w:line="480" w:lineRule="auto"/>
        <w:jc w:val="both"/>
        <w:rPr>
          <w:rFonts w:ascii="Arial" w:hAnsi="Arial" w:cs="Arial"/>
          <w:color w:val="595959" w:themeColor="text1" w:themeTint="A6"/>
          <w:lang w:val="en-US"/>
        </w:rPr>
      </w:pPr>
      <w:r w:rsidRPr="0054039C">
        <w:rPr>
          <w:rFonts w:ascii="Arial" w:hAnsi="Arial" w:cs="Arial"/>
          <w:noProof/>
          <w:color w:val="595959" w:themeColor="text1" w:themeTint="A6"/>
          <w:sz w:val="24"/>
          <w:szCs w:val="24"/>
          <w:lang w:eastAsia="zh-CN"/>
        </w:rPr>
        <mc:AlternateContent>
          <mc:Choice Requires="wps">
            <w:drawing>
              <wp:anchor distT="0" distB="0" distL="114300" distR="114300" simplePos="0" relativeHeight="251658261" behindDoc="0" locked="0" layoutInCell="1" allowOverlap="1" wp14:anchorId="337A0B08" wp14:editId="70A1ABA9">
                <wp:simplePos x="0" y="0"/>
                <wp:positionH relativeFrom="margin">
                  <wp:align>right</wp:align>
                </wp:positionH>
                <wp:positionV relativeFrom="paragraph">
                  <wp:posOffset>59690</wp:posOffset>
                </wp:positionV>
                <wp:extent cx="5724525" cy="1104900"/>
                <wp:effectExtent l="0" t="0" r="9525" b="0"/>
                <wp:wrapNone/>
                <wp:docPr id="1568" name="Text Box 15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1104900"/>
                        </a:xfrm>
                        <a:prstGeom prst="rect">
                          <a:avLst/>
                        </a:prstGeom>
                        <a:solidFill>
                          <a:srgbClr val="FFFFFF"/>
                        </a:solidFill>
                        <a:ln w="9525">
                          <a:noFill/>
                          <a:miter lim="800000"/>
                          <a:headEnd/>
                          <a:tailEnd/>
                        </a:ln>
                      </wps:spPr>
                      <wps:txbx>
                        <w:txbxContent>
                          <w:p w14:paraId="22714481" w14:textId="77777777" w:rsidR="008A47AC" w:rsidRPr="001C5D8A" w:rsidRDefault="008A47AC" w:rsidP="0054039C">
                            <w:pPr>
                              <w:pStyle w:val="Caption"/>
                              <w:keepNext/>
                              <w:jc w:val="both"/>
                              <w:rPr>
                                <w:rFonts w:ascii="Arial Narrow" w:hAnsi="Arial Narrow"/>
                                <w:b/>
                                <w:i w:val="0"/>
                                <w:sz w:val="22"/>
                                <w:szCs w:val="22"/>
                              </w:rPr>
                            </w:pPr>
                            <w:r w:rsidRPr="001C5D8A">
                              <w:rPr>
                                <w:rFonts w:ascii="Arial Narrow" w:hAnsi="Arial Narrow"/>
                                <w:b/>
                                <w:i w:val="0"/>
                                <w:color w:val="595959" w:themeColor="text1" w:themeTint="A6"/>
                                <w:sz w:val="22"/>
                                <w:szCs w:val="22"/>
                              </w:rPr>
                              <w:t>Figure 2.6 Measuring the effective Young’s modulus of fibroblast-derived matrices using AFM</w:t>
                            </w:r>
                          </w:p>
                          <w:p w14:paraId="6E5DC2C8" w14:textId="77777777" w:rsidR="008A47AC" w:rsidRPr="00697633" w:rsidRDefault="008A47AC" w:rsidP="0054039C">
                            <w:pPr>
                              <w:pStyle w:val="NormalWeb"/>
                              <w:spacing w:after="200" w:line="276" w:lineRule="auto"/>
                              <w:jc w:val="both"/>
                              <w:rPr>
                                <w:rFonts w:ascii="Arial Narrow" w:eastAsia="SimSun" w:hAnsi="Arial Narrow" w:cs="Arial"/>
                                <w:color w:val="595959" w:themeColor="text1" w:themeTint="A6"/>
                                <w:kern w:val="24"/>
                                <w:sz w:val="22"/>
                                <w:szCs w:val="22"/>
                              </w:rPr>
                            </w:pPr>
                            <w:r>
                              <w:rPr>
                                <w:rFonts w:ascii="Arial Narrow" w:eastAsia="SimSun" w:hAnsi="Arial Narrow" w:cs="Arial"/>
                                <w:color w:val="595959" w:themeColor="text1" w:themeTint="A6"/>
                                <w:kern w:val="24"/>
                                <w:sz w:val="22"/>
                                <w:szCs w:val="22"/>
                              </w:rPr>
                              <w:t xml:space="preserve">Fibroblast-derived matrices need to be immobilised and centrally placed on sample holder and were analysed ‘wet’ in PBS (A).  A schematic representation of AFM and the mechanical variables using a nanoindentation technique with a pyramidal probe head for indentation (B). </w:t>
                            </w:r>
                          </w:p>
                          <w:p w14:paraId="1E065C28" w14:textId="77777777" w:rsidR="008A47AC" w:rsidRDefault="008A47AC" w:rsidP="0054039C">
                            <w:pPr>
                              <w:pStyle w:val="NormalWeb"/>
                              <w:spacing w:after="200"/>
                              <w:ind w:firstLine="720"/>
                              <w:jc w:val="both"/>
                              <w:rPr>
                                <w:rFonts w:ascii="Arial Narrow" w:eastAsia="SimSun" w:hAnsi="Arial Narrow" w:cs="Arial"/>
                                <w:color w:val="595959" w:themeColor="text1" w:themeTint="A6"/>
                                <w:kern w:val="24"/>
                                <w:sz w:val="22"/>
                                <w:szCs w:val="22"/>
                              </w:rPr>
                            </w:pPr>
                            <w:r>
                              <w:rPr>
                                <w:rFonts w:ascii="Arial Narrow" w:eastAsia="SimSun" w:hAnsi="Arial Narrow" w:cs="Arial"/>
                                <w:color w:val="595959" w:themeColor="text1" w:themeTint="A6"/>
                                <w:kern w:val="24"/>
                                <w:sz w:val="22"/>
                                <w:szCs w:val="22"/>
                              </w:rPr>
                              <w:tab/>
                            </w:r>
                            <w:r>
                              <w:rPr>
                                <w:rFonts w:ascii="Arial Narrow" w:eastAsia="SimSun" w:hAnsi="Arial Narrow" w:cs="Arial"/>
                                <w:color w:val="595959" w:themeColor="text1" w:themeTint="A6"/>
                                <w:kern w:val="24"/>
                                <w:sz w:val="22"/>
                                <w:szCs w:val="22"/>
                              </w:rPr>
                              <w:tab/>
                            </w:r>
                            <w:r>
                              <w:rPr>
                                <w:rFonts w:ascii="Arial Narrow" w:eastAsia="SimSun" w:hAnsi="Arial Narrow" w:cs="Arial"/>
                                <w:color w:val="595959" w:themeColor="text1" w:themeTint="A6"/>
                                <w:kern w:val="24"/>
                                <w:sz w:val="22"/>
                                <w:szCs w:val="22"/>
                              </w:rPr>
                              <w:tab/>
                            </w:r>
                            <w:r>
                              <w:rPr>
                                <w:rFonts w:ascii="Arial Narrow" w:eastAsia="SimSun" w:hAnsi="Arial Narrow" w:cs="Arial"/>
                                <w:color w:val="595959" w:themeColor="text1" w:themeTint="A6"/>
                                <w:kern w:val="24"/>
                                <w:sz w:val="22"/>
                                <w:szCs w:val="22"/>
                              </w:rPr>
                              <w:tab/>
                            </w:r>
                            <w:r>
                              <w:rPr>
                                <w:rFonts w:ascii="Arial Narrow" w:eastAsia="SimSun" w:hAnsi="Arial Narrow" w:cs="Arial"/>
                                <w:color w:val="595959" w:themeColor="text1" w:themeTint="A6"/>
                                <w:kern w:val="24"/>
                                <w:sz w:val="22"/>
                                <w:szCs w:val="22"/>
                              </w:rPr>
                              <w:tab/>
                            </w:r>
                            <w:r>
                              <w:rPr>
                                <w:rFonts w:ascii="Arial Narrow" w:eastAsia="SimSun" w:hAnsi="Arial Narrow" w:cs="Arial"/>
                                <w:color w:val="595959" w:themeColor="text1" w:themeTint="A6"/>
                                <w:kern w:val="24"/>
                                <w:sz w:val="22"/>
                                <w:szCs w:val="22"/>
                              </w:rPr>
                              <w:tab/>
                            </w:r>
                            <w:r>
                              <w:rPr>
                                <w:rFonts w:ascii="Arial Narrow" w:eastAsia="SimSun" w:hAnsi="Arial Narrow" w:cs="Arial"/>
                                <w:color w:val="595959" w:themeColor="text1" w:themeTint="A6"/>
                                <w:kern w:val="24"/>
                                <w:sz w:val="22"/>
                                <w:szCs w:val="22"/>
                              </w:rPr>
                              <w:tab/>
                            </w:r>
                            <w:r>
                              <w:rPr>
                                <w:rFonts w:ascii="Arial Narrow" w:eastAsia="SimSun" w:hAnsi="Arial Narrow" w:cs="Arial"/>
                                <w:color w:val="595959" w:themeColor="text1" w:themeTint="A6"/>
                                <w:kern w:val="24"/>
                                <w:sz w:val="22"/>
                                <w:szCs w:val="22"/>
                              </w:rPr>
                              <w:tab/>
                            </w:r>
                            <w:r>
                              <w:rPr>
                                <w:rFonts w:ascii="Arial Narrow" w:eastAsia="SimSun" w:hAnsi="Arial Narrow" w:cs="Arial"/>
                                <w:color w:val="595959" w:themeColor="text1" w:themeTint="A6"/>
                                <w:kern w:val="24"/>
                                <w:sz w:val="22"/>
                                <w:szCs w:val="22"/>
                              </w:rPr>
                              <w:tab/>
                            </w:r>
                            <w:r>
                              <w:rPr>
                                <w:rFonts w:ascii="Arial Narrow" w:eastAsia="SimSun" w:hAnsi="Arial Narrow" w:cs="Arial"/>
                                <w:color w:val="595959" w:themeColor="text1" w:themeTint="A6"/>
                                <w:kern w:val="24"/>
                                <w:sz w:val="22"/>
                                <w:szCs w:val="22"/>
                              </w:rPr>
                              <w:tab/>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7A0B08" id="Text Box 1568" o:spid="_x0000_s1059" type="#_x0000_t202" style="position:absolute;left:0;text-align:left;margin-left:399.55pt;margin-top:4.7pt;width:450.75pt;height:87pt;z-index:251658261;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" stroked="f">
                <v:textbox>
                  <w:txbxContent>
                    <w:p w14:paraId="22714481" w14:textId="77777777" w:rsidR="008A47AC" w:rsidRPr="001C5D8A" w:rsidRDefault="008A47AC" w:rsidP="0054039C">
                      <w:pPr>
                        <w:pStyle w:val="Caption"/>
                        <w:keepNext/>
                        <w:jc w:val="both"/>
                        <w:rPr>
                          <w:rFonts w:ascii="Arial Narrow" w:hAnsi="Arial Narrow"/>
                          <w:b/>
                          <w:i w:val="0"/>
                          <w:sz w:val="22"/>
                          <w:szCs w:val="22"/>
                        </w:rPr>
                      </w:pPr>
                      <w:r w:rsidRPr="001C5D8A">
                        <w:rPr>
                          <w:rFonts w:ascii="Arial Narrow" w:hAnsi="Arial Narrow"/>
                          <w:b/>
                          <w:i w:val="0"/>
                          <w:color w:val="595959" w:themeColor="text1" w:themeTint="A6"/>
                          <w:sz w:val="22"/>
                          <w:szCs w:val="22"/>
                        </w:rPr>
                        <w:t>Figure 2.6 Measuring the effective Young’s modulus of fibroblast-derived matrices using AFM</w:t>
                      </w:r>
                    </w:p>
                    <w:p w14:paraId="6E5DC2C8" w14:textId="77777777" w:rsidR="008A47AC" w:rsidRPr="00697633" w:rsidRDefault="008A47AC" w:rsidP="0054039C">
                      <w:pPr>
                        <w:pStyle w:val="NormalWeb"/>
                        <w:spacing w:after="200" w:line="276" w:lineRule="auto"/>
                        <w:jc w:val="both"/>
                        <w:rPr>
                          <w:rFonts w:ascii="Arial Narrow" w:eastAsia="SimSun" w:hAnsi="Arial Narrow" w:cs="Arial"/>
                          <w:color w:val="595959" w:themeColor="text1" w:themeTint="A6"/>
                          <w:kern w:val="24"/>
                          <w:sz w:val="22"/>
                          <w:szCs w:val="22"/>
                        </w:rPr>
                      </w:pPr>
                      <w:r>
                        <w:rPr>
                          <w:rFonts w:ascii="Arial Narrow" w:eastAsia="SimSun" w:hAnsi="Arial Narrow" w:cs="Arial"/>
                          <w:color w:val="595959" w:themeColor="text1" w:themeTint="A6"/>
                          <w:kern w:val="24"/>
                          <w:sz w:val="22"/>
                          <w:szCs w:val="22"/>
                        </w:rPr>
                        <w:t xml:space="preserve">Fibroblast-derived matrices need to be immobilised and centrally placed on sample holder and were analysed ‘wet’ in PBS (A).  A schematic representation of AFM and the mechanical variables using a nanoindentation technique with a pyramidal probe head for indentation (B). </w:t>
                      </w:r>
                    </w:p>
                    <w:p w14:paraId="1E065C28" w14:textId="77777777" w:rsidR="008A47AC" w:rsidRDefault="008A47AC" w:rsidP="0054039C">
                      <w:pPr>
                        <w:pStyle w:val="NormalWeb"/>
                        <w:spacing w:after="200"/>
                        <w:ind w:firstLine="720"/>
                        <w:jc w:val="both"/>
                        <w:rPr>
                          <w:rFonts w:ascii="Arial Narrow" w:eastAsia="SimSun" w:hAnsi="Arial Narrow" w:cs="Arial"/>
                          <w:color w:val="595959" w:themeColor="text1" w:themeTint="A6"/>
                          <w:kern w:val="24"/>
                          <w:sz w:val="22"/>
                          <w:szCs w:val="22"/>
                        </w:rPr>
                      </w:pPr>
                      <w:r>
                        <w:rPr>
                          <w:rFonts w:ascii="Arial Narrow" w:eastAsia="SimSun" w:hAnsi="Arial Narrow" w:cs="Arial"/>
                          <w:color w:val="595959" w:themeColor="text1" w:themeTint="A6"/>
                          <w:kern w:val="24"/>
                          <w:sz w:val="22"/>
                          <w:szCs w:val="22"/>
                        </w:rPr>
                        <w:tab/>
                      </w:r>
                      <w:r>
                        <w:rPr>
                          <w:rFonts w:ascii="Arial Narrow" w:eastAsia="SimSun" w:hAnsi="Arial Narrow" w:cs="Arial"/>
                          <w:color w:val="595959" w:themeColor="text1" w:themeTint="A6"/>
                          <w:kern w:val="24"/>
                          <w:sz w:val="22"/>
                          <w:szCs w:val="22"/>
                        </w:rPr>
                        <w:tab/>
                      </w:r>
                      <w:r>
                        <w:rPr>
                          <w:rFonts w:ascii="Arial Narrow" w:eastAsia="SimSun" w:hAnsi="Arial Narrow" w:cs="Arial"/>
                          <w:color w:val="595959" w:themeColor="text1" w:themeTint="A6"/>
                          <w:kern w:val="24"/>
                          <w:sz w:val="22"/>
                          <w:szCs w:val="22"/>
                        </w:rPr>
                        <w:tab/>
                      </w:r>
                      <w:r>
                        <w:rPr>
                          <w:rFonts w:ascii="Arial Narrow" w:eastAsia="SimSun" w:hAnsi="Arial Narrow" w:cs="Arial"/>
                          <w:color w:val="595959" w:themeColor="text1" w:themeTint="A6"/>
                          <w:kern w:val="24"/>
                          <w:sz w:val="22"/>
                          <w:szCs w:val="22"/>
                        </w:rPr>
                        <w:tab/>
                      </w:r>
                      <w:r>
                        <w:rPr>
                          <w:rFonts w:ascii="Arial Narrow" w:eastAsia="SimSun" w:hAnsi="Arial Narrow" w:cs="Arial"/>
                          <w:color w:val="595959" w:themeColor="text1" w:themeTint="A6"/>
                          <w:kern w:val="24"/>
                          <w:sz w:val="22"/>
                          <w:szCs w:val="22"/>
                        </w:rPr>
                        <w:tab/>
                      </w:r>
                      <w:r>
                        <w:rPr>
                          <w:rFonts w:ascii="Arial Narrow" w:eastAsia="SimSun" w:hAnsi="Arial Narrow" w:cs="Arial"/>
                          <w:color w:val="595959" w:themeColor="text1" w:themeTint="A6"/>
                          <w:kern w:val="24"/>
                          <w:sz w:val="22"/>
                          <w:szCs w:val="22"/>
                        </w:rPr>
                        <w:tab/>
                      </w:r>
                      <w:r>
                        <w:rPr>
                          <w:rFonts w:ascii="Arial Narrow" w:eastAsia="SimSun" w:hAnsi="Arial Narrow" w:cs="Arial"/>
                          <w:color w:val="595959" w:themeColor="text1" w:themeTint="A6"/>
                          <w:kern w:val="24"/>
                          <w:sz w:val="22"/>
                          <w:szCs w:val="22"/>
                        </w:rPr>
                        <w:tab/>
                      </w:r>
                      <w:r>
                        <w:rPr>
                          <w:rFonts w:ascii="Arial Narrow" w:eastAsia="SimSun" w:hAnsi="Arial Narrow" w:cs="Arial"/>
                          <w:color w:val="595959" w:themeColor="text1" w:themeTint="A6"/>
                          <w:kern w:val="24"/>
                          <w:sz w:val="22"/>
                          <w:szCs w:val="22"/>
                        </w:rPr>
                        <w:tab/>
                      </w:r>
                      <w:r>
                        <w:rPr>
                          <w:rFonts w:ascii="Arial Narrow" w:eastAsia="SimSun" w:hAnsi="Arial Narrow" w:cs="Arial"/>
                          <w:color w:val="595959" w:themeColor="text1" w:themeTint="A6"/>
                          <w:kern w:val="24"/>
                          <w:sz w:val="22"/>
                          <w:szCs w:val="22"/>
                        </w:rPr>
                        <w:tab/>
                      </w:r>
                      <w:r>
                        <w:rPr>
                          <w:rFonts w:ascii="Arial Narrow" w:eastAsia="SimSun" w:hAnsi="Arial Narrow" w:cs="Arial"/>
                          <w:color w:val="595959" w:themeColor="text1" w:themeTint="A6"/>
                          <w:kern w:val="24"/>
                          <w:sz w:val="22"/>
                          <w:szCs w:val="22"/>
                        </w:rPr>
                        <w:tab/>
                      </w:r>
                    </w:p>
                  </w:txbxContent>
                </v:textbox>
                <w10:wrap anchorx="margin"/>
              </v:shape>
            </w:pict>
          </mc:Fallback>
        </mc:AlternateContent>
      </w:r>
    </w:p>
    <w:p w14:paraId="6F8E324A" w14:textId="77777777" w:rsidR="0054039C" w:rsidRPr="0054039C" w:rsidRDefault="0054039C" w:rsidP="0054039C">
      <w:pPr>
        <w:autoSpaceDE w:val="0"/>
        <w:autoSpaceDN w:val="0"/>
        <w:adjustRightInd w:val="0"/>
        <w:spacing w:line="480" w:lineRule="auto"/>
        <w:jc w:val="both"/>
        <w:rPr>
          <w:rFonts w:ascii="Arial" w:hAnsi="Arial" w:cs="Arial"/>
          <w:color w:val="595959" w:themeColor="text1" w:themeTint="A6"/>
          <w:lang w:val="en-US"/>
        </w:rPr>
      </w:pPr>
    </w:p>
    <w:p w14:paraId="3D2C44E8" w14:textId="77777777" w:rsidR="0054039C" w:rsidRPr="0054039C" w:rsidRDefault="0054039C" w:rsidP="0054039C">
      <w:pPr>
        <w:autoSpaceDE w:val="0"/>
        <w:autoSpaceDN w:val="0"/>
        <w:adjustRightInd w:val="0"/>
        <w:spacing w:line="480" w:lineRule="auto"/>
        <w:jc w:val="both"/>
        <w:rPr>
          <w:rFonts w:ascii="Arial" w:hAnsi="Arial" w:cs="Arial"/>
          <w:color w:val="595959" w:themeColor="text1" w:themeTint="A6"/>
          <w:lang w:val="en-US"/>
        </w:rPr>
      </w:pPr>
    </w:p>
    <w:p w14:paraId="4CC67F27" w14:textId="77777777" w:rsidR="0054039C" w:rsidRPr="0054039C" w:rsidRDefault="0054039C" w:rsidP="0054039C">
      <w:pPr>
        <w:rPr>
          <w:lang w:val="en-US"/>
        </w:rPr>
      </w:pPr>
    </w:p>
    <w:p w14:paraId="7608D3F4" w14:textId="77777777" w:rsidR="0054039C" w:rsidRPr="0054039C" w:rsidRDefault="0054039C" w:rsidP="0017242B">
      <w:pPr>
        <w:pStyle w:val="Heading4"/>
        <w:rPr>
          <w:rFonts w:ascii="Arial" w:hAnsi="Arial" w:cs="Arial"/>
          <w:color w:val="595959" w:themeColor="text1" w:themeTint="A6"/>
          <w:szCs w:val="24"/>
          <w:lang w:val="en-US"/>
        </w:rPr>
      </w:pPr>
      <w:bookmarkStart w:id="213" w:name="_Toc534278629"/>
      <w:bookmarkStart w:id="214" w:name="_Toc34208339"/>
      <w:r w:rsidRPr="0054039C">
        <w:rPr>
          <w:rFonts w:ascii="Arial" w:hAnsi="Arial" w:cs="Arial"/>
          <w:color w:val="595959" w:themeColor="text1" w:themeTint="A6"/>
          <w:szCs w:val="24"/>
          <w:lang w:val="en-US"/>
        </w:rPr>
        <w:t>2.2.11.5 Live-cell imaging microscopy</w:t>
      </w:r>
      <w:bookmarkEnd w:id="213"/>
      <w:bookmarkEnd w:id="214"/>
    </w:p>
    <w:p w14:paraId="4BB84135" w14:textId="77777777" w:rsidR="0054039C" w:rsidRPr="0054039C" w:rsidRDefault="0054039C" w:rsidP="0054039C">
      <w:pPr>
        <w:rPr>
          <w:lang w:val="en-US"/>
        </w:rPr>
      </w:pPr>
    </w:p>
    <w:p w14:paraId="76AA7AF9" w14:textId="1B24CAB8" w:rsidR="0054039C" w:rsidRPr="0054039C" w:rsidRDefault="0054039C" w:rsidP="0054039C">
      <w:pPr>
        <w:autoSpaceDE w:val="0"/>
        <w:autoSpaceDN w:val="0"/>
        <w:adjustRightInd w:val="0"/>
        <w:spacing w:line="480" w:lineRule="auto"/>
        <w:jc w:val="both"/>
        <w:rPr>
          <w:rFonts w:ascii="Arial" w:hAnsi="Arial" w:cs="Arial"/>
          <w:color w:val="595959" w:themeColor="text1" w:themeTint="A6"/>
          <w:lang w:val="en-US"/>
        </w:rPr>
      </w:pPr>
      <w:r w:rsidRPr="0054039C">
        <w:rPr>
          <w:rFonts w:ascii="Arial" w:hAnsi="Arial" w:cs="Arial"/>
          <w:color w:val="595959" w:themeColor="text1" w:themeTint="A6"/>
          <w:lang w:val="en-US"/>
        </w:rPr>
        <w:t xml:space="preserve">An inverted </w:t>
      </w:r>
      <w:r w:rsidR="0079646D">
        <w:rPr>
          <w:rFonts w:ascii="Arial" w:hAnsi="Arial" w:cs="Arial"/>
          <w:color w:val="595959" w:themeColor="text1" w:themeTint="A6"/>
          <w:lang w:val="en-US"/>
        </w:rPr>
        <w:t xml:space="preserve">transmitted- </w:t>
      </w:r>
      <w:r w:rsidRPr="0054039C">
        <w:rPr>
          <w:rFonts w:ascii="Arial" w:hAnsi="Arial" w:cs="Arial"/>
          <w:color w:val="595959" w:themeColor="text1" w:themeTint="A6"/>
          <w:lang w:val="en-US"/>
        </w:rPr>
        <w:t>light microscope and environmental chamber was used to analyse cell behavior. Matrices were developed on large optically transparent inserts as described in section 2.2.4.2. After a 4-week culture period 50 x10</w:t>
      </w:r>
      <w:r w:rsidRPr="0054039C">
        <w:rPr>
          <w:rFonts w:ascii="Arial" w:hAnsi="Arial" w:cs="Arial"/>
          <w:color w:val="595959" w:themeColor="text1" w:themeTint="A6"/>
          <w:vertAlign w:val="superscript"/>
          <w:lang w:val="en-US"/>
        </w:rPr>
        <w:t>5</w:t>
      </w:r>
      <w:r w:rsidRPr="0054039C">
        <w:rPr>
          <w:rFonts w:ascii="Arial" w:hAnsi="Arial" w:cs="Arial"/>
          <w:color w:val="595959" w:themeColor="text1" w:themeTint="A6"/>
          <w:lang w:val="en-US"/>
        </w:rPr>
        <w:t xml:space="preserve"> FNB6 or H357 were seeded onto the fibroblast-derived matrices, and after 24 h, a live time-lapse experiment was performed for a further 24 h in keratinocyte growth media (1% FBS) without EGF. The environmental chamber was maintained at 37</w:t>
      </w:r>
      <w:r w:rsidRPr="0054039C">
        <w:rPr>
          <w:rFonts w:ascii="Arial" w:hAnsi="Arial" w:cs="Arial"/>
          <w:color w:val="595959" w:themeColor="text1" w:themeTint="A6"/>
          <w:vertAlign w:val="superscript"/>
          <w:lang w:val="en-US"/>
        </w:rPr>
        <w:t>o</w:t>
      </w:r>
      <w:r w:rsidRPr="0054039C">
        <w:rPr>
          <w:rFonts w:ascii="Arial" w:hAnsi="Arial" w:cs="Arial"/>
          <w:color w:val="595959" w:themeColor="text1" w:themeTint="A6"/>
          <w:lang w:val="en-US"/>
        </w:rPr>
        <w:t>C, and 5% CO</w:t>
      </w:r>
      <w:r w:rsidRPr="0054039C">
        <w:rPr>
          <w:rFonts w:ascii="Arial" w:hAnsi="Arial" w:cs="Arial"/>
          <w:color w:val="595959" w:themeColor="text1" w:themeTint="A6"/>
          <w:vertAlign w:val="subscript"/>
          <w:lang w:val="en-US"/>
        </w:rPr>
        <w:t>2</w:t>
      </w:r>
      <w:r w:rsidRPr="0054039C">
        <w:rPr>
          <w:rFonts w:ascii="Arial" w:hAnsi="Arial" w:cs="Arial"/>
          <w:color w:val="595959" w:themeColor="text1" w:themeTint="A6"/>
          <w:lang w:val="en-US"/>
        </w:rPr>
        <w:t xml:space="preserve"> humidity. The microscope was set for phase-contrast microscopy. For each insert; three positions were set for analysis and were image-captured at each position in 10-minute intervals.  All images were taken at x20 magnification. After 24 h the images were compiled into full frames and analysed for adhesion, cell migration and proliferation using a Tracking Tool™ PRO software. This is a manual tracking software that allows individual cells to be tracked per image. For each biological repeat, 20 cells were counted in order for a total of 60 cells to be used in the final analysis. Rose plots were calculated from the cell trajectories mapped for each analysis. For proliferation calculations the total number of cells were counted in three positions at the start of the time-lapse experiment. Cells were excluded if they had any region out of the frame. After 24 h the cells were counted in the same positions and proliferation rates calculated as a percentage increase or decrease. </w:t>
      </w:r>
    </w:p>
    <w:p w14:paraId="7FB23C50" w14:textId="693C5412" w:rsidR="0054039C" w:rsidRPr="0054039C" w:rsidRDefault="0054039C" w:rsidP="0017242B">
      <w:pPr>
        <w:pStyle w:val="Heading3"/>
        <w:rPr>
          <w:rFonts w:ascii="Arial" w:hAnsi="Arial" w:cs="Arial"/>
          <w:color w:val="595959" w:themeColor="text1" w:themeTint="A6"/>
          <w:lang w:val="en-US"/>
        </w:rPr>
      </w:pPr>
      <w:bookmarkStart w:id="215" w:name="_Toc534278630"/>
      <w:bookmarkStart w:id="216" w:name="_Toc34208340"/>
      <w:r w:rsidRPr="0054039C">
        <w:rPr>
          <w:rFonts w:ascii="Arial" w:hAnsi="Arial" w:cs="Arial"/>
          <w:color w:val="595959" w:themeColor="text1" w:themeTint="A6"/>
          <w:lang w:val="en-US"/>
        </w:rPr>
        <w:t>2.2.12 Statistical and computational analysis</w:t>
      </w:r>
      <w:bookmarkEnd w:id="215"/>
      <w:bookmarkEnd w:id="216"/>
      <w:r w:rsidRPr="0054039C">
        <w:rPr>
          <w:rFonts w:ascii="Arial" w:hAnsi="Arial" w:cs="Arial"/>
          <w:color w:val="595959" w:themeColor="text1" w:themeTint="A6"/>
          <w:lang w:val="en-US"/>
        </w:rPr>
        <w:t xml:space="preserve"> </w:t>
      </w:r>
    </w:p>
    <w:p w14:paraId="73C0B6E8" w14:textId="77777777" w:rsidR="0054039C" w:rsidRPr="0054039C" w:rsidRDefault="0054039C" w:rsidP="0054039C">
      <w:pPr>
        <w:rPr>
          <w:lang w:val="en-US"/>
        </w:rPr>
      </w:pPr>
    </w:p>
    <w:p w14:paraId="16D6A85A" w14:textId="546BDECD" w:rsidR="008D6921" w:rsidRDefault="0054039C" w:rsidP="008C21BF">
      <w:pPr>
        <w:spacing w:line="480" w:lineRule="auto"/>
        <w:jc w:val="both"/>
        <w:rPr>
          <w:rFonts w:ascii="Arial" w:hAnsi="Arial" w:cs="Arial"/>
          <w:color w:val="595959" w:themeColor="text1" w:themeTint="A6"/>
          <w:szCs w:val="24"/>
        </w:rPr>
      </w:pPr>
      <w:r w:rsidRPr="0054039C">
        <w:rPr>
          <w:rFonts w:ascii="Arial" w:hAnsi="Arial" w:cs="Arial"/>
          <w:color w:val="595959" w:themeColor="text1" w:themeTint="A6"/>
          <w:lang w:val="en-US"/>
        </w:rPr>
        <w:t xml:space="preserve">Data is represented graphically and where applicable was analysed using a two- tailed Student’s T-test to test for statistical significance. </w:t>
      </w:r>
      <w:r w:rsidRPr="00E25DF3">
        <w:rPr>
          <w:rFonts w:ascii="Arial" w:hAnsi="Arial" w:cs="Arial"/>
          <w:color w:val="595959" w:themeColor="text1" w:themeTint="A6"/>
          <w:lang w:val="en-US"/>
        </w:rPr>
        <w:t xml:space="preserve">The Student’s </w:t>
      </w:r>
      <w:r w:rsidR="00E6270E" w:rsidRPr="00E25DF3">
        <w:rPr>
          <w:rFonts w:ascii="Arial" w:hAnsi="Arial" w:cs="Arial"/>
          <w:i/>
          <w:iCs/>
          <w:color w:val="595959" w:themeColor="text1" w:themeTint="A6"/>
          <w:lang w:val="en-US"/>
        </w:rPr>
        <w:t>t</w:t>
      </w:r>
      <w:r w:rsidRPr="00E25DF3">
        <w:rPr>
          <w:rFonts w:ascii="Arial" w:hAnsi="Arial" w:cs="Arial"/>
          <w:i/>
          <w:iCs/>
          <w:color w:val="595959" w:themeColor="text1" w:themeTint="A6"/>
          <w:lang w:val="en-US"/>
        </w:rPr>
        <w:t>-</w:t>
      </w:r>
      <w:r w:rsidRPr="00E25DF3">
        <w:rPr>
          <w:rFonts w:ascii="Arial" w:hAnsi="Arial" w:cs="Arial"/>
          <w:color w:val="595959" w:themeColor="text1" w:themeTint="A6"/>
          <w:lang w:val="en-US"/>
        </w:rPr>
        <w:t xml:space="preserve">test was either paired </w:t>
      </w:r>
      <w:r w:rsidRPr="0054039C">
        <w:rPr>
          <w:rFonts w:ascii="Arial" w:hAnsi="Arial" w:cs="Arial"/>
          <w:color w:val="595959" w:themeColor="text1" w:themeTint="A6"/>
          <w:lang w:val="en-US"/>
        </w:rPr>
        <w:t xml:space="preserve">or unpaired depending on the data sets being studied. Paired Student’s t-tests were used when the same patient cells were used in the same experiment but treated differently i.e. TGFβ-1 treatment. Unpaired was used when the data derived from RNA extracted from different primary cell culture. </w:t>
      </w:r>
      <w:r w:rsidR="001D7E29" w:rsidRPr="0054039C">
        <w:rPr>
          <w:rFonts w:ascii="Arial" w:hAnsi="Arial" w:cs="Arial"/>
          <w:color w:val="595959" w:themeColor="text1" w:themeTint="A6"/>
          <w:lang w:val="en-US"/>
        </w:rPr>
        <w:t xml:space="preserve">For multiple data sets; a Shapiro-Wilk normality test was conducted and </w:t>
      </w:r>
      <w:r w:rsidR="005919E9">
        <w:rPr>
          <w:rFonts w:ascii="Arial" w:hAnsi="Arial" w:cs="Arial"/>
          <w:color w:val="595959" w:themeColor="text1" w:themeTint="A6"/>
          <w:lang w:val="en-US"/>
        </w:rPr>
        <w:lastRenderedPageBreak/>
        <w:t xml:space="preserve">datasets which </w:t>
      </w:r>
      <w:r w:rsidR="001D7E29" w:rsidRPr="0054039C">
        <w:rPr>
          <w:rFonts w:ascii="Arial" w:hAnsi="Arial" w:cs="Arial"/>
          <w:color w:val="595959" w:themeColor="text1" w:themeTint="A6"/>
          <w:lang w:val="en-US"/>
        </w:rPr>
        <w:t xml:space="preserve">were normally distributed were further analysed by ordinary one-way ANOVA and multiple comparisons were corrected for variance with Dunnett’s test. Those data sets not normally distributed where analysed by a non-parametric Kruskal-Wallis test with Dunn's multiple comparisons test. All data is presented as mean values with error bars showing the standard deviation (SD), unless otherwise stated. For experimental repeats ‘N’ followed by a number denotes the number of biological repeats for each experiment, whereas ‘n’ denotes the number of technical repeats and clearly stated in the figure legends. </w:t>
      </w:r>
      <w:r w:rsidR="001D7E29">
        <w:rPr>
          <w:rFonts w:ascii="Arial" w:hAnsi="Arial" w:cs="Arial"/>
          <w:color w:val="595959" w:themeColor="text1" w:themeTint="A6"/>
          <w:szCs w:val="24"/>
        </w:rPr>
        <w:t xml:space="preserve"> </w:t>
      </w:r>
      <w:r w:rsidRPr="0054039C">
        <w:rPr>
          <w:rFonts w:ascii="Arial" w:hAnsi="Arial" w:cs="Arial"/>
          <w:color w:val="595959" w:themeColor="text1" w:themeTint="A6"/>
          <w:lang w:val="en-US"/>
        </w:rPr>
        <w:t>All graphical data and analysis were performed using Graphpad prism</w:t>
      </w:r>
      <w:r w:rsidR="00E95C59">
        <w:rPr>
          <w:rFonts w:ascii="Arial" w:hAnsi="Arial" w:cs="Arial"/>
          <w:color w:val="595959" w:themeColor="text1" w:themeTint="A6"/>
          <w:lang w:val="en-US"/>
        </w:rPr>
        <w:t xml:space="preserve"> </w:t>
      </w:r>
      <w:r w:rsidRPr="0054039C">
        <w:rPr>
          <w:rFonts w:ascii="Arial" w:hAnsi="Arial" w:cs="Arial"/>
          <w:color w:val="595959" w:themeColor="text1" w:themeTint="A6"/>
          <w:lang w:val="en-US"/>
        </w:rPr>
        <w:t>software</w:t>
      </w:r>
      <w:r w:rsidR="00E95C59">
        <w:rPr>
          <w:rFonts w:ascii="Arial" w:hAnsi="Arial" w:cs="Arial"/>
          <w:color w:val="595959" w:themeColor="text1" w:themeTint="A6"/>
          <w:lang w:val="en-US"/>
        </w:rPr>
        <w:t xml:space="preserve"> (Versions 6.0-8.0)</w:t>
      </w:r>
      <w:r w:rsidRPr="0054039C">
        <w:rPr>
          <w:rFonts w:ascii="Arial" w:hAnsi="Arial" w:cs="Arial"/>
          <w:color w:val="595959" w:themeColor="text1" w:themeTint="A6"/>
          <w:lang w:val="en-US"/>
        </w:rPr>
        <w:t>. P-values were assigned to quantify the notion of statistical significance and the following symbols were used graphically to report p values in a decimal format (</w:t>
      </w:r>
      <w:bookmarkStart w:id="217" w:name="_Hlk536171116"/>
      <w:r w:rsidRPr="0054039C">
        <w:rPr>
          <w:rFonts w:ascii="Arial" w:hAnsi="Arial" w:cs="Arial"/>
          <w:i/>
          <w:color w:val="595959" w:themeColor="text1" w:themeTint="A6"/>
          <w:lang w:val="en-US"/>
        </w:rPr>
        <w:t>ns</w:t>
      </w:r>
      <w:r w:rsidRPr="0054039C">
        <w:rPr>
          <w:rFonts w:ascii="Arial" w:hAnsi="Arial" w:cs="Arial"/>
          <w:color w:val="595959" w:themeColor="text1" w:themeTint="A6"/>
          <w:lang w:val="en-US"/>
        </w:rPr>
        <w:t xml:space="preserve"> for p&gt;0.05</w:t>
      </w:r>
      <w:bookmarkEnd w:id="217"/>
      <w:r w:rsidRPr="0054039C">
        <w:rPr>
          <w:rFonts w:ascii="Arial" w:hAnsi="Arial" w:cs="Arial"/>
          <w:color w:val="595959" w:themeColor="text1" w:themeTint="A6"/>
          <w:lang w:val="en-US"/>
        </w:rPr>
        <w:t xml:space="preserve">, * for p≤0.05, </w:t>
      </w:r>
      <w:bookmarkStart w:id="218" w:name="_Hlk536170412"/>
      <w:r w:rsidRPr="0054039C">
        <w:rPr>
          <w:rFonts w:ascii="Arial" w:hAnsi="Arial" w:cs="Arial"/>
          <w:color w:val="595959" w:themeColor="text1" w:themeTint="A6"/>
          <w:lang w:val="en-US"/>
        </w:rPr>
        <w:t>** for p≤0.01</w:t>
      </w:r>
      <w:bookmarkEnd w:id="218"/>
      <w:r w:rsidRPr="0054039C">
        <w:rPr>
          <w:rFonts w:ascii="Arial" w:hAnsi="Arial" w:cs="Arial"/>
          <w:color w:val="595959" w:themeColor="text1" w:themeTint="A6"/>
          <w:lang w:val="en-US"/>
        </w:rPr>
        <w:t xml:space="preserve">, *** for p≤0.001 and **** for p≤0.0001.  </w:t>
      </w:r>
    </w:p>
    <w:p w14:paraId="75B12FF2" w14:textId="298940DD" w:rsidR="0054039C" w:rsidRDefault="0054039C" w:rsidP="0054039C">
      <w:pPr>
        <w:spacing w:line="480" w:lineRule="auto"/>
        <w:ind w:firstLine="720"/>
        <w:jc w:val="both"/>
        <w:rPr>
          <w:rFonts w:ascii="Arial" w:hAnsi="Arial" w:cs="Arial"/>
          <w:color w:val="595959" w:themeColor="text1" w:themeTint="A6"/>
          <w:szCs w:val="24"/>
        </w:rPr>
      </w:pPr>
    </w:p>
    <w:p w14:paraId="647607B6" w14:textId="2B7A1C10" w:rsidR="00E56B49" w:rsidRDefault="00E56B49" w:rsidP="00053807">
      <w:pPr>
        <w:pStyle w:val="NormalWeb"/>
        <w:spacing w:after="200"/>
        <w:jc w:val="both"/>
        <w:rPr>
          <w:rFonts w:ascii="Arial Narrow" w:eastAsia="SimSun" w:hAnsi="Arial Narrow" w:cs="Arial"/>
          <w:b/>
          <w:bCs/>
          <w:color w:val="595959"/>
          <w:kern w:val="24"/>
          <w:sz w:val="22"/>
          <w:szCs w:val="22"/>
        </w:rPr>
      </w:pPr>
    </w:p>
    <w:p w14:paraId="092DF265" w14:textId="77777777" w:rsidR="00053807" w:rsidRDefault="00053807" w:rsidP="00053807">
      <w:pPr>
        <w:pStyle w:val="NormalWeb"/>
        <w:spacing w:after="200"/>
        <w:jc w:val="both"/>
        <w:rPr>
          <w:rFonts w:ascii="Arial Narrow" w:eastAsia="SimSun" w:hAnsi="Arial Narrow" w:cs="Arial"/>
          <w:b/>
          <w:bCs/>
          <w:color w:val="595959"/>
          <w:kern w:val="24"/>
          <w:sz w:val="22"/>
          <w:szCs w:val="22"/>
        </w:rPr>
      </w:pPr>
    </w:p>
    <w:p w14:paraId="2EF45373" w14:textId="77777777" w:rsidR="00053807" w:rsidRDefault="00053807" w:rsidP="00053807">
      <w:pPr>
        <w:pStyle w:val="NormalWeb"/>
        <w:spacing w:after="200"/>
        <w:jc w:val="both"/>
        <w:rPr>
          <w:rFonts w:ascii="Arial Narrow" w:eastAsia="SimSun" w:hAnsi="Arial Narrow" w:cs="Arial"/>
          <w:b/>
          <w:bCs/>
          <w:color w:val="595959"/>
          <w:kern w:val="24"/>
          <w:sz w:val="22"/>
          <w:szCs w:val="22"/>
        </w:rPr>
      </w:pPr>
    </w:p>
    <w:p w14:paraId="026D0D25" w14:textId="4256CE64" w:rsidR="00053807" w:rsidRDefault="00053807" w:rsidP="00A33CE2">
      <w:pPr>
        <w:pStyle w:val="NormalWeb"/>
        <w:spacing w:after="200"/>
        <w:jc w:val="both"/>
      </w:pPr>
    </w:p>
    <w:p w14:paraId="31EA2FEF" w14:textId="77777777" w:rsidR="00A33CE2" w:rsidRDefault="00A33CE2" w:rsidP="00A33CE2">
      <w:pPr>
        <w:pStyle w:val="NormalWeb"/>
        <w:spacing w:after="200"/>
        <w:jc w:val="both"/>
      </w:pPr>
    </w:p>
    <w:p w14:paraId="3086AB05" w14:textId="77777777" w:rsidR="00A33CE2" w:rsidRDefault="00A33CE2" w:rsidP="00271AC6">
      <w:pPr>
        <w:pStyle w:val="NormalWeb"/>
        <w:spacing w:after="200"/>
        <w:jc w:val="both"/>
      </w:pPr>
    </w:p>
    <w:p w14:paraId="118A3222" w14:textId="7DB1FFA4" w:rsidR="0054039C" w:rsidRDefault="0054039C" w:rsidP="0054039C">
      <w:pPr>
        <w:spacing w:line="480" w:lineRule="auto"/>
        <w:ind w:firstLine="720"/>
        <w:jc w:val="both"/>
        <w:rPr>
          <w:rFonts w:ascii="Arial" w:hAnsi="Arial" w:cs="Arial"/>
          <w:color w:val="595959" w:themeColor="text1" w:themeTint="A6"/>
          <w:szCs w:val="24"/>
        </w:rPr>
      </w:pPr>
    </w:p>
    <w:p w14:paraId="30A926BF" w14:textId="64404414" w:rsidR="0054039C" w:rsidRDefault="0054039C" w:rsidP="0054039C">
      <w:pPr>
        <w:spacing w:line="480" w:lineRule="auto"/>
        <w:ind w:firstLine="720"/>
        <w:jc w:val="both"/>
        <w:rPr>
          <w:rFonts w:ascii="Arial" w:hAnsi="Arial" w:cs="Arial"/>
          <w:color w:val="595959" w:themeColor="text1" w:themeTint="A6"/>
          <w:szCs w:val="24"/>
        </w:rPr>
      </w:pPr>
    </w:p>
    <w:p w14:paraId="2064EA1C" w14:textId="77777777" w:rsidR="00C23C07" w:rsidRDefault="00C23C07" w:rsidP="0068176E">
      <w:pPr>
        <w:pStyle w:val="NormalWeb"/>
        <w:spacing w:after="200"/>
        <w:jc w:val="both"/>
      </w:pPr>
    </w:p>
    <w:p w14:paraId="1080932D" w14:textId="2F9AEC02" w:rsidR="0054039C" w:rsidRDefault="0054039C" w:rsidP="0054039C">
      <w:pPr>
        <w:spacing w:line="480" w:lineRule="auto"/>
        <w:ind w:firstLine="720"/>
        <w:jc w:val="both"/>
        <w:rPr>
          <w:rFonts w:ascii="Arial" w:hAnsi="Arial" w:cs="Arial"/>
          <w:color w:val="595959" w:themeColor="text1" w:themeTint="A6"/>
          <w:szCs w:val="24"/>
        </w:rPr>
      </w:pPr>
    </w:p>
    <w:p w14:paraId="655CC737" w14:textId="3353758D" w:rsidR="0054039C" w:rsidRDefault="0054039C" w:rsidP="0054039C">
      <w:pPr>
        <w:spacing w:line="480" w:lineRule="auto"/>
        <w:ind w:firstLine="720"/>
        <w:jc w:val="both"/>
        <w:rPr>
          <w:rFonts w:ascii="Arial" w:hAnsi="Arial" w:cs="Arial"/>
          <w:color w:val="595959" w:themeColor="text1" w:themeTint="A6"/>
          <w:szCs w:val="24"/>
        </w:rPr>
      </w:pPr>
    </w:p>
    <w:p w14:paraId="23D183A2" w14:textId="37B3966C" w:rsidR="0054039C" w:rsidRDefault="0054039C" w:rsidP="0054039C">
      <w:pPr>
        <w:spacing w:line="480" w:lineRule="auto"/>
        <w:ind w:firstLine="720"/>
        <w:jc w:val="both"/>
        <w:rPr>
          <w:rFonts w:ascii="Arial" w:hAnsi="Arial" w:cs="Arial"/>
          <w:color w:val="595959" w:themeColor="text1" w:themeTint="A6"/>
          <w:szCs w:val="24"/>
        </w:rPr>
      </w:pPr>
    </w:p>
    <w:p w14:paraId="65D928CB" w14:textId="56FED0CE" w:rsidR="008C21BF" w:rsidRDefault="008C21BF" w:rsidP="001201D3">
      <w:pPr>
        <w:spacing w:line="480" w:lineRule="auto"/>
        <w:jc w:val="both"/>
        <w:rPr>
          <w:rFonts w:ascii="Arial" w:hAnsi="Arial" w:cs="Arial"/>
          <w:color w:val="595959" w:themeColor="text1" w:themeTint="A6"/>
          <w:szCs w:val="24"/>
        </w:rPr>
      </w:pPr>
    </w:p>
    <w:p w14:paraId="089D5F9B" w14:textId="77777777" w:rsidR="008C21BF" w:rsidRDefault="008C21BF" w:rsidP="0054039C">
      <w:pPr>
        <w:spacing w:line="480" w:lineRule="auto"/>
        <w:ind w:firstLine="720"/>
        <w:jc w:val="both"/>
        <w:rPr>
          <w:rFonts w:ascii="Arial" w:hAnsi="Arial" w:cs="Arial"/>
          <w:color w:val="595959" w:themeColor="text1" w:themeTint="A6"/>
          <w:szCs w:val="24"/>
        </w:rPr>
      </w:pPr>
    </w:p>
    <w:p w14:paraId="7E29277E" w14:textId="1B5A4FD7" w:rsidR="0054039C" w:rsidRDefault="0054039C" w:rsidP="0054039C">
      <w:pPr>
        <w:spacing w:line="480" w:lineRule="auto"/>
        <w:ind w:firstLine="720"/>
        <w:jc w:val="both"/>
        <w:rPr>
          <w:rFonts w:ascii="Arial" w:hAnsi="Arial" w:cs="Arial"/>
          <w:color w:val="595959" w:themeColor="text1" w:themeTint="A6"/>
          <w:szCs w:val="24"/>
        </w:rPr>
      </w:pPr>
    </w:p>
    <w:p w14:paraId="72B59CB5" w14:textId="77777777" w:rsidR="001C5D8A" w:rsidRDefault="001C5D8A" w:rsidP="0054039C">
      <w:pPr>
        <w:spacing w:line="480" w:lineRule="auto"/>
        <w:ind w:firstLine="720"/>
        <w:jc w:val="both"/>
        <w:rPr>
          <w:rFonts w:ascii="Arial" w:hAnsi="Arial" w:cs="Arial"/>
          <w:color w:val="595959" w:themeColor="text1" w:themeTint="A6"/>
          <w:szCs w:val="24"/>
        </w:rPr>
      </w:pPr>
    </w:p>
    <w:p w14:paraId="371A1B02" w14:textId="77777777" w:rsidR="001C5D8A" w:rsidRDefault="001C5D8A" w:rsidP="0054039C">
      <w:pPr>
        <w:pStyle w:val="Title"/>
        <w:jc w:val="both"/>
        <w:outlineLvl w:val="0"/>
        <w:rPr>
          <w:color w:val="4472C4" w:themeColor="accent1"/>
        </w:rPr>
      </w:pPr>
      <w:bookmarkStart w:id="219" w:name="_Toc7107234"/>
    </w:p>
    <w:p w14:paraId="4A14F954" w14:textId="67D3AEBB" w:rsidR="00E95C59" w:rsidRDefault="00E95C59" w:rsidP="00E95C59"/>
    <w:p w14:paraId="3EE32150" w14:textId="2A81CAB0" w:rsidR="001201D3" w:rsidRDefault="001201D3" w:rsidP="00E95C59"/>
    <w:p w14:paraId="5049867F" w14:textId="2FB997B2" w:rsidR="001201D3" w:rsidRDefault="001201D3" w:rsidP="00E95C59"/>
    <w:p w14:paraId="7DFD4E2B" w14:textId="77777777" w:rsidR="001201D3" w:rsidRDefault="001201D3" w:rsidP="00E95C59"/>
    <w:p w14:paraId="31078714" w14:textId="77777777" w:rsidR="00E95C59" w:rsidRPr="00E95C59" w:rsidRDefault="00E95C59" w:rsidP="00E95C59"/>
    <w:p w14:paraId="4741B5CF" w14:textId="25659FD7" w:rsidR="001C5D8A" w:rsidRPr="00220314" w:rsidRDefault="001C5D8A" w:rsidP="00EA62E8">
      <w:pPr>
        <w:pStyle w:val="Title"/>
        <w:jc w:val="center"/>
        <w:outlineLvl w:val="0"/>
        <w:rPr>
          <w:color w:val="4472C4" w:themeColor="accent1"/>
          <w:sz w:val="72"/>
          <w:szCs w:val="72"/>
        </w:rPr>
      </w:pPr>
      <w:bookmarkStart w:id="220" w:name="_Toc34208341"/>
      <w:bookmarkEnd w:id="219"/>
      <w:r>
        <w:rPr>
          <w:color w:val="4472C4" w:themeColor="accent1"/>
          <w:sz w:val="72"/>
          <w:szCs w:val="72"/>
        </w:rPr>
        <w:t>Chapter 3</w:t>
      </w:r>
      <w:bookmarkEnd w:id="220"/>
    </w:p>
    <w:p w14:paraId="795DD4E8" w14:textId="57311DC9" w:rsidR="001C5D8A" w:rsidRDefault="001C5D8A" w:rsidP="00BC571E">
      <w:pPr>
        <w:pStyle w:val="Title"/>
        <w:jc w:val="center"/>
        <w:outlineLvl w:val="0"/>
        <w:rPr>
          <w:i/>
          <w:iCs/>
          <w:color w:val="4472C4" w:themeColor="accent1"/>
          <w:sz w:val="72"/>
          <w:szCs w:val="72"/>
        </w:rPr>
      </w:pPr>
      <w:bookmarkStart w:id="221" w:name="_Toc34208342"/>
      <w:r>
        <w:rPr>
          <w:color w:val="4472C4" w:themeColor="accent1"/>
          <w:sz w:val="72"/>
          <w:szCs w:val="72"/>
        </w:rPr>
        <w:t xml:space="preserve">Phenotyping oral fibroblasts </w:t>
      </w:r>
      <w:r w:rsidRPr="001C5D8A">
        <w:rPr>
          <w:i/>
          <w:iCs/>
          <w:color w:val="4472C4" w:themeColor="accent1"/>
          <w:sz w:val="72"/>
          <w:szCs w:val="72"/>
        </w:rPr>
        <w:t>in vitro</w:t>
      </w:r>
      <w:bookmarkEnd w:id="221"/>
    </w:p>
    <w:p w14:paraId="12509BA3" w14:textId="77777777" w:rsidR="00BC571E" w:rsidRPr="00BC571E" w:rsidRDefault="00BC571E" w:rsidP="00BC571E"/>
    <w:p w14:paraId="50703B65" w14:textId="38F9618F" w:rsidR="001C5D8A" w:rsidRDefault="001C5D8A" w:rsidP="0054039C"/>
    <w:p w14:paraId="52208B02" w14:textId="4581A052" w:rsidR="001C5D8A" w:rsidRDefault="001C5D8A" w:rsidP="0054039C"/>
    <w:p w14:paraId="18F04667" w14:textId="54C9A460" w:rsidR="001C5D8A" w:rsidRDefault="001C5D8A" w:rsidP="0054039C"/>
    <w:p w14:paraId="56B3D13D" w14:textId="4B6EED3F" w:rsidR="001C5D8A" w:rsidRDefault="001C5D8A" w:rsidP="0054039C"/>
    <w:p w14:paraId="79906CCA" w14:textId="34AA7898" w:rsidR="001C5D8A" w:rsidRDefault="001C5D8A" w:rsidP="0054039C"/>
    <w:p w14:paraId="0AE138C3" w14:textId="0A4118F7" w:rsidR="001C5D8A" w:rsidRDefault="001C5D8A" w:rsidP="0054039C"/>
    <w:p w14:paraId="7E6771D3" w14:textId="6186B166" w:rsidR="00807AB1" w:rsidRDefault="00807AB1" w:rsidP="0054039C"/>
    <w:p w14:paraId="075078BD" w14:textId="77777777" w:rsidR="00807AB1" w:rsidRDefault="00807AB1" w:rsidP="0054039C"/>
    <w:p w14:paraId="4BE1C517" w14:textId="2F52D029" w:rsidR="001C5D8A" w:rsidRDefault="001C5D8A" w:rsidP="0054039C"/>
    <w:p w14:paraId="5BFDFA92" w14:textId="08803A81" w:rsidR="001C5D8A" w:rsidRDefault="001C5D8A" w:rsidP="0054039C"/>
    <w:p w14:paraId="366C3EF6" w14:textId="71B844FF" w:rsidR="008407CC" w:rsidRDefault="008407CC" w:rsidP="0054039C"/>
    <w:p w14:paraId="503B0FE9" w14:textId="77777777" w:rsidR="009351B9" w:rsidRDefault="009351B9" w:rsidP="001C5D8A">
      <w:pPr>
        <w:keepNext/>
        <w:keepLines/>
        <w:spacing w:line="240" w:lineRule="auto"/>
        <w:outlineLvl w:val="1"/>
      </w:pPr>
      <w:bookmarkStart w:id="222" w:name="_Toc7107235"/>
    </w:p>
    <w:p w14:paraId="3588782F" w14:textId="6062FAC4" w:rsidR="0054039C" w:rsidRPr="0054039C" w:rsidRDefault="0054039C" w:rsidP="001C5D8A">
      <w:pPr>
        <w:keepNext/>
        <w:keepLines/>
        <w:spacing w:line="240" w:lineRule="auto"/>
        <w:outlineLvl w:val="1"/>
        <w:rPr>
          <w:rFonts w:ascii="Arial" w:eastAsiaTheme="majorEastAsia" w:hAnsi="Arial" w:cs="Arial"/>
          <w:color w:val="595959" w:themeColor="text1" w:themeTint="A6"/>
          <w:sz w:val="26"/>
          <w:szCs w:val="26"/>
        </w:rPr>
      </w:pPr>
      <w:bookmarkStart w:id="223" w:name="_Toc34208343"/>
      <w:r w:rsidRPr="0054039C">
        <w:rPr>
          <w:rFonts w:ascii="Arial" w:eastAsiaTheme="majorEastAsia" w:hAnsi="Arial" w:cs="Arial"/>
          <w:color w:val="595959" w:themeColor="text1" w:themeTint="A6"/>
          <w:sz w:val="26"/>
          <w:szCs w:val="26"/>
        </w:rPr>
        <w:t>3.1. Introduction</w:t>
      </w:r>
      <w:bookmarkEnd w:id="222"/>
      <w:bookmarkEnd w:id="223"/>
      <w:r w:rsidRPr="0054039C">
        <w:rPr>
          <w:rFonts w:ascii="Arial" w:eastAsiaTheme="majorEastAsia" w:hAnsi="Arial" w:cs="Arial"/>
          <w:color w:val="595959" w:themeColor="text1" w:themeTint="A6"/>
          <w:sz w:val="26"/>
          <w:szCs w:val="26"/>
        </w:rPr>
        <w:t xml:space="preserve"> </w:t>
      </w:r>
    </w:p>
    <w:p w14:paraId="4F776F20" w14:textId="77777777" w:rsidR="0054039C" w:rsidRPr="0054039C" w:rsidRDefault="0054039C" w:rsidP="0054039C"/>
    <w:p w14:paraId="10D7D8C6" w14:textId="1C639411" w:rsidR="00281367" w:rsidRDefault="0054039C" w:rsidP="00281367">
      <w:pPr>
        <w:spacing w:line="480" w:lineRule="auto"/>
        <w:jc w:val="both"/>
        <w:rPr>
          <w:rFonts w:ascii="Arial" w:hAnsi="Arial" w:cs="Arial"/>
          <w:color w:val="595959" w:themeColor="text1" w:themeTint="A6"/>
        </w:rPr>
      </w:pPr>
      <w:r w:rsidRPr="00BC571E">
        <w:rPr>
          <w:rFonts w:ascii="Arial" w:hAnsi="Arial" w:cs="Arial"/>
          <w:color w:val="595959" w:themeColor="text1" w:themeTint="A6"/>
        </w:rPr>
        <w:t xml:space="preserve">Within the tumour microenvironment epithelial cancer cells release various inflammatory </w:t>
      </w:r>
      <w:r w:rsidR="00CC7218" w:rsidRPr="00BC571E">
        <w:rPr>
          <w:rFonts w:ascii="Arial" w:hAnsi="Arial" w:cs="Arial"/>
          <w:color w:val="595959" w:themeColor="text1" w:themeTint="A6"/>
        </w:rPr>
        <w:t xml:space="preserve">growth </w:t>
      </w:r>
      <w:r w:rsidRPr="00BC571E">
        <w:rPr>
          <w:rFonts w:ascii="Arial" w:hAnsi="Arial" w:cs="Arial"/>
          <w:color w:val="595959" w:themeColor="text1" w:themeTint="A6"/>
        </w:rPr>
        <w:t>factors including TGFβ-1 and SDF-1</w:t>
      </w:r>
      <w:r w:rsidR="009F306D" w:rsidRPr="00BC571E">
        <w:rPr>
          <w:rFonts w:ascii="Arial" w:hAnsi="Arial" w:cs="Arial"/>
          <w:color w:val="595959" w:themeColor="text1" w:themeTint="A6"/>
        </w:rPr>
        <w:t xml:space="preserve"> (Calon </w:t>
      </w:r>
      <w:r w:rsidR="009F306D" w:rsidRPr="00BC571E">
        <w:rPr>
          <w:rFonts w:ascii="Arial" w:hAnsi="Arial" w:cs="Arial"/>
          <w:i/>
          <w:iCs/>
          <w:color w:val="595959" w:themeColor="text1" w:themeTint="A6"/>
        </w:rPr>
        <w:t>et al.,</w:t>
      </w:r>
      <w:r w:rsidR="009F306D" w:rsidRPr="00BC571E">
        <w:rPr>
          <w:rFonts w:ascii="Arial" w:hAnsi="Arial" w:cs="Arial"/>
          <w:color w:val="595959" w:themeColor="text1" w:themeTint="A6"/>
        </w:rPr>
        <w:t xml:space="preserve"> 2104)</w:t>
      </w:r>
      <w:r w:rsidR="00CC7218" w:rsidRPr="00BC571E">
        <w:rPr>
          <w:rFonts w:ascii="Arial" w:hAnsi="Arial" w:cs="Arial"/>
          <w:color w:val="595959" w:themeColor="text1" w:themeTint="A6"/>
        </w:rPr>
        <w:t>.</w:t>
      </w:r>
      <w:r w:rsidRPr="00BC571E">
        <w:rPr>
          <w:rFonts w:ascii="Arial" w:hAnsi="Arial" w:cs="Arial"/>
          <w:color w:val="595959" w:themeColor="text1" w:themeTint="A6"/>
        </w:rPr>
        <w:t xml:space="preserve"> </w:t>
      </w:r>
      <w:r w:rsidR="00CC7218" w:rsidRPr="00BC571E">
        <w:rPr>
          <w:rFonts w:ascii="Arial" w:hAnsi="Arial" w:cs="Arial"/>
          <w:color w:val="595959" w:themeColor="text1" w:themeTint="A6"/>
        </w:rPr>
        <w:t xml:space="preserve">These </w:t>
      </w:r>
      <w:r w:rsidRPr="00BC571E">
        <w:rPr>
          <w:rFonts w:ascii="Arial" w:hAnsi="Arial" w:cs="Arial"/>
          <w:color w:val="595959" w:themeColor="text1" w:themeTint="A6"/>
        </w:rPr>
        <w:t xml:space="preserve">promote tumour progression by activating signalling cascades causing the differentiation of resting resident fibroblasts </w:t>
      </w:r>
      <w:r w:rsidR="00CC7218" w:rsidRPr="00BC571E">
        <w:rPr>
          <w:rFonts w:ascii="Arial" w:hAnsi="Arial" w:cs="Arial"/>
          <w:color w:val="595959" w:themeColor="text1" w:themeTint="A6"/>
        </w:rPr>
        <w:t>in</w:t>
      </w:r>
      <w:r w:rsidRPr="00BC571E">
        <w:rPr>
          <w:rFonts w:ascii="Arial" w:hAnsi="Arial" w:cs="Arial"/>
          <w:color w:val="595959" w:themeColor="text1" w:themeTint="A6"/>
        </w:rPr>
        <w:t xml:space="preserve">to </w:t>
      </w:r>
      <w:r w:rsidR="005D419B" w:rsidRPr="00BC571E">
        <w:rPr>
          <w:rFonts w:ascii="Arial" w:hAnsi="Arial" w:cs="Arial"/>
          <w:color w:val="595959" w:themeColor="text1" w:themeTint="A6"/>
        </w:rPr>
        <w:t xml:space="preserve">a </w:t>
      </w:r>
      <w:r w:rsidRPr="00BC571E">
        <w:rPr>
          <w:rFonts w:ascii="Arial" w:hAnsi="Arial" w:cs="Arial"/>
          <w:color w:val="595959" w:themeColor="text1" w:themeTint="A6"/>
        </w:rPr>
        <w:t xml:space="preserve">metabolically active </w:t>
      </w:r>
      <w:r w:rsidR="00CC7218" w:rsidRPr="00BC571E">
        <w:rPr>
          <w:rFonts w:ascii="Arial" w:hAnsi="Arial" w:cs="Arial"/>
          <w:color w:val="595959" w:themeColor="text1" w:themeTint="A6"/>
        </w:rPr>
        <w:t>fibroblast subtype</w:t>
      </w:r>
      <w:r w:rsidR="005D419B" w:rsidRPr="00BC571E">
        <w:rPr>
          <w:rFonts w:ascii="Arial" w:hAnsi="Arial" w:cs="Arial"/>
          <w:color w:val="595959" w:themeColor="text1" w:themeTint="A6"/>
        </w:rPr>
        <w:t xml:space="preserve"> known as the myofibroblast or cancer-associated fibroblast (CAF)</w:t>
      </w:r>
      <w:r w:rsidR="00CC7218" w:rsidRPr="00BC571E">
        <w:rPr>
          <w:rFonts w:ascii="Arial" w:hAnsi="Arial" w:cs="Arial"/>
          <w:color w:val="595959" w:themeColor="text1" w:themeTint="A6"/>
        </w:rPr>
        <w:t>. T</w:t>
      </w:r>
      <w:r w:rsidR="005D419B" w:rsidRPr="00BC571E">
        <w:rPr>
          <w:rFonts w:ascii="Arial" w:hAnsi="Arial" w:cs="Arial"/>
          <w:color w:val="595959" w:themeColor="text1" w:themeTint="A6"/>
        </w:rPr>
        <w:t xml:space="preserve">his activation </w:t>
      </w:r>
      <w:r w:rsidRPr="00BC571E">
        <w:rPr>
          <w:rFonts w:ascii="Arial" w:hAnsi="Arial" w:cs="Arial"/>
          <w:color w:val="595959" w:themeColor="text1" w:themeTint="A6"/>
        </w:rPr>
        <w:t>trigge</w:t>
      </w:r>
      <w:r w:rsidR="005D419B" w:rsidRPr="00BC571E">
        <w:rPr>
          <w:rFonts w:ascii="Arial" w:hAnsi="Arial" w:cs="Arial"/>
          <w:color w:val="595959" w:themeColor="text1" w:themeTint="A6"/>
        </w:rPr>
        <w:t>rs</w:t>
      </w:r>
      <w:r w:rsidRPr="00BC571E">
        <w:rPr>
          <w:rFonts w:ascii="Arial" w:hAnsi="Arial" w:cs="Arial"/>
          <w:color w:val="595959" w:themeColor="text1" w:themeTint="A6"/>
        </w:rPr>
        <w:t xml:space="preserve"> a desmoplastic response</w:t>
      </w:r>
      <w:r w:rsidR="005D419B" w:rsidRPr="00BC571E">
        <w:rPr>
          <w:rFonts w:ascii="Arial" w:hAnsi="Arial" w:cs="Arial"/>
          <w:color w:val="595959" w:themeColor="text1" w:themeTint="A6"/>
        </w:rPr>
        <w:t xml:space="preserve"> </w:t>
      </w:r>
      <w:r w:rsidRPr="00BC571E">
        <w:rPr>
          <w:rFonts w:ascii="Arial" w:hAnsi="Arial" w:cs="Arial"/>
          <w:color w:val="595959" w:themeColor="text1" w:themeTint="A6"/>
        </w:rPr>
        <w:t xml:space="preserve">(Elenbaas and Weinberg, 2001). </w:t>
      </w:r>
      <w:r w:rsidR="00A761B9" w:rsidRPr="00BC571E">
        <w:rPr>
          <w:rFonts w:ascii="Arial" w:hAnsi="Arial" w:cs="Arial"/>
          <w:color w:val="595959" w:themeColor="text1" w:themeTint="A6"/>
        </w:rPr>
        <w:t>Desmoplastic response is c</w:t>
      </w:r>
      <w:r w:rsidRPr="00BC571E">
        <w:rPr>
          <w:rFonts w:ascii="Arial" w:hAnsi="Arial" w:cs="Arial"/>
          <w:color w:val="595959" w:themeColor="text1" w:themeTint="A6"/>
        </w:rPr>
        <w:t>haracterised by a reconstruction of ECM functionality, architecture, and composition</w:t>
      </w:r>
      <w:r w:rsidR="009F306D" w:rsidRPr="00BC571E">
        <w:rPr>
          <w:rFonts w:ascii="Arial" w:hAnsi="Arial" w:cs="Arial"/>
          <w:color w:val="595959" w:themeColor="text1" w:themeTint="A6"/>
        </w:rPr>
        <w:t xml:space="preserve">. The latter </w:t>
      </w:r>
      <w:r w:rsidR="00FC1073" w:rsidRPr="00BC571E">
        <w:rPr>
          <w:rFonts w:ascii="Arial" w:hAnsi="Arial" w:cs="Arial"/>
          <w:color w:val="595959" w:themeColor="text1" w:themeTint="A6"/>
        </w:rPr>
        <w:t xml:space="preserve">two characteristics being </w:t>
      </w:r>
      <w:r w:rsidR="009F306D" w:rsidRPr="00BC571E">
        <w:rPr>
          <w:rFonts w:ascii="Arial" w:hAnsi="Arial" w:cs="Arial"/>
          <w:color w:val="595959" w:themeColor="text1" w:themeTint="A6"/>
        </w:rPr>
        <w:t>altered by an</w:t>
      </w:r>
      <w:r w:rsidRPr="00BC571E">
        <w:rPr>
          <w:rFonts w:ascii="Arial" w:hAnsi="Arial" w:cs="Arial"/>
          <w:color w:val="595959" w:themeColor="text1" w:themeTint="A6"/>
        </w:rPr>
        <w:t xml:space="preserve"> increased deposition of fibronectin, collagen and proteoglycans</w:t>
      </w:r>
      <w:r w:rsidR="00FC1073" w:rsidRPr="00BC571E">
        <w:rPr>
          <w:rFonts w:ascii="Arial" w:hAnsi="Arial" w:cs="Arial"/>
          <w:color w:val="595959" w:themeColor="text1" w:themeTint="A6"/>
        </w:rPr>
        <w:t xml:space="preserve"> </w:t>
      </w:r>
      <w:r w:rsidRPr="00BC571E">
        <w:rPr>
          <w:rFonts w:ascii="Arial" w:hAnsi="Arial" w:cs="Arial"/>
          <w:color w:val="595959" w:themeColor="text1" w:themeTint="A6"/>
        </w:rPr>
        <w:t>contribut</w:t>
      </w:r>
      <w:r w:rsidR="00FC1073" w:rsidRPr="00BC571E">
        <w:rPr>
          <w:rFonts w:ascii="Arial" w:hAnsi="Arial" w:cs="Arial"/>
          <w:color w:val="595959" w:themeColor="text1" w:themeTint="A6"/>
        </w:rPr>
        <w:t>ing</w:t>
      </w:r>
      <w:r w:rsidRPr="00BC571E">
        <w:rPr>
          <w:rFonts w:ascii="Arial" w:hAnsi="Arial" w:cs="Arial"/>
          <w:color w:val="595959" w:themeColor="text1" w:themeTint="A6"/>
        </w:rPr>
        <w:t xml:space="preserve"> to a tumour permissive </w:t>
      </w:r>
      <w:r w:rsidR="00FC1073" w:rsidRPr="00BC571E">
        <w:rPr>
          <w:rFonts w:ascii="Arial" w:hAnsi="Arial" w:cs="Arial"/>
          <w:color w:val="595959" w:themeColor="text1" w:themeTint="A6"/>
        </w:rPr>
        <w:t>micro</w:t>
      </w:r>
      <w:r w:rsidRPr="00BC571E">
        <w:rPr>
          <w:rFonts w:ascii="Arial" w:hAnsi="Arial" w:cs="Arial"/>
          <w:color w:val="595959" w:themeColor="text1" w:themeTint="A6"/>
        </w:rPr>
        <w:t xml:space="preserve">environment (Kalluri, 2014, Alexander and Cukeirman, 2016, and Hanley </w:t>
      </w:r>
      <w:r w:rsidRPr="00BC571E">
        <w:rPr>
          <w:rFonts w:ascii="Arial" w:hAnsi="Arial" w:cs="Arial"/>
          <w:i/>
          <w:color w:val="595959" w:themeColor="text1" w:themeTint="A6"/>
        </w:rPr>
        <w:t>et al.,</w:t>
      </w:r>
      <w:r w:rsidRPr="00BC571E">
        <w:rPr>
          <w:rFonts w:ascii="Arial" w:hAnsi="Arial" w:cs="Arial"/>
          <w:color w:val="595959" w:themeColor="text1" w:themeTint="A6"/>
        </w:rPr>
        <w:t xml:space="preserve"> 2016). </w:t>
      </w:r>
      <w:r w:rsidR="001C5D8A" w:rsidRPr="00BC571E">
        <w:rPr>
          <w:rFonts w:ascii="Arial" w:hAnsi="Arial" w:cs="Arial"/>
          <w:color w:val="595959" w:themeColor="text1" w:themeTint="A6"/>
        </w:rPr>
        <w:t>Myofibroblastic d</w:t>
      </w:r>
      <w:r w:rsidRPr="00BC571E">
        <w:rPr>
          <w:rFonts w:ascii="Arial" w:hAnsi="Arial" w:cs="Arial"/>
          <w:color w:val="595959" w:themeColor="text1" w:themeTint="A6"/>
        </w:rPr>
        <w:t xml:space="preserve">ifferentiation of resting oral fibroblasts can be replicated </w:t>
      </w:r>
      <w:r w:rsidRPr="0054039C">
        <w:rPr>
          <w:rFonts w:ascii="Arial" w:hAnsi="Arial" w:cs="Arial"/>
          <w:i/>
          <w:color w:val="595959" w:themeColor="text1" w:themeTint="A6"/>
        </w:rPr>
        <w:t>in vitro</w:t>
      </w:r>
      <w:r w:rsidRPr="0054039C">
        <w:rPr>
          <w:rFonts w:ascii="Arial" w:hAnsi="Arial" w:cs="Arial"/>
          <w:color w:val="595959" w:themeColor="text1" w:themeTint="A6"/>
        </w:rPr>
        <w:t xml:space="preserve"> by exogenous application of the growth factor TGFβ-1 and is associated with a </w:t>
      </w:r>
      <w:r w:rsidRPr="0054039C">
        <w:rPr>
          <w:rFonts w:ascii="Arial" w:hAnsi="Arial" w:cs="Arial"/>
          <w:i/>
          <w:color w:val="595959" w:themeColor="text1" w:themeTint="A6"/>
        </w:rPr>
        <w:t>de-novo</w:t>
      </w:r>
      <w:r w:rsidRPr="0054039C">
        <w:rPr>
          <w:rFonts w:ascii="Arial" w:hAnsi="Arial" w:cs="Arial"/>
          <w:color w:val="595959" w:themeColor="text1" w:themeTint="A6"/>
        </w:rPr>
        <w:t xml:space="preserve"> synthesis of αSMA</w:t>
      </w:r>
      <w:r w:rsidR="00A41B32">
        <w:rPr>
          <w:rFonts w:ascii="Arial" w:hAnsi="Arial" w:cs="Arial"/>
          <w:color w:val="595959" w:themeColor="text1" w:themeTint="A6"/>
        </w:rPr>
        <w:t>, which is considered to be a reversible phenotype</w:t>
      </w:r>
      <w:r w:rsidRPr="0054039C">
        <w:rPr>
          <w:rFonts w:ascii="Arial" w:hAnsi="Arial" w:cs="Arial"/>
          <w:color w:val="595959" w:themeColor="text1" w:themeTint="A6"/>
        </w:rPr>
        <w:t xml:space="preserve"> (Desmoulière </w:t>
      </w:r>
      <w:r w:rsidRPr="0054039C">
        <w:rPr>
          <w:rFonts w:ascii="Arial" w:hAnsi="Arial" w:cs="Arial"/>
          <w:i/>
          <w:color w:val="595959" w:themeColor="text1" w:themeTint="A6"/>
        </w:rPr>
        <w:t>et al</w:t>
      </w:r>
      <w:r w:rsidRPr="0054039C">
        <w:rPr>
          <w:rFonts w:ascii="Arial" w:hAnsi="Arial" w:cs="Arial"/>
          <w:color w:val="595959" w:themeColor="text1" w:themeTint="A6"/>
        </w:rPr>
        <w:t xml:space="preserve">., 1993, Elmusrati </w:t>
      </w:r>
      <w:r w:rsidRPr="0054039C">
        <w:rPr>
          <w:rFonts w:ascii="Arial" w:hAnsi="Arial" w:cs="Arial"/>
          <w:i/>
          <w:iCs/>
          <w:color w:val="595959" w:themeColor="text1" w:themeTint="A6"/>
        </w:rPr>
        <w:t>et al.,</w:t>
      </w:r>
      <w:r w:rsidRPr="0054039C">
        <w:rPr>
          <w:rFonts w:ascii="Arial" w:hAnsi="Arial" w:cs="Arial"/>
          <w:color w:val="595959" w:themeColor="text1" w:themeTint="A6"/>
        </w:rPr>
        <w:t xml:space="preserve"> 2017, Melling </w:t>
      </w:r>
      <w:r w:rsidRPr="0054039C">
        <w:rPr>
          <w:rFonts w:ascii="Arial" w:hAnsi="Arial" w:cs="Arial"/>
          <w:i/>
          <w:iCs/>
          <w:color w:val="595959" w:themeColor="text1" w:themeTint="A6"/>
        </w:rPr>
        <w:t xml:space="preserve">et al., </w:t>
      </w:r>
      <w:r w:rsidRPr="0054039C">
        <w:rPr>
          <w:rFonts w:ascii="Arial" w:hAnsi="Arial" w:cs="Arial"/>
          <w:color w:val="595959" w:themeColor="text1" w:themeTint="A6"/>
        </w:rPr>
        <w:t>2018)</w:t>
      </w:r>
      <w:r w:rsidR="00153624">
        <w:rPr>
          <w:rFonts w:ascii="Arial" w:hAnsi="Arial" w:cs="Arial"/>
          <w:color w:val="595959" w:themeColor="text1" w:themeTint="A6"/>
        </w:rPr>
        <w:t xml:space="preserve">. CAF are considered to have an irreversible </w:t>
      </w:r>
      <w:r w:rsidR="005D5A06">
        <w:rPr>
          <w:rFonts w:ascii="Arial" w:hAnsi="Arial" w:cs="Arial"/>
          <w:color w:val="595959" w:themeColor="text1" w:themeTint="A6"/>
        </w:rPr>
        <w:t xml:space="preserve">myofibroblastic </w:t>
      </w:r>
      <w:r w:rsidR="00153624">
        <w:rPr>
          <w:rFonts w:ascii="Arial" w:hAnsi="Arial" w:cs="Arial"/>
          <w:color w:val="595959" w:themeColor="text1" w:themeTint="A6"/>
        </w:rPr>
        <w:t>phenotype based on their epigenetic instability</w:t>
      </w:r>
      <w:r w:rsidR="005D5A06">
        <w:rPr>
          <w:rFonts w:ascii="Arial" w:hAnsi="Arial" w:cs="Arial"/>
          <w:color w:val="595959" w:themeColor="text1" w:themeTint="A6"/>
        </w:rPr>
        <w:t xml:space="preserve"> (Kalluri, 2016). </w:t>
      </w:r>
      <w:r w:rsidR="00153624">
        <w:rPr>
          <w:rFonts w:ascii="Arial" w:hAnsi="Arial" w:cs="Arial"/>
          <w:color w:val="595959" w:themeColor="text1" w:themeTint="A6"/>
        </w:rPr>
        <w:t xml:space="preserve"> </w:t>
      </w:r>
      <w:r w:rsidR="0086639E">
        <w:rPr>
          <w:rFonts w:ascii="Arial" w:hAnsi="Arial" w:cs="Arial"/>
          <w:color w:val="595959" w:themeColor="text1" w:themeTint="A6"/>
        </w:rPr>
        <w:t xml:space="preserve">However, </w:t>
      </w:r>
      <w:r w:rsidR="00181643">
        <w:rPr>
          <w:rFonts w:ascii="Arial" w:hAnsi="Arial" w:cs="Arial"/>
          <w:color w:val="595959" w:themeColor="text1" w:themeTint="A6"/>
        </w:rPr>
        <w:t xml:space="preserve">activated </w:t>
      </w:r>
      <w:r w:rsidR="004A3D17">
        <w:rPr>
          <w:rFonts w:ascii="Arial" w:hAnsi="Arial" w:cs="Arial"/>
          <w:color w:val="595959" w:themeColor="text1" w:themeTint="A6"/>
        </w:rPr>
        <w:t xml:space="preserve">NOF </w:t>
      </w:r>
      <w:r w:rsidR="00DD7DFD">
        <w:rPr>
          <w:rFonts w:ascii="Arial" w:hAnsi="Arial" w:cs="Arial"/>
          <w:color w:val="595959" w:themeColor="text1" w:themeTint="A6"/>
        </w:rPr>
        <w:t xml:space="preserve">or primary oral CAF </w:t>
      </w:r>
      <w:r w:rsidR="00181643">
        <w:rPr>
          <w:rFonts w:ascii="Arial" w:hAnsi="Arial" w:cs="Arial"/>
          <w:color w:val="595959" w:themeColor="text1" w:themeTint="A6"/>
        </w:rPr>
        <w:t xml:space="preserve">have not been assessed </w:t>
      </w:r>
      <w:r w:rsidR="007D19C8">
        <w:rPr>
          <w:rFonts w:ascii="Arial" w:hAnsi="Arial" w:cs="Arial"/>
          <w:color w:val="595959" w:themeColor="text1" w:themeTint="A6"/>
        </w:rPr>
        <w:t>for</w:t>
      </w:r>
      <w:r w:rsidR="004A3D17">
        <w:rPr>
          <w:rFonts w:ascii="Arial" w:hAnsi="Arial" w:cs="Arial"/>
          <w:color w:val="595959" w:themeColor="text1" w:themeTint="A6"/>
        </w:rPr>
        <w:t xml:space="preserve"> their myofibroblastic phenotype</w:t>
      </w:r>
      <w:r w:rsidR="007D19C8">
        <w:rPr>
          <w:rFonts w:ascii="Arial" w:hAnsi="Arial" w:cs="Arial"/>
          <w:color w:val="595959" w:themeColor="text1" w:themeTint="A6"/>
        </w:rPr>
        <w:t xml:space="preserve"> in longer</w:t>
      </w:r>
      <w:r w:rsidR="009A7116">
        <w:rPr>
          <w:rFonts w:ascii="Arial" w:hAnsi="Arial" w:cs="Arial"/>
          <w:color w:val="595959" w:themeColor="text1" w:themeTint="A6"/>
        </w:rPr>
        <w:t xml:space="preserve"> cultures conditions </w:t>
      </w:r>
      <w:r w:rsidR="000E74C4" w:rsidRPr="000E74C4">
        <w:rPr>
          <w:rFonts w:ascii="Arial" w:hAnsi="Arial" w:cs="Arial"/>
          <w:i/>
          <w:iCs/>
          <w:color w:val="595959" w:themeColor="text1" w:themeTint="A6"/>
        </w:rPr>
        <w:t>in vitro.</w:t>
      </w:r>
      <w:r w:rsidR="000E74C4">
        <w:rPr>
          <w:rFonts w:ascii="Arial" w:hAnsi="Arial" w:cs="Arial"/>
          <w:color w:val="595959" w:themeColor="text1" w:themeTint="A6"/>
        </w:rPr>
        <w:t xml:space="preserve"> </w:t>
      </w:r>
      <w:r w:rsidR="004A3D17">
        <w:rPr>
          <w:rFonts w:ascii="Arial" w:hAnsi="Arial" w:cs="Arial"/>
          <w:color w:val="595959" w:themeColor="text1" w:themeTint="A6"/>
        </w:rPr>
        <w:t xml:space="preserve"> </w:t>
      </w:r>
    </w:p>
    <w:p w14:paraId="321773F4" w14:textId="55FA5905" w:rsidR="00281367" w:rsidRPr="00281367" w:rsidRDefault="009F306D" w:rsidP="00281367">
      <w:pPr>
        <w:spacing w:line="480" w:lineRule="auto"/>
        <w:jc w:val="both"/>
        <w:rPr>
          <w:rFonts w:ascii="Arial" w:hAnsi="Arial" w:cs="Arial"/>
          <w:color w:val="595959" w:themeColor="text1" w:themeTint="A6"/>
        </w:rPr>
      </w:pPr>
      <w:r>
        <w:rPr>
          <w:rFonts w:ascii="Arial" w:eastAsia="Times New Roman" w:hAnsi="Arial" w:cs="Arial"/>
          <w:color w:val="595959" w:themeColor="text1" w:themeTint="A6"/>
          <w:lang w:eastAsia="en-GB"/>
        </w:rPr>
        <w:t xml:space="preserve">This deposition of ECM components contributes to the increased therapeutic </w:t>
      </w:r>
      <w:r w:rsidR="00FC1073">
        <w:rPr>
          <w:rFonts w:ascii="Arial" w:eastAsia="Times New Roman" w:hAnsi="Arial" w:cs="Arial"/>
          <w:color w:val="595959" w:themeColor="text1" w:themeTint="A6"/>
          <w:lang w:eastAsia="en-GB"/>
        </w:rPr>
        <w:t xml:space="preserve">resistance caused by compressive stresses (Northcott </w:t>
      </w:r>
      <w:r w:rsidR="00FC1073" w:rsidRPr="00FC1073">
        <w:rPr>
          <w:rFonts w:ascii="Arial" w:eastAsia="Times New Roman" w:hAnsi="Arial" w:cs="Arial"/>
          <w:i/>
          <w:iCs/>
          <w:color w:val="595959" w:themeColor="text1" w:themeTint="A6"/>
          <w:lang w:eastAsia="en-GB"/>
        </w:rPr>
        <w:t>et al.,</w:t>
      </w:r>
      <w:r w:rsidR="00FC1073">
        <w:rPr>
          <w:rFonts w:ascii="Arial" w:eastAsia="Times New Roman" w:hAnsi="Arial" w:cs="Arial"/>
          <w:color w:val="595959" w:themeColor="text1" w:themeTint="A6"/>
          <w:lang w:eastAsia="en-GB"/>
        </w:rPr>
        <w:t xml:space="preserve"> 2018) and accounts for the m</w:t>
      </w:r>
      <w:r w:rsidR="009C4620" w:rsidRPr="0054039C">
        <w:rPr>
          <w:rFonts w:ascii="Arial" w:eastAsia="Times New Roman" w:hAnsi="Arial" w:cs="Arial"/>
          <w:color w:val="595959" w:themeColor="text1" w:themeTint="A6"/>
          <w:lang w:eastAsia="en-GB"/>
        </w:rPr>
        <w:t xml:space="preserve">any cancer drugs </w:t>
      </w:r>
      <w:r w:rsidR="00FC1073">
        <w:rPr>
          <w:rFonts w:ascii="Arial" w:eastAsia="Times New Roman" w:hAnsi="Arial" w:cs="Arial"/>
          <w:color w:val="595959" w:themeColor="text1" w:themeTint="A6"/>
          <w:lang w:eastAsia="en-GB"/>
        </w:rPr>
        <w:t>that e</w:t>
      </w:r>
      <w:r w:rsidR="009C4620" w:rsidRPr="0054039C">
        <w:rPr>
          <w:rFonts w:ascii="Arial" w:eastAsia="Times New Roman" w:hAnsi="Arial" w:cs="Arial"/>
          <w:color w:val="595959" w:themeColor="text1" w:themeTint="A6"/>
          <w:lang w:eastAsia="en-GB"/>
        </w:rPr>
        <w:t xml:space="preserve">xhibit cytotoxic behaviour on cancer cells </w:t>
      </w:r>
      <w:r w:rsidR="009C4620" w:rsidRPr="0054039C">
        <w:rPr>
          <w:rFonts w:ascii="Arial" w:eastAsia="Times New Roman" w:hAnsi="Arial" w:cs="Arial"/>
          <w:i/>
          <w:color w:val="595959" w:themeColor="text1" w:themeTint="A6"/>
          <w:lang w:eastAsia="en-GB"/>
        </w:rPr>
        <w:t>in vitro</w:t>
      </w:r>
      <w:r w:rsidR="009C4620">
        <w:rPr>
          <w:rFonts w:ascii="Arial" w:eastAsia="Times New Roman" w:hAnsi="Arial" w:cs="Arial"/>
          <w:color w:val="595959" w:themeColor="text1" w:themeTint="A6"/>
          <w:lang w:eastAsia="en-GB"/>
        </w:rPr>
        <w:t xml:space="preserve"> but loose</w:t>
      </w:r>
      <w:r w:rsidR="009C4620" w:rsidRPr="0054039C">
        <w:rPr>
          <w:rFonts w:ascii="Arial" w:eastAsia="Times New Roman" w:hAnsi="Arial" w:cs="Arial"/>
          <w:color w:val="595959" w:themeColor="text1" w:themeTint="A6"/>
          <w:lang w:eastAsia="en-GB"/>
        </w:rPr>
        <w:t xml:space="preserve"> efficacy </w:t>
      </w:r>
      <w:r w:rsidR="009C4620" w:rsidRPr="0054039C">
        <w:rPr>
          <w:rFonts w:ascii="Arial" w:eastAsia="Times New Roman" w:hAnsi="Arial" w:cs="Arial"/>
          <w:i/>
          <w:color w:val="595959" w:themeColor="text1" w:themeTint="A6"/>
          <w:lang w:eastAsia="en-GB"/>
        </w:rPr>
        <w:t>in vivo</w:t>
      </w:r>
      <w:r w:rsidR="00FC1073">
        <w:rPr>
          <w:rFonts w:ascii="Arial" w:eastAsia="Times New Roman" w:hAnsi="Arial" w:cs="Arial"/>
          <w:i/>
          <w:color w:val="595959" w:themeColor="text1" w:themeTint="A6"/>
          <w:lang w:eastAsia="en-GB"/>
        </w:rPr>
        <w:t xml:space="preserve">. </w:t>
      </w:r>
      <w:r w:rsidR="009C4620" w:rsidRPr="0054039C">
        <w:rPr>
          <w:rFonts w:ascii="Arial" w:eastAsia="Times New Roman" w:hAnsi="Arial" w:cs="Arial"/>
          <w:color w:val="595959" w:themeColor="text1" w:themeTint="A6"/>
          <w:lang w:eastAsia="en-GB"/>
        </w:rPr>
        <w:t xml:space="preserve">To address this, improvements must be made in the </w:t>
      </w:r>
      <w:r w:rsidR="009C4620">
        <w:rPr>
          <w:rFonts w:ascii="Arial" w:eastAsia="Times New Roman" w:hAnsi="Arial" w:cs="Arial"/>
          <w:color w:val="595959" w:themeColor="text1" w:themeTint="A6"/>
          <w:lang w:eastAsia="en-GB"/>
        </w:rPr>
        <w:t>models used to study tumour-drug responses</w:t>
      </w:r>
      <w:r w:rsidR="00FC1073">
        <w:rPr>
          <w:rFonts w:ascii="Arial" w:eastAsia="Times New Roman" w:hAnsi="Arial" w:cs="Arial"/>
          <w:color w:val="595959" w:themeColor="text1" w:themeTint="A6"/>
          <w:lang w:eastAsia="en-GB"/>
        </w:rPr>
        <w:t xml:space="preserve">. </w:t>
      </w:r>
      <w:r w:rsidR="009C4620">
        <w:rPr>
          <w:rFonts w:ascii="Arial" w:eastAsia="Times New Roman" w:hAnsi="Arial" w:cs="Arial"/>
          <w:color w:val="595959" w:themeColor="text1" w:themeTint="A6"/>
          <w:lang w:eastAsia="en-GB"/>
        </w:rPr>
        <w:t xml:space="preserve">NOF- and CAF-derived ECM generated in monolayer cultures may respond to stromal-targeting drugs and reduce the desmosplasia observed in OSCC. Therefore, stromal modifying drugs Scriptaid and Batimastat were assessed for their ability to </w:t>
      </w:r>
      <w:r w:rsidR="00CC7218">
        <w:rPr>
          <w:rFonts w:ascii="Arial" w:eastAsia="Times New Roman" w:hAnsi="Arial" w:cs="Arial"/>
          <w:color w:val="595959" w:themeColor="text1" w:themeTint="A6"/>
          <w:lang w:eastAsia="en-GB"/>
        </w:rPr>
        <w:t>inhibit the myofibroblastic phenotype in 2D.</w:t>
      </w:r>
      <w:r w:rsidR="0010217A">
        <w:rPr>
          <w:rFonts w:ascii="Arial" w:eastAsia="Times New Roman" w:hAnsi="Arial" w:cs="Arial"/>
          <w:color w:val="595959" w:themeColor="text1" w:themeTint="A6"/>
          <w:lang w:eastAsia="en-GB"/>
        </w:rPr>
        <w:t xml:space="preserve"> </w:t>
      </w:r>
      <w:r w:rsidR="0010217A" w:rsidRPr="0010217A">
        <w:rPr>
          <w:rFonts w:ascii="Arial" w:eastAsia="Times New Roman" w:hAnsi="Arial" w:cs="Arial"/>
          <w:color w:val="595959" w:themeColor="text1" w:themeTint="A6"/>
          <w:lang w:eastAsia="en-GB"/>
        </w:rPr>
        <w:t xml:space="preserve">Scriptaid is a pharmacological inhibitor with selectivity for </w:t>
      </w:r>
      <w:r w:rsidR="006920EF">
        <w:rPr>
          <w:rFonts w:ascii="Arial" w:eastAsia="Times New Roman" w:hAnsi="Arial" w:cs="Arial"/>
          <w:color w:val="595959" w:themeColor="text1" w:themeTint="A6"/>
          <w:lang w:eastAsia="en-GB"/>
        </w:rPr>
        <w:t xml:space="preserve">histone </w:t>
      </w:r>
      <w:r w:rsidR="00E67B70">
        <w:rPr>
          <w:rFonts w:ascii="Arial" w:eastAsia="Times New Roman" w:hAnsi="Arial" w:cs="Arial"/>
          <w:color w:val="595959" w:themeColor="text1" w:themeTint="A6"/>
          <w:lang w:eastAsia="en-GB"/>
        </w:rPr>
        <w:t>deacetylase</w:t>
      </w:r>
      <w:r w:rsidR="0029668F">
        <w:rPr>
          <w:rFonts w:ascii="Arial" w:eastAsia="Times New Roman" w:hAnsi="Arial" w:cs="Arial"/>
          <w:color w:val="595959" w:themeColor="text1" w:themeTint="A6"/>
          <w:lang w:eastAsia="en-GB"/>
        </w:rPr>
        <w:t xml:space="preserve"> (</w:t>
      </w:r>
      <w:r w:rsidR="0010217A" w:rsidRPr="0010217A">
        <w:rPr>
          <w:rFonts w:ascii="Arial" w:eastAsia="Times New Roman" w:hAnsi="Arial" w:cs="Arial"/>
          <w:color w:val="595959" w:themeColor="text1" w:themeTint="A6"/>
          <w:lang w:eastAsia="en-GB"/>
        </w:rPr>
        <w:t>HDACs</w:t>
      </w:r>
      <w:r w:rsidR="0029668F">
        <w:rPr>
          <w:rFonts w:ascii="Arial" w:eastAsia="Times New Roman" w:hAnsi="Arial" w:cs="Arial"/>
          <w:color w:val="595959" w:themeColor="text1" w:themeTint="A6"/>
          <w:lang w:eastAsia="en-GB"/>
        </w:rPr>
        <w:t>)</w:t>
      </w:r>
      <w:r w:rsidR="0010217A" w:rsidRPr="0010217A">
        <w:rPr>
          <w:rFonts w:ascii="Arial" w:eastAsia="Times New Roman" w:hAnsi="Arial" w:cs="Arial"/>
          <w:color w:val="595959" w:themeColor="text1" w:themeTint="A6"/>
          <w:lang w:eastAsia="en-GB"/>
        </w:rPr>
        <w:t xml:space="preserve"> 1, 3, and 8</w:t>
      </w:r>
      <w:r w:rsidR="00927EB9">
        <w:rPr>
          <w:rFonts w:ascii="Arial" w:eastAsia="Times New Roman" w:hAnsi="Arial" w:cs="Arial"/>
          <w:color w:val="595959" w:themeColor="text1" w:themeTint="A6"/>
          <w:lang w:eastAsia="en-GB"/>
        </w:rPr>
        <w:t>, has</w:t>
      </w:r>
      <w:r w:rsidR="0010217A" w:rsidRPr="0010217A">
        <w:rPr>
          <w:rFonts w:ascii="Arial" w:eastAsia="Times New Roman" w:hAnsi="Arial" w:cs="Arial"/>
          <w:color w:val="595959" w:themeColor="text1" w:themeTint="A6"/>
          <w:lang w:eastAsia="en-GB"/>
        </w:rPr>
        <w:t xml:space="preserve"> previously been shown to reverse the </w:t>
      </w:r>
      <w:r w:rsidR="0010217A" w:rsidRPr="0010217A">
        <w:rPr>
          <w:rFonts w:ascii="Arial" w:eastAsia="Times New Roman" w:hAnsi="Arial" w:cs="Arial"/>
          <w:color w:val="595959" w:themeColor="text1" w:themeTint="A6"/>
          <w:lang w:eastAsia="en-GB"/>
        </w:rPr>
        <w:lastRenderedPageBreak/>
        <w:t xml:space="preserve">phenotypic and functional capabilities of CAF in human and murine cell culture models (Kim </w:t>
      </w:r>
      <w:r w:rsidR="0010217A" w:rsidRPr="00E37E3F">
        <w:rPr>
          <w:rFonts w:ascii="Arial" w:eastAsia="Times New Roman" w:hAnsi="Arial" w:cs="Arial"/>
          <w:i/>
          <w:iCs/>
          <w:color w:val="595959" w:themeColor="text1" w:themeTint="A6"/>
          <w:lang w:eastAsia="en-GB"/>
        </w:rPr>
        <w:t>et al.,</w:t>
      </w:r>
      <w:r w:rsidR="0010217A" w:rsidRPr="0010217A">
        <w:rPr>
          <w:rFonts w:ascii="Arial" w:eastAsia="Times New Roman" w:hAnsi="Arial" w:cs="Arial"/>
          <w:color w:val="595959" w:themeColor="text1" w:themeTint="A6"/>
          <w:lang w:eastAsia="en-GB"/>
        </w:rPr>
        <w:t xml:space="preserve"> 2018, Barter </w:t>
      </w:r>
      <w:r w:rsidR="0010217A" w:rsidRPr="00E37E3F">
        <w:rPr>
          <w:rFonts w:ascii="Arial" w:eastAsia="Times New Roman" w:hAnsi="Arial" w:cs="Arial"/>
          <w:i/>
          <w:iCs/>
          <w:color w:val="595959" w:themeColor="text1" w:themeTint="A6"/>
          <w:lang w:eastAsia="en-GB"/>
        </w:rPr>
        <w:t xml:space="preserve">et al., </w:t>
      </w:r>
      <w:r w:rsidR="0010217A" w:rsidRPr="0010217A">
        <w:rPr>
          <w:rFonts w:ascii="Arial" w:eastAsia="Times New Roman" w:hAnsi="Arial" w:cs="Arial"/>
          <w:color w:val="595959" w:themeColor="text1" w:themeTint="A6"/>
          <w:lang w:eastAsia="en-GB"/>
        </w:rPr>
        <w:t xml:space="preserve">2010, Guo </w:t>
      </w:r>
      <w:r w:rsidR="0010217A" w:rsidRPr="00E37E3F">
        <w:rPr>
          <w:rFonts w:ascii="Arial" w:eastAsia="Times New Roman" w:hAnsi="Arial" w:cs="Arial"/>
          <w:i/>
          <w:iCs/>
          <w:color w:val="595959" w:themeColor="text1" w:themeTint="A6"/>
          <w:lang w:eastAsia="en-GB"/>
        </w:rPr>
        <w:t>et al.,</w:t>
      </w:r>
      <w:r w:rsidR="0010217A" w:rsidRPr="0010217A">
        <w:rPr>
          <w:rFonts w:ascii="Arial" w:eastAsia="Times New Roman" w:hAnsi="Arial" w:cs="Arial"/>
          <w:color w:val="595959" w:themeColor="text1" w:themeTint="A6"/>
          <w:lang w:eastAsia="en-GB"/>
        </w:rPr>
        <w:t xml:space="preserve"> 2009).</w:t>
      </w:r>
      <w:r w:rsidR="00A446BD" w:rsidRPr="00A446BD">
        <w:t xml:space="preserve"> </w:t>
      </w:r>
      <w:r w:rsidR="00A446BD" w:rsidRPr="00A446BD">
        <w:rPr>
          <w:rFonts w:ascii="Arial" w:eastAsia="Times New Roman" w:hAnsi="Arial" w:cs="Arial"/>
          <w:color w:val="595959" w:themeColor="text1" w:themeTint="A6"/>
          <w:lang w:eastAsia="en-GB"/>
        </w:rPr>
        <w:t xml:space="preserve">Batimastat (BB94), a low molecular weight collagen peptide-based hydroxamic acid was the first MMP inhibitor evaluated in cancer patients. This compound is potent but relatively nonselective for MMP-1, -2, -3, -7, -8, -9 and -14 inhibition (Hidalgo and Eckhardt, 2001, Ziober </w:t>
      </w:r>
      <w:r w:rsidR="00A446BD" w:rsidRPr="00E37E3F">
        <w:rPr>
          <w:rFonts w:ascii="Arial" w:eastAsia="Times New Roman" w:hAnsi="Arial" w:cs="Arial"/>
          <w:i/>
          <w:iCs/>
          <w:color w:val="595959" w:themeColor="text1" w:themeTint="A6"/>
          <w:lang w:eastAsia="en-GB"/>
        </w:rPr>
        <w:t>et al.,</w:t>
      </w:r>
      <w:r w:rsidR="00A446BD" w:rsidRPr="00A446BD">
        <w:rPr>
          <w:rFonts w:ascii="Arial" w:eastAsia="Times New Roman" w:hAnsi="Arial" w:cs="Arial"/>
          <w:color w:val="595959" w:themeColor="text1" w:themeTint="A6"/>
          <w:lang w:eastAsia="en-GB"/>
        </w:rPr>
        <w:t xml:space="preserve"> 2001).</w:t>
      </w:r>
    </w:p>
    <w:p w14:paraId="67EA1321" w14:textId="77777777" w:rsidR="009400C5" w:rsidRDefault="0054039C" w:rsidP="009400C5">
      <w:pPr>
        <w:spacing w:line="480" w:lineRule="auto"/>
        <w:jc w:val="both"/>
        <w:rPr>
          <w:rFonts w:ascii="Arial" w:hAnsi="Arial" w:cs="Arial"/>
          <w:color w:val="595959" w:themeColor="text1" w:themeTint="A6"/>
        </w:rPr>
      </w:pPr>
      <w:bookmarkStart w:id="224" w:name="_Toc7107236"/>
      <w:r w:rsidRPr="0054039C">
        <w:rPr>
          <w:rFonts w:ascii="Arial" w:eastAsiaTheme="majorEastAsia" w:hAnsi="Arial" w:cs="Arial"/>
          <w:color w:val="595959" w:themeColor="text1" w:themeTint="A6"/>
          <w:sz w:val="26"/>
          <w:szCs w:val="26"/>
        </w:rPr>
        <w:t>3.2 Materials and methods</w:t>
      </w:r>
      <w:bookmarkEnd w:id="224"/>
      <w:r w:rsidRPr="0054039C">
        <w:rPr>
          <w:rFonts w:ascii="Arial" w:eastAsiaTheme="majorEastAsia" w:hAnsi="Arial" w:cs="Arial"/>
          <w:color w:val="595959" w:themeColor="text1" w:themeTint="A6"/>
          <w:sz w:val="26"/>
          <w:szCs w:val="26"/>
        </w:rPr>
        <w:t xml:space="preserve"> </w:t>
      </w:r>
    </w:p>
    <w:p w14:paraId="7257EE85" w14:textId="5A7D1DE0" w:rsidR="009400C5" w:rsidRPr="00BC571E" w:rsidRDefault="00584854" w:rsidP="009400C5">
      <w:pPr>
        <w:spacing w:line="480" w:lineRule="auto"/>
        <w:jc w:val="both"/>
        <w:rPr>
          <w:rFonts w:ascii="Arial" w:hAnsi="Arial" w:cs="Arial"/>
          <w:color w:val="595959" w:themeColor="text1" w:themeTint="A6"/>
        </w:rPr>
      </w:pPr>
      <w:r w:rsidRPr="00BC571E">
        <w:rPr>
          <w:rFonts w:ascii="Arial" w:eastAsiaTheme="majorEastAsia" w:hAnsi="Arial" w:cs="Arial"/>
          <w:color w:val="595959" w:themeColor="text1" w:themeTint="A6"/>
        </w:rPr>
        <w:t xml:space="preserve">Oral fibroblasts </w:t>
      </w:r>
      <w:r w:rsidR="008A19E1" w:rsidRPr="00BC571E">
        <w:rPr>
          <w:rFonts w:ascii="Arial" w:eastAsiaTheme="majorEastAsia" w:hAnsi="Arial" w:cs="Arial"/>
          <w:color w:val="595959" w:themeColor="text1" w:themeTint="A6"/>
        </w:rPr>
        <w:t xml:space="preserve">NOF and CAF </w:t>
      </w:r>
      <w:r w:rsidR="00AC709F" w:rsidRPr="00BC571E">
        <w:rPr>
          <w:rFonts w:ascii="Arial" w:hAnsi="Arial" w:cs="Arial"/>
          <w:color w:val="595959" w:themeColor="text1" w:themeTint="A6"/>
        </w:rPr>
        <w:t xml:space="preserve">(NOF804, NOF806, NOF316 and CAF002, CAF003 and CAF004) </w:t>
      </w:r>
      <w:r w:rsidR="008A19E1" w:rsidRPr="00BC571E">
        <w:rPr>
          <w:rFonts w:ascii="Arial" w:eastAsiaTheme="majorEastAsia" w:hAnsi="Arial" w:cs="Arial"/>
          <w:color w:val="595959" w:themeColor="text1" w:themeTint="A6"/>
        </w:rPr>
        <w:t xml:space="preserve">were isolated as described in </w:t>
      </w:r>
      <w:r w:rsidR="00CB0DE0" w:rsidRPr="00BC571E">
        <w:rPr>
          <w:rFonts w:ascii="Arial" w:eastAsiaTheme="majorEastAsia" w:hAnsi="Arial" w:cs="Arial"/>
          <w:color w:val="595959" w:themeColor="text1" w:themeTint="A6"/>
        </w:rPr>
        <w:t xml:space="preserve">section </w:t>
      </w:r>
      <w:r w:rsidR="00645E23" w:rsidRPr="00BC571E">
        <w:rPr>
          <w:rFonts w:ascii="Arial" w:eastAsiaTheme="majorEastAsia" w:hAnsi="Arial" w:cs="Arial"/>
          <w:color w:val="595959" w:themeColor="text1" w:themeTint="A6"/>
        </w:rPr>
        <w:t>2.2.3.1</w:t>
      </w:r>
      <w:r w:rsidR="003609B1" w:rsidRPr="00BC571E">
        <w:rPr>
          <w:rFonts w:ascii="Arial" w:eastAsiaTheme="majorEastAsia" w:hAnsi="Arial" w:cs="Arial"/>
          <w:color w:val="595959" w:themeColor="text1" w:themeTint="A6"/>
        </w:rPr>
        <w:t xml:space="preserve"> and their response profile to TGFβ-1</w:t>
      </w:r>
      <w:r w:rsidRPr="00BC571E">
        <w:rPr>
          <w:rFonts w:ascii="Arial" w:eastAsiaTheme="majorEastAsia" w:hAnsi="Arial" w:cs="Arial"/>
          <w:color w:val="595959" w:themeColor="text1" w:themeTint="A6"/>
        </w:rPr>
        <w:t xml:space="preserve">, a known myofibroblastic stimuli, </w:t>
      </w:r>
      <w:r w:rsidR="009400C5" w:rsidRPr="00BC571E">
        <w:rPr>
          <w:rFonts w:ascii="Arial" w:eastAsiaTheme="majorEastAsia" w:hAnsi="Arial" w:cs="Arial"/>
          <w:color w:val="595959" w:themeColor="text1" w:themeTint="A6"/>
        </w:rPr>
        <w:t xml:space="preserve">was investigated in 2D </w:t>
      </w:r>
      <w:r w:rsidRPr="00BC571E">
        <w:rPr>
          <w:rFonts w:ascii="Arial" w:eastAsiaTheme="majorEastAsia" w:hAnsi="Arial" w:cs="Arial"/>
          <w:color w:val="595959" w:themeColor="text1" w:themeTint="A6"/>
        </w:rPr>
        <w:t xml:space="preserve">by various molecular techniques. </w:t>
      </w:r>
      <w:r w:rsidR="00AC709F" w:rsidRPr="00BC571E">
        <w:rPr>
          <w:rFonts w:ascii="Arial" w:eastAsia="Times New Roman" w:hAnsi="Arial" w:cs="Arial"/>
          <w:color w:val="595959" w:themeColor="text1" w:themeTint="A6"/>
          <w:lang w:eastAsia="en-GB"/>
        </w:rPr>
        <w:t xml:space="preserve">This </w:t>
      </w:r>
      <w:r w:rsidR="00CF0ED6" w:rsidRPr="00BC571E">
        <w:rPr>
          <w:rFonts w:ascii="Arial" w:eastAsia="Times New Roman" w:hAnsi="Arial" w:cs="Arial"/>
          <w:color w:val="595959" w:themeColor="text1" w:themeTint="A6"/>
          <w:lang w:eastAsia="en-GB"/>
        </w:rPr>
        <w:t xml:space="preserve">differentiation status </w:t>
      </w:r>
      <w:r w:rsidR="00AC709F" w:rsidRPr="00BC571E">
        <w:rPr>
          <w:rFonts w:ascii="Arial" w:eastAsia="Times New Roman" w:hAnsi="Arial" w:cs="Arial"/>
          <w:color w:val="595959" w:themeColor="text1" w:themeTint="A6"/>
          <w:lang w:eastAsia="en-GB"/>
        </w:rPr>
        <w:t>w</w:t>
      </w:r>
      <w:r w:rsidR="0081623A" w:rsidRPr="00BC571E">
        <w:rPr>
          <w:rFonts w:ascii="Arial" w:eastAsia="Times New Roman" w:hAnsi="Arial" w:cs="Arial"/>
          <w:color w:val="595959" w:themeColor="text1" w:themeTint="A6"/>
          <w:lang w:eastAsia="en-GB"/>
        </w:rPr>
        <w:t>ill be</w:t>
      </w:r>
      <w:r w:rsidR="00AC709F" w:rsidRPr="00BC571E">
        <w:rPr>
          <w:rFonts w:ascii="Arial" w:eastAsia="Times New Roman" w:hAnsi="Arial" w:cs="Arial"/>
          <w:color w:val="595959" w:themeColor="text1" w:themeTint="A6"/>
          <w:lang w:eastAsia="en-GB"/>
        </w:rPr>
        <w:t xml:space="preserve"> </w:t>
      </w:r>
      <w:r w:rsidR="009351B9" w:rsidRPr="00BC571E">
        <w:rPr>
          <w:rFonts w:ascii="Arial" w:eastAsia="Times New Roman" w:hAnsi="Arial" w:cs="Arial"/>
          <w:color w:val="595959" w:themeColor="text1" w:themeTint="A6"/>
          <w:lang w:eastAsia="en-GB"/>
        </w:rPr>
        <w:t>examined</w:t>
      </w:r>
      <w:r w:rsidR="00AC709F" w:rsidRPr="00BC571E">
        <w:rPr>
          <w:rFonts w:ascii="Arial" w:eastAsia="Times New Roman" w:hAnsi="Arial" w:cs="Arial"/>
          <w:color w:val="595959" w:themeColor="text1" w:themeTint="A6"/>
          <w:lang w:eastAsia="en-GB"/>
        </w:rPr>
        <w:t xml:space="preserve"> </w:t>
      </w:r>
      <w:r w:rsidR="009351B9" w:rsidRPr="00BC571E">
        <w:rPr>
          <w:rFonts w:ascii="Arial" w:eastAsia="Times New Roman" w:hAnsi="Arial" w:cs="Arial"/>
          <w:color w:val="595959" w:themeColor="text1" w:themeTint="A6"/>
          <w:lang w:eastAsia="en-GB"/>
        </w:rPr>
        <w:t xml:space="preserve">by the addition of 5 ng/mL of </w:t>
      </w:r>
      <w:r w:rsidR="009351B9" w:rsidRPr="00BC571E">
        <w:rPr>
          <w:rFonts w:ascii="Arial" w:eastAsiaTheme="majorEastAsia" w:hAnsi="Arial" w:cs="Arial"/>
          <w:color w:val="595959" w:themeColor="text1" w:themeTint="A6"/>
        </w:rPr>
        <w:t xml:space="preserve">TGFβ-1 </w:t>
      </w:r>
      <w:r w:rsidR="009351B9" w:rsidRPr="00BC571E">
        <w:rPr>
          <w:rFonts w:ascii="Arial" w:eastAsia="Times New Roman" w:hAnsi="Arial" w:cs="Arial"/>
          <w:color w:val="595959" w:themeColor="text1" w:themeTint="A6"/>
          <w:lang w:eastAsia="en-GB"/>
        </w:rPr>
        <w:t xml:space="preserve">to </w:t>
      </w:r>
      <w:r w:rsidR="00CF0ED6" w:rsidRPr="00BC571E">
        <w:rPr>
          <w:rFonts w:ascii="Arial" w:eastAsia="Times New Roman" w:hAnsi="Arial" w:cs="Arial"/>
          <w:color w:val="595959" w:themeColor="text1" w:themeTint="A6"/>
          <w:lang w:eastAsia="en-GB"/>
        </w:rPr>
        <w:t>both short (24-72 h) and long-term (24+ 14 days- 72+14 days)</w:t>
      </w:r>
      <w:r w:rsidR="009351B9" w:rsidRPr="00BC571E">
        <w:rPr>
          <w:rFonts w:ascii="Arial" w:eastAsia="Times New Roman" w:hAnsi="Arial" w:cs="Arial"/>
          <w:color w:val="595959" w:themeColor="text1" w:themeTint="A6"/>
          <w:lang w:eastAsia="en-GB"/>
        </w:rPr>
        <w:t xml:space="preserve"> </w:t>
      </w:r>
      <w:r w:rsidR="00CE67E3" w:rsidRPr="00BC571E">
        <w:rPr>
          <w:rFonts w:ascii="Arial" w:eastAsia="Times New Roman" w:hAnsi="Arial" w:cs="Arial"/>
          <w:color w:val="595959" w:themeColor="text1" w:themeTint="A6"/>
          <w:lang w:eastAsia="en-GB"/>
        </w:rPr>
        <w:t xml:space="preserve">NOF/CAF </w:t>
      </w:r>
      <w:r w:rsidR="009351B9" w:rsidRPr="00BC571E">
        <w:rPr>
          <w:rFonts w:ascii="Arial" w:eastAsia="Times New Roman" w:hAnsi="Arial" w:cs="Arial"/>
          <w:color w:val="595959" w:themeColor="text1" w:themeTint="A6"/>
          <w:lang w:eastAsia="en-GB"/>
        </w:rPr>
        <w:t>cultures</w:t>
      </w:r>
      <w:r w:rsidR="00AC709F" w:rsidRPr="00BC571E">
        <w:rPr>
          <w:rFonts w:ascii="Arial" w:eastAsia="Times New Roman" w:hAnsi="Arial" w:cs="Arial"/>
          <w:color w:val="595959" w:themeColor="text1" w:themeTint="A6"/>
          <w:lang w:eastAsia="en-GB"/>
        </w:rPr>
        <w:t xml:space="preserve">. Phenotypic markers </w:t>
      </w:r>
      <w:r w:rsidR="00073A4C" w:rsidRPr="00BC571E">
        <w:rPr>
          <w:rFonts w:ascii="Arial" w:eastAsia="Times New Roman" w:hAnsi="Arial" w:cs="Arial"/>
          <w:color w:val="595959" w:themeColor="text1" w:themeTint="A6"/>
          <w:lang w:eastAsia="en-GB"/>
        </w:rPr>
        <w:t xml:space="preserve">of transdifferentiation </w:t>
      </w:r>
      <w:r w:rsidR="00AC709F" w:rsidRPr="00BC571E">
        <w:rPr>
          <w:rFonts w:ascii="Arial" w:hAnsi="Arial" w:cs="Arial"/>
          <w:color w:val="595959" w:themeColor="text1" w:themeTint="A6"/>
        </w:rPr>
        <w:t xml:space="preserve">include the splice variant of fibronectin (FN1-EDA), alpha smooth muscle actin (αSMA) and tenascin-C (TNC), collagen α1 (COL1A1) and versican (VCAN) </w:t>
      </w:r>
      <w:r w:rsidR="009351B9" w:rsidRPr="00BC571E">
        <w:rPr>
          <w:rFonts w:ascii="Arial" w:eastAsia="Times New Roman" w:hAnsi="Arial" w:cs="Arial"/>
          <w:color w:val="595959" w:themeColor="text1" w:themeTint="A6"/>
          <w:lang w:eastAsia="en-GB"/>
        </w:rPr>
        <w:t xml:space="preserve">and </w:t>
      </w:r>
      <w:r w:rsidR="00CF0ED6" w:rsidRPr="00BC571E">
        <w:rPr>
          <w:rFonts w:ascii="Arial" w:eastAsia="Times New Roman" w:hAnsi="Arial" w:cs="Arial"/>
          <w:color w:val="595959" w:themeColor="text1" w:themeTint="A6"/>
          <w:lang w:eastAsia="en-GB"/>
        </w:rPr>
        <w:t>will be assessed by RT-qPCR</w:t>
      </w:r>
      <w:r w:rsidR="009351B9" w:rsidRPr="00BC571E">
        <w:rPr>
          <w:rFonts w:ascii="Arial" w:eastAsia="Times New Roman" w:hAnsi="Arial" w:cs="Arial"/>
          <w:color w:val="595959" w:themeColor="text1" w:themeTint="A6"/>
          <w:lang w:eastAsia="en-GB"/>
        </w:rPr>
        <w:t xml:space="preserve">, </w:t>
      </w:r>
      <w:r w:rsidRPr="00BC571E">
        <w:rPr>
          <w:rFonts w:ascii="Arial" w:eastAsia="Times New Roman" w:hAnsi="Arial" w:cs="Arial"/>
          <w:color w:val="595959" w:themeColor="text1" w:themeTint="A6"/>
          <w:lang w:eastAsia="en-GB"/>
        </w:rPr>
        <w:t xml:space="preserve">Western blot technique (section 2.2.9.1-3) </w:t>
      </w:r>
      <w:r w:rsidR="00CF0ED6" w:rsidRPr="00BC571E">
        <w:rPr>
          <w:rFonts w:ascii="Arial" w:eastAsia="Times New Roman" w:hAnsi="Arial" w:cs="Arial"/>
          <w:color w:val="595959" w:themeColor="text1" w:themeTint="A6"/>
          <w:lang w:eastAsia="en-GB"/>
        </w:rPr>
        <w:t xml:space="preserve"> as well as the</w:t>
      </w:r>
      <w:r w:rsidR="008725D7" w:rsidRPr="00BC571E">
        <w:rPr>
          <w:rFonts w:ascii="Arial" w:eastAsia="Times New Roman" w:hAnsi="Arial" w:cs="Arial"/>
          <w:color w:val="595959" w:themeColor="text1" w:themeTint="A6"/>
          <w:lang w:eastAsia="en-GB"/>
        </w:rPr>
        <w:t xml:space="preserve"> </w:t>
      </w:r>
      <w:r w:rsidR="00CF0ED6" w:rsidRPr="00BC571E">
        <w:rPr>
          <w:rFonts w:ascii="Arial" w:eastAsia="Times New Roman" w:hAnsi="Arial" w:cs="Arial"/>
          <w:color w:val="595959" w:themeColor="text1" w:themeTint="A6"/>
          <w:lang w:eastAsia="en-GB"/>
        </w:rPr>
        <w:t>ability</w:t>
      </w:r>
      <w:r w:rsidR="008725D7" w:rsidRPr="00BC571E">
        <w:rPr>
          <w:rFonts w:ascii="Arial" w:eastAsia="Times New Roman" w:hAnsi="Arial" w:cs="Arial"/>
          <w:color w:val="595959" w:themeColor="text1" w:themeTint="A6"/>
          <w:lang w:eastAsia="en-GB"/>
        </w:rPr>
        <w:t xml:space="preserve"> of NOF/CAF</w:t>
      </w:r>
      <w:r w:rsidR="00CF0ED6" w:rsidRPr="00BC571E">
        <w:rPr>
          <w:rFonts w:ascii="Arial" w:eastAsia="Times New Roman" w:hAnsi="Arial" w:cs="Arial"/>
          <w:color w:val="595959" w:themeColor="text1" w:themeTint="A6"/>
          <w:lang w:eastAsia="en-GB"/>
        </w:rPr>
        <w:t xml:space="preserve"> </w:t>
      </w:r>
      <w:r w:rsidR="004E38F3" w:rsidRPr="00BC571E">
        <w:rPr>
          <w:rFonts w:ascii="Arial" w:eastAsia="Times New Roman" w:hAnsi="Arial" w:cs="Arial"/>
          <w:color w:val="595959" w:themeColor="text1" w:themeTint="A6"/>
          <w:lang w:eastAsia="en-GB"/>
        </w:rPr>
        <w:t xml:space="preserve">to form </w:t>
      </w:r>
      <w:r w:rsidR="00CF0ED6" w:rsidRPr="00BC571E">
        <w:rPr>
          <w:rFonts w:ascii="Arial" w:eastAsia="Times New Roman" w:hAnsi="Arial" w:cs="Arial"/>
          <w:color w:val="595959" w:themeColor="text1" w:themeTint="A6"/>
          <w:lang w:eastAsia="en-GB"/>
        </w:rPr>
        <w:t xml:space="preserve">αSMA positive stress fibres in culture by immunofluorescence </w:t>
      </w:r>
      <w:r w:rsidR="009400C5" w:rsidRPr="00BC571E">
        <w:rPr>
          <w:rFonts w:ascii="Arial" w:eastAsia="Times New Roman" w:hAnsi="Arial" w:cs="Arial"/>
          <w:color w:val="595959" w:themeColor="text1" w:themeTint="A6"/>
          <w:lang w:eastAsia="en-GB"/>
        </w:rPr>
        <w:t xml:space="preserve">analysis </w:t>
      </w:r>
      <w:r w:rsidRPr="00BC571E">
        <w:rPr>
          <w:rFonts w:ascii="Arial" w:eastAsia="Times New Roman" w:hAnsi="Arial" w:cs="Arial"/>
          <w:color w:val="595959" w:themeColor="text1" w:themeTint="A6"/>
          <w:lang w:eastAsia="en-GB"/>
        </w:rPr>
        <w:t>(section 2.2.9.4)</w:t>
      </w:r>
      <w:r w:rsidR="00CF0ED6" w:rsidRPr="00BC571E">
        <w:rPr>
          <w:rFonts w:ascii="Arial" w:eastAsia="Times New Roman" w:hAnsi="Arial" w:cs="Arial"/>
          <w:color w:val="595959" w:themeColor="text1" w:themeTint="A6"/>
          <w:lang w:eastAsia="en-GB"/>
        </w:rPr>
        <w:t>.</w:t>
      </w:r>
      <w:r w:rsidRPr="00BC571E">
        <w:rPr>
          <w:rFonts w:ascii="Arial" w:eastAsia="Times New Roman" w:hAnsi="Arial" w:cs="Arial"/>
          <w:color w:val="595959" w:themeColor="text1" w:themeTint="A6"/>
          <w:lang w:eastAsia="en-GB"/>
        </w:rPr>
        <w:t xml:space="preserve"> </w:t>
      </w:r>
      <w:r w:rsidR="009400C5" w:rsidRPr="00BC571E">
        <w:rPr>
          <w:rFonts w:ascii="Arial" w:eastAsia="Times New Roman" w:hAnsi="Arial" w:cs="Arial"/>
          <w:color w:val="595959" w:themeColor="text1" w:themeTint="A6"/>
          <w:lang w:eastAsia="en-GB"/>
        </w:rPr>
        <w:t>In order to reduce stromal burden, the r</w:t>
      </w:r>
      <w:r w:rsidR="00CF0ED6" w:rsidRPr="00BC571E">
        <w:rPr>
          <w:rFonts w:ascii="Arial" w:eastAsia="Times New Roman" w:hAnsi="Arial" w:cs="Arial"/>
          <w:color w:val="595959" w:themeColor="text1" w:themeTint="A6"/>
          <w:lang w:eastAsia="en-GB"/>
        </w:rPr>
        <w:t xml:space="preserve">esponse </w:t>
      </w:r>
      <w:r w:rsidR="009400C5" w:rsidRPr="00BC571E">
        <w:rPr>
          <w:rFonts w:ascii="Arial" w:eastAsia="Times New Roman" w:hAnsi="Arial" w:cs="Arial"/>
          <w:color w:val="595959" w:themeColor="text1" w:themeTint="A6"/>
          <w:lang w:eastAsia="en-GB"/>
        </w:rPr>
        <w:t xml:space="preserve">profile </w:t>
      </w:r>
      <w:r w:rsidR="00CF0ED6" w:rsidRPr="00BC571E">
        <w:rPr>
          <w:rFonts w:ascii="Arial" w:eastAsia="Times New Roman" w:hAnsi="Arial" w:cs="Arial"/>
          <w:color w:val="595959" w:themeColor="text1" w:themeTint="A6"/>
          <w:lang w:eastAsia="en-GB"/>
        </w:rPr>
        <w:t>to treatment with stromal–targeting drugs (Scriptaid and Batimastat)</w:t>
      </w:r>
      <w:r w:rsidR="009400C5" w:rsidRPr="00BC571E">
        <w:rPr>
          <w:rFonts w:ascii="Arial" w:eastAsia="Times New Roman" w:hAnsi="Arial" w:cs="Arial"/>
          <w:color w:val="595959" w:themeColor="text1" w:themeTint="A6"/>
          <w:lang w:eastAsia="en-GB"/>
        </w:rPr>
        <w:t xml:space="preserve"> was assessed in NOF and CAF </w:t>
      </w:r>
      <w:r w:rsidR="009351B9" w:rsidRPr="00BC571E">
        <w:rPr>
          <w:rFonts w:ascii="Arial" w:eastAsia="Times New Roman" w:hAnsi="Arial" w:cs="Arial"/>
          <w:color w:val="595959" w:themeColor="text1" w:themeTint="A6"/>
          <w:lang w:eastAsia="en-GB"/>
        </w:rPr>
        <w:t xml:space="preserve">in presence and absence of TGFβ-1. This was assessed by </w:t>
      </w:r>
      <w:r w:rsidR="00CF0ED6" w:rsidRPr="00BC571E">
        <w:rPr>
          <w:rFonts w:ascii="Arial" w:eastAsia="Times New Roman" w:hAnsi="Arial" w:cs="Arial"/>
          <w:color w:val="595959" w:themeColor="text1" w:themeTint="A6"/>
          <w:lang w:eastAsia="en-GB"/>
        </w:rPr>
        <w:t>RT-qPCR</w:t>
      </w:r>
      <w:r w:rsidR="009400C5" w:rsidRPr="00BC571E">
        <w:rPr>
          <w:rFonts w:ascii="Arial" w:eastAsia="Times New Roman" w:hAnsi="Arial" w:cs="Arial"/>
          <w:color w:val="595959" w:themeColor="text1" w:themeTint="A6"/>
          <w:lang w:eastAsia="en-GB"/>
        </w:rPr>
        <w:t xml:space="preserve"> (section 2.2.5.2)</w:t>
      </w:r>
      <w:r w:rsidR="00CF0ED6" w:rsidRPr="00BC571E">
        <w:rPr>
          <w:rFonts w:ascii="Arial" w:eastAsia="Times New Roman" w:hAnsi="Arial" w:cs="Arial"/>
          <w:color w:val="595959" w:themeColor="text1" w:themeTint="A6"/>
          <w:lang w:eastAsia="en-GB"/>
        </w:rPr>
        <w:t xml:space="preserve"> and immunoblotting </w:t>
      </w:r>
      <w:r w:rsidR="009351B9" w:rsidRPr="00BC571E">
        <w:rPr>
          <w:rFonts w:ascii="Arial" w:eastAsia="Times New Roman" w:hAnsi="Arial" w:cs="Arial"/>
          <w:color w:val="595959" w:themeColor="text1" w:themeTint="A6"/>
          <w:lang w:eastAsia="en-GB"/>
        </w:rPr>
        <w:t xml:space="preserve">(section 2.2.9.1-3) for </w:t>
      </w:r>
      <w:r w:rsidR="009351B9" w:rsidRPr="00BC571E">
        <w:rPr>
          <w:rFonts w:ascii="Arial" w:hAnsi="Arial" w:cs="Arial"/>
          <w:color w:val="595959" w:themeColor="text1" w:themeTint="A6"/>
        </w:rPr>
        <w:t>αSMA</w:t>
      </w:r>
      <w:r w:rsidR="009351B9" w:rsidRPr="00BC571E">
        <w:rPr>
          <w:rFonts w:ascii="Arial" w:eastAsia="Times New Roman" w:hAnsi="Arial" w:cs="Arial"/>
          <w:color w:val="595959" w:themeColor="text1" w:themeTint="A6"/>
          <w:lang w:eastAsia="en-GB"/>
        </w:rPr>
        <w:t xml:space="preserve">, COL1A1 and FN1-EDA </w:t>
      </w:r>
      <w:r w:rsidR="00CF0ED6" w:rsidRPr="00BC571E">
        <w:rPr>
          <w:rFonts w:ascii="Arial" w:eastAsia="Times New Roman" w:hAnsi="Arial" w:cs="Arial"/>
          <w:color w:val="595959" w:themeColor="text1" w:themeTint="A6"/>
          <w:lang w:eastAsia="en-GB"/>
        </w:rPr>
        <w:t>in response to stromal-targeting drugs Scriptaid and Batimastat in 2D monolayer</w:t>
      </w:r>
      <w:r w:rsidR="009351B9" w:rsidRPr="00BC571E">
        <w:rPr>
          <w:rFonts w:ascii="Arial" w:eastAsia="Times New Roman" w:hAnsi="Arial" w:cs="Arial"/>
          <w:color w:val="595959" w:themeColor="text1" w:themeTint="A6"/>
          <w:lang w:eastAsia="en-GB"/>
        </w:rPr>
        <w:t xml:space="preserve"> cultures</w:t>
      </w:r>
      <w:r w:rsidR="00CF0ED6" w:rsidRPr="00BC571E">
        <w:rPr>
          <w:rFonts w:ascii="Arial" w:eastAsia="Times New Roman" w:hAnsi="Arial" w:cs="Arial"/>
          <w:color w:val="595959" w:themeColor="text1" w:themeTint="A6"/>
          <w:lang w:eastAsia="en-GB"/>
        </w:rPr>
        <w:t xml:space="preserve">. </w:t>
      </w:r>
      <w:r w:rsidR="0054039C" w:rsidRPr="00BC571E">
        <w:rPr>
          <w:rFonts w:ascii="Arial" w:hAnsi="Arial" w:cs="Arial"/>
          <w:color w:val="595959" w:themeColor="text1" w:themeTint="A6"/>
        </w:rPr>
        <w:t>The following experimental procedures described in this chapter and the corresponding materials an</w:t>
      </w:r>
      <w:r w:rsidR="00E34077" w:rsidRPr="00BC571E">
        <w:rPr>
          <w:rFonts w:ascii="Arial" w:hAnsi="Arial" w:cs="Arial"/>
          <w:color w:val="595959" w:themeColor="text1" w:themeTint="A6"/>
        </w:rPr>
        <w:t xml:space="preserve">d methods used are </w:t>
      </w:r>
      <w:r w:rsidR="009400C5" w:rsidRPr="00BC571E">
        <w:rPr>
          <w:rFonts w:ascii="Arial" w:hAnsi="Arial" w:cs="Arial"/>
          <w:color w:val="595959" w:themeColor="text1" w:themeTint="A6"/>
        </w:rPr>
        <w:t xml:space="preserve">further </w:t>
      </w:r>
      <w:r w:rsidR="00E34077" w:rsidRPr="00BC571E">
        <w:rPr>
          <w:rFonts w:ascii="Arial" w:hAnsi="Arial" w:cs="Arial"/>
          <w:color w:val="595959" w:themeColor="text1" w:themeTint="A6"/>
        </w:rPr>
        <w:t>outlined in F</w:t>
      </w:r>
      <w:r w:rsidR="0054039C" w:rsidRPr="00BC571E">
        <w:rPr>
          <w:rFonts w:ascii="Arial" w:hAnsi="Arial" w:cs="Arial"/>
          <w:color w:val="595959" w:themeColor="text1" w:themeTint="A6"/>
        </w:rPr>
        <w:t>igure 3.1</w:t>
      </w:r>
      <w:bookmarkStart w:id="225" w:name="_Toc7107237"/>
      <w:r w:rsidR="00AC709F" w:rsidRPr="00BC571E">
        <w:rPr>
          <w:rFonts w:ascii="Arial" w:hAnsi="Arial" w:cs="Arial"/>
          <w:color w:val="595959" w:themeColor="text1" w:themeTint="A6"/>
        </w:rPr>
        <w:t>.</w:t>
      </w:r>
    </w:p>
    <w:p w14:paraId="490B22D5" w14:textId="532052C4" w:rsidR="00AC709F" w:rsidRDefault="00AC709F" w:rsidP="009400C5">
      <w:pPr>
        <w:spacing w:line="480" w:lineRule="auto"/>
        <w:jc w:val="both"/>
        <w:rPr>
          <w:rFonts w:ascii="Arial" w:hAnsi="Arial" w:cs="Arial"/>
          <w:color w:val="FF0000"/>
        </w:rPr>
      </w:pPr>
    </w:p>
    <w:p w14:paraId="1A140DAF" w14:textId="55575F9B" w:rsidR="00AC709F" w:rsidRDefault="00AC709F" w:rsidP="009400C5">
      <w:pPr>
        <w:spacing w:line="480" w:lineRule="auto"/>
        <w:jc w:val="both"/>
        <w:rPr>
          <w:rFonts w:ascii="Arial" w:hAnsi="Arial" w:cs="Arial"/>
          <w:color w:val="FF0000"/>
        </w:rPr>
      </w:pPr>
    </w:p>
    <w:p w14:paraId="13FBAE14" w14:textId="3951F6E7" w:rsidR="00AC709F" w:rsidRDefault="00AC709F" w:rsidP="009400C5">
      <w:pPr>
        <w:spacing w:line="480" w:lineRule="auto"/>
        <w:jc w:val="both"/>
        <w:rPr>
          <w:rFonts w:ascii="Arial" w:hAnsi="Arial" w:cs="Arial"/>
          <w:color w:val="FF0000"/>
        </w:rPr>
      </w:pPr>
    </w:p>
    <w:p w14:paraId="1879DA41" w14:textId="77777777" w:rsidR="00AC709F" w:rsidRDefault="00AC709F" w:rsidP="009400C5">
      <w:pPr>
        <w:spacing w:line="480" w:lineRule="auto"/>
        <w:jc w:val="both"/>
        <w:rPr>
          <w:rFonts w:ascii="Arial" w:hAnsi="Arial" w:cs="Arial"/>
          <w:color w:val="FF0000"/>
        </w:rPr>
      </w:pPr>
    </w:p>
    <w:p w14:paraId="41EE2467" w14:textId="058FAB0F" w:rsidR="00AC709F" w:rsidRDefault="00AC709F" w:rsidP="009400C5">
      <w:pPr>
        <w:spacing w:line="480" w:lineRule="auto"/>
        <w:jc w:val="both"/>
        <w:rPr>
          <w:rFonts w:ascii="Arial" w:hAnsi="Arial" w:cs="Arial"/>
          <w:color w:val="FF0000"/>
        </w:rPr>
      </w:pPr>
    </w:p>
    <w:p w14:paraId="46F9FBDD" w14:textId="77777777" w:rsidR="00AC709F" w:rsidRDefault="00AC709F" w:rsidP="009400C5">
      <w:pPr>
        <w:spacing w:line="480" w:lineRule="auto"/>
        <w:jc w:val="both"/>
        <w:rPr>
          <w:rFonts w:ascii="Arial" w:hAnsi="Arial" w:cs="Arial"/>
          <w:color w:val="595959" w:themeColor="text1" w:themeTint="A6"/>
        </w:rPr>
      </w:pPr>
    </w:p>
    <w:p w14:paraId="1A42957C" w14:textId="07D4C5CB" w:rsidR="009400C5" w:rsidRDefault="009400C5" w:rsidP="009400C5">
      <w:pPr>
        <w:spacing w:line="480" w:lineRule="auto"/>
        <w:jc w:val="both"/>
        <w:rPr>
          <w:rFonts w:ascii="Arial" w:hAnsi="Arial" w:cs="Arial"/>
          <w:color w:val="595959" w:themeColor="text1" w:themeTint="A6"/>
        </w:rPr>
      </w:pPr>
    </w:p>
    <w:p w14:paraId="101EF5AF" w14:textId="6FF0AF76" w:rsidR="009400C5" w:rsidRDefault="009400C5" w:rsidP="009400C5">
      <w:pPr>
        <w:spacing w:line="480" w:lineRule="auto"/>
        <w:jc w:val="both"/>
        <w:rPr>
          <w:rFonts w:ascii="Arial" w:hAnsi="Arial" w:cs="Arial"/>
          <w:color w:val="595959" w:themeColor="text1" w:themeTint="A6"/>
        </w:rPr>
      </w:pPr>
      <w:r w:rsidRPr="0054039C">
        <w:rPr>
          <w:rFonts w:ascii="Arial" w:hAnsi="Arial" w:cs="Arial"/>
          <w:noProof/>
          <w:color w:val="595959" w:themeColor="text1" w:themeTint="A6"/>
          <w:lang w:eastAsia="zh-CN"/>
        </w:rPr>
        <w:drawing>
          <wp:anchor distT="0" distB="0" distL="114300" distR="114300" simplePos="0" relativeHeight="251658319" behindDoc="0" locked="0" layoutInCell="1" allowOverlap="1" wp14:anchorId="40B32A99" wp14:editId="7F8846DD">
            <wp:simplePos x="0" y="0"/>
            <wp:positionH relativeFrom="margin">
              <wp:align>center</wp:align>
            </wp:positionH>
            <wp:positionV relativeFrom="paragraph">
              <wp:posOffset>183222</wp:posOffset>
            </wp:positionV>
            <wp:extent cx="5536595" cy="4733925"/>
            <wp:effectExtent l="0" t="0" r="6985" b="0"/>
            <wp:wrapNone/>
            <wp:docPr id="1591" name="Picture 1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536595" cy="4733925"/>
                    </a:xfrm>
                    <a:prstGeom prst="rect">
                      <a:avLst/>
                    </a:prstGeom>
                    <a:noFill/>
                  </pic:spPr>
                </pic:pic>
              </a:graphicData>
            </a:graphic>
            <wp14:sizeRelH relativeFrom="margin">
              <wp14:pctWidth>0</wp14:pctWidth>
            </wp14:sizeRelH>
            <wp14:sizeRelV relativeFrom="margin">
              <wp14:pctHeight>0</wp14:pctHeight>
            </wp14:sizeRelV>
          </wp:anchor>
        </w:drawing>
      </w:r>
    </w:p>
    <w:p w14:paraId="0FE8FF5E" w14:textId="41F6EAF9" w:rsidR="009400C5" w:rsidRDefault="009400C5" w:rsidP="009400C5">
      <w:pPr>
        <w:spacing w:line="480" w:lineRule="auto"/>
        <w:jc w:val="both"/>
        <w:rPr>
          <w:rFonts w:ascii="Arial" w:hAnsi="Arial" w:cs="Arial"/>
          <w:color w:val="595959" w:themeColor="text1" w:themeTint="A6"/>
        </w:rPr>
      </w:pPr>
    </w:p>
    <w:p w14:paraId="33FF843C" w14:textId="77777777" w:rsidR="009400C5" w:rsidRDefault="009400C5" w:rsidP="009400C5">
      <w:pPr>
        <w:spacing w:line="480" w:lineRule="auto"/>
        <w:jc w:val="both"/>
        <w:rPr>
          <w:rFonts w:ascii="Arial" w:hAnsi="Arial" w:cs="Arial"/>
          <w:color w:val="595959" w:themeColor="text1" w:themeTint="A6"/>
        </w:rPr>
      </w:pPr>
    </w:p>
    <w:p w14:paraId="20E6625C" w14:textId="526E639F" w:rsidR="009400C5" w:rsidRDefault="009400C5" w:rsidP="009400C5">
      <w:pPr>
        <w:spacing w:line="480" w:lineRule="auto"/>
        <w:jc w:val="both"/>
        <w:rPr>
          <w:rFonts w:ascii="Arial" w:hAnsi="Arial" w:cs="Arial"/>
          <w:color w:val="595959" w:themeColor="text1" w:themeTint="A6"/>
        </w:rPr>
      </w:pPr>
    </w:p>
    <w:p w14:paraId="6D11349A" w14:textId="77777777" w:rsidR="009400C5" w:rsidRDefault="009400C5" w:rsidP="009400C5">
      <w:pPr>
        <w:spacing w:line="480" w:lineRule="auto"/>
        <w:jc w:val="both"/>
        <w:rPr>
          <w:rFonts w:ascii="Arial" w:hAnsi="Arial" w:cs="Arial"/>
          <w:color w:val="595959" w:themeColor="text1" w:themeTint="A6"/>
        </w:rPr>
      </w:pPr>
    </w:p>
    <w:p w14:paraId="71487B5D" w14:textId="77777777" w:rsidR="009400C5" w:rsidRDefault="009400C5" w:rsidP="009400C5">
      <w:pPr>
        <w:spacing w:line="480" w:lineRule="auto"/>
        <w:jc w:val="both"/>
        <w:rPr>
          <w:rFonts w:ascii="Arial" w:hAnsi="Arial" w:cs="Arial"/>
          <w:color w:val="595959" w:themeColor="text1" w:themeTint="A6"/>
        </w:rPr>
      </w:pPr>
    </w:p>
    <w:p w14:paraId="2ADA1C5B" w14:textId="77777777" w:rsidR="009400C5" w:rsidRDefault="009400C5" w:rsidP="009400C5">
      <w:pPr>
        <w:spacing w:line="480" w:lineRule="auto"/>
        <w:jc w:val="both"/>
        <w:rPr>
          <w:rFonts w:ascii="Arial" w:hAnsi="Arial" w:cs="Arial"/>
          <w:color w:val="595959" w:themeColor="text1" w:themeTint="A6"/>
        </w:rPr>
      </w:pPr>
    </w:p>
    <w:p w14:paraId="6DAD2491" w14:textId="77777777" w:rsidR="009400C5" w:rsidRDefault="009400C5" w:rsidP="009400C5">
      <w:pPr>
        <w:spacing w:line="480" w:lineRule="auto"/>
        <w:jc w:val="both"/>
        <w:rPr>
          <w:rFonts w:ascii="Arial" w:hAnsi="Arial" w:cs="Arial"/>
          <w:color w:val="595959" w:themeColor="text1" w:themeTint="A6"/>
        </w:rPr>
      </w:pPr>
    </w:p>
    <w:p w14:paraId="68D3D798" w14:textId="2CF9A18D" w:rsidR="009400C5" w:rsidRDefault="009400C5" w:rsidP="009400C5">
      <w:pPr>
        <w:spacing w:line="480" w:lineRule="auto"/>
        <w:jc w:val="both"/>
        <w:rPr>
          <w:rFonts w:ascii="Arial" w:hAnsi="Arial" w:cs="Arial"/>
          <w:color w:val="595959" w:themeColor="text1" w:themeTint="A6"/>
        </w:rPr>
      </w:pPr>
    </w:p>
    <w:p w14:paraId="5E657813" w14:textId="77777777" w:rsidR="009400C5" w:rsidRDefault="009400C5" w:rsidP="009400C5">
      <w:pPr>
        <w:spacing w:line="480" w:lineRule="auto"/>
        <w:jc w:val="both"/>
        <w:rPr>
          <w:rFonts w:ascii="Arial" w:hAnsi="Arial" w:cs="Arial"/>
          <w:color w:val="595959" w:themeColor="text1" w:themeTint="A6"/>
        </w:rPr>
      </w:pPr>
    </w:p>
    <w:p w14:paraId="5823D7CD" w14:textId="26EB2ABA" w:rsidR="009400C5" w:rsidRDefault="009400C5" w:rsidP="009400C5">
      <w:pPr>
        <w:spacing w:line="480" w:lineRule="auto"/>
        <w:jc w:val="both"/>
        <w:rPr>
          <w:rFonts w:ascii="Arial" w:hAnsi="Arial" w:cs="Arial"/>
          <w:color w:val="595959" w:themeColor="text1" w:themeTint="A6"/>
        </w:rPr>
      </w:pPr>
    </w:p>
    <w:p w14:paraId="04C8241E" w14:textId="77777777" w:rsidR="009400C5" w:rsidRDefault="009400C5" w:rsidP="009400C5">
      <w:pPr>
        <w:spacing w:line="480" w:lineRule="auto"/>
        <w:jc w:val="both"/>
        <w:rPr>
          <w:rFonts w:ascii="Arial" w:hAnsi="Arial" w:cs="Arial"/>
          <w:color w:val="595959" w:themeColor="text1" w:themeTint="A6"/>
        </w:rPr>
      </w:pPr>
    </w:p>
    <w:p w14:paraId="5D67A394" w14:textId="77777777" w:rsidR="009400C5" w:rsidRDefault="009400C5" w:rsidP="009400C5">
      <w:pPr>
        <w:spacing w:line="480" w:lineRule="auto"/>
        <w:jc w:val="both"/>
        <w:rPr>
          <w:rFonts w:ascii="Arial" w:hAnsi="Arial" w:cs="Arial"/>
          <w:color w:val="595959" w:themeColor="text1" w:themeTint="A6"/>
        </w:rPr>
      </w:pPr>
    </w:p>
    <w:p w14:paraId="257D19DB" w14:textId="77777777" w:rsidR="009400C5" w:rsidRDefault="009400C5" w:rsidP="009400C5">
      <w:pPr>
        <w:spacing w:line="480" w:lineRule="auto"/>
        <w:jc w:val="both"/>
        <w:rPr>
          <w:rFonts w:ascii="Arial" w:hAnsi="Arial" w:cs="Arial"/>
          <w:color w:val="595959" w:themeColor="text1" w:themeTint="A6"/>
        </w:rPr>
      </w:pPr>
    </w:p>
    <w:p w14:paraId="301F84A1" w14:textId="77777777" w:rsidR="009400C5" w:rsidRDefault="009400C5" w:rsidP="009400C5">
      <w:pPr>
        <w:spacing w:line="480" w:lineRule="auto"/>
        <w:jc w:val="both"/>
        <w:rPr>
          <w:rFonts w:ascii="Arial" w:hAnsi="Arial" w:cs="Arial"/>
          <w:color w:val="595959" w:themeColor="text1" w:themeTint="A6"/>
        </w:rPr>
      </w:pPr>
    </w:p>
    <w:p w14:paraId="7CA62BE5" w14:textId="21DF64A6" w:rsidR="009400C5" w:rsidRDefault="00AC709F" w:rsidP="009400C5">
      <w:pPr>
        <w:spacing w:line="480" w:lineRule="auto"/>
        <w:jc w:val="both"/>
        <w:rPr>
          <w:rFonts w:ascii="Arial" w:hAnsi="Arial" w:cs="Arial"/>
          <w:color w:val="595959" w:themeColor="text1" w:themeTint="A6"/>
        </w:rPr>
      </w:pPr>
      <w:r w:rsidRPr="008C21BF">
        <w:rPr>
          <w:rFonts w:ascii="Arial" w:hAnsi="Arial" w:cs="Arial"/>
          <w:noProof/>
          <w:color w:val="595959" w:themeColor="text1" w:themeTint="A6"/>
          <w:sz w:val="24"/>
          <w:szCs w:val="24"/>
          <w:lang w:eastAsia="zh-CN"/>
        </w:rPr>
        <mc:AlternateContent>
          <mc:Choice Requires="wps">
            <w:drawing>
              <wp:anchor distT="0" distB="0" distL="114300" distR="114300" simplePos="0" relativeHeight="251698443" behindDoc="0" locked="0" layoutInCell="1" allowOverlap="1" wp14:anchorId="1224E89C" wp14:editId="2CFC53E8">
                <wp:simplePos x="0" y="0"/>
                <wp:positionH relativeFrom="margin">
                  <wp:posOffset>0</wp:posOffset>
                </wp:positionH>
                <wp:positionV relativeFrom="paragraph">
                  <wp:posOffset>0</wp:posOffset>
                </wp:positionV>
                <wp:extent cx="6151880" cy="382270"/>
                <wp:effectExtent l="0" t="0" r="1270" b="0"/>
                <wp:wrapNone/>
                <wp:docPr id="20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1880" cy="382270"/>
                        </a:xfrm>
                        <a:prstGeom prst="rect">
                          <a:avLst/>
                        </a:prstGeom>
                        <a:solidFill>
                          <a:srgbClr val="FFFFFF"/>
                        </a:solidFill>
                        <a:ln w="9525">
                          <a:noFill/>
                          <a:miter lim="800000"/>
                          <a:headEnd/>
                          <a:tailEnd/>
                        </a:ln>
                      </wps:spPr>
                      <wps:txbx>
                        <w:txbxContent>
                          <w:p w14:paraId="48FDD9CC" w14:textId="1F307F3C" w:rsidR="008A47AC" w:rsidRPr="006B7937" w:rsidRDefault="008A47AC" w:rsidP="00AC709F">
                            <w:pPr>
                              <w:pStyle w:val="Caption"/>
                              <w:keepNext/>
                              <w:jc w:val="both"/>
                              <w:rPr>
                                <w:rFonts w:ascii="Arial Narrow" w:hAnsi="Arial Narrow"/>
                                <w:b/>
                                <w:i w:val="0"/>
                                <w:sz w:val="24"/>
                                <w:szCs w:val="24"/>
                              </w:rPr>
                            </w:pPr>
                            <w:r w:rsidRPr="006B7937">
                              <w:rPr>
                                <w:rFonts w:ascii="Arial Narrow" w:hAnsi="Arial Narrow"/>
                                <w:b/>
                                <w:i w:val="0"/>
                                <w:color w:val="595959" w:themeColor="text1" w:themeTint="A6"/>
                                <w:sz w:val="24"/>
                                <w:szCs w:val="24"/>
                              </w:rPr>
                              <w:t xml:space="preserve">Figure </w:t>
                            </w:r>
                            <w:r>
                              <w:rPr>
                                <w:rFonts w:ascii="Arial Narrow" w:hAnsi="Arial Narrow"/>
                                <w:b/>
                                <w:i w:val="0"/>
                                <w:color w:val="595959" w:themeColor="text1" w:themeTint="A6"/>
                                <w:sz w:val="24"/>
                                <w:szCs w:val="24"/>
                              </w:rPr>
                              <w:t>3.1</w:t>
                            </w:r>
                            <w:r w:rsidRPr="006B7937">
                              <w:rPr>
                                <w:rFonts w:ascii="Arial Narrow" w:hAnsi="Arial Narrow"/>
                                <w:b/>
                                <w:i w:val="0"/>
                                <w:color w:val="595959" w:themeColor="text1" w:themeTint="A6"/>
                                <w:sz w:val="24"/>
                                <w:szCs w:val="24"/>
                              </w:rPr>
                              <w:t xml:space="preserve"> </w:t>
                            </w:r>
                            <w:r>
                              <w:rPr>
                                <w:rFonts w:ascii="Arial Narrow" w:hAnsi="Arial Narrow"/>
                                <w:b/>
                                <w:i w:val="0"/>
                                <w:color w:val="595959" w:themeColor="text1" w:themeTint="A6"/>
                                <w:sz w:val="24"/>
                                <w:szCs w:val="24"/>
                              </w:rPr>
                              <w:t xml:space="preserve">Schematic of materials and methods </w:t>
                            </w:r>
                          </w:p>
                          <w:p w14:paraId="4D9952C8" w14:textId="73B85B3F" w:rsidR="008A47AC" w:rsidRDefault="008A47AC" w:rsidP="00AC709F">
                            <w:pPr>
                              <w:pStyle w:val="Caption"/>
                              <w:jc w:val="both"/>
                            </w:pPr>
                            <w:r>
                              <w:rPr>
                                <w:noProof/>
                              </w:rPr>
                              <w:fldChar w:fldCharType="begin"/>
                            </w:r>
                            <w:r>
                              <w:rPr>
                                <w:noProof/>
                              </w:rPr>
                              <w:instrText xml:space="preserve"> SEQ Figure \* ARABIC </w:instrText>
                            </w:r>
                            <w:r>
                              <w:rPr>
                                <w:noProof/>
                              </w:rPr>
                              <w:fldChar w:fldCharType="separate"/>
                            </w:r>
                            <w:r w:rsidR="00E57BFA">
                              <w:rPr>
                                <w:noProof/>
                              </w:rPr>
                              <w:t>2</w:t>
                            </w:r>
                            <w:r>
                              <w:rPr>
                                <w:noProof/>
                              </w:rPr>
                              <w:fldChar w:fldCharType="end"/>
                            </w:r>
                            <w:r>
                              <w:t xml:space="preserve"> Stewart DA, Cooper CR, Sikes RA. Changes in extracellular matrix (ECM) and ECM-associated</w:t>
                            </w:r>
                          </w:p>
                          <w:p w14:paraId="0E099D2C" w14:textId="77777777" w:rsidR="008A47AC" w:rsidRPr="00E72F77" w:rsidRDefault="008A47AC" w:rsidP="00AC709F">
                            <w:pPr>
                              <w:pStyle w:val="NormalWeb"/>
                              <w:spacing w:after="200" w:line="276" w:lineRule="auto"/>
                              <w:jc w:val="both"/>
                              <w:rPr>
                                <w:rFonts w:ascii="Arial Narrow" w:hAnsi="Arial Narrow"/>
                                <w:color w:val="595959" w:themeColor="text1" w:themeTint="A6"/>
                                <w:sz w:val="22"/>
                                <w:szCs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224E89C" id="_x0000_t202" coordsize="21600,21600" o:spt="202" path="m,l,21600r21600,l21600,xe">
                <v:stroke joinstyle="miter"/>
                <v:path gradientshapeok="t" o:connecttype="rect"/>
              </v:shapetype>
              <v:shape id="_x0000_s1060" type="#_x0000_t202" style="position:absolute;left:0;text-align:left;margin-left:0;margin-top:0;width:484.4pt;height:30.1pt;z-index:25169844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" stroked="f">
                <v:textbox>
                  <w:txbxContent>
                    <w:p w14:paraId="48FDD9CC" w14:textId="1F307F3C" w:rsidR="008A47AC" w:rsidRPr="006B7937" w:rsidRDefault="008A47AC" w:rsidP="00AC709F">
                      <w:pPr>
                        <w:pStyle w:val="Caption"/>
                        <w:keepNext/>
                        <w:jc w:val="both"/>
                        <w:rPr>
                          <w:rFonts w:ascii="Arial Narrow" w:hAnsi="Arial Narrow"/>
                          <w:b/>
                          <w:i w:val="0"/>
                          <w:sz w:val="24"/>
                          <w:szCs w:val="24"/>
                        </w:rPr>
                      </w:pPr>
                      <w:r w:rsidRPr="006B7937">
                        <w:rPr>
                          <w:rFonts w:ascii="Arial Narrow" w:hAnsi="Arial Narrow"/>
                          <w:b/>
                          <w:i w:val="0"/>
                          <w:color w:val="595959" w:themeColor="text1" w:themeTint="A6"/>
                          <w:sz w:val="24"/>
                          <w:szCs w:val="24"/>
                        </w:rPr>
                        <w:t xml:space="preserve">Figure </w:t>
                      </w:r>
                      <w:r>
                        <w:rPr>
                          <w:rFonts w:ascii="Arial Narrow" w:hAnsi="Arial Narrow"/>
                          <w:b/>
                          <w:i w:val="0"/>
                          <w:color w:val="595959" w:themeColor="text1" w:themeTint="A6"/>
                          <w:sz w:val="24"/>
                          <w:szCs w:val="24"/>
                        </w:rPr>
                        <w:t>3.1</w:t>
                      </w:r>
                      <w:r w:rsidRPr="006B7937">
                        <w:rPr>
                          <w:rFonts w:ascii="Arial Narrow" w:hAnsi="Arial Narrow"/>
                          <w:b/>
                          <w:i w:val="0"/>
                          <w:color w:val="595959" w:themeColor="text1" w:themeTint="A6"/>
                          <w:sz w:val="24"/>
                          <w:szCs w:val="24"/>
                        </w:rPr>
                        <w:t xml:space="preserve"> </w:t>
                      </w:r>
                      <w:r>
                        <w:rPr>
                          <w:rFonts w:ascii="Arial Narrow" w:hAnsi="Arial Narrow"/>
                          <w:b/>
                          <w:i w:val="0"/>
                          <w:color w:val="595959" w:themeColor="text1" w:themeTint="A6"/>
                          <w:sz w:val="24"/>
                          <w:szCs w:val="24"/>
                        </w:rPr>
                        <w:t xml:space="preserve">Schematic of materials and methods </w:t>
                      </w:r>
                    </w:p>
                    <w:p w14:paraId="4D9952C8" w14:textId="73B85B3F" w:rsidR="008A47AC" w:rsidRDefault="008A47AC" w:rsidP="00AC709F">
                      <w:pPr>
                        <w:pStyle w:val="Caption"/>
                        <w:jc w:val="both"/>
                      </w:pPr>
                      <w:r>
                        <w:rPr>
                          <w:noProof/>
                        </w:rPr>
                        <w:fldChar w:fldCharType="begin"/>
                      </w:r>
                      <w:r>
                        <w:rPr>
                          <w:noProof/>
                        </w:rPr>
                        <w:instrText xml:space="preserve"> SEQ Figure \* ARABIC </w:instrText>
                      </w:r>
                      <w:r>
                        <w:rPr>
                          <w:noProof/>
                        </w:rPr>
                        <w:fldChar w:fldCharType="separate"/>
                      </w:r>
                      <w:r w:rsidR="00E57BFA">
                        <w:rPr>
                          <w:noProof/>
                        </w:rPr>
                        <w:t>2</w:t>
                      </w:r>
                      <w:r>
                        <w:rPr>
                          <w:noProof/>
                        </w:rPr>
                        <w:fldChar w:fldCharType="end"/>
                      </w:r>
                      <w:r>
                        <w:t xml:space="preserve"> Stewart DA, Cooper CR, Sikes RA. Changes in extracellular matrix (ECM) and ECM-associated</w:t>
                      </w:r>
                    </w:p>
                    <w:p w14:paraId="0E099D2C" w14:textId="77777777" w:rsidR="008A47AC" w:rsidRPr="00E72F77" w:rsidRDefault="008A47AC" w:rsidP="00AC709F">
                      <w:pPr>
                        <w:pStyle w:val="NormalWeb"/>
                        <w:spacing w:after="200" w:line="276" w:lineRule="auto"/>
                        <w:jc w:val="both"/>
                        <w:rPr>
                          <w:rFonts w:ascii="Arial Narrow" w:hAnsi="Arial Narrow"/>
                          <w:color w:val="595959" w:themeColor="text1" w:themeTint="A6"/>
                          <w:sz w:val="22"/>
                          <w:szCs w:val="22"/>
                        </w:rPr>
                      </w:pPr>
                    </w:p>
                  </w:txbxContent>
                </v:textbox>
                <w10:wrap anchorx="margin"/>
              </v:shape>
            </w:pict>
          </mc:Fallback>
        </mc:AlternateContent>
      </w:r>
    </w:p>
    <w:p w14:paraId="5DA7EB96" w14:textId="49696814" w:rsidR="00AC709F" w:rsidRDefault="00AC709F" w:rsidP="009400C5">
      <w:pPr>
        <w:spacing w:line="480" w:lineRule="auto"/>
        <w:jc w:val="both"/>
        <w:rPr>
          <w:rFonts w:ascii="Arial" w:eastAsiaTheme="majorEastAsia" w:hAnsi="Arial" w:cs="Arial"/>
          <w:color w:val="595959" w:themeColor="text1" w:themeTint="A6"/>
          <w:sz w:val="26"/>
          <w:szCs w:val="26"/>
        </w:rPr>
      </w:pPr>
    </w:p>
    <w:p w14:paraId="6BCAAA8B" w14:textId="77777777" w:rsidR="009B0752" w:rsidRDefault="009B0752" w:rsidP="009400C5">
      <w:pPr>
        <w:spacing w:line="480" w:lineRule="auto"/>
        <w:jc w:val="both"/>
        <w:rPr>
          <w:rFonts w:ascii="Arial" w:eastAsiaTheme="majorEastAsia" w:hAnsi="Arial" w:cs="Arial"/>
          <w:color w:val="595959" w:themeColor="text1" w:themeTint="A6"/>
          <w:sz w:val="26"/>
          <w:szCs w:val="26"/>
        </w:rPr>
      </w:pPr>
    </w:p>
    <w:p w14:paraId="5628D087" w14:textId="7F4037C1" w:rsidR="0054039C" w:rsidRPr="009400C5" w:rsidRDefault="0054039C" w:rsidP="009400C5">
      <w:pPr>
        <w:spacing w:line="480" w:lineRule="auto"/>
        <w:jc w:val="both"/>
        <w:rPr>
          <w:rFonts w:ascii="Arial" w:hAnsi="Arial" w:cs="Arial"/>
          <w:color w:val="595959" w:themeColor="text1" w:themeTint="A6"/>
        </w:rPr>
      </w:pPr>
      <w:r w:rsidRPr="0054039C">
        <w:rPr>
          <w:rFonts w:ascii="Arial" w:eastAsiaTheme="majorEastAsia" w:hAnsi="Arial" w:cs="Arial"/>
          <w:color w:val="595959" w:themeColor="text1" w:themeTint="A6"/>
          <w:sz w:val="26"/>
          <w:szCs w:val="26"/>
        </w:rPr>
        <w:lastRenderedPageBreak/>
        <w:t>3.3 Results</w:t>
      </w:r>
      <w:bookmarkEnd w:id="225"/>
    </w:p>
    <w:p w14:paraId="76D4AD6C" w14:textId="00D606F9" w:rsidR="0054039C" w:rsidRPr="0054039C" w:rsidRDefault="0054039C" w:rsidP="0054039C">
      <w:pPr>
        <w:keepNext/>
        <w:keepLines/>
        <w:spacing w:before="40" w:after="0"/>
        <w:outlineLvl w:val="2"/>
        <w:rPr>
          <w:rFonts w:ascii="Arial" w:eastAsiaTheme="majorEastAsia" w:hAnsi="Arial" w:cs="Arial"/>
          <w:color w:val="595959" w:themeColor="text1" w:themeTint="A6"/>
          <w:sz w:val="24"/>
          <w:szCs w:val="24"/>
        </w:rPr>
      </w:pPr>
      <w:bookmarkStart w:id="226" w:name="_Toc7107238"/>
      <w:bookmarkStart w:id="227" w:name="_Toc34208344"/>
      <w:r w:rsidRPr="0054039C">
        <w:rPr>
          <w:rFonts w:ascii="Arial" w:eastAsiaTheme="majorEastAsia" w:hAnsi="Arial" w:cs="Arial"/>
          <w:color w:val="595959" w:themeColor="text1" w:themeTint="A6"/>
          <w:sz w:val="24"/>
          <w:szCs w:val="24"/>
        </w:rPr>
        <w:t>3.3.1 Molecular analysis of normal oral fibroblasts</w:t>
      </w:r>
      <w:bookmarkEnd w:id="226"/>
      <w:bookmarkEnd w:id="227"/>
    </w:p>
    <w:p w14:paraId="580DF507" w14:textId="62361188" w:rsidR="0054039C" w:rsidRPr="0054039C" w:rsidRDefault="0054039C" w:rsidP="0054039C"/>
    <w:p w14:paraId="2A7E03DB" w14:textId="77777777" w:rsidR="0054039C" w:rsidRPr="0054039C" w:rsidRDefault="0054039C" w:rsidP="0054039C">
      <w:pPr>
        <w:keepNext/>
        <w:keepLines/>
        <w:spacing w:before="40" w:after="0"/>
        <w:outlineLvl w:val="3"/>
        <w:rPr>
          <w:rFonts w:ascii="Arial" w:eastAsiaTheme="majorEastAsia" w:hAnsi="Arial" w:cs="Arial"/>
          <w:i/>
          <w:iCs/>
          <w:color w:val="595959" w:themeColor="text1" w:themeTint="A6"/>
        </w:rPr>
      </w:pPr>
      <w:bookmarkStart w:id="228" w:name="_Toc7107239"/>
      <w:bookmarkStart w:id="229" w:name="_Toc34208345"/>
      <w:r w:rsidRPr="0054039C">
        <w:rPr>
          <w:rFonts w:ascii="Arial" w:eastAsiaTheme="majorEastAsia" w:hAnsi="Arial" w:cs="Arial"/>
          <w:i/>
          <w:iCs/>
          <w:color w:val="595959" w:themeColor="text1" w:themeTint="A6"/>
        </w:rPr>
        <w:t>3.3.1.1 Short-term differentiation of normal oral fibroblasts</w:t>
      </w:r>
      <w:bookmarkEnd w:id="228"/>
      <w:bookmarkEnd w:id="229"/>
      <w:r w:rsidRPr="0054039C">
        <w:rPr>
          <w:rFonts w:ascii="Arial" w:eastAsiaTheme="majorEastAsia" w:hAnsi="Arial" w:cs="Arial"/>
          <w:i/>
          <w:iCs/>
          <w:color w:val="595959" w:themeColor="text1" w:themeTint="A6"/>
        </w:rPr>
        <w:t xml:space="preserve">  </w:t>
      </w:r>
    </w:p>
    <w:p w14:paraId="3F66BB21" w14:textId="77777777" w:rsidR="0054039C" w:rsidRPr="0054039C" w:rsidRDefault="0054039C" w:rsidP="0054039C"/>
    <w:p w14:paraId="6325C145" w14:textId="780A4F23" w:rsidR="0054039C" w:rsidRPr="0054039C" w:rsidRDefault="0054039C" w:rsidP="00E34077">
      <w:pPr>
        <w:spacing w:line="480" w:lineRule="auto"/>
        <w:jc w:val="both"/>
        <w:rPr>
          <w:rFonts w:ascii="Arial" w:hAnsi="Arial" w:cs="Arial"/>
          <w:color w:val="595959" w:themeColor="text1" w:themeTint="A6"/>
        </w:rPr>
      </w:pPr>
      <w:r w:rsidRPr="0054039C">
        <w:rPr>
          <w:rFonts w:ascii="Arial" w:hAnsi="Arial" w:cs="Arial"/>
          <w:color w:val="595959" w:themeColor="text1" w:themeTint="A6"/>
        </w:rPr>
        <w:t>NOF were stimulated with 5 ng/mL of TGFβ-1 and/or vehicle control (HCL/PBS)</w:t>
      </w:r>
      <w:r w:rsidR="00DF671D">
        <w:rPr>
          <w:rFonts w:ascii="Arial" w:hAnsi="Arial" w:cs="Arial"/>
          <w:color w:val="595959" w:themeColor="text1" w:themeTint="A6"/>
        </w:rPr>
        <w:t xml:space="preserve">. TGFβ-1 dosage </w:t>
      </w:r>
      <w:r w:rsidR="00E40C08">
        <w:rPr>
          <w:rFonts w:ascii="Arial" w:hAnsi="Arial" w:cs="Arial"/>
          <w:color w:val="595959" w:themeColor="text1" w:themeTint="A6"/>
        </w:rPr>
        <w:t xml:space="preserve">at </w:t>
      </w:r>
      <w:r w:rsidR="00E40C08" w:rsidRPr="0054039C">
        <w:rPr>
          <w:rFonts w:ascii="Arial" w:hAnsi="Arial" w:cs="Arial"/>
          <w:color w:val="595959" w:themeColor="text1" w:themeTint="A6"/>
        </w:rPr>
        <w:t>5 ng/mL</w:t>
      </w:r>
      <w:r w:rsidR="00E40C08">
        <w:rPr>
          <w:rFonts w:ascii="Arial" w:hAnsi="Arial" w:cs="Arial"/>
          <w:color w:val="595959" w:themeColor="text1" w:themeTint="A6"/>
        </w:rPr>
        <w:t xml:space="preserve"> </w:t>
      </w:r>
      <w:r w:rsidRPr="0054039C">
        <w:rPr>
          <w:rFonts w:ascii="Arial" w:hAnsi="Arial" w:cs="Arial"/>
          <w:color w:val="595959" w:themeColor="text1" w:themeTint="A6"/>
        </w:rPr>
        <w:t>was</w:t>
      </w:r>
      <w:r w:rsidR="00DF671D">
        <w:rPr>
          <w:rFonts w:ascii="Arial" w:hAnsi="Arial" w:cs="Arial"/>
          <w:color w:val="595959" w:themeColor="text1" w:themeTint="A6"/>
        </w:rPr>
        <w:t xml:space="preserve"> previously</w:t>
      </w:r>
      <w:r w:rsidRPr="0054039C">
        <w:rPr>
          <w:rFonts w:ascii="Arial" w:hAnsi="Arial" w:cs="Arial"/>
          <w:color w:val="595959" w:themeColor="text1" w:themeTint="A6"/>
        </w:rPr>
        <w:t xml:space="preserve"> </w:t>
      </w:r>
      <w:r w:rsidR="00CC7218" w:rsidRPr="0054039C">
        <w:rPr>
          <w:rFonts w:ascii="Arial" w:hAnsi="Arial" w:cs="Arial"/>
          <w:color w:val="595959" w:themeColor="text1" w:themeTint="A6"/>
        </w:rPr>
        <w:t>established</w:t>
      </w:r>
      <w:r w:rsidRPr="0054039C">
        <w:rPr>
          <w:rFonts w:ascii="Arial" w:hAnsi="Arial" w:cs="Arial"/>
          <w:color w:val="595959" w:themeColor="text1" w:themeTint="A6"/>
        </w:rPr>
        <w:t xml:space="preserve"> as the optimal concentration to induce differentiation in oral and dermal fibroblasts by previous doctoral students (Abidin 2017, The University of Sheffield</w:t>
      </w:r>
      <w:r w:rsidR="003E153C">
        <w:rPr>
          <w:rFonts w:ascii="Arial" w:hAnsi="Arial" w:cs="Arial"/>
          <w:color w:val="595959" w:themeColor="text1" w:themeTint="A6"/>
        </w:rPr>
        <w:t>, M</w:t>
      </w:r>
      <w:r w:rsidRPr="0054039C">
        <w:rPr>
          <w:rFonts w:ascii="Arial" w:hAnsi="Arial" w:cs="Arial"/>
          <w:color w:val="595959" w:themeColor="text1" w:themeTint="A6"/>
        </w:rPr>
        <w:t xml:space="preserve">elling </w:t>
      </w:r>
      <w:r w:rsidRPr="0054039C">
        <w:rPr>
          <w:rFonts w:ascii="Arial" w:hAnsi="Arial" w:cs="Arial"/>
          <w:i/>
          <w:iCs/>
          <w:color w:val="595959" w:themeColor="text1" w:themeTint="A6"/>
        </w:rPr>
        <w:t>et al.,</w:t>
      </w:r>
      <w:r w:rsidRPr="0054039C">
        <w:rPr>
          <w:rFonts w:ascii="Arial" w:hAnsi="Arial" w:cs="Arial"/>
          <w:color w:val="595959" w:themeColor="text1" w:themeTint="A6"/>
        </w:rPr>
        <w:t xml:space="preserve"> 2018). TGFβ-1 and/or vehicle control treatment</w:t>
      </w:r>
      <w:r w:rsidR="00CC7218">
        <w:rPr>
          <w:rFonts w:ascii="Arial" w:hAnsi="Arial" w:cs="Arial"/>
          <w:color w:val="595959" w:themeColor="text1" w:themeTint="A6"/>
        </w:rPr>
        <w:t>s</w:t>
      </w:r>
      <w:r w:rsidRPr="0054039C">
        <w:rPr>
          <w:rFonts w:ascii="Arial" w:hAnsi="Arial" w:cs="Arial"/>
          <w:color w:val="595959" w:themeColor="text1" w:themeTint="A6"/>
        </w:rPr>
        <w:t xml:space="preserve"> w</w:t>
      </w:r>
      <w:r w:rsidR="00CC7218">
        <w:rPr>
          <w:rFonts w:ascii="Arial" w:hAnsi="Arial" w:cs="Arial"/>
          <w:color w:val="595959" w:themeColor="text1" w:themeTint="A6"/>
        </w:rPr>
        <w:t>ere</w:t>
      </w:r>
      <w:r w:rsidRPr="0054039C">
        <w:rPr>
          <w:rFonts w:ascii="Arial" w:hAnsi="Arial" w:cs="Arial"/>
          <w:color w:val="595959" w:themeColor="text1" w:themeTint="A6"/>
        </w:rPr>
        <w:t xml:space="preserve"> supplemented in a time course experiment for 24 h, 48 h and 72 h. Quantitative PCR was </w:t>
      </w:r>
      <w:r w:rsidR="00CC7218">
        <w:rPr>
          <w:rFonts w:ascii="Arial" w:hAnsi="Arial" w:cs="Arial"/>
          <w:color w:val="595959" w:themeColor="text1" w:themeTint="A6"/>
        </w:rPr>
        <w:t>conducted</w:t>
      </w:r>
      <w:r w:rsidRPr="0054039C">
        <w:rPr>
          <w:rFonts w:ascii="Arial" w:hAnsi="Arial" w:cs="Arial"/>
          <w:color w:val="595959" w:themeColor="text1" w:themeTint="A6"/>
        </w:rPr>
        <w:t xml:space="preserve"> to observe relative fold changes in expression of various fibroblast </w:t>
      </w:r>
      <w:r w:rsidR="00E34077">
        <w:rPr>
          <w:rFonts w:ascii="Arial" w:hAnsi="Arial" w:cs="Arial"/>
          <w:color w:val="595959" w:themeColor="text1" w:themeTint="A6"/>
        </w:rPr>
        <w:t xml:space="preserve">differentiation marker </w:t>
      </w:r>
      <w:r w:rsidRPr="0054039C">
        <w:rPr>
          <w:rFonts w:ascii="Arial" w:hAnsi="Arial" w:cs="Arial"/>
          <w:color w:val="595959" w:themeColor="text1" w:themeTint="A6"/>
        </w:rPr>
        <w:t xml:space="preserve">transcripts; </w:t>
      </w:r>
      <w:r w:rsidRPr="00536F03">
        <w:rPr>
          <w:rFonts w:ascii="Arial" w:hAnsi="Arial" w:cs="Arial"/>
          <w:color w:val="595959" w:themeColor="text1" w:themeTint="A6"/>
        </w:rPr>
        <w:t>αSMA, COL1A1, FN1-EDA, VCAN and TNC</w:t>
      </w:r>
      <w:r w:rsidRPr="0054039C">
        <w:rPr>
          <w:rFonts w:ascii="Arial" w:hAnsi="Arial" w:cs="Arial"/>
          <w:color w:val="595959" w:themeColor="text1" w:themeTint="A6"/>
        </w:rPr>
        <w:t xml:space="preserve"> relative to endogenous U6 expression in three biological samples</w:t>
      </w:r>
      <w:r w:rsidR="00E34077">
        <w:rPr>
          <w:rFonts w:ascii="Arial" w:hAnsi="Arial" w:cs="Arial"/>
          <w:color w:val="595959" w:themeColor="text1" w:themeTint="A6"/>
        </w:rPr>
        <w:t>; NOF316, NOF804 and NOF806. ΔΔCt</w:t>
      </w:r>
      <w:r w:rsidRPr="0054039C">
        <w:rPr>
          <w:rFonts w:ascii="Arial" w:hAnsi="Arial" w:cs="Arial"/>
          <w:color w:val="595959" w:themeColor="text1" w:themeTint="A6"/>
        </w:rPr>
        <w:t xml:space="preserve"> analysis for each experiment was relative to the 24 h</w:t>
      </w:r>
      <w:r w:rsidR="00E34077">
        <w:rPr>
          <w:rFonts w:ascii="Arial" w:hAnsi="Arial" w:cs="Arial"/>
          <w:color w:val="595959" w:themeColor="text1" w:themeTint="A6"/>
        </w:rPr>
        <w:t xml:space="preserve"> vehicle control treated sample as this was considered the basal level expression</w:t>
      </w:r>
      <w:r w:rsidR="007A77E4">
        <w:rPr>
          <w:rFonts w:ascii="Arial" w:hAnsi="Arial" w:cs="Arial"/>
          <w:color w:val="595959" w:themeColor="text1" w:themeTint="A6"/>
        </w:rPr>
        <w:t xml:space="preserve"> for each of the transcripts investigated.</w:t>
      </w:r>
    </w:p>
    <w:p w14:paraId="3A745D91" w14:textId="77777777" w:rsidR="0054039C" w:rsidRPr="0054039C" w:rsidRDefault="0054039C" w:rsidP="0054039C">
      <w:pPr>
        <w:spacing w:line="480" w:lineRule="auto"/>
        <w:ind w:firstLine="720"/>
        <w:jc w:val="both"/>
        <w:rPr>
          <w:rFonts w:ascii="Arial" w:hAnsi="Arial" w:cs="Arial"/>
          <w:color w:val="595959" w:themeColor="text1" w:themeTint="A6"/>
        </w:rPr>
      </w:pPr>
    </w:p>
    <w:p w14:paraId="1D3653ED" w14:textId="77777777" w:rsidR="0054039C" w:rsidRPr="0054039C" w:rsidRDefault="0054039C" w:rsidP="0054039C">
      <w:pPr>
        <w:spacing w:line="480" w:lineRule="auto"/>
        <w:ind w:firstLine="720"/>
        <w:jc w:val="both"/>
        <w:rPr>
          <w:rFonts w:ascii="Arial" w:hAnsi="Arial" w:cs="Arial"/>
          <w:color w:val="595959" w:themeColor="text1" w:themeTint="A6"/>
        </w:rPr>
      </w:pPr>
    </w:p>
    <w:p w14:paraId="483E732E" w14:textId="77777777" w:rsidR="0054039C" w:rsidRPr="0054039C" w:rsidRDefault="0054039C" w:rsidP="0054039C">
      <w:pPr>
        <w:spacing w:line="480" w:lineRule="auto"/>
        <w:ind w:firstLine="720"/>
        <w:jc w:val="both"/>
        <w:rPr>
          <w:rFonts w:ascii="Arial" w:hAnsi="Arial" w:cs="Arial"/>
          <w:color w:val="595959" w:themeColor="text1" w:themeTint="A6"/>
        </w:rPr>
      </w:pPr>
    </w:p>
    <w:p w14:paraId="1ED57B83" w14:textId="77777777" w:rsidR="0054039C" w:rsidRPr="0054039C" w:rsidRDefault="0054039C" w:rsidP="0054039C">
      <w:pPr>
        <w:spacing w:line="480" w:lineRule="auto"/>
        <w:ind w:firstLine="720"/>
        <w:jc w:val="both"/>
        <w:rPr>
          <w:rFonts w:ascii="Arial" w:hAnsi="Arial" w:cs="Arial"/>
          <w:color w:val="595959" w:themeColor="text1" w:themeTint="A6"/>
        </w:rPr>
      </w:pPr>
    </w:p>
    <w:p w14:paraId="7EF01538" w14:textId="77777777" w:rsidR="0054039C" w:rsidRPr="0054039C" w:rsidRDefault="0054039C" w:rsidP="0054039C">
      <w:pPr>
        <w:spacing w:line="480" w:lineRule="auto"/>
        <w:ind w:firstLine="720"/>
        <w:jc w:val="both"/>
        <w:rPr>
          <w:rFonts w:ascii="Arial" w:hAnsi="Arial" w:cs="Arial"/>
          <w:color w:val="595959" w:themeColor="text1" w:themeTint="A6"/>
        </w:rPr>
      </w:pPr>
    </w:p>
    <w:p w14:paraId="5B6B143B" w14:textId="77777777" w:rsidR="0054039C" w:rsidRPr="0054039C" w:rsidRDefault="0054039C" w:rsidP="0054039C">
      <w:pPr>
        <w:spacing w:line="480" w:lineRule="auto"/>
        <w:ind w:firstLine="720"/>
        <w:jc w:val="both"/>
        <w:rPr>
          <w:rFonts w:ascii="Arial" w:hAnsi="Arial" w:cs="Arial"/>
          <w:color w:val="595959" w:themeColor="text1" w:themeTint="A6"/>
        </w:rPr>
      </w:pPr>
    </w:p>
    <w:p w14:paraId="35F40442" w14:textId="77777777" w:rsidR="0054039C" w:rsidRPr="0054039C" w:rsidRDefault="0054039C" w:rsidP="0054039C">
      <w:pPr>
        <w:spacing w:line="480" w:lineRule="auto"/>
        <w:ind w:firstLine="720"/>
        <w:jc w:val="both"/>
        <w:rPr>
          <w:rFonts w:ascii="Arial" w:hAnsi="Arial" w:cs="Arial"/>
          <w:color w:val="595959" w:themeColor="text1" w:themeTint="A6"/>
        </w:rPr>
      </w:pPr>
    </w:p>
    <w:p w14:paraId="6D54363C" w14:textId="77777777" w:rsidR="0054039C" w:rsidRPr="0054039C" w:rsidRDefault="0054039C" w:rsidP="0054039C">
      <w:pPr>
        <w:spacing w:line="480" w:lineRule="auto"/>
        <w:jc w:val="both"/>
        <w:rPr>
          <w:rFonts w:ascii="Arial" w:hAnsi="Arial" w:cs="Arial"/>
          <w:color w:val="595959" w:themeColor="text1" w:themeTint="A6"/>
        </w:rPr>
      </w:pPr>
      <w:bookmarkStart w:id="230" w:name="OLE_LINK1"/>
    </w:p>
    <w:p w14:paraId="52B188F7" w14:textId="77777777" w:rsidR="0054039C" w:rsidRPr="0054039C" w:rsidRDefault="0054039C" w:rsidP="0054039C">
      <w:pPr>
        <w:spacing w:line="480" w:lineRule="auto"/>
        <w:jc w:val="both"/>
        <w:rPr>
          <w:rFonts w:ascii="Arial" w:hAnsi="Arial" w:cs="Arial"/>
          <w:color w:val="595959" w:themeColor="text1" w:themeTint="A6"/>
        </w:rPr>
      </w:pPr>
    </w:p>
    <w:p w14:paraId="7FE05E98" w14:textId="77777777" w:rsidR="0054039C" w:rsidRPr="0054039C" w:rsidRDefault="0054039C" w:rsidP="0054039C">
      <w:pPr>
        <w:spacing w:line="480" w:lineRule="auto"/>
        <w:jc w:val="both"/>
        <w:rPr>
          <w:rFonts w:ascii="Arial" w:hAnsi="Arial" w:cs="Arial"/>
          <w:color w:val="595959" w:themeColor="text1" w:themeTint="A6"/>
        </w:rPr>
      </w:pPr>
    </w:p>
    <w:p w14:paraId="5D99D884" w14:textId="77777777" w:rsidR="0054039C" w:rsidRPr="0054039C" w:rsidRDefault="0054039C" w:rsidP="0054039C">
      <w:pPr>
        <w:keepNext/>
        <w:keepLines/>
        <w:spacing w:before="40" w:after="0"/>
        <w:outlineLvl w:val="4"/>
        <w:rPr>
          <w:rFonts w:ascii="Arial" w:eastAsiaTheme="majorEastAsia" w:hAnsi="Arial" w:cs="Arial"/>
          <w:color w:val="595959" w:themeColor="text1" w:themeTint="A6"/>
        </w:rPr>
      </w:pPr>
      <w:bookmarkStart w:id="231" w:name="_Toc7107240"/>
      <w:bookmarkStart w:id="232" w:name="_Toc34208346"/>
      <w:r w:rsidRPr="0054039C">
        <w:rPr>
          <w:rFonts w:ascii="Arial" w:eastAsiaTheme="majorEastAsia" w:hAnsi="Arial" w:cs="Arial"/>
          <w:color w:val="595959" w:themeColor="text1" w:themeTint="A6"/>
        </w:rPr>
        <w:lastRenderedPageBreak/>
        <w:t>3.3.1.1.1 αSMA expression by RT-qPCR</w:t>
      </w:r>
      <w:bookmarkEnd w:id="231"/>
      <w:bookmarkEnd w:id="232"/>
    </w:p>
    <w:p w14:paraId="72141DFC" w14:textId="77777777" w:rsidR="0054039C" w:rsidRPr="0054039C" w:rsidRDefault="0054039C" w:rsidP="0054039C"/>
    <w:p w14:paraId="08CF4B2E" w14:textId="395A080A" w:rsidR="0054039C" w:rsidRPr="0054039C" w:rsidRDefault="0054039C" w:rsidP="000A1A3B">
      <w:pPr>
        <w:spacing w:line="480" w:lineRule="auto"/>
        <w:jc w:val="both"/>
        <w:rPr>
          <w:rFonts w:ascii="Arial" w:hAnsi="Arial" w:cs="Arial"/>
          <w:color w:val="595959" w:themeColor="text1" w:themeTint="A6"/>
        </w:rPr>
      </w:pPr>
      <w:r w:rsidRPr="0054039C">
        <w:rPr>
          <w:rFonts w:ascii="Arial" w:hAnsi="Arial" w:cs="Arial"/>
          <w:color w:val="595959" w:themeColor="text1" w:themeTint="A6"/>
        </w:rPr>
        <w:t>Quantitative RT-PCR for the myofibro</w:t>
      </w:r>
      <w:r w:rsidR="00E34077">
        <w:rPr>
          <w:rFonts w:ascii="Arial" w:hAnsi="Arial" w:cs="Arial"/>
          <w:color w:val="595959" w:themeColor="text1" w:themeTint="A6"/>
        </w:rPr>
        <w:t>blast marker αSMA was conducted following</w:t>
      </w:r>
      <w:r w:rsidRPr="0054039C">
        <w:rPr>
          <w:rFonts w:ascii="Arial" w:hAnsi="Arial" w:cs="Arial"/>
          <w:color w:val="595959" w:themeColor="text1" w:themeTint="A6"/>
        </w:rPr>
        <w:t xml:space="preserve"> treatment with 5 ng/mL of TGFβ-1</w:t>
      </w:r>
      <w:r w:rsidR="007A77E4">
        <w:rPr>
          <w:rFonts w:ascii="Arial" w:hAnsi="Arial" w:cs="Arial"/>
          <w:color w:val="595959" w:themeColor="text1" w:themeTint="A6"/>
        </w:rPr>
        <w:t xml:space="preserve"> </w:t>
      </w:r>
      <w:r w:rsidRPr="0054039C">
        <w:rPr>
          <w:rFonts w:ascii="Arial" w:hAnsi="Arial" w:cs="Arial"/>
          <w:color w:val="595959" w:themeColor="text1" w:themeTint="A6"/>
        </w:rPr>
        <w:t xml:space="preserve">(Figure 3.2). </w:t>
      </w:r>
      <w:r w:rsidR="000A1A3B">
        <w:rPr>
          <w:rFonts w:ascii="Arial" w:hAnsi="Arial" w:cs="Arial"/>
          <w:color w:val="595959" w:themeColor="text1" w:themeTint="A6"/>
        </w:rPr>
        <w:t>No change was observed at 24 h</w:t>
      </w:r>
      <w:r w:rsidR="007A77E4">
        <w:rPr>
          <w:rFonts w:ascii="Arial" w:hAnsi="Arial" w:cs="Arial"/>
          <w:color w:val="595959" w:themeColor="text1" w:themeTint="A6"/>
        </w:rPr>
        <w:t xml:space="preserve"> with TGFβ-1 treatment</w:t>
      </w:r>
      <w:r w:rsidR="000A1A3B">
        <w:rPr>
          <w:rFonts w:ascii="Arial" w:hAnsi="Arial" w:cs="Arial"/>
          <w:color w:val="595959" w:themeColor="text1" w:themeTint="A6"/>
        </w:rPr>
        <w:t>, but a</w:t>
      </w:r>
      <w:r w:rsidRPr="0054039C">
        <w:rPr>
          <w:rFonts w:ascii="Arial" w:hAnsi="Arial" w:cs="Arial"/>
          <w:color w:val="595959" w:themeColor="text1" w:themeTint="A6"/>
        </w:rPr>
        <w:t xml:space="preserve"> significant increase in expression was exhibited at 48 h, with a mean fold</w:t>
      </w:r>
      <w:r w:rsidR="007A77E4">
        <w:rPr>
          <w:rFonts w:ascii="Arial" w:hAnsi="Arial" w:cs="Arial"/>
          <w:color w:val="595959" w:themeColor="text1" w:themeTint="A6"/>
        </w:rPr>
        <w:t xml:space="preserve"> </w:t>
      </w:r>
      <w:r w:rsidRPr="0054039C">
        <w:rPr>
          <w:rFonts w:ascii="Arial" w:hAnsi="Arial" w:cs="Arial"/>
          <w:color w:val="595959" w:themeColor="text1" w:themeTint="A6"/>
        </w:rPr>
        <w:t>change of 24.79 ± 22.97 (p &lt;0.0001) compared to 24 h control samples. No significant differences were observed at 72 h</w:t>
      </w:r>
      <w:r w:rsidR="000A1A3B">
        <w:rPr>
          <w:rFonts w:ascii="Arial" w:hAnsi="Arial" w:cs="Arial"/>
          <w:color w:val="595959" w:themeColor="text1" w:themeTint="A6"/>
        </w:rPr>
        <w:t xml:space="preserve"> treatment with TGFβ-1, with a </w:t>
      </w:r>
      <w:r w:rsidRPr="0054039C">
        <w:rPr>
          <w:rFonts w:ascii="Arial" w:hAnsi="Arial" w:cs="Arial"/>
          <w:color w:val="595959" w:themeColor="text1" w:themeTint="A6"/>
        </w:rPr>
        <w:t xml:space="preserve">5.96 ± 7.11-fold change. </w:t>
      </w:r>
    </w:p>
    <w:p w14:paraId="1383D64A" w14:textId="291FF8D5" w:rsidR="0054039C" w:rsidRPr="0054039C" w:rsidRDefault="0054039C" w:rsidP="0054039C">
      <w:pPr>
        <w:spacing w:line="480" w:lineRule="auto"/>
        <w:jc w:val="both"/>
        <w:rPr>
          <w:rFonts w:ascii="Arial" w:hAnsi="Arial" w:cs="Arial"/>
          <w:color w:val="595959" w:themeColor="text1" w:themeTint="A6"/>
        </w:rPr>
      </w:pPr>
    </w:p>
    <w:p w14:paraId="43C09FA9" w14:textId="041252E7" w:rsidR="0054039C" w:rsidRPr="0054039C" w:rsidRDefault="00EC616D" w:rsidP="0054039C">
      <w:pPr>
        <w:spacing w:line="480" w:lineRule="auto"/>
        <w:jc w:val="both"/>
        <w:rPr>
          <w:rFonts w:ascii="Arial" w:hAnsi="Arial" w:cs="Arial"/>
          <w:color w:val="595959" w:themeColor="text1" w:themeTint="A6"/>
        </w:rPr>
      </w:pPr>
      <w:r w:rsidRPr="00EC616D">
        <w:rPr>
          <w:noProof/>
        </w:rPr>
        <w:drawing>
          <wp:anchor distT="0" distB="0" distL="114300" distR="114300" simplePos="0" relativeHeight="251658474" behindDoc="0" locked="0" layoutInCell="1" allowOverlap="1" wp14:anchorId="076ADED9" wp14:editId="4E0313D3">
            <wp:simplePos x="0" y="0"/>
            <wp:positionH relativeFrom="margin">
              <wp:align>center</wp:align>
            </wp:positionH>
            <wp:positionV relativeFrom="paragraph">
              <wp:posOffset>13335</wp:posOffset>
            </wp:positionV>
            <wp:extent cx="4267200" cy="2667000"/>
            <wp:effectExtent l="0" t="0" r="0" b="0"/>
            <wp:wrapNone/>
            <wp:docPr id="2107" name="Picture 2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267200" cy="2667000"/>
                    </a:xfrm>
                    <a:prstGeom prst="rect">
                      <a:avLst/>
                    </a:prstGeom>
                    <a:noFill/>
                    <a:ln>
                      <a:noFill/>
                    </a:ln>
                  </pic:spPr>
                </pic:pic>
              </a:graphicData>
            </a:graphic>
          </wp:anchor>
        </w:drawing>
      </w:r>
    </w:p>
    <w:p w14:paraId="4FB9FADF" w14:textId="10C604D8" w:rsidR="0054039C" w:rsidRPr="0054039C" w:rsidRDefault="0054039C" w:rsidP="0054039C">
      <w:pPr>
        <w:spacing w:line="480" w:lineRule="auto"/>
        <w:jc w:val="both"/>
        <w:rPr>
          <w:rFonts w:ascii="Arial" w:hAnsi="Arial" w:cs="Arial"/>
          <w:color w:val="595959" w:themeColor="text1" w:themeTint="A6"/>
        </w:rPr>
      </w:pPr>
    </w:p>
    <w:p w14:paraId="2CDA2D1B" w14:textId="3DB17D99" w:rsidR="0054039C" w:rsidRPr="0054039C" w:rsidRDefault="0054039C" w:rsidP="0054039C">
      <w:pPr>
        <w:spacing w:line="480" w:lineRule="auto"/>
        <w:jc w:val="both"/>
        <w:rPr>
          <w:rFonts w:ascii="Arial" w:hAnsi="Arial" w:cs="Arial"/>
          <w:color w:val="595959" w:themeColor="text1" w:themeTint="A6"/>
        </w:rPr>
      </w:pPr>
    </w:p>
    <w:p w14:paraId="49013475" w14:textId="77777777" w:rsidR="0054039C" w:rsidRPr="0054039C" w:rsidRDefault="0054039C" w:rsidP="0054039C">
      <w:pPr>
        <w:spacing w:line="480" w:lineRule="auto"/>
        <w:jc w:val="both"/>
        <w:rPr>
          <w:rFonts w:ascii="Arial" w:hAnsi="Arial" w:cs="Arial"/>
          <w:color w:val="595959" w:themeColor="text1" w:themeTint="A6"/>
        </w:rPr>
      </w:pPr>
    </w:p>
    <w:p w14:paraId="4E464990" w14:textId="77777777" w:rsidR="0054039C" w:rsidRPr="0054039C" w:rsidRDefault="0054039C" w:rsidP="0054039C">
      <w:pPr>
        <w:spacing w:line="480" w:lineRule="auto"/>
        <w:jc w:val="both"/>
        <w:rPr>
          <w:rFonts w:ascii="Arial" w:hAnsi="Arial" w:cs="Arial"/>
          <w:color w:val="595959" w:themeColor="text1" w:themeTint="A6"/>
        </w:rPr>
      </w:pPr>
    </w:p>
    <w:p w14:paraId="79810A14" w14:textId="77777777" w:rsidR="0054039C" w:rsidRPr="0054039C" w:rsidRDefault="0054039C" w:rsidP="0054039C">
      <w:pPr>
        <w:spacing w:line="480" w:lineRule="auto"/>
        <w:jc w:val="both"/>
        <w:rPr>
          <w:rFonts w:ascii="Arial" w:hAnsi="Arial" w:cs="Arial"/>
          <w:color w:val="595959" w:themeColor="text1" w:themeTint="A6"/>
        </w:rPr>
      </w:pPr>
    </w:p>
    <w:p w14:paraId="666C8944" w14:textId="77777777" w:rsidR="0054039C" w:rsidRPr="0054039C" w:rsidRDefault="0054039C" w:rsidP="0054039C">
      <w:pPr>
        <w:spacing w:line="480" w:lineRule="auto"/>
        <w:jc w:val="both"/>
        <w:rPr>
          <w:rFonts w:ascii="Arial" w:hAnsi="Arial" w:cs="Arial"/>
          <w:color w:val="595959" w:themeColor="text1" w:themeTint="A6"/>
        </w:rPr>
      </w:pPr>
    </w:p>
    <w:p w14:paraId="6CDAD409" w14:textId="183D55D4" w:rsidR="0054039C" w:rsidRPr="0054039C" w:rsidRDefault="0054039C" w:rsidP="0054039C">
      <w:pPr>
        <w:spacing w:line="480" w:lineRule="auto"/>
        <w:jc w:val="both"/>
        <w:rPr>
          <w:rFonts w:ascii="Arial" w:hAnsi="Arial" w:cs="Arial"/>
          <w:color w:val="595959" w:themeColor="text1" w:themeTint="A6"/>
        </w:rPr>
      </w:pPr>
    </w:p>
    <w:p w14:paraId="22055169" w14:textId="77777777" w:rsidR="0054039C" w:rsidRPr="0054039C" w:rsidRDefault="0054039C" w:rsidP="0054039C">
      <w:pPr>
        <w:spacing w:line="480" w:lineRule="auto"/>
        <w:jc w:val="both"/>
        <w:rPr>
          <w:rFonts w:ascii="Arial" w:hAnsi="Arial" w:cs="Arial"/>
          <w:color w:val="595959" w:themeColor="text1" w:themeTint="A6"/>
        </w:rPr>
      </w:pPr>
      <w:r w:rsidRPr="0054039C">
        <w:rPr>
          <w:rFonts w:ascii="Arial" w:hAnsi="Arial" w:cs="Arial"/>
          <w:noProof/>
          <w:color w:val="595959" w:themeColor="text1" w:themeTint="A6"/>
          <w:sz w:val="24"/>
          <w:szCs w:val="24"/>
          <w:lang w:eastAsia="zh-CN"/>
        </w:rPr>
        <mc:AlternateContent>
          <mc:Choice Requires="wps">
            <w:drawing>
              <wp:anchor distT="0" distB="0" distL="114300" distR="114300" simplePos="0" relativeHeight="251658265" behindDoc="0" locked="0" layoutInCell="1" allowOverlap="1" wp14:anchorId="6D1E331E" wp14:editId="3B1360F0">
                <wp:simplePos x="0" y="0"/>
                <wp:positionH relativeFrom="margin">
                  <wp:align>right</wp:align>
                </wp:positionH>
                <wp:positionV relativeFrom="paragraph">
                  <wp:posOffset>30480</wp:posOffset>
                </wp:positionV>
                <wp:extent cx="5724525" cy="1485900"/>
                <wp:effectExtent l="0" t="0" r="9525" b="0"/>
                <wp:wrapNone/>
                <wp:docPr id="15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1485900"/>
                        </a:xfrm>
                        <a:prstGeom prst="rect">
                          <a:avLst/>
                        </a:prstGeom>
                        <a:solidFill>
                          <a:srgbClr val="FFFFFF"/>
                        </a:solidFill>
                        <a:ln w="9525">
                          <a:noFill/>
                          <a:miter lim="800000"/>
                          <a:headEnd/>
                          <a:tailEnd/>
                        </a:ln>
                      </wps:spPr>
                      <wps:txbx>
                        <w:txbxContent>
                          <w:p w14:paraId="32C3CC0B" w14:textId="77777777" w:rsidR="008A47AC" w:rsidRDefault="008A47AC" w:rsidP="0054039C">
                            <w:pPr>
                              <w:pStyle w:val="NormalWeb"/>
                              <w:spacing w:after="200"/>
                              <w:jc w:val="both"/>
                            </w:pPr>
                            <w:r>
                              <w:rPr>
                                <w:rFonts w:ascii="Arial Narrow" w:eastAsia="SimSun" w:hAnsi="Arial Narrow" w:cs="Arial"/>
                                <w:b/>
                                <w:bCs/>
                                <w:color w:val="595959"/>
                                <w:kern w:val="24"/>
                                <w:sz w:val="22"/>
                                <w:szCs w:val="22"/>
                              </w:rPr>
                              <w:t xml:space="preserve">Figure 3.2 Short-term expression data for the myofibroblast </w:t>
                            </w:r>
                            <w:r w:rsidRPr="00C75A86">
                              <w:rPr>
                                <w:rFonts w:ascii="Arial Narrow" w:eastAsia="SimSun" w:hAnsi="Arial Narrow" w:cs="Arial"/>
                                <w:b/>
                                <w:bCs/>
                                <w:color w:val="595959"/>
                                <w:kern w:val="24"/>
                                <w:sz w:val="22"/>
                                <w:szCs w:val="22"/>
                              </w:rPr>
                              <w:t xml:space="preserve">marker </w:t>
                            </w:r>
                            <w:r w:rsidRPr="00C75A86">
                              <w:rPr>
                                <w:rFonts w:ascii="Arial Narrow" w:eastAsia="SimSun" w:hAnsi="Arial Narrow" w:cs="Arial"/>
                                <w:b/>
                                <w:color w:val="595959"/>
                                <w:kern w:val="24"/>
                                <w:sz w:val="22"/>
                                <w:szCs w:val="22"/>
                              </w:rPr>
                              <w:t>αSMA</w:t>
                            </w:r>
                            <w:r>
                              <w:rPr>
                                <w:rFonts w:ascii="Arial Narrow" w:eastAsia="SimSun" w:hAnsi="Arial Narrow" w:cs="Arial"/>
                                <w:b/>
                                <w:color w:val="595959"/>
                                <w:kern w:val="24"/>
                                <w:sz w:val="22"/>
                                <w:szCs w:val="22"/>
                              </w:rPr>
                              <w:t xml:space="preserve"> in NOF </w:t>
                            </w:r>
                            <w:r>
                              <w:rPr>
                                <w:rFonts w:ascii="Arial Narrow" w:eastAsia="SimSun" w:hAnsi="Arial Narrow" w:cs="Arial"/>
                                <w:b/>
                                <w:bCs/>
                                <w:color w:val="595959"/>
                                <w:kern w:val="24"/>
                                <w:sz w:val="22"/>
                                <w:szCs w:val="22"/>
                              </w:rPr>
                              <w:t>with and without TGFβ-1 stimulation</w:t>
                            </w:r>
                            <w:r>
                              <w:rPr>
                                <w:rFonts w:ascii="Arial Narrow" w:eastAsia="SimSun" w:hAnsi="Arial Narrow" w:cs="Arial"/>
                                <w:b/>
                                <w:color w:val="595959"/>
                                <w:kern w:val="24"/>
                                <w:sz w:val="22"/>
                                <w:szCs w:val="22"/>
                              </w:rPr>
                              <w:t xml:space="preserve"> </w:t>
                            </w:r>
                            <w:r>
                              <w:rPr>
                                <w:rFonts w:ascii="Arial Narrow" w:eastAsia="SimSun" w:hAnsi="Arial Narrow" w:cs="Arial"/>
                                <w:b/>
                                <w:bCs/>
                                <w:color w:val="595959"/>
                                <w:kern w:val="24"/>
                                <w:sz w:val="22"/>
                                <w:szCs w:val="22"/>
                              </w:rPr>
                              <w:t xml:space="preserve"> </w:t>
                            </w:r>
                          </w:p>
                          <w:p w14:paraId="1C777F4B" w14:textId="79471E45" w:rsidR="008A47AC" w:rsidRPr="00E3053B" w:rsidRDefault="008A47AC" w:rsidP="0054039C">
                            <w:pPr>
                              <w:pStyle w:val="NormalWeb"/>
                              <w:spacing w:after="200" w:line="276" w:lineRule="auto"/>
                              <w:jc w:val="both"/>
                              <w:rPr>
                                <w:rFonts w:ascii="Arial Narrow" w:eastAsia="SimSun" w:hAnsi="Arial Narrow" w:cs="Arial"/>
                                <w:color w:val="595959"/>
                                <w:kern w:val="24"/>
                                <w:sz w:val="22"/>
                                <w:szCs w:val="22"/>
                              </w:rPr>
                            </w:pPr>
                            <w:r w:rsidRPr="00E3053B">
                              <w:rPr>
                                <w:rFonts w:ascii="Arial Narrow" w:eastAsia="SimSun" w:hAnsi="Arial Narrow" w:cs="Arial"/>
                                <w:color w:val="595959"/>
                                <w:kern w:val="24"/>
                                <w:sz w:val="22"/>
                              </w:rPr>
                              <w:t xml:space="preserve">NOF 2D monolayers were treated </w:t>
                            </w:r>
                            <w:r w:rsidRPr="00E3053B">
                              <w:rPr>
                                <w:rFonts w:ascii="Arial Narrow" w:eastAsia="SimSun" w:hAnsi="Arial Narrow" w:cs="Arial"/>
                                <w:color w:val="595959"/>
                                <w:kern w:val="24"/>
                                <w:sz w:val="22"/>
                                <w:szCs w:val="22"/>
                              </w:rPr>
                              <w:t xml:space="preserve">with 5 ng/mL TGFβ-1 up to 72 h </w:t>
                            </w:r>
                            <w:r w:rsidRPr="00E3053B">
                              <w:rPr>
                                <w:rFonts w:ascii="Arial Narrow" w:eastAsia="SimSun" w:hAnsi="Arial Narrow" w:cs="Arial"/>
                                <w:color w:val="595959"/>
                                <w:kern w:val="24"/>
                                <w:sz w:val="22"/>
                              </w:rPr>
                              <w:t xml:space="preserve">and the gene expression for aSMA determined by qPCR. Data is expressed as fold change relative to housekeeping gene U6, with mean ± SD. ****denotes p &lt;0.0001 </w:t>
                            </w:r>
                            <w:r w:rsidRPr="00E3053B">
                              <w:rPr>
                                <w:rFonts w:ascii="Arial Narrow" w:eastAsia="SimSun" w:hAnsi="Arial Narrow" w:cs="Arial"/>
                                <w:color w:val="595959"/>
                                <w:kern w:val="24"/>
                                <w:sz w:val="22"/>
                                <w:szCs w:val="22"/>
                              </w:rPr>
                              <w:t>analysed by ordinary one-way ANOVA with Dunnett’s multiple comparison. (N=3, n=3).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D1E331E" id="_x0000_t202" coordsize="21600,21600" o:spt="202" path="m,l,21600r21600,l21600,xe">
                <v:stroke joinstyle="miter"/>
                <v:path gradientshapeok="t" o:connecttype="rect"/>
              </v:shapetype>
              <v:shape id="_x0000_s1061" type="#_x0000_t202" style="position:absolute;left:0;text-align:left;margin-left:399.55pt;margin-top:2.4pt;width:450.75pt;height:117pt;z-index:251658265;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" stroked="f">
                <v:textbox>
                  <w:txbxContent>
                    <w:p w14:paraId="32C3CC0B" w14:textId="77777777" w:rsidR="008A47AC" w:rsidRDefault="008A47AC" w:rsidP="0054039C">
                      <w:pPr>
                        <w:pStyle w:val="NormalWeb"/>
                        <w:spacing w:after="200"/>
                        <w:jc w:val="both"/>
                      </w:pPr>
                      <w:r>
                        <w:rPr>
                          <w:rFonts w:ascii="Arial Narrow" w:eastAsia="SimSun" w:hAnsi="Arial Narrow" w:cs="Arial"/>
                          <w:b/>
                          <w:bCs/>
                          <w:color w:val="595959"/>
                          <w:kern w:val="24"/>
                          <w:sz w:val="22"/>
                          <w:szCs w:val="22"/>
                        </w:rPr>
                        <w:t xml:space="preserve">Figure 3.2 Short-term expression data for the myofibroblast </w:t>
                      </w:r>
                      <w:r w:rsidRPr="00C75A86">
                        <w:rPr>
                          <w:rFonts w:ascii="Arial Narrow" w:eastAsia="SimSun" w:hAnsi="Arial Narrow" w:cs="Arial"/>
                          <w:b/>
                          <w:bCs/>
                          <w:color w:val="595959"/>
                          <w:kern w:val="24"/>
                          <w:sz w:val="22"/>
                          <w:szCs w:val="22"/>
                        </w:rPr>
                        <w:t xml:space="preserve">marker </w:t>
                      </w:r>
                      <w:r w:rsidRPr="00C75A86">
                        <w:rPr>
                          <w:rFonts w:ascii="Arial Narrow" w:eastAsia="SimSun" w:hAnsi="Arial Narrow" w:cs="Arial"/>
                          <w:b/>
                          <w:color w:val="595959"/>
                          <w:kern w:val="24"/>
                          <w:sz w:val="22"/>
                          <w:szCs w:val="22"/>
                        </w:rPr>
                        <w:t>αSMA</w:t>
                      </w:r>
                      <w:r>
                        <w:rPr>
                          <w:rFonts w:ascii="Arial Narrow" w:eastAsia="SimSun" w:hAnsi="Arial Narrow" w:cs="Arial"/>
                          <w:b/>
                          <w:color w:val="595959"/>
                          <w:kern w:val="24"/>
                          <w:sz w:val="22"/>
                          <w:szCs w:val="22"/>
                        </w:rPr>
                        <w:t xml:space="preserve"> in NOF </w:t>
                      </w:r>
                      <w:r>
                        <w:rPr>
                          <w:rFonts w:ascii="Arial Narrow" w:eastAsia="SimSun" w:hAnsi="Arial Narrow" w:cs="Arial"/>
                          <w:b/>
                          <w:bCs/>
                          <w:color w:val="595959"/>
                          <w:kern w:val="24"/>
                          <w:sz w:val="22"/>
                          <w:szCs w:val="22"/>
                        </w:rPr>
                        <w:t>with and without TGFβ-1 stimulation</w:t>
                      </w:r>
                      <w:r>
                        <w:rPr>
                          <w:rFonts w:ascii="Arial Narrow" w:eastAsia="SimSun" w:hAnsi="Arial Narrow" w:cs="Arial"/>
                          <w:b/>
                          <w:color w:val="595959"/>
                          <w:kern w:val="24"/>
                          <w:sz w:val="22"/>
                          <w:szCs w:val="22"/>
                        </w:rPr>
                        <w:t xml:space="preserve"> </w:t>
                      </w:r>
                      <w:r>
                        <w:rPr>
                          <w:rFonts w:ascii="Arial Narrow" w:eastAsia="SimSun" w:hAnsi="Arial Narrow" w:cs="Arial"/>
                          <w:b/>
                          <w:bCs/>
                          <w:color w:val="595959"/>
                          <w:kern w:val="24"/>
                          <w:sz w:val="22"/>
                          <w:szCs w:val="22"/>
                        </w:rPr>
                        <w:t xml:space="preserve"> </w:t>
                      </w:r>
                    </w:p>
                    <w:p w14:paraId="1C777F4B" w14:textId="79471E45" w:rsidR="008A47AC" w:rsidRPr="00E3053B" w:rsidRDefault="008A47AC" w:rsidP="0054039C">
                      <w:pPr>
                        <w:pStyle w:val="NormalWeb"/>
                        <w:spacing w:after="200" w:line="276" w:lineRule="auto"/>
                        <w:jc w:val="both"/>
                        <w:rPr>
                          <w:rFonts w:ascii="Arial Narrow" w:eastAsia="SimSun" w:hAnsi="Arial Narrow" w:cs="Arial"/>
                          <w:color w:val="595959"/>
                          <w:kern w:val="24"/>
                          <w:sz w:val="22"/>
                          <w:szCs w:val="22"/>
                        </w:rPr>
                      </w:pPr>
                      <w:r w:rsidRPr="00E3053B">
                        <w:rPr>
                          <w:rFonts w:ascii="Arial Narrow" w:eastAsia="SimSun" w:hAnsi="Arial Narrow" w:cs="Arial"/>
                          <w:color w:val="595959"/>
                          <w:kern w:val="24"/>
                          <w:sz w:val="22"/>
                        </w:rPr>
                        <w:t xml:space="preserve">NOF 2D monolayers were treated </w:t>
                      </w:r>
                      <w:r w:rsidRPr="00E3053B">
                        <w:rPr>
                          <w:rFonts w:ascii="Arial Narrow" w:eastAsia="SimSun" w:hAnsi="Arial Narrow" w:cs="Arial"/>
                          <w:color w:val="595959"/>
                          <w:kern w:val="24"/>
                          <w:sz w:val="22"/>
                          <w:szCs w:val="22"/>
                        </w:rPr>
                        <w:t xml:space="preserve">with 5 ng/mL TGFβ-1 up to 72 h </w:t>
                      </w:r>
                      <w:r w:rsidRPr="00E3053B">
                        <w:rPr>
                          <w:rFonts w:ascii="Arial Narrow" w:eastAsia="SimSun" w:hAnsi="Arial Narrow" w:cs="Arial"/>
                          <w:color w:val="595959"/>
                          <w:kern w:val="24"/>
                          <w:sz w:val="22"/>
                        </w:rPr>
                        <w:t xml:space="preserve">and the gene expression for aSMA determined by qPCR. Data is expressed as fold change relative to housekeeping gene U6, with mean ± SD. ****denotes p &lt;0.0001 </w:t>
                      </w:r>
                      <w:r w:rsidRPr="00E3053B">
                        <w:rPr>
                          <w:rFonts w:ascii="Arial Narrow" w:eastAsia="SimSun" w:hAnsi="Arial Narrow" w:cs="Arial"/>
                          <w:color w:val="595959"/>
                          <w:kern w:val="24"/>
                          <w:sz w:val="22"/>
                          <w:szCs w:val="22"/>
                        </w:rPr>
                        <w:t>analysed by ordinary one-way ANOVA with Dunnett’s multiple comparison. (N=3, n=3).</w:t>
                      </w:r>
                    </w:p>
                  </w:txbxContent>
                </v:textbox>
                <w10:wrap anchorx="margin"/>
              </v:shape>
            </w:pict>
          </mc:Fallback>
        </mc:AlternateContent>
      </w:r>
    </w:p>
    <w:p w14:paraId="4110F19A" w14:textId="77777777" w:rsidR="0054039C" w:rsidRPr="0054039C" w:rsidRDefault="0054039C" w:rsidP="0054039C">
      <w:pPr>
        <w:spacing w:line="480" w:lineRule="auto"/>
        <w:jc w:val="both"/>
        <w:rPr>
          <w:rFonts w:ascii="Arial" w:hAnsi="Arial" w:cs="Arial"/>
          <w:color w:val="595959" w:themeColor="text1" w:themeTint="A6"/>
        </w:rPr>
      </w:pPr>
    </w:p>
    <w:p w14:paraId="42116D39" w14:textId="77777777" w:rsidR="0054039C" w:rsidRPr="0054039C" w:rsidRDefault="0054039C" w:rsidP="0054039C">
      <w:pPr>
        <w:spacing w:line="480" w:lineRule="auto"/>
        <w:jc w:val="both"/>
        <w:rPr>
          <w:rFonts w:ascii="Arial" w:hAnsi="Arial" w:cs="Arial"/>
          <w:color w:val="595959" w:themeColor="text1" w:themeTint="A6"/>
        </w:rPr>
      </w:pPr>
    </w:p>
    <w:p w14:paraId="3197FA1A" w14:textId="77777777" w:rsidR="0054039C" w:rsidRPr="0054039C" w:rsidRDefault="0054039C" w:rsidP="0054039C">
      <w:pPr>
        <w:spacing w:line="480" w:lineRule="auto"/>
        <w:jc w:val="both"/>
        <w:rPr>
          <w:rFonts w:ascii="Arial" w:hAnsi="Arial" w:cs="Arial"/>
          <w:color w:val="595959" w:themeColor="text1" w:themeTint="A6"/>
        </w:rPr>
      </w:pPr>
    </w:p>
    <w:p w14:paraId="2E627B7B" w14:textId="77777777" w:rsidR="0054039C" w:rsidRPr="0054039C" w:rsidRDefault="0054039C" w:rsidP="0054039C">
      <w:pPr>
        <w:spacing w:line="480" w:lineRule="auto"/>
        <w:jc w:val="both"/>
        <w:rPr>
          <w:rFonts w:ascii="Arial" w:hAnsi="Arial" w:cs="Arial"/>
          <w:color w:val="595959" w:themeColor="text1" w:themeTint="A6"/>
        </w:rPr>
      </w:pPr>
    </w:p>
    <w:p w14:paraId="1327F4D4" w14:textId="006B3F7F" w:rsidR="0054039C" w:rsidRDefault="0054039C" w:rsidP="0054039C">
      <w:pPr>
        <w:spacing w:line="480" w:lineRule="auto"/>
        <w:jc w:val="both"/>
        <w:rPr>
          <w:rFonts w:ascii="Arial" w:hAnsi="Arial" w:cs="Arial"/>
          <w:color w:val="595959" w:themeColor="text1" w:themeTint="A6"/>
        </w:rPr>
      </w:pPr>
    </w:p>
    <w:p w14:paraId="2D6F88F6" w14:textId="77777777" w:rsidR="000A1A3B" w:rsidRPr="0054039C" w:rsidRDefault="000A1A3B" w:rsidP="0054039C">
      <w:pPr>
        <w:spacing w:line="480" w:lineRule="auto"/>
        <w:jc w:val="both"/>
        <w:rPr>
          <w:rFonts w:ascii="Arial" w:hAnsi="Arial" w:cs="Arial"/>
          <w:color w:val="595959" w:themeColor="text1" w:themeTint="A6"/>
        </w:rPr>
      </w:pPr>
    </w:p>
    <w:p w14:paraId="7EE82601" w14:textId="77777777" w:rsidR="0054039C" w:rsidRPr="0054039C" w:rsidRDefault="0054039C" w:rsidP="0054039C">
      <w:pPr>
        <w:keepNext/>
        <w:keepLines/>
        <w:spacing w:before="40" w:after="0"/>
        <w:outlineLvl w:val="4"/>
        <w:rPr>
          <w:rFonts w:ascii="Arial" w:eastAsiaTheme="majorEastAsia" w:hAnsi="Arial" w:cs="Arial"/>
          <w:color w:val="595959" w:themeColor="text1" w:themeTint="A6"/>
        </w:rPr>
      </w:pPr>
      <w:bookmarkStart w:id="233" w:name="_Toc7107241"/>
      <w:bookmarkStart w:id="234" w:name="_Toc34208347"/>
      <w:bookmarkEnd w:id="230"/>
      <w:r w:rsidRPr="0054039C">
        <w:rPr>
          <w:rFonts w:ascii="Arial" w:eastAsiaTheme="majorEastAsia" w:hAnsi="Arial" w:cs="Arial"/>
          <w:color w:val="595959" w:themeColor="text1" w:themeTint="A6"/>
        </w:rPr>
        <w:lastRenderedPageBreak/>
        <w:t>3.3.1.1.2 FN1-EDA expression by RT-qPCR</w:t>
      </w:r>
      <w:bookmarkEnd w:id="233"/>
      <w:bookmarkEnd w:id="234"/>
    </w:p>
    <w:p w14:paraId="2B06EF06" w14:textId="77777777" w:rsidR="0054039C" w:rsidRPr="0054039C" w:rsidRDefault="0054039C" w:rsidP="0054039C"/>
    <w:p w14:paraId="440C79FE" w14:textId="6D887071" w:rsidR="0054039C" w:rsidRPr="0054039C" w:rsidRDefault="0054039C" w:rsidP="0054039C">
      <w:pPr>
        <w:spacing w:line="480" w:lineRule="auto"/>
        <w:jc w:val="both"/>
        <w:rPr>
          <w:rFonts w:ascii="Arial" w:hAnsi="Arial" w:cs="Arial"/>
          <w:color w:val="595959" w:themeColor="text1" w:themeTint="A6"/>
        </w:rPr>
      </w:pPr>
      <w:r w:rsidRPr="0054039C">
        <w:rPr>
          <w:rFonts w:ascii="Arial" w:hAnsi="Arial" w:cs="Arial"/>
          <w:color w:val="595959" w:themeColor="text1" w:themeTint="A6"/>
        </w:rPr>
        <w:t>At all time-points, TGFβ-1 treatment induced a significant increase in FN1-EDA transcript expression compared to the 24 h control sample (Figure 3.3). For 24 h TGFβ-1 treatment average fold change was 5.50 ± 0.70</w:t>
      </w:r>
      <w:r w:rsidR="007A77E4">
        <w:rPr>
          <w:rFonts w:ascii="Arial" w:hAnsi="Arial" w:cs="Arial"/>
          <w:color w:val="595959" w:themeColor="text1" w:themeTint="A6"/>
        </w:rPr>
        <w:t xml:space="preserve">, </w:t>
      </w:r>
      <w:r w:rsidRPr="0054039C">
        <w:rPr>
          <w:rFonts w:ascii="Arial" w:hAnsi="Arial" w:cs="Arial"/>
          <w:color w:val="595959" w:themeColor="text1" w:themeTint="A6"/>
        </w:rPr>
        <w:t>compared to 24 h control samples</w:t>
      </w:r>
      <w:r w:rsidR="007A77E4">
        <w:rPr>
          <w:rFonts w:ascii="Arial" w:hAnsi="Arial" w:cs="Arial"/>
          <w:color w:val="595959" w:themeColor="text1" w:themeTint="A6"/>
        </w:rPr>
        <w:t>, p=0.0022</w:t>
      </w:r>
      <w:r w:rsidRPr="0054039C">
        <w:rPr>
          <w:rFonts w:ascii="Arial" w:hAnsi="Arial" w:cs="Arial"/>
          <w:color w:val="595959" w:themeColor="text1" w:themeTint="A6"/>
        </w:rPr>
        <w:t>. At 48 h TGFβ-1 treatment exhibited a 6.35 ± 1.58-fold change (p=0.0002). The greatest fold change with TGFβ-1 treatment was observed at 72 h with an 11.24 ± 5.79-fold increase (p &lt;0.0001)</w:t>
      </w:r>
      <w:r w:rsidR="00E94499">
        <w:rPr>
          <w:rFonts w:ascii="Arial" w:hAnsi="Arial" w:cs="Arial"/>
          <w:color w:val="595959" w:themeColor="text1" w:themeTint="A6"/>
        </w:rPr>
        <w:t xml:space="preserve"> compared to 24 h control</w:t>
      </w:r>
      <w:r w:rsidR="00010015">
        <w:rPr>
          <w:rFonts w:ascii="Arial" w:hAnsi="Arial" w:cs="Arial"/>
          <w:color w:val="595959" w:themeColor="text1" w:themeTint="A6"/>
        </w:rPr>
        <w:t xml:space="preserve"> samples</w:t>
      </w:r>
      <w:r w:rsidRPr="0054039C">
        <w:rPr>
          <w:rFonts w:ascii="Arial" w:hAnsi="Arial" w:cs="Arial"/>
          <w:color w:val="595959" w:themeColor="text1" w:themeTint="A6"/>
        </w:rPr>
        <w:t xml:space="preserve">. </w:t>
      </w:r>
    </w:p>
    <w:p w14:paraId="2DB0E3AF" w14:textId="77777777" w:rsidR="0054039C" w:rsidRPr="0054039C" w:rsidRDefault="0054039C" w:rsidP="0054039C">
      <w:pPr>
        <w:spacing w:line="480" w:lineRule="auto"/>
        <w:jc w:val="both"/>
        <w:rPr>
          <w:rFonts w:ascii="Arial" w:hAnsi="Arial" w:cs="Arial"/>
          <w:color w:val="595959" w:themeColor="text1" w:themeTint="A6"/>
        </w:rPr>
      </w:pPr>
    </w:p>
    <w:p w14:paraId="761B8551" w14:textId="28793459" w:rsidR="0054039C" w:rsidRPr="0054039C" w:rsidRDefault="0054039C" w:rsidP="0054039C">
      <w:pPr>
        <w:jc w:val="both"/>
        <w:rPr>
          <w:rFonts w:ascii="Arial" w:hAnsi="Arial" w:cs="Arial"/>
          <w:color w:val="595959" w:themeColor="text1" w:themeTint="A6"/>
          <w:sz w:val="24"/>
          <w:szCs w:val="24"/>
        </w:rPr>
      </w:pPr>
    </w:p>
    <w:p w14:paraId="18D65EFA" w14:textId="0F319994" w:rsidR="0054039C" w:rsidRPr="0054039C" w:rsidRDefault="00C02790" w:rsidP="0054039C">
      <w:pPr>
        <w:jc w:val="both"/>
        <w:rPr>
          <w:rFonts w:ascii="Arial" w:hAnsi="Arial" w:cs="Arial"/>
          <w:color w:val="595959" w:themeColor="text1" w:themeTint="A6"/>
          <w:sz w:val="24"/>
          <w:szCs w:val="24"/>
        </w:rPr>
      </w:pPr>
      <w:r w:rsidRPr="00C02790">
        <w:rPr>
          <w:noProof/>
        </w:rPr>
        <w:drawing>
          <wp:anchor distT="0" distB="0" distL="114300" distR="114300" simplePos="0" relativeHeight="251658475" behindDoc="0" locked="0" layoutInCell="1" allowOverlap="1" wp14:anchorId="60FD381B" wp14:editId="7CDD6E85">
            <wp:simplePos x="0" y="0"/>
            <wp:positionH relativeFrom="margin">
              <wp:align>center</wp:align>
            </wp:positionH>
            <wp:positionV relativeFrom="paragraph">
              <wp:posOffset>15240</wp:posOffset>
            </wp:positionV>
            <wp:extent cx="3771900" cy="2641600"/>
            <wp:effectExtent l="0" t="0" r="0" b="0"/>
            <wp:wrapNone/>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771900" cy="2641600"/>
                    </a:xfrm>
                    <a:prstGeom prst="rect">
                      <a:avLst/>
                    </a:prstGeom>
                    <a:noFill/>
                    <a:ln>
                      <a:noFill/>
                    </a:ln>
                  </pic:spPr>
                </pic:pic>
              </a:graphicData>
            </a:graphic>
          </wp:anchor>
        </w:drawing>
      </w:r>
    </w:p>
    <w:p w14:paraId="73065BAF" w14:textId="77777777" w:rsidR="0054039C" w:rsidRPr="0054039C" w:rsidRDefault="0054039C" w:rsidP="0054039C">
      <w:pPr>
        <w:jc w:val="both"/>
        <w:rPr>
          <w:rFonts w:ascii="Arial" w:hAnsi="Arial" w:cs="Arial"/>
          <w:color w:val="595959" w:themeColor="text1" w:themeTint="A6"/>
          <w:sz w:val="24"/>
          <w:szCs w:val="24"/>
        </w:rPr>
      </w:pPr>
    </w:p>
    <w:p w14:paraId="55F8319F" w14:textId="7AA8D965" w:rsidR="0054039C" w:rsidRPr="0054039C" w:rsidRDefault="0054039C" w:rsidP="0054039C">
      <w:pPr>
        <w:jc w:val="both"/>
        <w:rPr>
          <w:rFonts w:ascii="Arial" w:hAnsi="Arial" w:cs="Arial"/>
          <w:color w:val="595959" w:themeColor="text1" w:themeTint="A6"/>
          <w:sz w:val="24"/>
          <w:szCs w:val="24"/>
        </w:rPr>
      </w:pPr>
    </w:p>
    <w:p w14:paraId="2D949414" w14:textId="77777777" w:rsidR="0054039C" w:rsidRPr="0054039C" w:rsidRDefault="0054039C" w:rsidP="0054039C">
      <w:pPr>
        <w:jc w:val="both"/>
        <w:rPr>
          <w:rFonts w:ascii="Arial" w:hAnsi="Arial" w:cs="Arial"/>
          <w:color w:val="595959" w:themeColor="text1" w:themeTint="A6"/>
          <w:sz w:val="24"/>
          <w:szCs w:val="24"/>
        </w:rPr>
      </w:pPr>
    </w:p>
    <w:p w14:paraId="38018BA6" w14:textId="1B12DCF7" w:rsidR="0054039C" w:rsidRPr="0054039C" w:rsidRDefault="0054039C" w:rsidP="0054039C">
      <w:pPr>
        <w:jc w:val="both"/>
        <w:rPr>
          <w:rFonts w:ascii="Arial" w:hAnsi="Arial" w:cs="Arial"/>
          <w:color w:val="595959" w:themeColor="text1" w:themeTint="A6"/>
          <w:sz w:val="24"/>
          <w:szCs w:val="24"/>
        </w:rPr>
      </w:pPr>
    </w:p>
    <w:p w14:paraId="2E57249D" w14:textId="77777777" w:rsidR="0054039C" w:rsidRPr="0054039C" w:rsidRDefault="0054039C" w:rsidP="0054039C">
      <w:pPr>
        <w:jc w:val="both"/>
        <w:rPr>
          <w:rFonts w:ascii="Arial" w:hAnsi="Arial" w:cs="Arial"/>
          <w:color w:val="595959" w:themeColor="text1" w:themeTint="A6"/>
          <w:sz w:val="24"/>
          <w:szCs w:val="24"/>
        </w:rPr>
      </w:pPr>
    </w:p>
    <w:p w14:paraId="6024758C" w14:textId="77777777" w:rsidR="0054039C" w:rsidRPr="0054039C" w:rsidRDefault="0054039C" w:rsidP="0054039C">
      <w:pPr>
        <w:jc w:val="both"/>
        <w:rPr>
          <w:rFonts w:ascii="Arial" w:hAnsi="Arial" w:cs="Arial"/>
          <w:color w:val="595959" w:themeColor="text1" w:themeTint="A6"/>
          <w:sz w:val="24"/>
          <w:szCs w:val="24"/>
        </w:rPr>
      </w:pPr>
    </w:p>
    <w:p w14:paraId="71BE65E1" w14:textId="0D8F95B6" w:rsidR="0054039C" w:rsidRPr="0054039C" w:rsidRDefault="0054039C" w:rsidP="0054039C">
      <w:pPr>
        <w:jc w:val="both"/>
        <w:rPr>
          <w:rFonts w:ascii="Arial" w:hAnsi="Arial" w:cs="Arial"/>
          <w:color w:val="595959" w:themeColor="text1" w:themeTint="A6"/>
          <w:sz w:val="24"/>
          <w:szCs w:val="24"/>
        </w:rPr>
      </w:pPr>
    </w:p>
    <w:p w14:paraId="305769C4" w14:textId="2BE87086" w:rsidR="0054039C" w:rsidRPr="0054039C" w:rsidRDefault="0054039C" w:rsidP="0054039C">
      <w:pPr>
        <w:jc w:val="both"/>
        <w:rPr>
          <w:rFonts w:ascii="Arial" w:hAnsi="Arial" w:cs="Arial"/>
          <w:color w:val="595959" w:themeColor="text1" w:themeTint="A6"/>
          <w:sz w:val="24"/>
          <w:szCs w:val="24"/>
        </w:rPr>
      </w:pPr>
    </w:p>
    <w:p w14:paraId="248155F4" w14:textId="77777777" w:rsidR="0054039C" w:rsidRPr="0054039C" w:rsidRDefault="0054039C" w:rsidP="0054039C">
      <w:pPr>
        <w:spacing w:line="360" w:lineRule="auto"/>
        <w:jc w:val="both"/>
        <w:rPr>
          <w:rFonts w:ascii="Arial" w:hAnsi="Arial" w:cs="Arial"/>
          <w:color w:val="595959" w:themeColor="text1" w:themeTint="A6"/>
          <w:sz w:val="24"/>
          <w:szCs w:val="24"/>
          <w:u w:val="single"/>
        </w:rPr>
      </w:pPr>
      <w:r w:rsidRPr="0054039C">
        <w:rPr>
          <w:rFonts w:ascii="Arial" w:hAnsi="Arial" w:cs="Arial"/>
          <w:noProof/>
          <w:color w:val="595959" w:themeColor="text1" w:themeTint="A6"/>
          <w:sz w:val="24"/>
          <w:szCs w:val="24"/>
          <w:u w:val="single"/>
          <w:lang w:eastAsia="zh-CN"/>
        </w:rPr>
        <mc:AlternateContent>
          <mc:Choice Requires="wps">
            <w:drawing>
              <wp:anchor distT="0" distB="0" distL="114300" distR="114300" simplePos="0" relativeHeight="251658271" behindDoc="0" locked="0" layoutInCell="1" allowOverlap="1" wp14:anchorId="3545D66F" wp14:editId="0C13FDA4">
                <wp:simplePos x="0" y="0"/>
                <wp:positionH relativeFrom="column">
                  <wp:posOffset>438150</wp:posOffset>
                </wp:positionH>
                <wp:positionV relativeFrom="paragraph">
                  <wp:posOffset>0</wp:posOffset>
                </wp:positionV>
                <wp:extent cx="314325" cy="276225"/>
                <wp:effectExtent l="0" t="0" r="9525" b="9525"/>
                <wp:wrapNone/>
                <wp:docPr id="1576" name="Text Box 1576"/>
                <wp:cNvGraphicFramePr/>
                <a:graphic xmlns:a="http://schemas.openxmlformats.org/drawingml/2006/main">
                  <a:graphicData uri="http://schemas.microsoft.com/office/word/2010/wordprocessingShape">
                    <wps:wsp>
                      <wps:cNvSpPr txBox="1"/>
                      <wps:spPr>
                        <a:xfrm>
                          <a:off x="0" y="0"/>
                          <a:ext cx="314325" cy="276225"/>
                        </a:xfrm>
                        <a:prstGeom prst="rect">
                          <a:avLst/>
                        </a:prstGeom>
                        <a:solidFill>
                          <a:sysClr val="window" lastClr="FFFFFF"/>
                        </a:solidFill>
                        <a:ln w="6350">
                          <a:noFill/>
                        </a:ln>
                      </wps:spPr>
                      <wps:txbx>
                        <w:txbxContent>
                          <w:p w14:paraId="53D134B9" w14:textId="77777777" w:rsidR="008A47AC" w:rsidRPr="0030058C" w:rsidRDefault="008A47AC" w:rsidP="0054039C">
                            <w:pPr>
                              <w:jc w:val="center"/>
                              <w:rPr>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545D66F" id="Text Box 1576" o:spid="_x0000_s1063" type="#_x0000_t202" style="position:absolute;left:0;text-align:left;margin-left:34.5pt;margin-top:0;width:24.75pt;height:21.75pt;z-index:25165827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" fillcolor="window" stroked="f" strokeweight=".5pt">
                <v:textbox>
                  <w:txbxContent>
                    <w:p w14:paraId="53D134B9" w14:textId="77777777" w:rsidR="008A47AC" w:rsidRPr="0030058C" w:rsidRDefault="008A47AC" w:rsidP="0054039C">
                      <w:pPr>
                        <w:jc w:val="center"/>
                        <w:rPr>
                          <w:b/>
                        </w:rPr>
                      </w:pPr>
                    </w:p>
                  </w:txbxContent>
                </v:textbox>
              </v:shape>
            </w:pict>
          </mc:Fallback>
        </mc:AlternateContent>
      </w:r>
    </w:p>
    <w:p w14:paraId="10CB2BA3" w14:textId="77777777" w:rsidR="0054039C" w:rsidRPr="0054039C" w:rsidRDefault="0054039C" w:rsidP="0054039C">
      <w:pPr>
        <w:spacing w:line="360" w:lineRule="auto"/>
        <w:jc w:val="both"/>
        <w:rPr>
          <w:rFonts w:ascii="Arial" w:hAnsi="Arial" w:cs="Arial"/>
          <w:color w:val="595959" w:themeColor="text1" w:themeTint="A6"/>
          <w:sz w:val="24"/>
          <w:szCs w:val="24"/>
          <w:u w:val="single"/>
        </w:rPr>
      </w:pPr>
    </w:p>
    <w:p w14:paraId="5D55D651" w14:textId="77777777" w:rsidR="0054039C" w:rsidRPr="0054039C" w:rsidRDefault="0054039C" w:rsidP="0054039C">
      <w:pPr>
        <w:spacing w:line="360" w:lineRule="auto"/>
        <w:jc w:val="both"/>
        <w:rPr>
          <w:rFonts w:ascii="Arial" w:hAnsi="Arial" w:cs="Arial"/>
          <w:color w:val="595959" w:themeColor="text1" w:themeTint="A6"/>
          <w:sz w:val="24"/>
          <w:szCs w:val="24"/>
          <w:u w:val="single"/>
        </w:rPr>
      </w:pPr>
      <w:r w:rsidRPr="0054039C">
        <w:rPr>
          <w:rFonts w:ascii="Arial" w:hAnsi="Arial" w:cs="Arial"/>
          <w:noProof/>
          <w:color w:val="595959" w:themeColor="text1" w:themeTint="A6"/>
          <w:sz w:val="24"/>
          <w:szCs w:val="24"/>
          <w:lang w:eastAsia="zh-CN"/>
        </w:rPr>
        <mc:AlternateContent>
          <mc:Choice Requires="wps">
            <w:drawing>
              <wp:anchor distT="0" distB="0" distL="114300" distR="114300" simplePos="0" relativeHeight="251658268" behindDoc="0" locked="0" layoutInCell="1" allowOverlap="1" wp14:anchorId="5F60AD52" wp14:editId="75F624F6">
                <wp:simplePos x="0" y="0"/>
                <wp:positionH relativeFrom="margin">
                  <wp:align>right</wp:align>
                </wp:positionH>
                <wp:positionV relativeFrom="paragraph">
                  <wp:posOffset>15240</wp:posOffset>
                </wp:positionV>
                <wp:extent cx="5734050" cy="1266825"/>
                <wp:effectExtent l="0" t="0" r="0" b="9525"/>
                <wp:wrapNone/>
                <wp:docPr id="15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1266825"/>
                        </a:xfrm>
                        <a:prstGeom prst="rect">
                          <a:avLst/>
                        </a:prstGeom>
                        <a:solidFill>
                          <a:srgbClr val="FFFFFF"/>
                        </a:solidFill>
                        <a:ln w="9525">
                          <a:noFill/>
                          <a:miter lim="800000"/>
                          <a:headEnd/>
                          <a:tailEnd/>
                        </a:ln>
                      </wps:spPr>
                      <wps:txbx>
                        <w:txbxContent>
                          <w:p w14:paraId="0F4941C1" w14:textId="77777777" w:rsidR="008A47AC" w:rsidRDefault="008A47AC" w:rsidP="0054039C">
                            <w:pPr>
                              <w:pStyle w:val="NormalWeb"/>
                              <w:spacing w:after="200"/>
                              <w:jc w:val="both"/>
                            </w:pPr>
                            <w:r>
                              <w:rPr>
                                <w:rFonts w:ascii="Arial Narrow" w:eastAsia="SimSun" w:hAnsi="Arial Narrow" w:cs="Arial"/>
                                <w:b/>
                                <w:bCs/>
                                <w:color w:val="595959"/>
                                <w:kern w:val="24"/>
                                <w:sz w:val="22"/>
                                <w:szCs w:val="22"/>
                              </w:rPr>
                              <w:t>Figure 3.3 Short-term expression data for the glycoprotein</w:t>
                            </w:r>
                            <w:r w:rsidRPr="00C75A86">
                              <w:rPr>
                                <w:rFonts w:ascii="Arial Narrow" w:eastAsia="SimSun" w:hAnsi="Arial Narrow" w:cs="Arial"/>
                                <w:b/>
                                <w:bCs/>
                                <w:color w:val="595959"/>
                                <w:kern w:val="24"/>
                                <w:sz w:val="22"/>
                                <w:szCs w:val="22"/>
                              </w:rPr>
                              <w:t xml:space="preserve"> </w:t>
                            </w:r>
                            <w:r>
                              <w:rPr>
                                <w:rFonts w:ascii="Arial Narrow" w:eastAsia="SimSun" w:hAnsi="Arial Narrow" w:cs="Arial"/>
                                <w:b/>
                                <w:color w:val="595959"/>
                                <w:kern w:val="24"/>
                                <w:sz w:val="22"/>
                                <w:szCs w:val="22"/>
                              </w:rPr>
                              <w:t>FN1-EDA</w:t>
                            </w:r>
                            <w:r>
                              <w:rPr>
                                <w:rFonts w:ascii="Arial Narrow" w:eastAsia="SimSun" w:hAnsi="Arial Narrow" w:cs="Arial"/>
                                <w:b/>
                                <w:bCs/>
                                <w:color w:val="595959"/>
                                <w:kern w:val="24"/>
                                <w:sz w:val="22"/>
                                <w:szCs w:val="22"/>
                              </w:rPr>
                              <w:t xml:space="preserve"> </w:t>
                            </w:r>
                            <w:r>
                              <w:rPr>
                                <w:rFonts w:ascii="Arial Narrow" w:eastAsia="SimSun" w:hAnsi="Arial Narrow" w:cs="Arial"/>
                                <w:b/>
                                <w:color w:val="595959"/>
                                <w:kern w:val="24"/>
                                <w:sz w:val="22"/>
                                <w:szCs w:val="22"/>
                              </w:rPr>
                              <w:t xml:space="preserve">in NOF </w:t>
                            </w:r>
                            <w:r>
                              <w:rPr>
                                <w:rFonts w:ascii="Arial Narrow" w:eastAsia="SimSun" w:hAnsi="Arial Narrow" w:cs="Arial"/>
                                <w:b/>
                                <w:bCs/>
                                <w:color w:val="595959"/>
                                <w:kern w:val="24"/>
                                <w:sz w:val="22"/>
                                <w:szCs w:val="22"/>
                              </w:rPr>
                              <w:t>with and without TGFβ-1 stimulation</w:t>
                            </w:r>
                            <w:r>
                              <w:rPr>
                                <w:rFonts w:ascii="Arial Narrow" w:eastAsia="SimSun" w:hAnsi="Arial Narrow" w:cs="Arial"/>
                                <w:b/>
                                <w:color w:val="595959"/>
                                <w:kern w:val="24"/>
                                <w:sz w:val="22"/>
                                <w:szCs w:val="22"/>
                              </w:rPr>
                              <w:t xml:space="preserve"> </w:t>
                            </w:r>
                            <w:r>
                              <w:rPr>
                                <w:rFonts w:ascii="Arial Narrow" w:eastAsia="SimSun" w:hAnsi="Arial Narrow" w:cs="Arial"/>
                                <w:b/>
                                <w:bCs/>
                                <w:color w:val="595959"/>
                                <w:kern w:val="24"/>
                                <w:sz w:val="22"/>
                                <w:szCs w:val="22"/>
                              </w:rPr>
                              <w:t xml:space="preserve"> </w:t>
                            </w:r>
                          </w:p>
                          <w:p w14:paraId="086C559E" w14:textId="43D41E4F" w:rsidR="008A47AC" w:rsidRPr="00DB2020" w:rsidRDefault="008A47AC" w:rsidP="0054039C">
                            <w:pPr>
                              <w:pStyle w:val="NormalWeb"/>
                              <w:spacing w:after="200" w:line="276" w:lineRule="auto"/>
                              <w:jc w:val="both"/>
                              <w:rPr>
                                <w:rFonts w:ascii="Arial Narrow" w:eastAsia="SimSun" w:hAnsi="Arial Narrow" w:cs="Arial"/>
                                <w:color w:val="595959"/>
                                <w:kern w:val="24"/>
                                <w:sz w:val="22"/>
                                <w:szCs w:val="22"/>
                              </w:rPr>
                            </w:pPr>
                            <w:r>
                              <w:rPr>
                                <w:rFonts w:ascii="Arial Narrow" w:eastAsia="SimSun" w:hAnsi="Arial Narrow" w:cs="Arial"/>
                                <w:color w:val="595959"/>
                                <w:kern w:val="24"/>
                                <w:sz w:val="22"/>
                              </w:rPr>
                              <w:t xml:space="preserve">NOF 2D monolayers were treated </w:t>
                            </w:r>
                            <w:r>
                              <w:rPr>
                                <w:rFonts w:ascii="Arial Narrow" w:eastAsia="SimSun" w:hAnsi="Arial Narrow" w:cs="Arial"/>
                                <w:color w:val="595959"/>
                                <w:kern w:val="24"/>
                                <w:sz w:val="22"/>
                                <w:szCs w:val="22"/>
                              </w:rPr>
                              <w:t xml:space="preserve">with 5 ng/mL TGFβ-1 up to 72 h </w:t>
                            </w:r>
                            <w:r>
                              <w:rPr>
                                <w:rFonts w:ascii="Arial Narrow" w:eastAsia="SimSun" w:hAnsi="Arial Narrow" w:cs="Arial"/>
                                <w:color w:val="595959"/>
                                <w:kern w:val="24"/>
                                <w:sz w:val="22"/>
                              </w:rPr>
                              <w:t xml:space="preserve">and the gene expression for </w:t>
                            </w:r>
                            <w:r>
                              <w:rPr>
                                <w:rFonts w:ascii="Arial Narrow" w:eastAsia="SimSun" w:hAnsi="Arial Narrow" w:cs="Arial"/>
                                <w:color w:val="595959"/>
                                <w:kern w:val="24"/>
                                <w:sz w:val="22"/>
                                <w:szCs w:val="22"/>
                              </w:rPr>
                              <w:t xml:space="preserve">FN1-EDA was </w:t>
                            </w:r>
                            <w:r>
                              <w:rPr>
                                <w:rFonts w:ascii="Arial Narrow" w:eastAsia="SimSun" w:hAnsi="Arial Narrow" w:cs="Arial"/>
                                <w:color w:val="595959"/>
                                <w:kern w:val="24"/>
                                <w:sz w:val="22"/>
                              </w:rPr>
                              <w:t>determined by qPCR</w:t>
                            </w:r>
                            <w:r>
                              <w:rPr>
                                <w:rFonts w:ascii="Arial Narrow" w:eastAsia="SimSun" w:hAnsi="Arial Narrow" w:cs="Arial"/>
                                <w:color w:val="595959"/>
                                <w:kern w:val="24"/>
                                <w:sz w:val="22"/>
                                <w:szCs w:val="22"/>
                              </w:rPr>
                              <w:t xml:space="preserve">. </w:t>
                            </w:r>
                            <w:r>
                              <w:rPr>
                                <w:rFonts w:ascii="Arial Narrow" w:eastAsia="SimSun" w:hAnsi="Arial Narrow" w:cs="Arial"/>
                                <w:color w:val="595959"/>
                                <w:kern w:val="24"/>
                                <w:sz w:val="22"/>
                              </w:rPr>
                              <w:t xml:space="preserve">Data is expressed as fold change relative to housekeeping gene U6, with mean ± SD. ** denotes p &lt;0.01, *** p &lt;0.001 and **** p &lt;0.0001 as </w:t>
                            </w:r>
                            <w:r>
                              <w:rPr>
                                <w:rFonts w:ascii="Arial Narrow" w:eastAsia="SimSun" w:hAnsi="Arial Narrow" w:cs="Arial"/>
                                <w:color w:val="595959"/>
                                <w:kern w:val="24"/>
                                <w:sz w:val="22"/>
                                <w:szCs w:val="22"/>
                              </w:rPr>
                              <w:t>analysed by ordinary one-way ANOVA with Dunnett’s multiple comparison. (N=3, n=3).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60AD52" id="_x0000_s1064" type="#_x0000_t202" style="position:absolute;left:0;text-align:left;margin-left:400.3pt;margin-top:1.2pt;width:451.5pt;height:99.75pt;z-index:2516582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" stroked="f">
                <v:textbox>
                  <w:txbxContent>
                    <w:p w14:paraId="0F4941C1" w14:textId="77777777" w:rsidR="008A47AC" w:rsidRDefault="008A47AC" w:rsidP="0054039C">
                      <w:pPr>
                        <w:pStyle w:val="NormalWeb"/>
                        <w:spacing w:after="200"/>
                        <w:jc w:val="both"/>
                      </w:pPr>
                      <w:r>
                        <w:rPr>
                          <w:rFonts w:ascii="Arial Narrow" w:eastAsia="SimSun" w:hAnsi="Arial Narrow" w:cs="Arial"/>
                          <w:b/>
                          <w:bCs/>
                          <w:color w:val="595959"/>
                          <w:kern w:val="24"/>
                          <w:sz w:val="22"/>
                          <w:szCs w:val="22"/>
                        </w:rPr>
                        <w:t>Figure 3.3 Short-term expression data for the glycoprotein</w:t>
                      </w:r>
                      <w:r w:rsidRPr="00C75A86">
                        <w:rPr>
                          <w:rFonts w:ascii="Arial Narrow" w:eastAsia="SimSun" w:hAnsi="Arial Narrow" w:cs="Arial"/>
                          <w:b/>
                          <w:bCs/>
                          <w:color w:val="595959"/>
                          <w:kern w:val="24"/>
                          <w:sz w:val="22"/>
                          <w:szCs w:val="22"/>
                        </w:rPr>
                        <w:t xml:space="preserve"> </w:t>
                      </w:r>
                      <w:r>
                        <w:rPr>
                          <w:rFonts w:ascii="Arial Narrow" w:eastAsia="SimSun" w:hAnsi="Arial Narrow" w:cs="Arial"/>
                          <w:b/>
                          <w:color w:val="595959"/>
                          <w:kern w:val="24"/>
                          <w:sz w:val="22"/>
                          <w:szCs w:val="22"/>
                        </w:rPr>
                        <w:t>FN1-EDA</w:t>
                      </w:r>
                      <w:r>
                        <w:rPr>
                          <w:rFonts w:ascii="Arial Narrow" w:eastAsia="SimSun" w:hAnsi="Arial Narrow" w:cs="Arial"/>
                          <w:b/>
                          <w:bCs/>
                          <w:color w:val="595959"/>
                          <w:kern w:val="24"/>
                          <w:sz w:val="22"/>
                          <w:szCs w:val="22"/>
                        </w:rPr>
                        <w:t xml:space="preserve"> </w:t>
                      </w:r>
                      <w:r>
                        <w:rPr>
                          <w:rFonts w:ascii="Arial Narrow" w:eastAsia="SimSun" w:hAnsi="Arial Narrow" w:cs="Arial"/>
                          <w:b/>
                          <w:color w:val="595959"/>
                          <w:kern w:val="24"/>
                          <w:sz w:val="22"/>
                          <w:szCs w:val="22"/>
                        </w:rPr>
                        <w:t xml:space="preserve">in NOF </w:t>
                      </w:r>
                      <w:r>
                        <w:rPr>
                          <w:rFonts w:ascii="Arial Narrow" w:eastAsia="SimSun" w:hAnsi="Arial Narrow" w:cs="Arial"/>
                          <w:b/>
                          <w:bCs/>
                          <w:color w:val="595959"/>
                          <w:kern w:val="24"/>
                          <w:sz w:val="22"/>
                          <w:szCs w:val="22"/>
                        </w:rPr>
                        <w:t>with and without TGFβ-1 stimulation</w:t>
                      </w:r>
                      <w:r>
                        <w:rPr>
                          <w:rFonts w:ascii="Arial Narrow" w:eastAsia="SimSun" w:hAnsi="Arial Narrow" w:cs="Arial"/>
                          <w:b/>
                          <w:color w:val="595959"/>
                          <w:kern w:val="24"/>
                          <w:sz w:val="22"/>
                          <w:szCs w:val="22"/>
                        </w:rPr>
                        <w:t xml:space="preserve"> </w:t>
                      </w:r>
                      <w:r>
                        <w:rPr>
                          <w:rFonts w:ascii="Arial Narrow" w:eastAsia="SimSun" w:hAnsi="Arial Narrow" w:cs="Arial"/>
                          <w:b/>
                          <w:bCs/>
                          <w:color w:val="595959"/>
                          <w:kern w:val="24"/>
                          <w:sz w:val="22"/>
                          <w:szCs w:val="22"/>
                        </w:rPr>
                        <w:t xml:space="preserve"> </w:t>
                      </w:r>
                    </w:p>
                    <w:p w14:paraId="086C559E" w14:textId="43D41E4F" w:rsidR="008A47AC" w:rsidRPr="00DB2020" w:rsidRDefault="008A47AC" w:rsidP="0054039C">
                      <w:pPr>
                        <w:pStyle w:val="NormalWeb"/>
                        <w:spacing w:after="200" w:line="276" w:lineRule="auto"/>
                        <w:jc w:val="both"/>
                        <w:rPr>
                          <w:rFonts w:ascii="Arial Narrow" w:eastAsia="SimSun" w:hAnsi="Arial Narrow" w:cs="Arial"/>
                          <w:color w:val="595959"/>
                          <w:kern w:val="24"/>
                          <w:sz w:val="22"/>
                          <w:szCs w:val="22"/>
                        </w:rPr>
                      </w:pPr>
                      <w:r>
                        <w:rPr>
                          <w:rFonts w:ascii="Arial Narrow" w:eastAsia="SimSun" w:hAnsi="Arial Narrow" w:cs="Arial"/>
                          <w:color w:val="595959"/>
                          <w:kern w:val="24"/>
                          <w:sz w:val="22"/>
                        </w:rPr>
                        <w:t xml:space="preserve">NOF 2D monolayers were treated </w:t>
                      </w:r>
                      <w:r>
                        <w:rPr>
                          <w:rFonts w:ascii="Arial Narrow" w:eastAsia="SimSun" w:hAnsi="Arial Narrow" w:cs="Arial"/>
                          <w:color w:val="595959"/>
                          <w:kern w:val="24"/>
                          <w:sz w:val="22"/>
                          <w:szCs w:val="22"/>
                        </w:rPr>
                        <w:t xml:space="preserve">with 5 ng/mL TGFβ-1 up to 72 h </w:t>
                      </w:r>
                      <w:r>
                        <w:rPr>
                          <w:rFonts w:ascii="Arial Narrow" w:eastAsia="SimSun" w:hAnsi="Arial Narrow" w:cs="Arial"/>
                          <w:color w:val="595959"/>
                          <w:kern w:val="24"/>
                          <w:sz w:val="22"/>
                        </w:rPr>
                        <w:t xml:space="preserve">and the gene expression for </w:t>
                      </w:r>
                      <w:r>
                        <w:rPr>
                          <w:rFonts w:ascii="Arial Narrow" w:eastAsia="SimSun" w:hAnsi="Arial Narrow" w:cs="Arial"/>
                          <w:color w:val="595959"/>
                          <w:kern w:val="24"/>
                          <w:sz w:val="22"/>
                          <w:szCs w:val="22"/>
                        </w:rPr>
                        <w:t xml:space="preserve">FN1-EDA was </w:t>
                      </w:r>
                      <w:r>
                        <w:rPr>
                          <w:rFonts w:ascii="Arial Narrow" w:eastAsia="SimSun" w:hAnsi="Arial Narrow" w:cs="Arial"/>
                          <w:color w:val="595959"/>
                          <w:kern w:val="24"/>
                          <w:sz w:val="22"/>
                        </w:rPr>
                        <w:t>determined by qPCR</w:t>
                      </w:r>
                      <w:r>
                        <w:rPr>
                          <w:rFonts w:ascii="Arial Narrow" w:eastAsia="SimSun" w:hAnsi="Arial Narrow" w:cs="Arial"/>
                          <w:color w:val="595959"/>
                          <w:kern w:val="24"/>
                          <w:sz w:val="22"/>
                          <w:szCs w:val="22"/>
                        </w:rPr>
                        <w:t xml:space="preserve">. </w:t>
                      </w:r>
                      <w:r>
                        <w:rPr>
                          <w:rFonts w:ascii="Arial Narrow" w:eastAsia="SimSun" w:hAnsi="Arial Narrow" w:cs="Arial"/>
                          <w:color w:val="595959"/>
                          <w:kern w:val="24"/>
                          <w:sz w:val="22"/>
                        </w:rPr>
                        <w:t xml:space="preserve">Data is expressed as fold change relative to housekeeping gene U6, with mean ± SD. ** denotes p &lt;0.01, *** p &lt;0.001 and **** p &lt;0.0001 as </w:t>
                      </w:r>
                      <w:r>
                        <w:rPr>
                          <w:rFonts w:ascii="Arial Narrow" w:eastAsia="SimSun" w:hAnsi="Arial Narrow" w:cs="Arial"/>
                          <w:color w:val="595959"/>
                          <w:kern w:val="24"/>
                          <w:sz w:val="22"/>
                          <w:szCs w:val="22"/>
                        </w:rPr>
                        <w:t>analysed by ordinary one-way ANOVA with Dunnett’s multiple comparison. (N=3, n=3).</w:t>
                      </w:r>
                    </w:p>
                  </w:txbxContent>
                </v:textbox>
                <w10:wrap anchorx="margin"/>
              </v:shape>
            </w:pict>
          </mc:Fallback>
        </mc:AlternateContent>
      </w:r>
    </w:p>
    <w:p w14:paraId="410BD3EB" w14:textId="77777777" w:rsidR="0054039C" w:rsidRPr="0054039C" w:rsidRDefault="0054039C" w:rsidP="0054039C">
      <w:pPr>
        <w:spacing w:line="360" w:lineRule="auto"/>
        <w:jc w:val="both"/>
        <w:rPr>
          <w:rFonts w:ascii="Arial" w:hAnsi="Arial" w:cs="Arial"/>
          <w:color w:val="595959" w:themeColor="text1" w:themeTint="A6"/>
          <w:sz w:val="24"/>
          <w:szCs w:val="24"/>
          <w:u w:val="single"/>
        </w:rPr>
      </w:pPr>
    </w:p>
    <w:p w14:paraId="7DCDA6D3" w14:textId="77777777" w:rsidR="0054039C" w:rsidRPr="0054039C" w:rsidRDefault="0054039C" w:rsidP="0054039C">
      <w:pPr>
        <w:spacing w:line="360" w:lineRule="auto"/>
        <w:jc w:val="both"/>
        <w:rPr>
          <w:rFonts w:ascii="Arial" w:hAnsi="Arial" w:cs="Arial"/>
          <w:color w:val="595959" w:themeColor="text1" w:themeTint="A6"/>
          <w:sz w:val="24"/>
          <w:szCs w:val="24"/>
          <w:u w:val="single"/>
        </w:rPr>
      </w:pPr>
    </w:p>
    <w:p w14:paraId="5585DF4B" w14:textId="77777777" w:rsidR="0054039C" w:rsidRPr="0054039C" w:rsidRDefault="0054039C" w:rsidP="0054039C">
      <w:pPr>
        <w:spacing w:line="360" w:lineRule="auto"/>
        <w:jc w:val="both"/>
        <w:rPr>
          <w:rFonts w:ascii="Arial" w:hAnsi="Arial" w:cs="Arial"/>
          <w:color w:val="595959" w:themeColor="text1" w:themeTint="A6"/>
          <w:sz w:val="24"/>
          <w:szCs w:val="24"/>
          <w:u w:val="single"/>
        </w:rPr>
      </w:pPr>
    </w:p>
    <w:p w14:paraId="0BD416CB" w14:textId="77777777" w:rsidR="0054039C" w:rsidRPr="0054039C" w:rsidRDefault="0054039C" w:rsidP="0054039C">
      <w:pPr>
        <w:spacing w:line="360" w:lineRule="auto"/>
        <w:jc w:val="both"/>
        <w:rPr>
          <w:rFonts w:ascii="Arial" w:hAnsi="Arial" w:cs="Arial"/>
          <w:color w:val="595959" w:themeColor="text1" w:themeTint="A6"/>
          <w:sz w:val="24"/>
          <w:szCs w:val="24"/>
          <w:u w:val="single"/>
        </w:rPr>
      </w:pPr>
    </w:p>
    <w:p w14:paraId="26EF12F6" w14:textId="77777777" w:rsidR="0054039C" w:rsidRPr="0054039C" w:rsidRDefault="0054039C" w:rsidP="0054039C">
      <w:pPr>
        <w:spacing w:line="360" w:lineRule="auto"/>
        <w:jc w:val="both"/>
        <w:rPr>
          <w:rFonts w:ascii="Arial" w:hAnsi="Arial" w:cs="Arial"/>
          <w:color w:val="595959" w:themeColor="text1" w:themeTint="A6"/>
        </w:rPr>
      </w:pPr>
    </w:p>
    <w:p w14:paraId="3CB7251C" w14:textId="77777777" w:rsidR="0054039C" w:rsidRPr="0054039C" w:rsidRDefault="0054039C" w:rsidP="0054039C">
      <w:pPr>
        <w:keepNext/>
        <w:keepLines/>
        <w:spacing w:before="40" w:after="0"/>
        <w:outlineLvl w:val="4"/>
        <w:rPr>
          <w:rFonts w:ascii="Arial" w:eastAsiaTheme="majorEastAsia" w:hAnsi="Arial" w:cs="Arial"/>
          <w:color w:val="595959" w:themeColor="text1" w:themeTint="A6"/>
        </w:rPr>
      </w:pPr>
      <w:bookmarkStart w:id="235" w:name="_Toc7107242"/>
      <w:bookmarkStart w:id="236" w:name="_Toc34208348"/>
      <w:r w:rsidRPr="0054039C">
        <w:rPr>
          <w:rFonts w:ascii="Arial" w:eastAsiaTheme="majorEastAsia" w:hAnsi="Arial" w:cs="Arial"/>
          <w:color w:val="595959" w:themeColor="text1" w:themeTint="A6"/>
        </w:rPr>
        <w:lastRenderedPageBreak/>
        <w:t>3.3.1.1.3 COL1A1 expression by RT-qPCR</w:t>
      </w:r>
      <w:bookmarkEnd w:id="235"/>
      <w:bookmarkEnd w:id="236"/>
    </w:p>
    <w:p w14:paraId="33FA844E" w14:textId="77777777" w:rsidR="000A1A3B" w:rsidRDefault="000A1A3B" w:rsidP="0054039C">
      <w:pPr>
        <w:spacing w:line="480" w:lineRule="auto"/>
        <w:jc w:val="both"/>
        <w:rPr>
          <w:rFonts w:ascii="Arial" w:hAnsi="Arial" w:cs="Arial"/>
          <w:color w:val="595959" w:themeColor="text1" w:themeTint="A6"/>
        </w:rPr>
      </w:pPr>
    </w:p>
    <w:p w14:paraId="7340C37C" w14:textId="6FE75CBD" w:rsidR="0054039C" w:rsidRPr="0054039C" w:rsidRDefault="000A1A3B" w:rsidP="000A1A3B">
      <w:pPr>
        <w:spacing w:line="480" w:lineRule="auto"/>
        <w:jc w:val="both"/>
        <w:rPr>
          <w:rFonts w:ascii="Arial" w:hAnsi="Arial" w:cs="Arial"/>
          <w:color w:val="595959" w:themeColor="text1" w:themeTint="A6"/>
        </w:rPr>
      </w:pPr>
      <w:r>
        <w:rPr>
          <w:rFonts w:ascii="Arial" w:hAnsi="Arial" w:cs="Arial"/>
          <w:color w:val="595959" w:themeColor="text1" w:themeTint="A6"/>
        </w:rPr>
        <w:t>Treatment of NOF</w:t>
      </w:r>
      <w:r w:rsidR="0054039C" w:rsidRPr="0054039C">
        <w:rPr>
          <w:rFonts w:ascii="Arial" w:hAnsi="Arial" w:cs="Arial"/>
          <w:color w:val="595959" w:themeColor="text1" w:themeTint="A6"/>
        </w:rPr>
        <w:t xml:space="preserve"> with 5 ng/mL of TGFβ-1 resulted </w:t>
      </w:r>
      <w:r w:rsidR="009C0559">
        <w:rPr>
          <w:rFonts w:ascii="Arial" w:hAnsi="Arial" w:cs="Arial"/>
          <w:color w:val="595959" w:themeColor="text1" w:themeTint="A6"/>
        </w:rPr>
        <w:t xml:space="preserve">in </w:t>
      </w:r>
      <w:r w:rsidR="0054039C" w:rsidRPr="0054039C">
        <w:rPr>
          <w:rFonts w:ascii="Arial" w:hAnsi="Arial" w:cs="Arial"/>
          <w:color w:val="595959" w:themeColor="text1" w:themeTint="A6"/>
        </w:rPr>
        <w:t xml:space="preserve">an increase in </w:t>
      </w:r>
      <w:r>
        <w:rPr>
          <w:rFonts w:ascii="Arial" w:hAnsi="Arial" w:cs="Arial"/>
          <w:color w:val="595959" w:themeColor="text1" w:themeTint="A6"/>
        </w:rPr>
        <w:t xml:space="preserve">COL1A1 </w:t>
      </w:r>
      <w:r w:rsidR="0054039C" w:rsidRPr="0054039C">
        <w:rPr>
          <w:rFonts w:ascii="Arial" w:hAnsi="Arial" w:cs="Arial"/>
          <w:color w:val="595959" w:themeColor="text1" w:themeTint="A6"/>
        </w:rPr>
        <w:t>transcript levels compared to vehicle control (Figure 3.4). A significant increase was observed at 48 h with TGFβ-1 treatment with a mean fold-change of 62.11 ± 41.48 (p &lt;0.0001) compared to 24 h vehicle control. No signi</w:t>
      </w:r>
      <w:r>
        <w:rPr>
          <w:rFonts w:ascii="Arial" w:hAnsi="Arial" w:cs="Arial"/>
          <w:color w:val="595959" w:themeColor="text1" w:themeTint="A6"/>
        </w:rPr>
        <w:t>ficant differences in COL1A1 were</w:t>
      </w:r>
      <w:r w:rsidR="0054039C" w:rsidRPr="0054039C">
        <w:rPr>
          <w:rFonts w:ascii="Arial" w:hAnsi="Arial" w:cs="Arial"/>
          <w:color w:val="595959" w:themeColor="text1" w:themeTint="A6"/>
        </w:rPr>
        <w:t xml:space="preserve"> observed at </w:t>
      </w:r>
      <w:r>
        <w:rPr>
          <w:rFonts w:ascii="Arial" w:hAnsi="Arial" w:cs="Arial"/>
          <w:color w:val="595959" w:themeColor="text1" w:themeTint="A6"/>
        </w:rPr>
        <w:t xml:space="preserve">24 or 72 h, with </w:t>
      </w:r>
      <w:r w:rsidR="0054039C" w:rsidRPr="0054039C">
        <w:rPr>
          <w:rFonts w:ascii="Arial" w:hAnsi="Arial" w:cs="Arial"/>
          <w:color w:val="595959" w:themeColor="text1" w:themeTint="A6"/>
        </w:rPr>
        <w:t>mean fold change</w:t>
      </w:r>
      <w:r>
        <w:rPr>
          <w:rFonts w:ascii="Arial" w:hAnsi="Arial" w:cs="Arial"/>
          <w:color w:val="595959" w:themeColor="text1" w:themeTint="A6"/>
        </w:rPr>
        <w:t>s</w:t>
      </w:r>
      <w:r w:rsidR="0054039C" w:rsidRPr="0054039C">
        <w:rPr>
          <w:rFonts w:ascii="Arial" w:hAnsi="Arial" w:cs="Arial"/>
          <w:color w:val="595959" w:themeColor="text1" w:themeTint="A6"/>
        </w:rPr>
        <w:t xml:space="preserve"> of </w:t>
      </w:r>
      <w:r>
        <w:rPr>
          <w:rFonts w:ascii="Arial" w:hAnsi="Arial" w:cs="Arial"/>
          <w:color w:val="595959" w:themeColor="text1" w:themeTint="A6"/>
        </w:rPr>
        <w:t xml:space="preserve">17.26 </w:t>
      </w:r>
      <w:r w:rsidRPr="0054039C">
        <w:rPr>
          <w:rFonts w:ascii="Arial" w:hAnsi="Arial" w:cs="Arial"/>
          <w:color w:val="595959" w:themeColor="text1" w:themeTint="A6"/>
        </w:rPr>
        <w:t>±</w:t>
      </w:r>
      <w:r>
        <w:rPr>
          <w:rFonts w:ascii="Arial" w:hAnsi="Arial" w:cs="Arial"/>
          <w:color w:val="595959" w:themeColor="text1" w:themeTint="A6"/>
        </w:rPr>
        <w:t xml:space="preserve"> 9.22 and </w:t>
      </w:r>
      <w:r w:rsidR="0054039C" w:rsidRPr="0054039C">
        <w:rPr>
          <w:rFonts w:ascii="Arial" w:hAnsi="Arial" w:cs="Arial"/>
          <w:color w:val="595959" w:themeColor="text1" w:themeTint="A6"/>
        </w:rPr>
        <w:t>7.66 ± 3.25</w:t>
      </w:r>
      <w:r w:rsidR="00A36CAC">
        <w:rPr>
          <w:rFonts w:ascii="Arial" w:hAnsi="Arial" w:cs="Arial"/>
          <w:color w:val="595959" w:themeColor="text1" w:themeTint="A6"/>
        </w:rPr>
        <w:t>,</w:t>
      </w:r>
      <w:r>
        <w:rPr>
          <w:rFonts w:ascii="Arial" w:hAnsi="Arial" w:cs="Arial"/>
          <w:color w:val="595959" w:themeColor="text1" w:themeTint="A6"/>
        </w:rPr>
        <w:t xml:space="preserve"> respectively,</w:t>
      </w:r>
      <w:r w:rsidR="0054039C" w:rsidRPr="0054039C">
        <w:rPr>
          <w:rFonts w:ascii="Arial" w:hAnsi="Arial" w:cs="Arial"/>
          <w:color w:val="595959" w:themeColor="text1" w:themeTint="A6"/>
        </w:rPr>
        <w:t xml:space="preserve"> compared to 24 h vehicle controls.</w:t>
      </w:r>
    </w:p>
    <w:p w14:paraId="16986D9A" w14:textId="32D8C396" w:rsidR="0054039C" w:rsidRPr="0054039C" w:rsidRDefault="0054039C" w:rsidP="0054039C">
      <w:pPr>
        <w:spacing w:line="480" w:lineRule="auto"/>
        <w:jc w:val="both"/>
        <w:rPr>
          <w:rFonts w:ascii="Arial" w:hAnsi="Arial" w:cs="Arial"/>
          <w:color w:val="595959" w:themeColor="text1" w:themeTint="A6"/>
        </w:rPr>
      </w:pPr>
    </w:p>
    <w:p w14:paraId="70B162AB" w14:textId="0C37CAE9" w:rsidR="0054039C" w:rsidRPr="0054039C" w:rsidRDefault="009348D4" w:rsidP="0054039C">
      <w:pPr>
        <w:spacing w:line="480" w:lineRule="auto"/>
        <w:jc w:val="both"/>
        <w:rPr>
          <w:rFonts w:ascii="Arial" w:hAnsi="Arial" w:cs="Arial"/>
          <w:color w:val="595959" w:themeColor="text1" w:themeTint="A6"/>
        </w:rPr>
      </w:pPr>
      <w:r w:rsidRPr="009348D4">
        <w:rPr>
          <w:noProof/>
        </w:rPr>
        <w:drawing>
          <wp:anchor distT="0" distB="0" distL="114300" distR="114300" simplePos="0" relativeHeight="251658476" behindDoc="0" locked="0" layoutInCell="1" allowOverlap="1" wp14:anchorId="1A3A2393" wp14:editId="537001C5">
            <wp:simplePos x="0" y="0"/>
            <wp:positionH relativeFrom="margin">
              <wp:align>center</wp:align>
            </wp:positionH>
            <wp:positionV relativeFrom="paragraph">
              <wp:posOffset>358775</wp:posOffset>
            </wp:positionV>
            <wp:extent cx="3873500" cy="2641600"/>
            <wp:effectExtent l="0" t="0" r="0" b="0"/>
            <wp:wrapNone/>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873500" cy="2641600"/>
                    </a:xfrm>
                    <a:prstGeom prst="rect">
                      <a:avLst/>
                    </a:prstGeom>
                    <a:noFill/>
                    <a:ln>
                      <a:noFill/>
                    </a:ln>
                  </pic:spPr>
                </pic:pic>
              </a:graphicData>
            </a:graphic>
          </wp:anchor>
        </w:drawing>
      </w:r>
    </w:p>
    <w:p w14:paraId="60231D06" w14:textId="77777777" w:rsidR="0054039C" w:rsidRPr="0054039C" w:rsidRDefault="0054039C" w:rsidP="0054039C">
      <w:pPr>
        <w:spacing w:line="480" w:lineRule="auto"/>
        <w:jc w:val="both"/>
        <w:rPr>
          <w:rFonts w:ascii="Arial" w:hAnsi="Arial" w:cs="Arial"/>
          <w:color w:val="595959" w:themeColor="text1" w:themeTint="A6"/>
        </w:rPr>
      </w:pPr>
    </w:p>
    <w:p w14:paraId="3E1D6664" w14:textId="419BAC8F" w:rsidR="0054039C" w:rsidRPr="0054039C" w:rsidRDefault="0054039C" w:rsidP="0054039C">
      <w:pPr>
        <w:spacing w:line="480" w:lineRule="auto"/>
        <w:jc w:val="both"/>
        <w:rPr>
          <w:rFonts w:ascii="Arial" w:hAnsi="Arial" w:cs="Arial"/>
          <w:color w:val="595959" w:themeColor="text1" w:themeTint="A6"/>
        </w:rPr>
      </w:pPr>
    </w:p>
    <w:p w14:paraId="08EDE3CC" w14:textId="77777777" w:rsidR="0054039C" w:rsidRPr="0054039C" w:rsidRDefault="0054039C" w:rsidP="0054039C">
      <w:pPr>
        <w:spacing w:line="480" w:lineRule="auto"/>
        <w:jc w:val="both"/>
        <w:rPr>
          <w:rFonts w:ascii="Arial" w:hAnsi="Arial" w:cs="Arial"/>
          <w:color w:val="595959" w:themeColor="text1" w:themeTint="A6"/>
        </w:rPr>
      </w:pPr>
    </w:p>
    <w:p w14:paraId="2948B7F1" w14:textId="77777777" w:rsidR="0054039C" w:rsidRPr="0054039C" w:rsidRDefault="0054039C" w:rsidP="0054039C">
      <w:pPr>
        <w:spacing w:line="480" w:lineRule="auto"/>
        <w:jc w:val="both"/>
        <w:rPr>
          <w:rFonts w:ascii="Arial" w:hAnsi="Arial" w:cs="Arial"/>
          <w:color w:val="595959" w:themeColor="text1" w:themeTint="A6"/>
        </w:rPr>
      </w:pPr>
    </w:p>
    <w:p w14:paraId="65C5602E" w14:textId="77777777" w:rsidR="0054039C" w:rsidRPr="0054039C" w:rsidRDefault="0054039C" w:rsidP="0054039C">
      <w:pPr>
        <w:spacing w:line="480" w:lineRule="auto"/>
        <w:jc w:val="both"/>
        <w:rPr>
          <w:rFonts w:ascii="Arial" w:hAnsi="Arial" w:cs="Arial"/>
          <w:color w:val="595959" w:themeColor="text1" w:themeTint="A6"/>
        </w:rPr>
      </w:pPr>
    </w:p>
    <w:p w14:paraId="6007B76D" w14:textId="77777777" w:rsidR="0054039C" w:rsidRPr="0054039C" w:rsidRDefault="0054039C" w:rsidP="0054039C">
      <w:pPr>
        <w:spacing w:line="480" w:lineRule="auto"/>
        <w:jc w:val="both"/>
        <w:rPr>
          <w:rFonts w:ascii="Arial" w:hAnsi="Arial" w:cs="Arial"/>
          <w:color w:val="595959" w:themeColor="text1" w:themeTint="A6"/>
        </w:rPr>
      </w:pPr>
    </w:p>
    <w:p w14:paraId="2314ADF6" w14:textId="77777777" w:rsidR="0054039C" w:rsidRPr="0054039C" w:rsidRDefault="0054039C" w:rsidP="0054039C">
      <w:pPr>
        <w:spacing w:line="480" w:lineRule="auto"/>
        <w:jc w:val="both"/>
        <w:rPr>
          <w:rFonts w:ascii="Arial" w:hAnsi="Arial" w:cs="Arial"/>
          <w:color w:val="595959" w:themeColor="text1" w:themeTint="A6"/>
        </w:rPr>
      </w:pPr>
    </w:p>
    <w:p w14:paraId="6B627647" w14:textId="77777777" w:rsidR="0054039C" w:rsidRPr="0054039C" w:rsidRDefault="0054039C" w:rsidP="0054039C">
      <w:pPr>
        <w:spacing w:line="480" w:lineRule="auto"/>
        <w:jc w:val="both"/>
        <w:rPr>
          <w:rFonts w:ascii="Arial" w:hAnsi="Arial" w:cs="Arial"/>
          <w:color w:val="595959" w:themeColor="text1" w:themeTint="A6"/>
        </w:rPr>
      </w:pPr>
      <w:r w:rsidRPr="0054039C">
        <w:rPr>
          <w:rFonts w:ascii="Arial" w:hAnsi="Arial" w:cs="Arial"/>
          <w:noProof/>
          <w:color w:val="595959" w:themeColor="text1" w:themeTint="A6"/>
          <w:sz w:val="24"/>
          <w:szCs w:val="24"/>
          <w:lang w:eastAsia="zh-CN"/>
        </w:rPr>
        <mc:AlternateContent>
          <mc:Choice Requires="wps">
            <w:drawing>
              <wp:anchor distT="0" distB="0" distL="114300" distR="114300" simplePos="0" relativeHeight="251658269" behindDoc="0" locked="0" layoutInCell="1" allowOverlap="1" wp14:anchorId="57353ADF" wp14:editId="15576633">
                <wp:simplePos x="0" y="0"/>
                <wp:positionH relativeFrom="margin">
                  <wp:align>right</wp:align>
                </wp:positionH>
                <wp:positionV relativeFrom="paragraph">
                  <wp:posOffset>233044</wp:posOffset>
                </wp:positionV>
                <wp:extent cx="5734050" cy="1266825"/>
                <wp:effectExtent l="0" t="0" r="0" b="9525"/>
                <wp:wrapNone/>
                <wp:docPr id="15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1266825"/>
                        </a:xfrm>
                        <a:prstGeom prst="rect">
                          <a:avLst/>
                        </a:prstGeom>
                        <a:solidFill>
                          <a:srgbClr val="FFFFFF"/>
                        </a:solidFill>
                        <a:ln w="9525">
                          <a:noFill/>
                          <a:miter lim="800000"/>
                          <a:headEnd/>
                          <a:tailEnd/>
                        </a:ln>
                      </wps:spPr>
                      <wps:txbx>
                        <w:txbxContent>
                          <w:p w14:paraId="6312C1E9" w14:textId="77777777" w:rsidR="008A47AC" w:rsidRDefault="008A47AC" w:rsidP="0054039C">
                            <w:pPr>
                              <w:pStyle w:val="NormalWeb"/>
                              <w:spacing w:after="200"/>
                              <w:jc w:val="both"/>
                            </w:pPr>
                            <w:r>
                              <w:rPr>
                                <w:rFonts w:ascii="Arial Narrow" w:eastAsia="SimSun" w:hAnsi="Arial Narrow" w:cs="Arial"/>
                                <w:b/>
                                <w:bCs/>
                                <w:color w:val="595959"/>
                                <w:kern w:val="24"/>
                                <w:sz w:val="22"/>
                                <w:szCs w:val="22"/>
                              </w:rPr>
                              <w:t xml:space="preserve">Figure 3.4 Short-term expression data for ECM protein </w:t>
                            </w:r>
                            <w:r>
                              <w:rPr>
                                <w:rFonts w:ascii="Arial Narrow" w:eastAsia="SimSun" w:hAnsi="Arial Narrow" w:cs="Arial"/>
                                <w:b/>
                                <w:color w:val="595959"/>
                                <w:kern w:val="24"/>
                                <w:sz w:val="22"/>
                                <w:szCs w:val="22"/>
                              </w:rPr>
                              <w:t>COL1A1</w:t>
                            </w:r>
                            <w:r w:rsidRPr="003B7A29">
                              <w:rPr>
                                <w:rFonts w:ascii="Arial Narrow" w:eastAsia="SimSun" w:hAnsi="Arial Narrow" w:cs="Arial"/>
                                <w:b/>
                                <w:color w:val="595959"/>
                                <w:kern w:val="24"/>
                                <w:sz w:val="22"/>
                                <w:szCs w:val="22"/>
                              </w:rPr>
                              <w:t xml:space="preserve"> </w:t>
                            </w:r>
                            <w:r>
                              <w:rPr>
                                <w:rFonts w:ascii="Arial Narrow" w:eastAsia="SimSun" w:hAnsi="Arial Narrow" w:cs="Arial"/>
                                <w:b/>
                                <w:color w:val="595959"/>
                                <w:kern w:val="24"/>
                                <w:sz w:val="22"/>
                                <w:szCs w:val="22"/>
                              </w:rPr>
                              <w:t xml:space="preserve">in NOF </w:t>
                            </w:r>
                            <w:r>
                              <w:rPr>
                                <w:rFonts w:ascii="Arial Narrow" w:eastAsia="SimSun" w:hAnsi="Arial Narrow" w:cs="Arial"/>
                                <w:b/>
                                <w:bCs/>
                                <w:color w:val="595959"/>
                                <w:kern w:val="24"/>
                                <w:sz w:val="22"/>
                                <w:szCs w:val="22"/>
                              </w:rPr>
                              <w:t>with and without TGFβ-1 stimulation</w:t>
                            </w:r>
                            <w:r>
                              <w:rPr>
                                <w:rFonts w:ascii="Arial Narrow" w:eastAsia="SimSun" w:hAnsi="Arial Narrow" w:cs="Arial"/>
                                <w:b/>
                                <w:color w:val="595959"/>
                                <w:kern w:val="24"/>
                                <w:sz w:val="22"/>
                                <w:szCs w:val="22"/>
                              </w:rPr>
                              <w:t xml:space="preserve"> </w:t>
                            </w:r>
                            <w:r>
                              <w:rPr>
                                <w:rFonts w:ascii="Arial Narrow" w:eastAsia="SimSun" w:hAnsi="Arial Narrow" w:cs="Arial"/>
                                <w:b/>
                                <w:bCs/>
                                <w:color w:val="595959"/>
                                <w:kern w:val="24"/>
                                <w:sz w:val="22"/>
                                <w:szCs w:val="22"/>
                              </w:rPr>
                              <w:t xml:space="preserve"> </w:t>
                            </w:r>
                          </w:p>
                          <w:p w14:paraId="61A60646" w14:textId="4C7BB106" w:rsidR="008A47AC" w:rsidRPr="00DB2020" w:rsidRDefault="008A47AC" w:rsidP="0054039C">
                            <w:pPr>
                              <w:pStyle w:val="NormalWeb"/>
                              <w:spacing w:after="200" w:line="276" w:lineRule="auto"/>
                              <w:jc w:val="both"/>
                              <w:rPr>
                                <w:rFonts w:ascii="Arial Narrow" w:eastAsia="SimSun" w:hAnsi="Arial Narrow" w:cs="Arial"/>
                                <w:color w:val="595959"/>
                                <w:kern w:val="24"/>
                                <w:sz w:val="22"/>
                                <w:szCs w:val="22"/>
                              </w:rPr>
                            </w:pPr>
                            <w:r>
                              <w:rPr>
                                <w:rFonts w:ascii="Arial Narrow" w:eastAsia="SimSun" w:hAnsi="Arial Narrow" w:cs="Arial"/>
                                <w:color w:val="595959"/>
                                <w:kern w:val="24"/>
                                <w:sz w:val="22"/>
                              </w:rPr>
                              <w:t xml:space="preserve">NOF 2D monolayers were treated </w:t>
                            </w:r>
                            <w:r>
                              <w:rPr>
                                <w:rFonts w:ascii="Arial Narrow" w:eastAsia="SimSun" w:hAnsi="Arial Narrow" w:cs="Arial"/>
                                <w:color w:val="595959"/>
                                <w:kern w:val="24"/>
                                <w:sz w:val="22"/>
                                <w:szCs w:val="22"/>
                              </w:rPr>
                              <w:t xml:space="preserve">with 5 ng/mL TGFβ-1 up to 72 h </w:t>
                            </w:r>
                            <w:r>
                              <w:rPr>
                                <w:rFonts w:ascii="Arial Narrow" w:eastAsia="SimSun" w:hAnsi="Arial Narrow" w:cs="Arial"/>
                                <w:color w:val="595959"/>
                                <w:kern w:val="24"/>
                                <w:sz w:val="22"/>
                              </w:rPr>
                              <w:t xml:space="preserve">and the gene expression for </w:t>
                            </w:r>
                            <w:r>
                              <w:rPr>
                                <w:rFonts w:ascii="Arial Narrow" w:eastAsia="SimSun" w:hAnsi="Arial Narrow" w:cs="Arial"/>
                                <w:color w:val="595959"/>
                                <w:kern w:val="24"/>
                                <w:sz w:val="22"/>
                                <w:szCs w:val="22"/>
                              </w:rPr>
                              <w:t xml:space="preserve">COL1A1 was </w:t>
                            </w:r>
                            <w:r>
                              <w:rPr>
                                <w:rFonts w:ascii="Arial Narrow" w:eastAsia="SimSun" w:hAnsi="Arial Narrow" w:cs="Arial"/>
                                <w:color w:val="595959"/>
                                <w:kern w:val="24"/>
                                <w:sz w:val="22"/>
                              </w:rPr>
                              <w:t>determined by qPCR</w:t>
                            </w:r>
                            <w:r>
                              <w:rPr>
                                <w:rFonts w:ascii="Arial Narrow" w:eastAsia="SimSun" w:hAnsi="Arial Narrow" w:cs="Arial"/>
                                <w:color w:val="595959"/>
                                <w:kern w:val="24"/>
                                <w:sz w:val="22"/>
                                <w:szCs w:val="22"/>
                              </w:rPr>
                              <w:t xml:space="preserve">. </w:t>
                            </w:r>
                            <w:r>
                              <w:rPr>
                                <w:rFonts w:ascii="Arial Narrow" w:eastAsia="SimSun" w:hAnsi="Arial Narrow" w:cs="Arial"/>
                                <w:color w:val="595959"/>
                                <w:kern w:val="24"/>
                                <w:sz w:val="22"/>
                              </w:rPr>
                              <w:t xml:space="preserve">Data is expressed as fold change relative to housekeeping gene U6, with mean ± SD. **** denotes p &lt;0.0001 as </w:t>
                            </w:r>
                            <w:r>
                              <w:rPr>
                                <w:rFonts w:ascii="Arial Narrow" w:eastAsia="SimSun" w:hAnsi="Arial Narrow" w:cs="Arial"/>
                                <w:color w:val="595959"/>
                                <w:kern w:val="24"/>
                                <w:sz w:val="22"/>
                                <w:szCs w:val="22"/>
                              </w:rPr>
                              <w:t>analysed by ordinary one-way ANOVA with Dunnett’s multiple comparison. (N=3, n=3).</w:t>
                            </w:r>
                          </w:p>
                          <w:p w14:paraId="394B8438" w14:textId="77777777" w:rsidR="008A47AC" w:rsidRPr="00917F32" w:rsidRDefault="008A47AC" w:rsidP="0054039C">
                            <w:pPr>
                              <w:pStyle w:val="NormalWeb"/>
                              <w:spacing w:after="200" w:line="276" w:lineRule="auto"/>
                              <w:jc w:val="both"/>
                              <w:rPr>
                                <w:rFonts w:ascii="Arial Narrow" w:eastAsia="SimSun" w:hAnsi="Arial Narrow" w:cs="Arial"/>
                                <w:color w:val="595959"/>
                                <w:kern w:val="24"/>
                                <w:sz w:val="22"/>
                                <w:szCs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353ADF" id="_x0000_s1065" type="#_x0000_t202" style="position:absolute;left:0;text-align:left;margin-left:400.3pt;margin-top:18.35pt;width:451.5pt;height:99.75pt;z-index:251658269;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" stroked="f">
                <v:textbox>
                  <w:txbxContent>
                    <w:p w14:paraId="6312C1E9" w14:textId="77777777" w:rsidR="008A47AC" w:rsidRDefault="008A47AC" w:rsidP="0054039C">
                      <w:pPr>
                        <w:pStyle w:val="NormalWeb"/>
                        <w:spacing w:after="200"/>
                        <w:jc w:val="both"/>
                      </w:pPr>
                      <w:r>
                        <w:rPr>
                          <w:rFonts w:ascii="Arial Narrow" w:eastAsia="SimSun" w:hAnsi="Arial Narrow" w:cs="Arial"/>
                          <w:b/>
                          <w:bCs/>
                          <w:color w:val="595959"/>
                          <w:kern w:val="24"/>
                          <w:sz w:val="22"/>
                          <w:szCs w:val="22"/>
                        </w:rPr>
                        <w:t xml:space="preserve">Figure 3.4 Short-term expression data for ECM protein </w:t>
                      </w:r>
                      <w:r>
                        <w:rPr>
                          <w:rFonts w:ascii="Arial Narrow" w:eastAsia="SimSun" w:hAnsi="Arial Narrow" w:cs="Arial"/>
                          <w:b/>
                          <w:color w:val="595959"/>
                          <w:kern w:val="24"/>
                          <w:sz w:val="22"/>
                          <w:szCs w:val="22"/>
                        </w:rPr>
                        <w:t>COL1A1</w:t>
                      </w:r>
                      <w:r w:rsidRPr="003B7A29">
                        <w:rPr>
                          <w:rFonts w:ascii="Arial Narrow" w:eastAsia="SimSun" w:hAnsi="Arial Narrow" w:cs="Arial"/>
                          <w:b/>
                          <w:color w:val="595959"/>
                          <w:kern w:val="24"/>
                          <w:sz w:val="22"/>
                          <w:szCs w:val="22"/>
                        </w:rPr>
                        <w:t xml:space="preserve"> </w:t>
                      </w:r>
                      <w:r>
                        <w:rPr>
                          <w:rFonts w:ascii="Arial Narrow" w:eastAsia="SimSun" w:hAnsi="Arial Narrow" w:cs="Arial"/>
                          <w:b/>
                          <w:color w:val="595959"/>
                          <w:kern w:val="24"/>
                          <w:sz w:val="22"/>
                          <w:szCs w:val="22"/>
                        </w:rPr>
                        <w:t xml:space="preserve">in NOF </w:t>
                      </w:r>
                      <w:r>
                        <w:rPr>
                          <w:rFonts w:ascii="Arial Narrow" w:eastAsia="SimSun" w:hAnsi="Arial Narrow" w:cs="Arial"/>
                          <w:b/>
                          <w:bCs/>
                          <w:color w:val="595959"/>
                          <w:kern w:val="24"/>
                          <w:sz w:val="22"/>
                          <w:szCs w:val="22"/>
                        </w:rPr>
                        <w:t>with and without TGFβ-1 stimulation</w:t>
                      </w:r>
                      <w:r>
                        <w:rPr>
                          <w:rFonts w:ascii="Arial Narrow" w:eastAsia="SimSun" w:hAnsi="Arial Narrow" w:cs="Arial"/>
                          <w:b/>
                          <w:color w:val="595959"/>
                          <w:kern w:val="24"/>
                          <w:sz w:val="22"/>
                          <w:szCs w:val="22"/>
                        </w:rPr>
                        <w:t xml:space="preserve"> </w:t>
                      </w:r>
                      <w:r>
                        <w:rPr>
                          <w:rFonts w:ascii="Arial Narrow" w:eastAsia="SimSun" w:hAnsi="Arial Narrow" w:cs="Arial"/>
                          <w:b/>
                          <w:bCs/>
                          <w:color w:val="595959"/>
                          <w:kern w:val="24"/>
                          <w:sz w:val="22"/>
                          <w:szCs w:val="22"/>
                        </w:rPr>
                        <w:t xml:space="preserve"> </w:t>
                      </w:r>
                    </w:p>
                    <w:p w14:paraId="61A60646" w14:textId="4C7BB106" w:rsidR="008A47AC" w:rsidRPr="00DB2020" w:rsidRDefault="008A47AC" w:rsidP="0054039C">
                      <w:pPr>
                        <w:pStyle w:val="NormalWeb"/>
                        <w:spacing w:after="200" w:line="276" w:lineRule="auto"/>
                        <w:jc w:val="both"/>
                        <w:rPr>
                          <w:rFonts w:ascii="Arial Narrow" w:eastAsia="SimSun" w:hAnsi="Arial Narrow" w:cs="Arial"/>
                          <w:color w:val="595959"/>
                          <w:kern w:val="24"/>
                          <w:sz w:val="22"/>
                          <w:szCs w:val="22"/>
                        </w:rPr>
                      </w:pPr>
                      <w:r>
                        <w:rPr>
                          <w:rFonts w:ascii="Arial Narrow" w:eastAsia="SimSun" w:hAnsi="Arial Narrow" w:cs="Arial"/>
                          <w:color w:val="595959"/>
                          <w:kern w:val="24"/>
                          <w:sz w:val="22"/>
                        </w:rPr>
                        <w:t xml:space="preserve">NOF 2D monolayers were treated </w:t>
                      </w:r>
                      <w:r>
                        <w:rPr>
                          <w:rFonts w:ascii="Arial Narrow" w:eastAsia="SimSun" w:hAnsi="Arial Narrow" w:cs="Arial"/>
                          <w:color w:val="595959"/>
                          <w:kern w:val="24"/>
                          <w:sz w:val="22"/>
                          <w:szCs w:val="22"/>
                        </w:rPr>
                        <w:t xml:space="preserve">with 5 ng/mL TGFβ-1 up to 72 h </w:t>
                      </w:r>
                      <w:r>
                        <w:rPr>
                          <w:rFonts w:ascii="Arial Narrow" w:eastAsia="SimSun" w:hAnsi="Arial Narrow" w:cs="Arial"/>
                          <w:color w:val="595959"/>
                          <w:kern w:val="24"/>
                          <w:sz w:val="22"/>
                        </w:rPr>
                        <w:t xml:space="preserve">and the gene expression for </w:t>
                      </w:r>
                      <w:r>
                        <w:rPr>
                          <w:rFonts w:ascii="Arial Narrow" w:eastAsia="SimSun" w:hAnsi="Arial Narrow" w:cs="Arial"/>
                          <w:color w:val="595959"/>
                          <w:kern w:val="24"/>
                          <w:sz w:val="22"/>
                          <w:szCs w:val="22"/>
                        </w:rPr>
                        <w:t xml:space="preserve">COL1A1 was </w:t>
                      </w:r>
                      <w:r>
                        <w:rPr>
                          <w:rFonts w:ascii="Arial Narrow" w:eastAsia="SimSun" w:hAnsi="Arial Narrow" w:cs="Arial"/>
                          <w:color w:val="595959"/>
                          <w:kern w:val="24"/>
                          <w:sz w:val="22"/>
                        </w:rPr>
                        <w:t>determined by qPCR</w:t>
                      </w:r>
                      <w:r>
                        <w:rPr>
                          <w:rFonts w:ascii="Arial Narrow" w:eastAsia="SimSun" w:hAnsi="Arial Narrow" w:cs="Arial"/>
                          <w:color w:val="595959"/>
                          <w:kern w:val="24"/>
                          <w:sz w:val="22"/>
                          <w:szCs w:val="22"/>
                        </w:rPr>
                        <w:t xml:space="preserve">. </w:t>
                      </w:r>
                      <w:r>
                        <w:rPr>
                          <w:rFonts w:ascii="Arial Narrow" w:eastAsia="SimSun" w:hAnsi="Arial Narrow" w:cs="Arial"/>
                          <w:color w:val="595959"/>
                          <w:kern w:val="24"/>
                          <w:sz w:val="22"/>
                        </w:rPr>
                        <w:t xml:space="preserve">Data is expressed as fold change relative to housekeeping gene U6, with mean ± SD. **** denotes p &lt;0.0001 as </w:t>
                      </w:r>
                      <w:r>
                        <w:rPr>
                          <w:rFonts w:ascii="Arial Narrow" w:eastAsia="SimSun" w:hAnsi="Arial Narrow" w:cs="Arial"/>
                          <w:color w:val="595959"/>
                          <w:kern w:val="24"/>
                          <w:sz w:val="22"/>
                          <w:szCs w:val="22"/>
                        </w:rPr>
                        <w:t>analysed by ordinary one-way ANOVA with Dunnett’s multiple comparison. (N=3, n=3).</w:t>
                      </w:r>
                    </w:p>
                    <w:p w14:paraId="394B8438" w14:textId="77777777" w:rsidR="008A47AC" w:rsidRPr="00917F32" w:rsidRDefault="008A47AC" w:rsidP="0054039C">
                      <w:pPr>
                        <w:pStyle w:val="NormalWeb"/>
                        <w:spacing w:after="200" w:line="276" w:lineRule="auto"/>
                        <w:jc w:val="both"/>
                        <w:rPr>
                          <w:rFonts w:ascii="Arial Narrow" w:eastAsia="SimSun" w:hAnsi="Arial Narrow" w:cs="Arial"/>
                          <w:color w:val="595959"/>
                          <w:kern w:val="24"/>
                          <w:sz w:val="22"/>
                          <w:szCs w:val="22"/>
                        </w:rPr>
                      </w:pPr>
                    </w:p>
                  </w:txbxContent>
                </v:textbox>
                <w10:wrap anchorx="margin"/>
              </v:shape>
            </w:pict>
          </mc:Fallback>
        </mc:AlternateContent>
      </w:r>
    </w:p>
    <w:p w14:paraId="3B607FAC" w14:textId="77777777" w:rsidR="0054039C" w:rsidRPr="0054039C" w:rsidRDefault="0054039C" w:rsidP="0054039C">
      <w:pPr>
        <w:spacing w:line="480" w:lineRule="auto"/>
        <w:jc w:val="both"/>
        <w:rPr>
          <w:rFonts w:ascii="Arial" w:hAnsi="Arial" w:cs="Arial"/>
          <w:color w:val="595959" w:themeColor="text1" w:themeTint="A6"/>
        </w:rPr>
      </w:pPr>
    </w:p>
    <w:p w14:paraId="000EC952" w14:textId="77777777" w:rsidR="0054039C" w:rsidRPr="0054039C" w:rsidRDefault="0054039C" w:rsidP="0054039C">
      <w:pPr>
        <w:spacing w:line="480" w:lineRule="auto"/>
        <w:jc w:val="both"/>
        <w:rPr>
          <w:rFonts w:ascii="Arial" w:hAnsi="Arial" w:cs="Arial"/>
          <w:color w:val="595959" w:themeColor="text1" w:themeTint="A6"/>
        </w:rPr>
      </w:pPr>
    </w:p>
    <w:p w14:paraId="524E0E7A" w14:textId="77777777" w:rsidR="0054039C" w:rsidRPr="0054039C" w:rsidRDefault="0054039C" w:rsidP="0054039C">
      <w:pPr>
        <w:spacing w:line="480" w:lineRule="auto"/>
        <w:jc w:val="both"/>
        <w:rPr>
          <w:rFonts w:ascii="Arial" w:hAnsi="Arial" w:cs="Arial"/>
          <w:color w:val="595959" w:themeColor="text1" w:themeTint="A6"/>
        </w:rPr>
      </w:pPr>
    </w:p>
    <w:p w14:paraId="5BAA055B" w14:textId="77777777" w:rsidR="00A36CAC" w:rsidRDefault="00A36CAC" w:rsidP="00A36CAC">
      <w:pPr>
        <w:spacing w:after="0" w:line="480" w:lineRule="auto"/>
        <w:jc w:val="both"/>
        <w:rPr>
          <w:rFonts w:ascii="Arial" w:hAnsi="Arial" w:cs="Arial"/>
          <w:color w:val="595959" w:themeColor="text1" w:themeTint="A6"/>
        </w:rPr>
      </w:pPr>
      <w:bookmarkStart w:id="237" w:name="_Toc7107243"/>
    </w:p>
    <w:p w14:paraId="1CDAF16B" w14:textId="77777777" w:rsidR="00A36CAC" w:rsidRDefault="00A36CAC" w:rsidP="00A36CAC">
      <w:pPr>
        <w:spacing w:after="0" w:line="480" w:lineRule="auto"/>
        <w:jc w:val="both"/>
        <w:rPr>
          <w:rFonts w:ascii="Arial" w:hAnsi="Arial" w:cs="Arial"/>
          <w:color w:val="595959" w:themeColor="text1" w:themeTint="A6"/>
        </w:rPr>
      </w:pPr>
    </w:p>
    <w:p w14:paraId="7896C518" w14:textId="249C57A4" w:rsidR="00A36CAC" w:rsidRPr="00A36CAC" w:rsidRDefault="00A36CAC" w:rsidP="00A36CAC">
      <w:pPr>
        <w:spacing w:after="0" w:line="480" w:lineRule="auto"/>
        <w:jc w:val="both"/>
        <w:rPr>
          <w:rFonts w:ascii="Arial" w:hAnsi="Arial" w:cs="Arial"/>
          <w:color w:val="595959" w:themeColor="text1" w:themeTint="A6"/>
        </w:rPr>
      </w:pPr>
      <w:r>
        <w:rPr>
          <w:rFonts w:ascii="Arial" w:hAnsi="Arial" w:cs="Arial"/>
          <w:color w:val="595959" w:themeColor="text1" w:themeTint="A6"/>
        </w:rPr>
        <w:tab/>
      </w:r>
    </w:p>
    <w:p w14:paraId="48520214" w14:textId="34FA1224" w:rsidR="0054039C" w:rsidRPr="0054039C" w:rsidRDefault="0054039C" w:rsidP="0054039C">
      <w:pPr>
        <w:keepNext/>
        <w:keepLines/>
        <w:spacing w:before="40" w:after="0"/>
        <w:outlineLvl w:val="4"/>
        <w:rPr>
          <w:rFonts w:ascii="Arial" w:eastAsiaTheme="majorEastAsia" w:hAnsi="Arial" w:cs="Arial"/>
          <w:color w:val="595959" w:themeColor="text1" w:themeTint="A6"/>
        </w:rPr>
      </w:pPr>
      <w:bookmarkStart w:id="238" w:name="_Toc34208349"/>
      <w:r w:rsidRPr="0054039C">
        <w:rPr>
          <w:rFonts w:ascii="Arial" w:eastAsiaTheme="majorEastAsia" w:hAnsi="Arial" w:cs="Arial"/>
          <w:color w:val="595959" w:themeColor="text1" w:themeTint="A6"/>
        </w:rPr>
        <w:lastRenderedPageBreak/>
        <w:t>3.3.1.1.4 VCAN expression by RT-qPCR</w:t>
      </w:r>
      <w:bookmarkEnd w:id="237"/>
      <w:bookmarkEnd w:id="238"/>
    </w:p>
    <w:p w14:paraId="2B23EA91" w14:textId="77777777" w:rsidR="009C0559" w:rsidRDefault="009C0559" w:rsidP="00A36CAC">
      <w:pPr>
        <w:spacing w:line="480" w:lineRule="auto"/>
        <w:jc w:val="both"/>
      </w:pPr>
    </w:p>
    <w:p w14:paraId="1DE5ED76" w14:textId="7961EFB0" w:rsidR="0054039C" w:rsidRPr="0054039C" w:rsidRDefault="00A36CAC" w:rsidP="00A36CAC">
      <w:pPr>
        <w:spacing w:line="480" w:lineRule="auto"/>
        <w:jc w:val="both"/>
        <w:rPr>
          <w:rFonts w:ascii="Arial" w:hAnsi="Arial" w:cs="Arial"/>
          <w:color w:val="595959" w:themeColor="text1" w:themeTint="A6"/>
        </w:rPr>
      </w:pPr>
      <w:r>
        <w:rPr>
          <w:rFonts w:ascii="Arial" w:hAnsi="Arial" w:cs="Arial"/>
          <w:color w:val="595959" w:themeColor="text1" w:themeTint="A6"/>
        </w:rPr>
        <w:t xml:space="preserve">Examination of VCAN transcript levels in response to TGFβ-1 revealed </w:t>
      </w:r>
      <w:r w:rsidR="009C0559">
        <w:rPr>
          <w:rFonts w:ascii="Arial" w:hAnsi="Arial" w:cs="Arial"/>
          <w:color w:val="595959" w:themeColor="text1" w:themeTint="A6"/>
        </w:rPr>
        <w:t xml:space="preserve">a </w:t>
      </w:r>
      <w:r>
        <w:rPr>
          <w:rFonts w:ascii="Arial" w:hAnsi="Arial" w:cs="Arial"/>
          <w:color w:val="595959" w:themeColor="text1" w:themeTint="A6"/>
        </w:rPr>
        <w:t xml:space="preserve">significant increase </w:t>
      </w:r>
      <w:r w:rsidR="0054039C" w:rsidRPr="0054039C">
        <w:rPr>
          <w:rFonts w:ascii="Arial" w:hAnsi="Arial" w:cs="Arial"/>
          <w:color w:val="595959" w:themeColor="text1" w:themeTint="A6"/>
        </w:rPr>
        <w:t>(Figure 3.5)</w:t>
      </w:r>
      <w:r w:rsidR="00D37689">
        <w:rPr>
          <w:rFonts w:ascii="Arial" w:hAnsi="Arial" w:cs="Arial"/>
          <w:color w:val="595959" w:themeColor="text1" w:themeTint="A6"/>
        </w:rPr>
        <w:t xml:space="preserve"> at</w:t>
      </w:r>
      <w:r w:rsidR="0054039C" w:rsidRPr="0054039C">
        <w:rPr>
          <w:rFonts w:ascii="Arial" w:hAnsi="Arial" w:cs="Arial"/>
          <w:color w:val="595959" w:themeColor="text1" w:themeTint="A6"/>
        </w:rPr>
        <w:t xml:space="preserve"> 48 h, </w:t>
      </w:r>
      <w:r w:rsidR="00F540C8">
        <w:rPr>
          <w:rFonts w:ascii="Arial" w:hAnsi="Arial" w:cs="Arial"/>
          <w:color w:val="595959" w:themeColor="text1" w:themeTint="A6"/>
        </w:rPr>
        <w:t xml:space="preserve">with </w:t>
      </w:r>
      <w:r w:rsidR="0054039C" w:rsidRPr="0054039C">
        <w:rPr>
          <w:rFonts w:ascii="Arial" w:hAnsi="Arial" w:cs="Arial"/>
          <w:color w:val="595959" w:themeColor="text1" w:themeTint="A6"/>
        </w:rPr>
        <w:t>a mean fold increase of 16.74 ± 6.34 (p &lt;0.0001)</w:t>
      </w:r>
      <w:r>
        <w:rPr>
          <w:rFonts w:ascii="Arial" w:hAnsi="Arial" w:cs="Arial"/>
          <w:color w:val="595959" w:themeColor="text1" w:themeTint="A6"/>
        </w:rPr>
        <w:t xml:space="preserve"> </w:t>
      </w:r>
      <w:r w:rsidR="00F540C8">
        <w:rPr>
          <w:rFonts w:ascii="Arial" w:hAnsi="Arial" w:cs="Arial"/>
          <w:color w:val="595959" w:themeColor="text1" w:themeTint="A6"/>
        </w:rPr>
        <w:t xml:space="preserve">being </w:t>
      </w:r>
      <w:r>
        <w:rPr>
          <w:rFonts w:ascii="Arial" w:hAnsi="Arial" w:cs="Arial"/>
          <w:color w:val="595959" w:themeColor="text1" w:themeTint="A6"/>
        </w:rPr>
        <w:t>observed</w:t>
      </w:r>
      <w:r w:rsidR="0054039C" w:rsidRPr="0054039C">
        <w:rPr>
          <w:rFonts w:ascii="Arial" w:hAnsi="Arial" w:cs="Arial"/>
          <w:color w:val="595959" w:themeColor="text1" w:themeTint="A6"/>
        </w:rPr>
        <w:t xml:space="preserve">. </w:t>
      </w:r>
      <w:r>
        <w:rPr>
          <w:rFonts w:ascii="Arial" w:hAnsi="Arial" w:cs="Arial"/>
          <w:color w:val="595959" w:themeColor="text1" w:themeTint="A6"/>
        </w:rPr>
        <w:t>No significant change in VCAN expression was observed after 24 h or 72 h TGFβ-1 treatment with</w:t>
      </w:r>
      <w:r w:rsidR="0054039C" w:rsidRPr="0054039C">
        <w:rPr>
          <w:rFonts w:ascii="Arial" w:hAnsi="Arial" w:cs="Arial"/>
          <w:color w:val="595959" w:themeColor="text1" w:themeTint="A6"/>
        </w:rPr>
        <w:t xml:space="preserve"> mean fold change</w:t>
      </w:r>
      <w:r>
        <w:rPr>
          <w:rFonts w:ascii="Arial" w:hAnsi="Arial" w:cs="Arial"/>
          <w:color w:val="595959" w:themeColor="text1" w:themeTint="A6"/>
        </w:rPr>
        <w:t>s</w:t>
      </w:r>
      <w:r w:rsidR="0054039C" w:rsidRPr="0054039C">
        <w:rPr>
          <w:rFonts w:ascii="Arial" w:hAnsi="Arial" w:cs="Arial"/>
          <w:color w:val="595959" w:themeColor="text1" w:themeTint="A6"/>
        </w:rPr>
        <w:t xml:space="preserve"> of </w:t>
      </w:r>
      <w:r>
        <w:rPr>
          <w:rFonts w:ascii="Arial" w:hAnsi="Arial" w:cs="Arial"/>
          <w:color w:val="595959" w:themeColor="text1" w:themeTint="A6"/>
        </w:rPr>
        <w:t xml:space="preserve">2.14 </w:t>
      </w:r>
      <w:r w:rsidRPr="0054039C">
        <w:rPr>
          <w:rFonts w:ascii="Arial" w:hAnsi="Arial" w:cs="Arial"/>
          <w:color w:val="595959" w:themeColor="text1" w:themeTint="A6"/>
        </w:rPr>
        <w:t>±</w:t>
      </w:r>
      <w:r>
        <w:rPr>
          <w:rFonts w:ascii="Arial" w:hAnsi="Arial" w:cs="Arial"/>
          <w:color w:val="595959" w:themeColor="text1" w:themeTint="A6"/>
        </w:rPr>
        <w:t xml:space="preserve"> 1.02 and </w:t>
      </w:r>
      <w:r w:rsidR="0054039C" w:rsidRPr="0054039C">
        <w:rPr>
          <w:rFonts w:ascii="Arial" w:hAnsi="Arial" w:cs="Arial"/>
          <w:color w:val="595959" w:themeColor="text1" w:themeTint="A6"/>
        </w:rPr>
        <w:t>3.84 ± 2.33</w:t>
      </w:r>
      <w:r>
        <w:rPr>
          <w:rFonts w:ascii="Arial" w:hAnsi="Arial" w:cs="Arial"/>
          <w:color w:val="595959" w:themeColor="text1" w:themeTint="A6"/>
        </w:rPr>
        <w:t>, respectively,</w:t>
      </w:r>
      <w:r w:rsidR="0054039C" w:rsidRPr="0054039C">
        <w:rPr>
          <w:rFonts w:ascii="Arial" w:hAnsi="Arial" w:cs="Arial"/>
          <w:color w:val="595959" w:themeColor="text1" w:themeTint="A6"/>
        </w:rPr>
        <w:t xml:space="preserve"> compared to 24 vehicle control groups.  </w:t>
      </w:r>
    </w:p>
    <w:p w14:paraId="18D39C9D" w14:textId="77777777" w:rsidR="0054039C" w:rsidRPr="0054039C" w:rsidRDefault="0054039C" w:rsidP="0054039C">
      <w:pPr>
        <w:spacing w:line="360" w:lineRule="auto"/>
        <w:jc w:val="both"/>
        <w:rPr>
          <w:rFonts w:ascii="Arial" w:hAnsi="Arial" w:cs="Arial"/>
          <w:color w:val="595959" w:themeColor="text1" w:themeTint="A6"/>
        </w:rPr>
      </w:pPr>
    </w:p>
    <w:p w14:paraId="092BF739" w14:textId="3A6AFFF9" w:rsidR="0054039C" w:rsidRPr="0054039C" w:rsidRDefault="00C005F7" w:rsidP="0054039C">
      <w:pPr>
        <w:spacing w:line="360" w:lineRule="auto"/>
        <w:jc w:val="both"/>
        <w:rPr>
          <w:rFonts w:ascii="Arial" w:hAnsi="Arial" w:cs="Arial"/>
          <w:color w:val="595959" w:themeColor="text1" w:themeTint="A6"/>
        </w:rPr>
      </w:pPr>
      <w:r w:rsidRPr="00C005F7">
        <w:rPr>
          <w:noProof/>
        </w:rPr>
        <w:drawing>
          <wp:anchor distT="0" distB="0" distL="114300" distR="114300" simplePos="0" relativeHeight="251658477" behindDoc="0" locked="0" layoutInCell="1" allowOverlap="1" wp14:anchorId="20F94845" wp14:editId="35EABAF1">
            <wp:simplePos x="0" y="0"/>
            <wp:positionH relativeFrom="margin">
              <wp:align>center</wp:align>
            </wp:positionH>
            <wp:positionV relativeFrom="paragraph">
              <wp:posOffset>305435</wp:posOffset>
            </wp:positionV>
            <wp:extent cx="3759200" cy="2641600"/>
            <wp:effectExtent l="0" t="0" r="0" b="0"/>
            <wp:wrapNone/>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759200" cy="2641600"/>
                    </a:xfrm>
                    <a:prstGeom prst="rect">
                      <a:avLst/>
                    </a:prstGeom>
                    <a:noFill/>
                    <a:ln>
                      <a:noFill/>
                    </a:ln>
                  </pic:spPr>
                </pic:pic>
              </a:graphicData>
            </a:graphic>
          </wp:anchor>
        </w:drawing>
      </w:r>
    </w:p>
    <w:p w14:paraId="76B8046B" w14:textId="4B117432" w:rsidR="0054039C" w:rsidRPr="0054039C" w:rsidRDefault="0054039C" w:rsidP="0054039C">
      <w:pPr>
        <w:spacing w:line="360" w:lineRule="auto"/>
        <w:jc w:val="both"/>
        <w:rPr>
          <w:rFonts w:ascii="Arial" w:hAnsi="Arial" w:cs="Arial"/>
          <w:color w:val="595959" w:themeColor="text1" w:themeTint="A6"/>
        </w:rPr>
      </w:pPr>
    </w:p>
    <w:p w14:paraId="0C8E7E5A" w14:textId="279FD995" w:rsidR="0054039C" w:rsidRPr="0054039C" w:rsidRDefault="0054039C" w:rsidP="0054039C">
      <w:pPr>
        <w:spacing w:line="360" w:lineRule="auto"/>
        <w:jc w:val="both"/>
        <w:rPr>
          <w:rFonts w:ascii="Arial" w:hAnsi="Arial" w:cs="Arial"/>
          <w:color w:val="595959" w:themeColor="text1" w:themeTint="A6"/>
        </w:rPr>
      </w:pPr>
    </w:p>
    <w:p w14:paraId="5191F160" w14:textId="77777777" w:rsidR="0054039C" w:rsidRPr="0054039C" w:rsidRDefault="0054039C" w:rsidP="0054039C">
      <w:pPr>
        <w:spacing w:line="360" w:lineRule="auto"/>
        <w:jc w:val="both"/>
        <w:rPr>
          <w:rFonts w:ascii="Arial" w:hAnsi="Arial" w:cs="Arial"/>
          <w:color w:val="595959" w:themeColor="text1" w:themeTint="A6"/>
        </w:rPr>
      </w:pPr>
    </w:p>
    <w:p w14:paraId="66E5CFEE" w14:textId="77777777" w:rsidR="0054039C" w:rsidRPr="0054039C" w:rsidRDefault="0054039C" w:rsidP="0054039C">
      <w:pPr>
        <w:spacing w:line="360" w:lineRule="auto"/>
        <w:jc w:val="both"/>
        <w:rPr>
          <w:rFonts w:ascii="Arial" w:hAnsi="Arial" w:cs="Arial"/>
          <w:color w:val="595959" w:themeColor="text1" w:themeTint="A6"/>
        </w:rPr>
      </w:pPr>
    </w:p>
    <w:p w14:paraId="1966D86C" w14:textId="77777777" w:rsidR="0054039C" w:rsidRPr="0054039C" w:rsidRDefault="0054039C" w:rsidP="0054039C">
      <w:pPr>
        <w:spacing w:line="360" w:lineRule="auto"/>
        <w:jc w:val="both"/>
        <w:rPr>
          <w:rFonts w:ascii="Arial" w:hAnsi="Arial" w:cs="Arial"/>
          <w:color w:val="595959" w:themeColor="text1" w:themeTint="A6"/>
        </w:rPr>
      </w:pPr>
    </w:p>
    <w:p w14:paraId="19895D7C" w14:textId="77777777" w:rsidR="0054039C" w:rsidRPr="0054039C" w:rsidRDefault="0054039C" w:rsidP="0054039C">
      <w:pPr>
        <w:spacing w:line="360" w:lineRule="auto"/>
        <w:jc w:val="both"/>
        <w:rPr>
          <w:rFonts w:ascii="Arial" w:hAnsi="Arial" w:cs="Arial"/>
          <w:color w:val="595959" w:themeColor="text1" w:themeTint="A6"/>
        </w:rPr>
      </w:pPr>
    </w:p>
    <w:p w14:paraId="45D42501" w14:textId="77777777" w:rsidR="0054039C" w:rsidRPr="0054039C" w:rsidRDefault="0054039C" w:rsidP="0054039C">
      <w:pPr>
        <w:spacing w:line="360" w:lineRule="auto"/>
        <w:jc w:val="both"/>
        <w:rPr>
          <w:rFonts w:ascii="Arial" w:hAnsi="Arial" w:cs="Arial"/>
          <w:color w:val="595959" w:themeColor="text1" w:themeTint="A6"/>
        </w:rPr>
      </w:pPr>
    </w:p>
    <w:p w14:paraId="769C71B9" w14:textId="77777777" w:rsidR="0054039C" w:rsidRPr="0054039C" w:rsidRDefault="0054039C" w:rsidP="0054039C">
      <w:pPr>
        <w:spacing w:line="360" w:lineRule="auto"/>
        <w:jc w:val="both"/>
        <w:rPr>
          <w:rFonts w:ascii="Arial" w:hAnsi="Arial" w:cs="Arial"/>
          <w:color w:val="595959" w:themeColor="text1" w:themeTint="A6"/>
        </w:rPr>
      </w:pPr>
    </w:p>
    <w:p w14:paraId="6AC3C8A8" w14:textId="77777777" w:rsidR="0054039C" w:rsidRPr="0054039C" w:rsidRDefault="0054039C" w:rsidP="0054039C">
      <w:pPr>
        <w:spacing w:line="360" w:lineRule="auto"/>
        <w:jc w:val="both"/>
        <w:rPr>
          <w:rFonts w:ascii="Arial" w:hAnsi="Arial" w:cs="Arial"/>
          <w:color w:val="595959" w:themeColor="text1" w:themeTint="A6"/>
        </w:rPr>
      </w:pPr>
    </w:p>
    <w:p w14:paraId="73F5B802" w14:textId="77777777" w:rsidR="0054039C" w:rsidRPr="0054039C" w:rsidRDefault="0054039C" w:rsidP="0054039C">
      <w:pPr>
        <w:spacing w:line="360" w:lineRule="auto"/>
        <w:jc w:val="both"/>
        <w:rPr>
          <w:rFonts w:ascii="Arial" w:hAnsi="Arial" w:cs="Arial"/>
          <w:color w:val="595959" w:themeColor="text1" w:themeTint="A6"/>
        </w:rPr>
      </w:pPr>
      <w:r w:rsidRPr="0054039C">
        <w:rPr>
          <w:rFonts w:ascii="Arial" w:hAnsi="Arial" w:cs="Arial"/>
          <w:noProof/>
          <w:color w:val="595959" w:themeColor="text1" w:themeTint="A6"/>
          <w:sz w:val="24"/>
          <w:szCs w:val="24"/>
          <w:lang w:eastAsia="zh-CN"/>
        </w:rPr>
        <mc:AlternateContent>
          <mc:Choice Requires="wps">
            <w:drawing>
              <wp:anchor distT="0" distB="0" distL="114300" distR="114300" simplePos="0" relativeHeight="251658270" behindDoc="0" locked="0" layoutInCell="1" allowOverlap="1" wp14:anchorId="058CF777" wp14:editId="5BFA5D2B">
                <wp:simplePos x="0" y="0"/>
                <wp:positionH relativeFrom="margin">
                  <wp:align>right</wp:align>
                </wp:positionH>
                <wp:positionV relativeFrom="paragraph">
                  <wp:posOffset>287020</wp:posOffset>
                </wp:positionV>
                <wp:extent cx="5724525" cy="1562100"/>
                <wp:effectExtent l="0" t="0" r="9525" b="0"/>
                <wp:wrapNone/>
                <wp:docPr id="15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1562100"/>
                        </a:xfrm>
                        <a:prstGeom prst="rect">
                          <a:avLst/>
                        </a:prstGeom>
                        <a:solidFill>
                          <a:srgbClr val="FFFFFF"/>
                        </a:solidFill>
                        <a:ln w="9525">
                          <a:noFill/>
                          <a:miter lim="800000"/>
                          <a:headEnd/>
                          <a:tailEnd/>
                        </a:ln>
                      </wps:spPr>
                      <wps:txbx>
                        <w:txbxContent>
                          <w:p w14:paraId="53255694" w14:textId="77777777" w:rsidR="008A47AC" w:rsidRDefault="008A47AC" w:rsidP="0054039C">
                            <w:pPr>
                              <w:pStyle w:val="NormalWeb"/>
                              <w:spacing w:after="200"/>
                              <w:jc w:val="both"/>
                            </w:pPr>
                            <w:r>
                              <w:rPr>
                                <w:rFonts w:ascii="Arial Narrow" w:eastAsia="SimSun" w:hAnsi="Arial Narrow" w:cs="Arial"/>
                                <w:b/>
                                <w:bCs/>
                                <w:color w:val="595959"/>
                                <w:kern w:val="24"/>
                                <w:sz w:val="22"/>
                                <w:szCs w:val="22"/>
                              </w:rPr>
                              <w:t xml:space="preserve">Figure 3.5 Short-term expression data for the matrix </w:t>
                            </w:r>
                            <w:r w:rsidRPr="00C75A86">
                              <w:rPr>
                                <w:rFonts w:ascii="Arial Narrow" w:eastAsia="SimSun" w:hAnsi="Arial Narrow" w:cs="Arial"/>
                                <w:b/>
                                <w:bCs/>
                                <w:color w:val="595959"/>
                                <w:kern w:val="24"/>
                                <w:sz w:val="22"/>
                                <w:szCs w:val="22"/>
                              </w:rPr>
                              <w:t xml:space="preserve">marker </w:t>
                            </w:r>
                            <w:r>
                              <w:rPr>
                                <w:rFonts w:ascii="Arial Narrow" w:eastAsia="SimSun" w:hAnsi="Arial Narrow" w:cs="Arial"/>
                                <w:b/>
                                <w:color w:val="595959"/>
                                <w:kern w:val="24"/>
                                <w:sz w:val="22"/>
                                <w:szCs w:val="22"/>
                              </w:rPr>
                              <w:t xml:space="preserve">VCAN in NOF </w:t>
                            </w:r>
                            <w:r>
                              <w:rPr>
                                <w:rFonts w:ascii="Arial Narrow" w:eastAsia="SimSun" w:hAnsi="Arial Narrow" w:cs="Arial"/>
                                <w:b/>
                                <w:bCs/>
                                <w:color w:val="595959"/>
                                <w:kern w:val="24"/>
                                <w:sz w:val="22"/>
                                <w:szCs w:val="22"/>
                              </w:rPr>
                              <w:t>with and without TGFβ-1 stimulation</w:t>
                            </w:r>
                            <w:r>
                              <w:rPr>
                                <w:rFonts w:ascii="Arial Narrow" w:eastAsia="SimSun" w:hAnsi="Arial Narrow" w:cs="Arial"/>
                                <w:b/>
                                <w:color w:val="595959"/>
                                <w:kern w:val="24"/>
                                <w:sz w:val="22"/>
                                <w:szCs w:val="22"/>
                              </w:rPr>
                              <w:t xml:space="preserve"> </w:t>
                            </w:r>
                            <w:r>
                              <w:rPr>
                                <w:rFonts w:ascii="Arial Narrow" w:eastAsia="SimSun" w:hAnsi="Arial Narrow" w:cs="Arial"/>
                                <w:b/>
                                <w:bCs/>
                                <w:color w:val="595959"/>
                                <w:kern w:val="24"/>
                                <w:sz w:val="22"/>
                                <w:szCs w:val="22"/>
                              </w:rPr>
                              <w:t xml:space="preserve">  </w:t>
                            </w:r>
                          </w:p>
                          <w:p w14:paraId="5A775B1C" w14:textId="6640A8B0" w:rsidR="008A47AC" w:rsidRPr="00DB2020" w:rsidRDefault="008A47AC" w:rsidP="0054039C">
                            <w:pPr>
                              <w:pStyle w:val="NormalWeb"/>
                              <w:spacing w:after="200" w:line="276" w:lineRule="auto"/>
                              <w:jc w:val="both"/>
                              <w:rPr>
                                <w:rFonts w:ascii="Arial Narrow" w:eastAsia="SimSun" w:hAnsi="Arial Narrow" w:cs="Arial"/>
                                <w:color w:val="595959"/>
                                <w:kern w:val="24"/>
                                <w:sz w:val="22"/>
                                <w:szCs w:val="22"/>
                              </w:rPr>
                            </w:pPr>
                            <w:r>
                              <w:rPr>
                                <w:rFonts w:ascii="Arial Narrow" w:eastAsia="SimSun" w:hAnsi="Arial Narrow" w:cs="Arial"/>
                                <w:color w:val="595959"/>
                                <w:kern w:val="24"/>
                                <w:sz w:val="22"/>
                              </w:rPr>
                              <w:t xml:space="preserve">NOF 2D monolayers were treated </w:t>
                            </w:r>
                            <w:r>
                              <w:rPr>
                                <w:rFonts w:ascii="Arial Narrow" w:eastAsia="SimSun" w:hAnsi="Arial Narrow" w:cs="Arial"/>
                                <w:color w:val="595959"/>
                                <w:kern w:val="24"/>
                                <w:sz w:val="22"/>
                                <w:szCs w:val="22"/>
                              </w:rPr>
                              <w:t xml:space="preserve">with 5 ng/mL TGFβ-1 up to 72 h </w:t>
                            </w:r>
                            <w:r>
                              <w:rPr>
                                <w:rFonts w:ascii="Arial Narrow" w:eastAsia="SimSun" w:hAnsi="Arial Narrow" w:cs="Arial"/>
                                <w:color w:val="595959"/>
                                <w:kern w:val="24"/>
                                <w:sz w:val="22"/>
                              </w:rPr>
                              <w:t xml:space="preserve">and the gene expression for </w:t>
                            </w:r>
                            <w:r>
                              <w:rPr>
                                <w:rFonts w:ascii="Arial Narrow" w:eastAsia="SimSun" w:hAnsi="Arial Narrow" w:cs="Arial"/>
                                <w:color w:val="595959"/>
                                <w:kern w:val="24"/>
                                <w:sz w:val="22"/>
                                <w:szCs w:val="22"/>
                              </w:rPr>
                              <w:t xml:space="preserve">VCAN was </w:t>
                            </w:r>
                            <w:r>
                              <w:rPr>
                                <w:rFonts w:ascii="Arial Narrow" w:eastAsia="SimSun" w:hAnsi="Arial Narrow" w:cs="Arial"/>
                                <w:color w:val="595959"/>
                                <w:kern w:val="24"/>
                                <w:sz w:val="22"/>
                              </w:rPr>
                              <w:t>determined by qPCR</w:t>
                            </w:r>
                            <w:r>
                              <w:rPr>
                                <w:rFonts w:ascii="Arial Narrow" w:eastAsia="SimSun" w:hAnsi="Arial Narrow" w:cs="Arial"/>
                                <w:color w:val="595959"/>
                                <w:kern w:val="24"/>
                                <w:sz w:val="22"/>
                                <w:szCs w:val="22"/>
                              </w:rPr>
                              <w:t xml:space="preserve">. </w:t>
                            </w:r>
                            <w:r>
                              <w:rPr>
                                <w:rFonts w:ascii="Arial Narrow" w:eastAsia="SimSun" w:hAnsi="Arial Narrow" w:cs="Arial"/>
                                <w:color w:val="595959"/>
                                <w:kern w:val="24"/>
                                <w:sz w:val="22"/>
                              </w:rPr>
                              <w:t xml:space="preserve">Data is expressed as fold change relative to housekeeping gene U6, with mean ± SD. **** denotes p &lt;0.0001 as </w:t>
                            </w:r>
                            <w:r>
                              <w:rPr>
                                <w:rFonts w:ascii="Arial Narrow" w:eastAsia="SimSun" w:hAnsi="Arial Narrow" w:cs="Arial"/>
                                <w:color w:val="595959"/>
                                <w:kern w:val="24"/>
                                <w:sz w:val="22"/>
                                <w:szCs w:val="22"/>
                              </w:rPr>
                              <w:t>analysed by ordinary one-way ANOVA with Dunnett’s multiple comparison. (N=3, n=3).</w:t>
                            </w:r>
                          </w:p>
                          <w:p w14:paraId="2FEF17DD" w14:textId="77777777" w:rsidR="008A47AC" w:rsidRPr="003860C9" w:rsidRDefault="008A47AC" w:rsidP="0054039C">
                            <w:pPr>
                              <w:pStyle w:val="NormalWeb"/>
                              <w:spacing w:after="200" w:line="276" w:lineRule="auto"/>
                              <w:jc w:val="both"/>
                              <w:rPr>
                                <w:rFonts w:ascii="Arial Narrow" w:eastAsia="SimSun" w:hAnsi="Arial Narrow" w:cs="Arial"/>
                                <w:color w:val="595959"/>
                                <w:kern w:val="24"/>
                                <w:sz w:val="22"/>
                                <w:szCs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8CF777" id="_x0000_s1066" type="#_x0000_t202" style="position:absolute;left:0;text-align:left;margin-left:399.55pt;margin-top:22.6pt;width:450.75pt;height:123pt;z-index:25165827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" stroked="f">
                <v:textbox>
                  <w:txbxContent>
                    <w:p w14:paraId="53255694" w14:textId="77777777" w:rsidR="008A47AC" w:rsidRDefault="008A47AC" w:rsidP="0054039C">
                      <w:pPr>
                        <w:pStyle w:val="NormalWeb"/>
                        <w:spacing w:after="200"/>
                        <w:jc w:val="both"/>
                      </w:pPr>
                      <w:r>
                        <w:rPr>
                          <w:rFonts w:ascii="Arial Narrow" w:eastAsia="SimSun" w:hAnsi="Arial Narrow" w:cs="Arial"/>
                          <w:b/>
                          <w:bCs/>
                          <w:color w:val="595959"/>
                          <w:kern w:val="24"/>
                          <w:sz w:val="22"/>
                          <w:szCs w:val="22"/>
                        </w:rPr>
                        <w:t xml:space="preserve">Figure 3.5 Short-term expression data for the matrix </w:t>
                      </w:r>
                      <w:r w:rsidRPr="00C75A86">
                        <w:rPr>
                          <w:rFonts w:ascii="Arial Narrow" w:eastAsia="SimSun" w:hAnsi="Arial Narrow" w:cs="Arial"/>
                          <w:b/>
                          <w:bCs/>
                          <w:color w:val="595959"/>
                          <w:kern w:val="24"/>
                          <w:sz w:val="22"/>
                          <w:szCs w:val="22"/>
                        </w:rPr>
                        <w:t xml:space="preserve">marker </w:t>
                      </w:r>
                      <w:r>
                        <w:rPr>
                          <w:rFonts w:ascii="Arial Narrow" w:eastAsia="SimSun" w:hAnsi="Arial Narrow" w:cs="Arial"/>
                          <w:b/>
                          <w:color w:val="595959"/>
                          <w:kern w:val="24"/>
                          <w:sz w:val="22"/>
                          <w:szCs w:val="22"/>
                        </w:rPr>
                        <w:t xml:space="preserve">VCAN in NOF </w:t>
                      </w:r>
                      <w:r>
                        <w:rPr>
                          <w:rFonts w:ascii="Arial Narrow" w:eastAsia="SimSun" w:hAnsi="Arial Narrow" w:cs="Arial"/>
                          <w:b/>
                          <w:bCs/>
                          <w:color w:val="595959"/>
                          <w:kern w:val="24"/>
                          <w:sz w:val="22"/>
                          <w:szCs w:val="22"/>
                        </w:rPr>
                        <w:t>with and without TGFβ-1 stimulation</w:t>
                      </w:r>
                      <w:r>
                        <w:rPr>
                          <w:rFonts w:ascii="Arial Narrow" w:eastAsia="SimSun" w:hAnsi="Arial Narrow" w:cs="Arial"/>
                          <w:b/>
                          <w:color w:val="595959"/>
                          <w:kern w:val="24"/>
                          <w:sz w:val="22"/>
                          <w:szCs w:val="22"/>
                        </w:rPr>
                        <w:t xml:space="preserve"> </w:t>
                      </w:r>
                      <w:r>
                        <w:rPr>
                          <w:rFonts w:ascii="Arial Narrow" w:eastAsia="SimSun" w:hAnsi="Arial Narrow" w:cs="Arial"/>
                          <w:b/>
                          <w:bCs/>
                          <w:color w:val="595959"/>
                          <w:kern w:val="24"/>
                          <w:sz w:val="22"/>
                          <w:szCs w:val="22"/>
                        </w:rPr>
                        <w:t xml:space="preserve">  </w:t>
                      </w:r>
                    </w:p>
                    <w:p w14:paraId="5A775B1C" w14:textId="6640A8B0" w:rsidR="008A47AC" w:rsidRPr="00DB2020" w:rsidRDefault="008A47AC" w:rsidP="0054039C">
                      <w:pPr>
                        <w:pStyle w:val="NormalWeb"/>
                        <w:spacing w:after="200" w:line="276" w:lineRule="auto"/>
                        <w:jc w:val="both"/>
                        <w:rPr>
                          <w:rFonts w:ascii="Arial Narrow" w:eastAsia="SimSun" w:hAnsi="Arial Narrow" w:cs="Arial"/>
                          <w:color w:val="595959"/>
                          <w:kern w:val="24"/>
                          <w:sz w:val="22"/>
                          <w:szCs w:val="22"/>
                        </w:rPr>
                      </w:pPr>
                      <w:r>
                        <w:rPr>
                          <w:rFonts w:ascii="Arial Narrow" w:eastAsia="SimSun" w:hAnsi="Arial Narrow" w:cs="Arial"/>
                          <w:color w:val="595959"/>
                          <w:kern w:val="24"/>
                          <w:sz w:val="22"/>
                        </w:rPr>
                        <w:t xml:space="preserve">NOF 2D monolayers were treated </w:t>
                      </w:r>
                      <w:r>
                        <w:rPr>
                          <w:rFonts w:ascii="Arial Narrow" w:eastAsia="SimSun" w:hAnsi="Arial Narrow" w:cs="Arial"/>
                          <w:color w:val="595959"/>
                          <w:kern w:val="24"/>
                          <w:sz w:val="22"/>
                          <w:szCs w:val="22"/>
                        </w:rPr>
                        <w:t xml:space="preserve">with 5 ng/mL TGFβ-1 up to 72 h </w:t>
                      </w:r>
                      <w:r>
                        <w:rPr>
                          <w:rFonts w:ascii="Arial Narrow" w:eastAsia="SimSun" w:hAnsi="Arial Narrow" w:cs="Arial"/>
                          <w:color w:val="595959"/>
                          <w:kern w:val="24"/>
                          <w:sz w:val="22"/>
                        </w:rPr>
                        <w:t xml:space="preserve">and the gene expression for </w:t>
                      </w:r>
                      <w:r>
                        <w:rPr>
                          <w:rFonts w:ascii="Arial Narrow" w:eastAsia="SimSun" w:hAnsi="Arial Narrow" w:cs="Arial"/>
                          <w:color w:val="595959"/>
                          <w:kern w:val="24"/>
                          <w:sz w:val="22"/>
                          <w:szCs w:val="22"/>
                        </w:rPr>
                        <w:t xml:space="preserve">VCAN was </w:t>
                      </w:r>
                      <w:r>
                        <w:rPr>
                          <w:rFonts w:ascii="Arial Narrow" w:eastAsia="SimSun" w:hAnsi="Arial Narrow" w:cs="Arial"/>
                          <w:color w:val="595959"/>
                          <w:kern w:val="24"/>
                          <w:sz w:val="22"/>
                        </w:rPr>
                        <w:t>determined by qPCR</w:t>
                      </w:r>
                      <w:r>
                        <w:rPr>
                          <w:rFonts w:ascii="Arial Narrow" w:eastAsia="SimSun" w:hAnsi="Arial Narrow" w:cs="Arial"/>
                          <w:color w:val="595959"/>
                          <w:kern w:val="24"/>
                          <w:sz w:val="22"/>
                          <w:szCs w:val="22"/>
                        </w:rPr>
                        <w:t xml:space="preserve">. </w:t>
                      </w:r>
                      <w:r>
                        <w:rPr>
                          <w:rFonts w:ascii="Arial Narrow" w:eastAsia="SimSun" w:hAnsi="Arial Narrow" w:cs="Arial"/>
                          <w:color w:val="595959"/>
                          <w:kern w:val="24"/>
                          <w:sz w:val="22"/>
                        </w:rPr>
                        <w:t xml:space="preserve">Data is expressed as fold change relative to housekeeping gene U6, with mean ± SD. **** denotes p &lt;0.0001 as </w:t>
                      </w:r>
                      <w:r>
                        <w:rPr>
                          <w:rFonts w:ascii="Arial Narrow" w:eastAsia="SimSun" w:hAnsi="Arial Narrow" w:cs="Arial"/>
                          <w:color w:val="595959"/>
                          <w:kern w:val="24"/>
                          <w:sz w:val="22"/>
                          <w:szCs w:val="22"/>
                        </w:rPr>
                        <w:t>analysed by ordinary one-way ANOVA with Dunnett’s multiple comparison. (N=3, n=3).</w:t>
                      </w:r>
                    </w:p>
                    <w:p w14:paraId="2FEF17DD" w14:textId="77777777" w:rsidR="008A47AC" w:rsidRPr="003860C9" w:rsidRDefault="008A47AC" w:rsidP="0054039C">
                      <w:pPr>
                        <w:pStyle w:val="NormalWeb"/>
                        <w:spacing w:after="200" w:line="276" w:lineRule="auto"/>
                        <w:jc w:val="both"/>
                        <w:rPr>
                          <w:rFonts w:ascii="Arial Narrow" w:eastAsia="SimSun" w:hAnsi="Arial Narrow" w:cs="Arial"/>
                          <w:color w:val="595959"/>
                          <w:kern w:val="24"/>
                          <w:sz w:val="22"/>
                          <w:szCs w:val="22"/>
                        </w:rPr>
                      </w:pPr>
                    </w:p>
                  </w:txbxContent>
                </v:textbox>
                <w10:wrap anchorx="margin"/>
              </v:shape>
            </w:pict>
          </mc:Fallback>
        </mc:AlternateContent>
      </w:r>
    </w:p>
    <w:p w14:paraId="34A122E8" w14:textId="77777777" w:rsidR="0054039C" w:rsidRPr="0054039C" w:rsidRDefault="0054039C" w:rsidP="0054039C">
      <w:pPr>
        <w:spacing w:line="360" w:lineRule="auto"/>
        <w:jc w:val="both"/>
        <w:rPr>
          <w:rFonts w:ascii="Arial" w:hAnsi="Arial" w:cs="Arial"/>
          <w:color w:val="595959" w:themeColor="text1" w:themeTint="A6"/>
          <w:sz w:val="24"/>
          <w:szCs w:val="24"/>
          <w:u w:val="single"/>
        </w:rPr>
      </w:pPr>
    </w:p>
    <w:p w14:paraId="24C4F3A0" w14:textId="77777777" w:rsidR="0054039C" w:rsidRPr="0054039C" w:rsidRDefault="0054039C" w:rsidP="0054039C">
      <w:pPr>
        <w:spacing w:line="360" w:lineRule="auto"/>
        <w:jc w:val="both"/>
        <w:rPr>
          <w:rFonts w:ascii="Arial" w:hAnsi="Arial" w:cs="Arial"/>
          <w:color w:val="595959" w:themeColor="text1" w:themeTint="A6"/>
          <w:sz w:val="24"/>
          <w:szCs w:val="24"/>
          <w:u w:val="single"/>
        </w:rPr>
      </w:pPr>
    </w:p>
    <w:p w14:paraId="32C316B2" w14:textId="77777777" w:rsidR="0054039C" w:rsidRPr="0054039C" w:rsidRDefault="0054039C" w:rsidP="0054039C">
      <w:pPr>
        <w:spacing w:line="360" w:lineRule="auto"/>
        <w:jc w:val="both"/>
        <w:rPr>
          <w:rFonts w:ascii="Arial" w:hAnsi="Arial" w:cs="Arial"/>
          <w:color w:val="595959" w:themeColor="text1" w:themeTint="A6"/>
          <w:sz w:val="24"/>
          <w:szCs w:val="24"/>
          <w:u w:val="single"/>
        </w:rPr>
      </w:pPr>
    </w:p>
    <w:p w14:paraId="014A6EC7" w14:textId="77777777" w:rsidR="0054039C" w:rsidRPr="0054039C" w:rsidRDefault="0054039C" w:rsidP="0054039C">
      <w:pPr>
        <w:spacing w:line="360" w:lineRule="auto"/>
        <w:jc w:val="both"/>
        <w:rPr>
          <w:rFonts w:ascii="Arial" w:hAnsi="Arial" w:cs="Arial"/>
          <w:color w:val="595959" w:themeColor="text1" w:themeTint="A6"/>
          <w:sz w:val="24"/>
          <w:szCs w:val="24"/>
          <w:u w:val="single"/>
        </w:rPr>
      </w:pPr>
    </w:p>
    <w:p w14:paraId="1F88800B" w14:textId="77777777" w:rsidR="0054039C" w:rsidRPr="0054039C" w:rsidRDefault="0054039C" w:rsidP="0054039C">
      <w:pPr>
        <w:spacing w:line="360" w:lineRule="auto"/>
        <w:jc w:val="both"/>
        <w:rPr>
          <w:rFonts w:ascii="Arial" w:hAnsi="Arial" w:cs="Arial"/>
          <w:color w:val="595959" w:themeColor="text1" w:themeTint="A6"/>
          <w:sz w:val="24"/>
          <w:szCs w:val="24"/>
          <w:u w:val="single"/>
        </w:rPr>
      </w:pPr>
    </w:p>
    <w:p w14:paraId="52A4DEDE" w14:textId="34F71BF5" w:rsidR="0054039C" w:rsidRDefault="0054039C" w:rsidP="0054039C">
      <w:pPr>
        <w:spacing w:line="360" w:lineRule="auto"/>
        <w:jc w:val="both"/>
        <w:rPr>
          <w:rFonts w:ascii="Arial" w:hAnsi="Arial" w:cs="Arial"/>
          <w:color w:val="595959" w:themeColor="text1" w:themeTint="A6"/>
          <w:sz w:val="24"/>
          <w:szCs w:val="24"/>
          <w:u w:val="single"/>
        </w:rPr>
      </w:pPr>
    </w:p>
    <w:p w14:paraId="06F85B94" w14:textId="77777777" w:rsidR="00A36CAC" w:rsidRPr="0054039C" w:rsidRDefault="00A36CAC" w:rsidP="0054039C">
      <w:pPr>
        <w:spacing w:line="360" w:lineRule="auto"/>
        <w:jc w:val="both"/>
        <w:rPr>
          <w:rFonts w:ascii="Arial" w:hAnsi="Arial" w:cs="Arial"/>
          <w:color w:val="595959" w:themeColor="text1" w:themeTint="A6"/>
          <w:sz w:val="24"/>
          <w:szCs w:val="24"/>
          <w:u w:val="single"/>
        </w:rPr>
      </w:pPr>
    </w:p>
    <w:p w14:paraId="1A06CAD2" w14:textId="77777777" w:rsidR="0054039C" w:rsidRPr="0054039C" w:rsidRDefault="0054039C" w:rsidP="0054039C">
      <w:pPr>
        <w:keepNext/>
        <w:keepLines/>
        <w:spacing w:before="40" w:after="0"/>
        <w:outlineLvl w:val="4"/>
        <w:rPr>
          <w:rFonts w:ascii="Arial" w:eastAsiaTheme="majorEastAsia" w:hAnsi="Arial" w:cs="Arial"/>
          <w:color w:val="595959" w:themeColor="text1" w:themeTint="A6"/>
        </w:rPr>
      </w:pPr>
      <w:bookmarkStart w:id="239" w:name="_Toc7107244"/>
      <w:bookmarkStart w:id="240" w:name="_Toc34208350"/>
      <w:r w:rsidRPr="0054039C">
        <w:rPr>
          <w:rFonts w:ascii="Arial" w:eastAsiaTheme="majorEastAsia" w:hAnsi="Arial" w:cs="Arial"/>
          <w:color w:val="595959" w:themeColor="text1" w:themeTint="A6"/>
        </w:rPr>
        <w:lastRenderedPageBreak/>
        <w:t>3.3.1.1.5 TNC expression by RT-qPCR</w:t>
      </w:r>
      <w:bookmarkEnd w:id="239"/>
      <w:bookmarkEnd w:id="240"/>
    </w:p>
    <w:p w14:paraId="119FA61F" w14:textId="77777777" w:rsidR="0054039C" w:rsidRPr="0054039C" w:rsidRDefault="0054039C" w:rsidP="0054039C"/>
    <w:p w14:paraId="34B49FD8" w14:textId="59944346" w:rsidR="0054039C" w:rsidRPr="0054039C" w:rsidRDefault="0054039C" w:rsidP="0054039C">
      <w:pPr>
        <w:spacing w:line="480" w:lineRule="auto"/>
        <w:jc w:val="both"/>
        <w:rPr>
          <w:rFonts w:ascii="Arial" w:hAnsi="Arial" w:cs="Arial"/>
          <w:color w:val="595959" w:themeColor="text1" w:themeTint="A6"/>
        </w:rPr>
      </w:pPr>
      <w:r w:rsidRPr="0054039C">
        <w:rPr>
          <w:rFonts w:ascii="Arial" w:hAnsi="Arial" w:cs="Arial"/>
          <w:color w:val="595959" w:themeColor="text1" w:themeTint="A6"/>
        </w:rPr>
        <w:t xml:space="preserve">The target transcript TNC increased with the addition of 5 ng/mL of TGFβ-1 compared to 24 h vehicle control groups (Figure 3.6). A significant increase in transcript expression was exhibited at 48 h, with a mean fold change of 13.54 ± 9.40 (p &lt;0.0001) compared to 24 h control samples. At 24 h and 72 h, TGFβ-1 treatment resulted in no significant changes in TNC expression. </w:t>
      </w:r>
    </w:p>
    <w:p w14:paraId="1064FE3C" w14:textId="77777777" w:rsidR="0054039C" w:rsidRPr="0054039C" w:rsidRDefault="0054039C" w:rsidP="0054039C">
      <w:pPr>
        <w:spacing w:line="360" w:lineRule="auto"/>
        <w:jc w:val="both"/>
        <w:rPr>
          <w:rFonts w:ascii="Arial" w:hAnsi="Arial" w:cs="Arial"/>
          <w:color w:val="595959" w:themeColor="text1" w:themeTint="A6"/>
          <w:sz w:val="24"/>
          <w:szCs w:val="24"/>
          <w:u w:val="single"/>
        </w:rPr>
      </w:pPr>
    </w:p>
    <w:p w14:paraId="0D79F255" w14:textId="77777777" w:rsidR="0054039C" w:rsidRPr="0054039C" w:rsidRDefault="0054039C" w:rsidP="0054039C">
      <w:pPr>
        <w:spacing w:line="360" w:lineRule="auto"/>
        <w:jc w:val="both"/>
        <w:rPr>
          <w:rFonts w:ascii="Arial" w:hAnsi="Arial" w:cs="Arial"/>
          <w:color w:val="595959" w:themeColor="text1" w:themeTint="A6"/>
          <w:sz w:val="24"/>
          <w:szCs w:val="24"/>
          <w:u w:val="single"/>
        </w:rPr>
      </w:pPr>
    </w:p>
    <w:p w14:paraId="1A5252A4" w14:textId="66D7EC47" w:rsidR="0054039C" w:rsidRPr="0054039C" w:rsidRDefault="0034518D" w:rsidP="0054039C">
      <w:pPr>
        <w:spacing w:line="360" w:lineRule="auto"/>
        <w:jc w:val="both"/>
        <w:rPr>
          <w:rFonts w:ascii="Arial" w:hAnsi="Arial" w:cs="Arial"/>
          <w:color w:val="595959" w:themeColor="text1" w:themeTint="A6"/>
          <w:sz w:val="24"/>
          <w:szCs w:val="24"/>
          <w:u w:val="single"/>
        </w:rPr>
      </w:pPr>
      <w:r w:rsidRPr="0034518D">
        <w:rPr>
          <w:noProof/>
        </w:rPr>
        <w:drawing>
          <wp:anchor distT="0" distB="0" distL="114300" distR="114300" simplePos="0" relativeHeight="251658478" behindDoc="0" locked="0" layoutInCell="1" allowOverlap="1" wp14:anchorId="66A51B96" wp14:editId="049053DC">
            <wp:simplePos x="0" y="0"/>
            <wp:positionH relativeFrom="margin">
              <wp:align>center</wp:align>
            </wp:positionH>
            <wp:positionV relativeFrom="paragraph">
              <wp:posOffset>215265</wp:posOffset>
            </wp:positionV>
            <wp:extent cx="3810000" cy="2641600"/>
            <wp:effectExtent l="0" t="0" r="0" b="0"/>
            <wp:wrapNone/>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810000" cy="2641600"/>
                    </a:xfrm>
                    <a:prstGeom prst="rect">
                      <a:avLst/>
                    </a:prstGeom>
                    <a:noFill/>
                    <a:ln>
                      <a:noFill/>
                    </a:ln>
                  </pic:spPr>
                </pic:pic>
              </a:graphicData>
            </a:graphic>
          </wp:anchor>
        </w:drawing>
      </w:r>
    </w:p>
    <w:p w14:paraId="6339140D" w14:textId="68E651AB" w:rsidR="0054039C" w:rsidRPr="0054039C" w:rsidRDefault="0054039C" w:rsidP="0054039C">
      <w:pPr>
        <w:spacing w:line="360" w:lineRule="auto"/>
        <w:jc w:val="both"/>
        <w:rPr>
          <w:rFonts w:ascii="Arial" w:hAnsi="Arial" w:cs="Arial"/>
          <w:color w:val="595959" w:themeColor="text1" w:themeTint="A6"/>
          <w:sz w:val="24"/>
          <w:szCs w:val="24"/>
          <w:u w:val="single"/>
        </w:rPr>
      </w:pPr>
    </w:p>
    <w:p w14:paraId="1FC31296" w14:textId="77777777" w:rsidR="0054039C" w:rsidRPr="0054039C" w:rsidRDefault="0054039C" w:rsidP="0054039C">
      <w:pPr>
        <w:spacing w:line="360" w:lineRule="auto"/>
        <w:jc w:val="both"/>
        <w:rPr>
          <w:rFonts w:ascii="Arial" w:hAnsi="Arial" w:cs="Arial"/>
          <w:color w:val="595959" w:themeColor="text1" w:themeTint="A6"/>
          <w:sz w:val="24"/>
          <w:szCs w:val="24"/>
          <w:u w:val="single"/>
        </w:rPr>
      </w:pPr>
    </w:p>
    <w:p w14:paraId="19ACD27F" w14:textId="77777777" w:rsidR="0054039C" w:rsidRPr="0054039C" w:rsidRDefault="0054039C" w:rsidP="0054039C">
      <w:pPr>
        <w:spacing w:line="360" w:lineRule="auto"/>
        <w:jc w:val="both"/>
        <w:rPr>
          <w:rFonts w:ascii="Arial" w:hAnsi="Arial" w:cs="Arial"/>
          <w:color w:val="595959" w:themeColor="text1" w:themeTint="A6"/>
          <w:sz w:val="24"/>
          <w:szCs w:val="24"/>
          <w:u w:val="single"/>
        </w:rPr>
      </w:pPr>
    </w:p>
    <w:p w14:paraId="161408FD" w14:textId="77777777" w:rsidR="0054039C" w:rsidRPr="0054039C" w:rsidRDefault="0054039C" w:rsidP="0054039C">
      <w:pPr>
        <w:spacing w:line="360" w:lineRule="auto"/>
        <w:jc w:val="both"/>
        <w:rPr>
          <w:rFonts w:ascii="Arial" w:hAnsi="Arial" w:cs="Arial"/>
          <w:color w:val="595959" w:themeColor="text1" w:themeTint="A6"/>
          <w:sz w:val="24"/>
          <w:szCs w:val="24"/>
          <w:u w:val="single"/>
        </w:rPr>
      </w:pPr>
    </w:p>
    <w:p w14:paraId="19A983E4" w14:textId="77777777" w:rsidR="0054039C" w:rsidRPr="0054039C" w:rsidRDefault="0054039C" w:rsidP="0054039C">
      <w:pPr>
        <w:spacing w:line="360" w:lineRule="auto"/>
        <w:jc w:val="both"/>
        <w:rPr>
          <w:rFonts w:ascii="Arial" w:hAnsi="Arial" w:cs="Arial"/>
          <w:color w:val="595959" w:themeColor="text1" w:themeTint="A6"/>
          <w:sz w:val="24"/>
          <w:szCs w:val="24"/>
          <w:u w:val="single"/>
        </w:rPr>
      </w:pPr>
    </w:p>
    <w:p w14:paraId="17357B3A" w14:textId="77777777" w:rsidR="0054039C" w:rsidRPr="0054039C" w:rsidRDefault="0054039C" w:rsidP="0054039C">
      <w:pPr>
        <w:spacing w:line="360" w:lineRule="auto"/>
        <w:jc w:val="both"/>
        <w:rPr>
          <w:rFonts w:ascii="Arial" w:hAnsi="Arial" w:cs="Arial"/>
          <w:color w:val="595959" w:themeColor="text1" w:themeTint="A6"/>
          <w:sz w:val="24"/>
          <w:szCs w:val="24"/>
          <w:u w:val="single"/>
        </w:rPr>
      </w:pPr>
    </w:p>
    <w:p w14:paraId="79C518CA" w14:textId="77777777" w:rsidR="0054039C" w:rsidRPr="0054039C" w:rsidRDefault="0054039C" w:rsidP="0054039C">
      <w:pPr>
        <w:spacing w:line="360" w:lineRule="auto"/>
        <w:jc w:val="both"/>
        <w:rPr>
          <w:rFonts w:ascii="Arial" w:hAnsi="Arial" w:cs="Arial"/>
          <w:color w:val="595959" w:themeColor="text1" w:themeTint="A6"/>
          <w:sz w:val="24"/>
          <w:szCs w:val="24"/>
          <w:u w:val="single"/>
        </w:rPr>
      </w:pPr>
    </w:p>
    <w:p w14:paraId="1954EA7B" w14:textId="77777777" w:rsidR="0054039C" w:rsidRPr="0054039C" w:rsidRDefault="0054039C" w:rsidP="0054039C">
      <w:pPr>
        <w:spacing w:line="360" w:lineRule="auto"/>
        <w:jc w:val="both"/>
        <w:rPr>
          <w:rFonts w:ascii="Arial" w:hAnsi="Arial" w:cs="Arial"/>
          <w:color w:val="595959" w:themeColor="text1" w:themeTint="A6"/>
          <w:sz w:val="24"/>
          <w:szCs w:val="24"/>
          <w:u w:val="single"/>
        </w:rPr>
      </w:pPr>
    </w:p>
    <w:p w14:paraId="69B43624" w14:textId="77777777" w:rsidR="0054039C" w:rsidRPr="0054039C" w:rsidRDefault="0054039C" w:rsidP="0054039C">
      <w:pPr>
        <w:spacing w:line="360" w:lineRule="auto"/>
        <w:jc w:val="both"/>
        <w:rPr>
          <w:rFonts w:ascii="Arial" w:hAnsi="Arial" w:cs="Arial"/>
          <w:color w:val="595959" w:themeColor="text1" w:themeTint="A6"/>
          <w:sz w:val="24"/>
          <w:szCs w:val="24"/>
          <w:u w:val="single"/>
        </w:rPr>
      </w:pPr>
      <w:r w:rsidRPr="0054039C">
        <w:rPr>
          <w:rFonts w:ascii="Arial" w:hAnsi="Arial" w:cs="Arial"/>
          <w:noProof/>
          <w:color w:val="595959" w:themeColor="text1" w:themeTint="A6"/>
          <w:sz w:val="24"/>
          <w:szCs w:val="24"/>
          <w:lang w:eastAsia="zh-CN"/>
        </w:rPr>
        <mc:AlternateContent>
          <mc:Choice Requires="wps">
            <w:drawing>
              <wp:anchor distT="0" distB="0" distL="114300" distR="114300" simplePos="0" relativeHeight="251658272" behindDoc="0" locked="0" layoutInCell="1" allowOverlap="1" wp14:anchorId="10EB1695" wp14:editId="3FBE01B2">
                <wp:simplePos x="0" y="0"/>
                <wp:positionH relativeFrom="margin">
                  <wp:align>right</wp:align>
                </wp:positionH>
                <wp:positionV relativeFrom="paragraph">
                  <wp:posOffset>160655</wp:posOffset>
                </wp:positionV>
                <wp:extent cx="5724525" cy="1457325"/>
                <wp:effectExtent l="0" t="0" r="9525" b="9525"/>
                <wp:wrapNone/>
                <wp:docPr id="20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1457325"/>
                        </a:xfrm>
                        <a:prstGeom prst="rect">
                          <a:avLst/>
                        </a:prstGeom>
                        <a:solidFill>
                          <a:srgbClr val="FFFFFF"/>
                        </a:solidFill>
                        <a:ln w="9525">
                          <a:noFill/>
                          <a:miter lim="800000"/>
                          <a:headEnd/>
                          <a:tailEnd/>
                        </a:ln>
                      </wps:spPr>
                      <wps:txbx>
                        <w:txbxContent>
                          <w:p w14:paraId="1E3199D3" w14:textId="77777777" w:rsidR="008A47AC" w:rsidRDefault="008A47AC" w:rsidP="0054039C">
                            <w:pPr>
                              <w:pStyle w:val="NormalWeb"/>
                              <w:spacing w:after="200"/>
                              <w:jc w:val="both"/>
                            </w:pPr>
                            <w:r>
                              <w:rPr>
                                <w:rFonts w:ascii="Arial Narrow" w:eastAsia="SimSun" w:hAnsi="Arial Narrow" w:cs="Arial"/>
                                <w:b/>
                                <w:bCs/>
                                <w:color w:val="595959"/>
                                <w:kern w:val="24"/>
                                <w:sz w:val="22"/>
                                <w:szCs w:val="22"/>
                              </w:rPr>
                              <w:t xml:space="preserve">Figure 3.6 Short-term expression data for the myofibroblast </w:t>
                            </w:r>
                            <w:r w:rsidRPr="00C75A86">
                              <w:rPr>
                                <w:rFonts w:ascii="Arial Narrow" w:eastAsia="SimSun" w:hAnsi="Arial Narrow" w:cs="Arial"/>
                                <w:b/>
                                <w:bCs/>
                                <w:color w:val="595959"/>
                                <w:kern w:val="24"/>
                                <w:sz w:val="22"/>
                                <w:szCs w:val="22"/>
                              </w:rPr>
                              <w:t xml:space="preserve">marker </w:t>
                            </w:r>
                            <w:r>
                              <w:rPr>
                                <w:rFonts w:ascii="Arial Narrow" w:eastAsia="SimSun" w:hAnsi="Arial Narrow" w:cs="Arial"/>
                                <w:b/>
                                <w:color w:val="595959"/>
                                <w:kern w:val="24"/>
                                <w:sz w:val="22"/>
                                <w:szCs w:val="22"/>
                              </w:rPr>
                              <w:t>TNC</w:t>
                            </w:r>
                            <w:r>
                              <w:rPr>
                                <w:rFonts w:ascii="Arial Narrow" w:eastAsia="SimSun" w:hAnsi="Arial Narrow" w:cs="Arial"/>
                                <w:b/>
                                <w:bCs/>
                                <w:color w:val="595959"/>
                                <w:kern w:val="24"/>
                                <w:sz w:val="22"/>
                                <w:szCs w:val="22"/>
                              </w:rPr>
                              <w:t xml:space="preserve"> </w:t>
                            </w:r>
                            <w:r>
                              <w:rPr>
                                <w:rFonts w:ascii="Arial Narrow" w:eastAsia="SimSun" w:hAnsi="Arial Narrow" w:cs="Arial"/>
                                <w:b/>
                                <w:color w:val="595959"/>
                                <w:kern w:val="24"/>
                                <w:sz w:val="22"/>
                                <w:szCs w:val="22"/>
                              </w:rPr>
                              <w:t xml:space="preserve">in NOF </w:t>
                            </w:r>
                            <w:r>
                              <w:rPr>
                                <w:rFonts w:ascii="Arial Narrow" w:eastAsia="SimSun" w:hAnsi="Arial Narrow" w:cs="Arial"/>
                                <w:b/>
                                <w:bCs/>
                                <w:color w:val="595959"/>
                                <w:kern w:val="24"/>
                                <w:sz w:val="22"/>
                                <w:szCs w:val="22"/>
                              </w:rPr>
                              <w:t>with and without TGFβ-1 stimulation</w:t>
                            </w:r>
                            <w:r>
                              <w:rPr>
                                <w:rFonts w:ascii="Arial Narrow" w:eastAsia="SimSun" w:hAnsi="Arial Narrow" w:cs="Arial"/>
                                <w:b/>
                                <w:color w:val="595959"/>
                                <w:kern w:val="24"/>
                                <w:sz w:val="22"/>
                                <w:szCs w:val="22"/>
                              </w:rPr>
                              <w:t xml:space="preserve"> </w:t>
                            </w:r>
                            <w:r>
                              <w:rPr>
                                <w:rFonts w:ascii="Arial Narrow" w:eastAsia="SimSun" w:hAnsi="Arial Narrow" w:cs="Arial"/>
                                <w:b/>
                                <w:bCs/>
                                <w:color w:val="595959"/>
                                <w:kern w:val="24"/>
                                <w:sz w:val="22"/>
                                <w:szCs w:val="22"/>
                              </w:rPr>
                              <w:t xml:space="preserve">  </w:t>
                            </w:r>
                          </w:p>
                          <w:p w14:paraId="6FE6F224" w14:textId="33C562EF" w:rsidR="008A47AC" w:rsidRPr="00DB2020" w:rsidRDefault="008A47AC" w:rsidP="0054039C">
                            <w:pPr>
                              <w:pStyle w:val="NormalWeb"/>
                              <w:spacing w:after="200" w:line="276" w:lineRule="auto"/>
                              <w:jc w:val="both"/>
                              <w:rPr>
                                <w:rFonts w:ascii="Arial Narrow" w:eastAsia="SimSun" w:hAnsi="Arial Narrow" w:cs="Arial"/>
                                <w:color w:val="595959"/>
                                <w:kern w:val="24"/>
                                <w:sz w:val="22"/>
                                <w:szCs w:val="22"/>
                              </w:rPr>
                            </w:pPr>
                            <w:r>
                              <w:rPr>
                                <w:rFonts w:ascii="Arial Narrow" w:eastAsia="SimSun" w:hAnsi="Arial Narrow" w:cs="Arial"/>
                                <w:color w:val="595959"/>
                                <w:kern w:val="24"/>
                                <w:sz w:val="22"/>
                              </w:rPr>
                              <w:t xml:space="preserve">NOF 2D monolayers were treated </w:t>
                            </w:r>
                            <w:r>
                              <w:rPr>
                                <w:rFonts w:ascii="Arial Narrow" w:eastAsia="SimSun" w:hAnsi="Arial Narrow" w:cs="Arial"/>
                                <w:color w:val="595959"/>
                                <w:kern w:val="24"/>
                                <w:sz w:val="22"/>
                                <w:szCs w:val="22"/>
                              </w:rPr>
                              <w:t xml:space="preserve">with 5 ng/mL TGFβ-1 up to 72 h </w:t>
                            </w:r>
                            <w:r>
                              <w:rPr>
                                <w:rFonts w:ascii="Arial Narrow" w:eastAsia="SimSun" w:hAnsi="Arial Narrow" w:cs="Arial"/>
                                <w:color w:val="595959"/>
                                <w:kern w:val="24"/>
                                <w:sz w:val="22"/>
                              </w:rPr>
                              <w:t xml:space="preserve">and the gene expression for </w:t>
                            </w:r>
                            <w:r>
                              <w:rPr>
                                <w:rFonts w:ascii="Arial Narrow" w:eastAsia="SimSun" w:hAnsi="Arial Narrow" w:cs="Arial"/>
                                <w:color w:val="595959"/>
                                <w:kern w:val="24"/>
                                <w:sz w:val="22"/>
                                <w:szCs w:val="22"/>
                              </w:rPr>
                              <w:t xml:space="preserve">TNC was </w:t>
                            </w:r>
                            <w:r>
                              <w:rPr>
                                <w:rFonts w:ascii="Arial Narrow" w:eastAsia="SimSun" w:hAnsi="Arial Narrow" w:cs="Arial"/>
                                <w:color w:val="595959"/>
                                <w:kern w:val="24"/>
                                <w:sz w:val="22"/>
                              </w:rPr>
                              <w:t>determined by qPCR</w:t>
                            </w:r>
                            <w:r>
                              <w:rPr>
                                <w:rFonts w:ascii="Arial Narrow" w:eastAsia="SimSun" w:hAnsi="Arial Narrow" w:cs="Arial"/>
                                <w:color w:val="595959"/>
                                <w:kern w:val="24"/>
                                <w:sz w:val="22"/>
                                <w:szCs w:val="22"/>
                              </w:rPr>
                              <w:t xml:space="preserve">. </w:t>
                            </w:r>
                            <w:r>
                              <w:rPr>
                                <w:rFonts w:ascii="Arial Narrow" w:eastAsia="SimSun" w:hAnsi="Arial Narrow" w:cs="Arial"/>
                                <w:color w:val="595959"/>
                                <w:kern w:val="24"/>
                                <w:sz w:val="22"/>
                              </w:rPr>
                              <w:t xml:space="preserve">Data is expressed as fold change relative to housekeeping gene U6, with mean ± SD. **** denotes p &lt;0.0001 as </w:t>
                            </w:r>
                            <w:r>
                              <w:rPr>
                                <w:rFonts w:ascii="Arial Narrow" w:eastAsia="SimSun" w:hAnsi="Arial Narrow" w:cs="Arial"/>
                                <w:color w:val="595959"/>
                                <w:kern w:val="24"/>
                                <w:sz w:val="22"/>
                                <w:szCs w:val="22"/>
                              </w:rPr>
                              <w:t>analysed by ordinary one-way ANOVA with Dunnett’s multiple comparison. (N=3, n=3).</w:t>
                            </w:r>
                          </w:p>
                          <w:p w14:paraId="09E452A8" w14:textId="77777777" w:rsidR="008A47AC" w:rsidRPr="00265107" w:rsidRDefault="008A47AC" w:rsidP="0054039C">
                            <w:pPr>
                              <w:pStyle w:val="NormalWeb"/>
                              <w:spacing w:after="200" w:line="276" w:lineRule="auto"/>
                              <w:jc w:val="both"/>
                              <w:rPr>
                                <w:rFonts w:ascii="Arial Narrow" w:eastAsia="SimSun" w:hAnsi="Arial Narrow" w:cs="Arial"/>
                                <w:color w:val="595959"/>
                                <w:kern w:val="24"/>
                                <w:sz w:val="22"/>
                                <w:szCs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EB1695" id="_x0000_s1067" type="#_x0000_t202" style="position:absolute;left:0;text-align:left;margin-left:399.55pt;margin-top:12.65pt;width:450.75pt;height:114.75pt;z-index:2516582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" stroked="f">
                <v:textbox>
                  <w:txbxContent>
                    <w:p w14:paraId="1E3199D3" w14:textId="77777777" w:rsidR="008A47AC" w:rsidRDefault="008A47AC" w:rsidP="0054039C">
                      <w:pPr>
                        <w:pStyle w:val="NormalWeb"/>
                        <w:spacing w:after="200"/>
                        <w:jc w:val="both"/>
                      </w:pPr>
                      <w:r>
                        <w:rPr>
                          <w:rFonts w:ascii="Arial Narrow" w:eastAsia="SimSun" w:hAnsi="Arial Narrow" w:cs="Arial"/>
                          <w:b/>
                          <w:bCs/>
                          <w:color w:val="595959"/>
                          <w:kern w:val="24"/>
                          <w:sz w:val="22"/>
                          <w:szCs w:val="22"/>
                        </w:rPr>
                        <w:t xml:space="preserve">Figure 3.6 Short-term expression data for the myofibroblast </w:t>
                      </w:r>
                      <w:r w:rsidRPr="00C75A86">
                        <w:rPr>
                          <w:rFonts w:ascii="Arial Narrow" w:eastAsia="SimSun" w:hAnsi="Arial Narrow" w:cs="Arial"/>
                          <w:b/>
                          <w:bCs/>
                          <w:color w:val="595959"/>
                          <w:kern w:val="24"/>
                          <w:sz w:val="22"/>
                          <w:szCs w:val="22"/>
                        </w:rPr>
                        <w:t xml:space="preserve">marker </w:t>
                      </w:r>
                      <w:r>
                        <w:rPr>
                          <w:rFonts w:ascii="Arial Narrow" w:eastAsia="SimSun" w:hAnsi="Arial Narrow" w:cs="Arial"/>
                          <w:b/>
                          <w:color w:val="595959"/>
                          <w:kern w:val="24"/>
                          <w:sz w:val="22"/>
                          <w:szCs w:val="22"/>
                        </w:rPr>
                        <w:t>TNC</w:t>
                      </w:r>
                      <w:r>
                        <w:rPr>
                          <w:rFonts w:ascii="Arial Narrow" w:eastAsia="SimSun" w:hAnsi="Arial Narrow" w:cs="Arial"/>
                          <w:b/>
                          <w:bCs/>
                          <w:color w:val="595959"/>
                          <w:kern w:val="24"/>
                          <w:sz w:val="22"/>
                          <w:szCs w:val="22"/>
                        </w:rPr>
                        <w:t xml:space="preserve"> </w:t>
                      </w:r>
                      <w:r>
                        <w:rPr>
                          <w:rFonts w:ascii="Arial Narrow" w:eastAsia="SimSun" w:hAnsi="Arial Narrow" w:cs="Arial"/>
                          <w:b/>
                          <w:color w:val="595959"/>
                          <w:kern w:val="24"/>
                          <w:sz w:val="22"/>
                          <w:szCs w:val="22"/>
                        </w:rPr>
                        <w:t xml:space="preserve">in NOF </w:t>
                      </w:r>
                      <w:r>
                        <w:rPr>
                          <w:rFonts w:ascii="Arial Narrow" w:eastAsia="SimSun" w:hAnsi="Arial Narrow" w:cs="Arial"/>
                          <w:b/>
                          <w:bCs/>
                          <w:color w:val="595959"/>
                          <w:kern w:val="24"/>
                          <w:sz w:val="22"/>
                          <w:szCs w:val="22"/>
                        </w:rPr>
                        <w:t>with and without TGFβ-1 stimulation</w:t>
                      </w:r>
                      <w:r>
                        <w:rPr>
                          <w:rFonts w:ascii="Arial Narrow" w:eastAsia="SimSun" w:hAnsi="Arial Narrow" w:cs="Arial"/>
                          <w:b/>
                          <w:color w:val="595959"/>
                          <w:kern w:val="24"/>
                          <w:sz w:val="22"/>
                          <w:szCs w:val="22"/>
                        </w:rPr>
                        <w:t xml:space="preserve"> </w:t>
                      </w:r>
                      <w:r>
                        <w:rPr>
                          <w:rFonts w:ascii="Arial Narrow" w:eastAsia="SimSun" w:hAnsi="Arial Narrow" w:cs="Arial"/>
                          <w:b/>
                          <w:bCs/>
                          <w:color w:val="595959"/>
                          <w:kern w:val="24"/>
                          <w:sz w:val="22"/>
                          <w:szCs w:val="22"/>
                        </w:rPr>
                        <w:t xml:space="preserve">  </w:t>
                      </w:r>
                    </w:p>
                    <w:p w14:paraId="6FE6F224" w14:textId="33C562EF" w:rsidR="008A47AC" w:rsidRPr="00DB2020" w:rsidRDefault="008A47AC" w:rsidP="0054039C">
                      <w:pPr>
                        <w:pStyle w:val="NormalWeb"/>
                        <w:spacing w:after="200" w:line="276" w:lineRule="auto"/>
                        <w:jc w:val="both"/>
                        <w:rPr>
                          <w:rFonts w:ascii="Arial Narrow" w:eastAsia="SimSun" w:hAnsi="Arial Narrow" w:cs="Arial"/>
                          <w:color w:val="595959"/>
                          <w:kern w:val="24"/>
                          <w:sz w:val="22"/>
                          <w:szCs w:val="22"/>
                        </w:rPr>
                      </w:pPr>
                      <w:r>
                        <w:rPr>
                          <w:rFonts w:ascii="Arial Narrow" w:eastAsia="SimSun" w:hAnsi="Arial Narrow" w:cs="Arial"/>
                          <w:color w:val="595959"/>
                          <w:kern w:val="24"/>
                          <w:sz w:val="22"/>
                        </w:rPr>
                        <w:t xml:space="preserve">NOF 2D monolayers were treated </w:t>
                      </w:r>
                      <w:r>
                        <w:rPr>
                          <w:rFonts w:ascii="Arial Narrow" w:eastAsia="SimSun" w:hAnsi="Arial Narrow" w:cs="Arial"/>
                          <w:color w:val="595959"/>
                          <w:kern w:val="24"/>
                          <w:sz w:val="22"/>
                          <w:szCs w:val="22"/>
                        </w:rPr>
                        <w:t xml:space="preserve">with 5 ng/mL TGFβ-1 up to 72 h </w:t>
                      </w:r>
                      <w:r>
                        <w:rPr>
                          <w:rFonts w:ascii="Arial Narrow" w:eastAsia="SimSun" w:hAnsi="Arial Narrow" w:cs="Arial"/>
                          <w:color w:val="595959"/>
                          <w:kern w:val="24"/>
                          <w:sz w:val="22"/>
                        </w:rPr>
                        <w:t xml:space="preserve">and the gene expression for </w:t>
                      </w:r>
                      <w:r>
                        <w:rPr>
                          <w:rFonts w:ascii="Arial Narrow" w:eastAsia="SimSun" w:hAnsi="Arial Narrow" w:cs="Arial"/>
                          <w:color w:val="595959"/>
                          <w:kern w:val="24"/>
                          <w:sz w:val="22"/>
                          <w:szCs w:val="22"/>
                        </w:rPr>
                        <w:t xml:space="preserve">TNC was </w:t>
                      </w:r>
                      <w:r>
                        <w:rPr>
                          <w:rFonts w:ascii="Arial Narrow" w:eastAsia="SimSun" w:hAnsi="Arial Narrow" w:cs="Arial"/>
                          <w:color w:val="595959"/>
                          <w:kern w:val="24"/>
                          <w:sz w:val="22"/>
                        </w:rPr>
                        <w:t>determined by qPCR</w:t>
                      </w:r>
                      <w:r>
                        <w:rPr>
                          <w:rFonts w:ascii="Arial Narrow" w:eastAsia="SimSun" w:hAnsi="Arial Narrow" w:cs="Arial"/>
                          <w:color w:val="595959"/>
                          <w:kern w:val="24"/>
                          <w:sz w:val="22"/>
                          <w:szCs w:val="22"/>
                        </w:rPr>
                        <w:t xml:space="preserve">. </w:t>
                      </w:r>
                      <w:r>
                        <w:rPr>
                          <w:rFonts w:ascii="Arial Narrow" w:eastAsia="SimSun" w:hAnsi="Arial Narrow" w:cs="Arial"/>
                          <w:color w:val="595959"/>
                          <w:kern w:val="24"/>
                          <w:sz w:val="22"/>
                        </w:rPr>
                        <w:t xml:space="preserve">Data is expressed as fold change relative to housekeeping gene U6, with mean ± SD. **** denotes p &lt;0.0001 as </w:t>
                      </w:r>
                      <w:r>
                        <w:rPr>
                          <w:rFonts w:ascii="Arial Narrow" w:eastAsia="SimSun" w:hAnsi="Arial Narrow" w:cs="Arial"/>
                          <w:color w:val="595959"/>
                          <w:kern w:val="24"/>
                          <w:sz w:val="22"/>
                          <w:szCs w:val="22"/>
                        </w:rPr>
                        <w:t>analysed by ordinary one-way ANOVA with Dunnett’s multiple comparison. (N=3, n=3).</w:t>
                      </w:r>
                    </w:p>
                    <w:p w14:paraId="09E452A8" w14:textId="77777777" w:rsidR="008A47AC" w:rsidRPr="00265107" w:rsidRDefault="008A47AC" w:rsidP="0054039C">
                      <w:pPr>
                        <w:pStyle w:val="NormalWeb"/>
                        <w:spacing w:after="200" w:line="276" w:lineRule="auto"/>
                        <w:jc w:val="both"/>
                        <w:rPr>
                          <w:rFonts w:ascii="Arial Narrow" w:eastAsia="SimSun" w:hAnsi="Arial Narrow" w:cs="Arial"/>
                          <w:color w:val="595959"/>
                          <w:kern w:val="24"/>
                          <w:sz w:val="22"/>
                          <w:szCs w:val="22"/>
                        </w:rPr>
                      </w:pPr>
                    </w:p>
                  </w:txbxContent>
                </v:textbox>
                <w10:wrap anchorx="margin"/>
              </v:shape>
            </w:pict>
          </mc:Fallback>
        </mc:AlternateContent>
      </w:r>
    </w:p>
    <w:p w14:paraId="418DEB87" w14:textId="77777777" w:rsidR="0054039C" w:rsidRPr="0054039C" w:rsidRDefault="0054039C" w:rsidP="0054039C">
      <w:pPr>
        <w:spacing w:line="360" w:lineRule="auto"/>
        <w:jc w:val="both"/>
        <w:rPr>
          <w:rFonts w:ascii="Arial" w:hAnsi="Arial" w:cs="Arial"/>
          <w:color w:val="595959" w:themeColor="text1" w:themeTint="A6"/>
          <w:sz w:val="24"/>
          <w:szCs w:val="24"/>
          <w:u w:val="single"/>
        </w:rPr>
      </w:pPr>
    </w:p>
    <w:p w14:paraId="7C917BD2" w14:textId="77777777" w:rsidR="0054039C" w:rsidRPr="0054039C" w:rsidRDefault="0054039C" w:rsidP="0054039C">
      <w:pPr>
        <w:spacing w:line="360" w:lineRule="auto"/>
        <w:jc w:val="both"/>
        <w:rPr>
          <w:rFonts w:ascii="Arial" w:hAnsi="Arial" w:cs="Arial"/>
          <w:color w:val="595959" w:themeColor="text1" w:themeTint="A6"/>
          <w:sz w:val="24"/>
          <w:szCs w:val="24"/>
          <w:u w:val="single"/>
        </w:rPr>
      </w:pPr>
    </w:p>
    <w:p w14:paraId="74482910" w14:textId="77777777" w:rsidR="0054039C" w:rsidRPr="0054039C" w:rsidRDefault="0054039C" w:rsidP="0054039C">
      <w:pPr>
        <w:spacing w:line="360" w:lineRule="auto"/>
        <w:jc w:val="both"/>
        <w:rPr>
          <w:rFonts w:ascii="Arial" w:hAnsi="Arial" w:cs="Arial"/>
          <w:color w:val="595959" w:themeColor="text1" w:themeTint="A6"/>
          <w:sz w:val="24"/>
          <w:szCs w:val="24"/>
          <w:u w:val="single"/>
        </w:rPr>
      </w:pPr>
    </w:p>
    <w:p w14:paraId="0F5C3BBC" w14:textId="77777777" w:rsidR="0054039C" w:rsidRPr="0054039C" w:rsidRDefault="0054039C" w:rsidP="0054039C">
      <w:pPr>
        <w:spacing w:line="360" w:lineRule="auto"/>
        <w:jc w:val="both"/>
        <w:rPr>
          <w:rFonts w:ascii="Arial" w:hAnsi="Arial" w:cs="Arial"/>
          <w:color w:val="595959" w:themeColor="text1" w:themeTint="A6"/>
          <w:sz w:val="24"/>
          <w:szCs w:val="24"/>
          <w:u w:val="single"/>
        </w:rPr>
      </w:pPr>
    </w:p>
    <w:p w14:paraId="606C4495" w14:textId="77777777" w:rsidR="0054039C" w:rsidRPr="0054039C" w:rsidRDefault="0054039C" w:rsidP="0054039C">
      <w:pPr>
        <w:spacing w:line="360" w:lineRule="auto"/>
        <w:jc w:val="both"/>
        <w:rPr>
          <w:rFonts w:ascii="Arial" w:hAnsi="Arial" w:cs="Arial"/>
          <w:color w:val="595959" w:themeColor="text1" w:themeTint="A6"/>
          <w:sz w:val="24"/>
          <w:szCs w:val="24"/>
          <w:u w:val="single"/>
        </w:rPr>
      </w:pPr>
    </w:p>
    <w:p w14:paraId="348FE531" w14:textId="77777777" w:rsidR="0054039C" w:rsidRPr="0054039C" w:rsidRDefault="0054039C" w:rsidP="0054039C">
      <w:pPr>
        <w:spacing w:line="360" w:lineRule="auto"/>
        <w:jc w:val="both"/>
        <w:rPr>
          <w:rFonts w:ascii="Arial" w:hAnsi="Arial" w:cs="Arial"/>
          <w:color w:val="595959" w:themeColor="text1" w:themeTint="A6"/>
          <w:sz w:val="24"/>
          <w:szCs w:val="24"/>
          <w:u w:val="single"/>
        </w:rPr>
      </w:pPr>
    </w:p>
    <w:p w14:paraId="0F585335" w14:textId="77777777" w:rsidR="0054039C" w:rsidRPr="0054039C" w:rsidRDefault="0054039C" w:rsidP="0054039C">
      <w:pPr>
        <w:keepNext/>
        <w:keepLines/>
        <w:spacing w:before="40" w:after="0"/>
        <w:outlineLvl w:val="3"/>
        <w:rPr>
          <w:rFonts w:ascii="Arial" w:eastAsiaTheme="majorEastAsia" w:hAnsi="Arial" w:cs="Arial"/>
          <w:i/>
          <w:iCs/>
          <w:color w:val="595959" w:themeColor="text1" w:themeTint="A6"/>
        </w:rPr>
      </w:pPr>
      <w:bookmarkStart w:id="241" w:name="_Toc7107245"/>
      <w:bookmarkStart w:id="242" w:name="_Toc34208351"/>
      <w:r w:rsidRPr="0054039C">
        <w:rPr>
          <w:rFonts w:ascii="Arial" w:eastAsiaTheme="majorEastAsia" w:hAnsi="Arial" w:cs="Arial"/>
          <w:i/>
          <w:iCs/>
          <w:color w:val="595959" w:themeColor="text1" w:themeTint="A6"/>
        </w:rPr>
        <w:lastRenderedPageBreak/>
        <w:t>3.3.1.2 Long-term differentiation of normal oral fibroblasts</w:t>
      </w:r>
      <w:bookmarkEnd w:id="241"/>
      <w:bookmarkEnd w:id="242"/>
    </w:p>
    <w:p w14:paraId="4A7CD9E4" w14:textId="77777777" w:rsidR="0054039C" w:rsidRPr="0054039C" w:rsidRDefault="0054039C" w:rsidP="0054039C"/>
    <w:p w14:paraId="05BABF0A" w14:textId="67E4E15C" w:rsidR="0054039C" w:rsidRPr="0054039C" w:rsidRDefault="0054039C" w:rsidP="00A36CAC">
      <w:pPr>
        <w:spacing w:line="480" w:lineRule="auto"/>
        <w:jc w:val="both"/>
        <w:rPr>
          <w:rFonts w:ascii="Arial" w:hAnsi="Arial" w:cs="Arial"/>
          <w:color w:val="595959" w:themeColor="text1" w:themeTint="A6"/>
        </w:rPr>
      </w:pPr>
      <w:r w:rsidRPr="0054039C">
        <w:rPr>
          <w:rFonts w:ascii="Arial" w:hAnsi="Arial" w:cs="Arial"/>
          <w:color w:val="595959" w:themeColor="text1" w:themeTint="A6"/>
        </w:rPr>
        <w:t xml:space="preserve">To examine the effect of longer-term exposure to TGFβ-1, which would be necessitated in the establishment of fibroblast-derived matrices </w:t>
      </w:r>
      <w:r w:rsidR="005C072E">
        <w:rPr>
          <w:rFonts w:ascii="Arial" w:hAnsi="Arial" w:cs="Arial"/>
          <w:color w:val="595959" w:themeColor="text1" w:themeTint="A6"/>
        </w:rPr>
        <w:t>(FDM)</w:t>
      </w:r>
      <w:r w:rsidR="006F7A98">
        <w:rPr>
          <w:rFonts w:ascii="Arial" w:hAnsi="Arial" w:cs="Arial"/>
          <w:color w:val="595959" w:themeColor="text1" w:themeTint="A6"/>
        </w:rPr>
        <w:t xml:space="preserve"> </w:t>
      </w:r>
      <w:r w:rsidRPr="0054039C">
        <w:rPr>
          <w:rFonts w:ascii="Arial" w:hAnsi="Arial" w:cs="Arial"/>
          <w:color w:val="595959" w:themeColor="text1" w:themeTint="A6"/>
        </w:rPr>
        <w:t xml:space="preserve">in subsequent work </w:t>
      </w:r>
      <w:r w:rsidR="00A36CAC">
        <w:rPr>
          <w:rFonts w:ascii="Arial" w:hAnsi="Arial" w:cs="Arial"/>
          <w:color w:val="595959" w:themeColor="text1" w:themeTint="A6"/>
        </w:rPr>
        <w:t>(C</w:t>
      </w:r>
      <w:r w:rsidRPr="0054039C">
        <w:rPr>
          <w:rFonts w:ascii="Arial" w:hAnsi="Arial" w:cs="Arial"/>
          <w:color w:val="595959" w:themeColor="text1" w:themeTint="A6"/>
        </w:rPr>
        <w:t>hapter 4</w:t>
      </w:r>
      <w:r w:rsidR="00A36CAC">
        <w:rPr>
          <w:rFonts w:ascii="Arial" w:hAnsi="Arial" w:cs="Arial"/>
          <w:color w:val="595959" w:themeColor="text1" w:themeTint="A6"/>
        </w:rPr>
        <w:t>)</w:t>
      </w:r>
      <w:r w:rsidRPr="0054039C">
        <w:rPr>
          <w:rFonts w:ascii="Arial" w:hAnsi="Arial" w:cs="Arial"/>
          <w:color w:val="595959" w:themeColor="text1" w:themeTint="A6"/>
        </w:rPr>
        <w:t xml:space="preserve">, samples were treated as in the above short-term experiment with either 5 ng/mL </w:t>
      </w:r>
      <w:bookmarkStart w:id="243" w:name="OLE_LINK3"/>
      <w:r w:rsidRPr="0054039C">
        <w:rPr>
          <w:rFonts w:ascii="Arial" w:hAnsi="Arial" w:cs="Arial"/>
          <w:color w:val="595959" w:themeColor="text1" w:themeTint="A6"/>
        </w:rPr>
        <w:t>TGFβ-1 or vehicle control</w:t>
      </w:r>
      <w:bookmarkEnd w:id="243"/>
      <w:r w:rsidRPr="0054039C">
        <w:rPr>
          <w:rFonts w:ascii="Arial" w:hAnsi="Arial" w:cs="Arial"/>
          <w:color w:val="595959" w:themeColor="text1" w:themeTint="A6"/>
        </w:rPr>
        <w:t xml:space="preserve">. These cultures were then maintained for a further 14 days in </w:t>
      </w:r>
      <w:r w:rsidR="006F7A98">
        <w:rPr>
          <w:rFonts w:ascii="Arial" w:hAnsi="Arial" w:cs="Arial"/>
          <w:color w:val="595959" w:themeColor="text1" w:themeTint="A6"/>
        </w:rPr>
        <w:t xml:space="preserve">DMEM supplemented with </w:t>
      </w:r>
      <w:r w:rsidRPr="0054039C">
        <w:rPr>
          <w:rFonts w:ascii="Arial" w:hAnsi="Arial" w:cs="Arial"/>
          <w:color w:val="595959" w:themeColor="text1" w:themeTint="A6"/>
        </w:rPr>
        <w:t>low</w:t>
      </w:r>
      <w:r w:rsidR="006F7A98">
        <w:rPr>
          <w:rFonts w:ascii="Arial" w:hAnsi="Arial" w:cs="Arial"/>
          <w:color w:val="595959" w:themeColor="text1" w:themeTint="A6"/>
        </w:rPr>
        <w:t>er</w:t>
      </w:r>
      <w:r w:rsidRPr="0054039C">
        <w:rPr>
          <w:rFonts w:ascii="Arial" w:hAnsi="Arial" w:cs="Arial"/>
          <w:color w:val="595959" w:themeColor="text1" w:themeTint="A6"/>
        </w:rPr>
        <w:t xml:space="preserve"> serum (5% FBS), supplementing the media d</w:t>
      </w:r>
      <w:r w:rsidR="00A36CAC">
        <w:rPr>
          <w:rFonts w:ascii="Arial" w:hAnsi="Arial" w:cs="Arial"/>
          <w:color w:val="595959" w:themeColor="text1" w:themeTint="A6"/>
        </w:rPr>
        <w:t xml:space="preserve">aily with either 2 ng/mL TGFβ-1 or </w:t>
      </w:r>
      <w:r w:rsidRPr="0054039C">
        <w:rPr>
          <w:rFonts w:ascii="Arial" w:hAnsi="Arial" w:cs="Arial"/>
          <w:color w:val="595959" w:themeColor="text1" w:themeTint="A6"/>
        </w:rPr>
        <w:t xml:space="preserve">vehicle control after the 72-h time point. RNA and protein </w:t>
      </w:r>
      <w:r w:rsidR="009C0559" w:rsidRPr="0054039C">
        <w:rPr>
          <w:rFonts w:ascii="Arial" w:hAnsi="Arial" w:cs="Arial"/>
          <w:color w:val="595959" w:themeColor="text1" w:themeTint="A6"/>
        </w:rPr>
        <w:t>were</w:t>
      </w:r>
      <w:r w:rsidRPr="0054039C">
        <w:rPr>
          <w:rFonts w:ascii="Arial" w:hAnsi="Arial" w:cs="Arial"/>
          <w:color w:val="595959" w:themeColor="text1" w:themeTint="A6"/>
        </w:rPr>
        <w:t xml:space="preserve"> isolated for each time point</w:t>
      </w:r>
      <w:r w:rsidR="00A36CAC">
        <w:rPr>
          <w:rFonts w:ascii="Arial" w:hAnsi="Arial" w:cs="Arial"/>
          <w:color w:val="595959" w:themeColor="text1" w:themeTint="A6"/>
        </w:rPr>
        <w:t xml:space="preserve"> to examine the expression of myofibroblasts marker expression using RT-qPCR and immunoblotting. </w:t>
      </w:r>
    </w:p>
    <w:p w14:paraId="683F8493" w14:textId="77777777" w:rsidR="0054039C" w:rsidRPr="0054039C" w:rsidRDefault="0054039C" w:rsidP="0054039C">
      <w:pPr>
        <w:spacing w:line="480" w:lineRule="auto"/>
        <w:jc w:val="both"/>
        <w:rPr>
          <w:rFonts w:ascii="Arial" w:hAnsi="Arial" w:cs="Arial"/>
          <w:color w:val="595959" w:themeColor="text1" w:themeTint="A6"/>
        </w:rPr>
      </w:pPr>
    </w:p>
    <w:p w14:paraId="67CDE01B" w14:textId="77777777" w:rsidR="0054039C" w:rsidRPr="0054039C" w:rsidRDefault="0054039C" w:rsidP="0054039C">
      <w:pPr>
        <w:spacing w:line="480" w:lineRule="auto"/>
        <w:jc w:val="both"/>
        <w:rPr>
          <w:rFonts w:ascii="Arial" w:hAnsi="Arial" w:cs="Arial"/>
          <w:color w:val="595959" w:themeColor="text1" w:themeTint="A6"/>
        </w:rPr>
      </w:pPr>
    </w:p>
    <w:p w14:paraId="601B4A71" w14:textId="77777777" w:rsidR="0054039C" w:rsidRPr="0054039C" w:rsidRDefault="0054039C" w:rsidP="0054039C">
      <w:pPr>
        <w:spacing w:line="480" w:lineRule="auto"/>
        <w:jc w:val="both"/>
        <w:rPr>
          <w:rFonts w:ascii="Arial" w:hAnsi="Arial" w:cs="Arial"/>
          <w:color w:val="595959" w:themeColor="text1" w:themeTint="A6"/>
        </w:rPr>
      </w:pPr>
    </w:p>
    <w:p w14:paraId="1203BAB4" w14:textId="77777777" w:rsidR="0054039C" w:rsidRPr="0054039C" w:rsidRDefault="0054039C" w:rsidP="0054039C">
      <w:pPr>
        <w:spacing w:line="480" w:lineRule="auto"/>
        <w:jc w:val="both"/>
        <w:rPr>
          <w:rFonts w:ascii="Arial" w:hAnsi="Arial" w:cs="Arial"/>
          <w:color w:val="595959" w:themeColor="text1" w:themeTint="A6"/>
        </w:rPr>
      </w:pPr>
    </w:p>
    <w:p w14:paraId="341E4337" w14:textId="77777777" w:rsidR="0054039C" w:rsidRPr="0054039C" w:rsidRDefault="0054039C" w:rsidP="0054039C">
      <w:pPr>
        <w:spacing w:line="480" w:lineRule="auto"/>
        <w:jc w:val="both"/>
        <w:rPr>
          <w:rFonts w:ascii="Arial" w:hAnsi="Arial" w:cs="Arial"/>
          <w:color w:val="595959" w:themeColor="text1" w:themeTint="A6"/>
        </w:rPr>
      </w:pPr>
    </w:p>
    <w:p w14:paraId="080554D3" w14:textId="77777777" w:rsidR="0054039C" w:rsidRPr="0054039C" w:rsidRDefault="0054039C" w:rsidP="0054039C">
      <w:pPr>
        <w:spacing w:line="480" w:lineRule="auto"/>
        <w:jc w:val="both"/>
        <w:rPr>
          <w:rFonts w:ascii="Arial" w:hAnsi="Arial" w:cs="Arial"/>
          <w:color w:val="595959" w:themeColor="text1" w:themeTint="A6"/>
        </w:rPr>
      </w:pPr>
    </w:p>
    <w:p w14:paraId="4F93CCD6" w14:textId="77777777" w:rsidR="0054039C" w:rsidRPr="0054039C" w:rsidRDefault="0054039C" w:rsidP="0054039C">
      <w:pPr>
        <w:spacing w:line="480" w:lineRule="auto"/>
        <w:jc w:val="both"/>
        <w:rPr>
          <w:rFonts w:ascii="Arial" w:hAnsi="Arial" w:cs="Arial"/>
          <w:color w:val="595959" w:themeColor="text1" w:themeTint="A6"/>
        </w:rPr>
      </w:pPr>
    </w:p>
    <w:p w14:paraId="742611B2" w14:textId="77777777" w:rsidR="0054039C" w:rsidRPr="0054039C" w:rsidRDefault="0054039C" w:rsidP="0054039C">
      <w:pPr>
        <w:spacing w:line="480" w:lineRule="auto"/>
        <w:jc w:val="both"/>
        <w:rPr>
          <w:rFonts w:ascii="Arial" w:hAnsi="Arial" w:cs="Arial"/>
          <w:color w:val="595959" w:themeColor="text1" w:themeTint="A6"/>
        </w:rPr>
      </w:pPr>
    </w:p>
    <w:p w14:paraId="7381BF57" w14:textId="77777777" w:rsidR="0054039C" w:rsidRPr="0054039C" w:rsidRDefault="0054039C" w:rsidP="0054039C">
      <w:pPr>
        <w:spacing w:line="480" w:lineRule="auto"/>
        <w:jc w:val="both"/>
        <w:rPr>
          <w:rFonts w:ascii="Arial" w:hAnsi="Arial" w:cs="Arial"/>
          <w:color w:val="595959" w:themeColor="text1" w:themeTint="A6"/>
        </w:rPr>
      </w:pPr>
    </w:p>
    <w:p w14:paraId="5396592D" w14:textId="77777777" w:rsidR="0054039C" w:rsidRPr="0054039C" w:rsidRDefault="0054039C" w:rsidP="0054039C">
      <w:pPr>
        <w:spacing w:line="480" w:lineRule="auto"/>
        <w:jc w:val="both"/>
        <w:rPr>
          <w:rFonts w:ascii="Arial" w:hAnsi="Arial" w:cs="Arial"/>
          <w:color w:val="595959" w:themeColor="text1" w:themeTint="A6"/>
        </w:rPr>
      </w:pPr>
    </w:p>
    <w:p w14:paraId="49E7F4D4" w14:textId="77777777" w:rsidR="0054039C" w:rsidRPr="0054039C" w:rsidRDefault="0054039C" w:rsidP="0054039C">
      <w:pPr>
        <w:spacing w:line="480" w:lineRule="auto"/>
        <w:jc w:val="both"/>
        <w:rPr>
          <w:rFonts w:ascii="Arial" w:hAnsi="Arial" w:cs="Arial"/>
          <w:color w:val="595959" w:themeColor="text1" w:themeTint="A6"/>
        </w:rPr>
      </w:pPr>
    </w:p>
    <w:p w14:paraId="62A84EEB" w14:textId="77777777" w:rsidR="0054039C" w:rsidRPr="0054039C" w:rsidRDefault="0054039C" w:rsidP="0054039C">
      <w:pPr>
        <w:spacing w:line="480" w:lineRule="auto"/>
        <w:jc w:val="both"/>
        <w:rPr>
          <w:rFonts w:ascii="Arial" w:hAnsi="Arial" w:cs="Arial"/>
          <w:color w:val="595959" w:themeColor="text1" w:themeTint="A6"/>
        </w:rPr>
      </w:pPr>
    </w:p>
    <w:p w14:paraId="6DE86868" w14:textId="41C1F973" w:rsidR="0054039C" w:rsidRDefault="0054039C" w:rsidP="0054039C">
      <w:pPr>
        <w:spacing w:line="480" w:lineRule="auto"/>
        <w:ind w:firstLine="720"/>
        <w:jc w:val="both"/>
        <w:rPr>
          <w:rFonts w:ascii="Arial" w:hAnsi="Arial" w:cs="Arial"/>
          <w:color w:val="595959" w:themeColor="text1" w:themeTint="A6"/>
        </w:rPr>
      </w:pPr>
    </w:p>
    <w:p w14:paraId="498B88E5" w14:textId="77777777" w:rsidR="00A36CAC" w:rsidRPr="0054039C" w:rsidRDefault="00A36CAC" w:rsidP="0054039C">
      <w:pPr>
        <w:spacing w:line="480" w:lineRule="auto"/>
        <w:ind w:firstLine="720"/>
        <w:jc w:val="both"/>
        <w:rPr>
          <w:rFonts w:ascii="Arial" w:hAnsi="Arial" w:cs="Arial"/>
          <w:color w:val="595959" w:themeColor="text1" w:themeTint="A6"/>
        </w:rPr>
      </w:pPr>
    </w:p>
    <w:p w14:paraId="07FA5239" w14:textId="77777777" w:rsidR="0054039C" w:rsidRPr="0054039C" w:rsidRDefault="0054039C" w:rsidP="0054039C">
      <w:pPr>
        <w:keepNext/>
        <w:keepLines/>
        <w:spacing w:before="40" w:after="0"/>
        <w:outlineLvl w:val="4"/>
        <w:rPr>
          <w:rFonts w:ascii="Arial" w:eastAsiaTheme="majorEastAsia" w:hAnsi="Arial" w:cs="Arial"/>
          <w:color w:val="595959" w:themeColor="text1" w:themeTint="A6"/>
        </w:rPr>
      </w:pPr>
      <w:bookmarkStart w:id="244" w:name="_Toc7107246"/>
      <w:bookmarkStart w:id="245" w:name="_Toc34208352"/>
      <w:bookmarkStart w:id="246" w:name="OLE_LINK5"/>
      <w:r w:rsidRPr="0054039C">
        <w:rPr>
          <w:rFonts w:ascii="Arial" w:eastAsiaTheme="majorEastAsia" w:hAnsi="Arial" w:cs="Arial"/>
          <w:color w:val="595959" w:themeColor="text1" w:themeTint="A6"/>
        </w:rPr>
        <w:lastRenderedPageBreak/>
        <w:t>3.3.1.2.1 αSMA expression by RT-qPCR</w:t>
      </w:r>
      <w:bookmarkEnd w:id="244"/>
      <w:bookmarkEnd w:id="245"/>
    </w:p>
    <w:p w14:paraId="293112AD" w14:textId="77777777" w:rsidR="0054039C" w:rsidRPr="0054039C" w:rsidRDefault="0054039C" w:rsidP="0054039C"/>
    <w:bookmarkEnd w:id="246"/>
    <w:p w14:paraId="5AA632A4" w14:textId="467F41A8" w:rsidR="0054039C" w:rsidRDefault="00A36CAC" w:rsidP="00A36CAC">
      <w:pPr>
        <w:spacing w:line="480" w:lineRule="auto"/>
        <w:jc w:val="both"/>
        <w:rPr>
          <w:rFonts w:ascii="Arial" w:hAnsi="Arial" w:cs="Arial"/>
          <w:color w:val="595959" w:themeColor="text1" w:themeTint="A6"/>
        </w:rPr>
      </w:pPr>
      <w:r>
        <w:rPr>
          <w:rFonts w:ascii="Arial" w:hAnsi="Arial" w:cs="Arial"/>
          <w:color w:val="595959" w:themeColor="text1" w:themeTint="A6"/>
        </w:rPr>
        <w:t>N</w:t>
      </w:r>
      <w:r w:rsidR="0054039C" w:rsidRPr="0054039C">
        <w:rPr>
          <w:rFonts w:ascii="Arial" w:hAnsi="Arial" w:cs="Arial"/>
          <w:color w:val="595959" w:themeColor="text1" w:themeTint="A6"/>
        </w:rPr>
        <w:t>o significant</w:t>
      </w:r>
      <w:r w:rsidR="009C0559">
        <w:rPr>
          <w:rFonts w:ascii="Arial" w:hAnsi="Arial" w:cs="Arial"/>
          <w:color w:val="595959" w:themeColor="text1" w:themeTint="A6"/>
        </w:rPr>
        <w:t xml:space="preserve"> differences </w:t>
      </w:r>
      <w:r w:rsidR="0054039C" w:rsidRPr="0054039C">
        <w:rPr>
          <w:rFonts w:ascii="Arial" w:hAnsi="Arial" w:cs="Arial"/>
          <w:color w:val="595959" w:themeColor="text1" w:themeTint="A6"/>
        </w:rPr>
        <w:t xml:space="preserve">in </w:t>
      </w:r>
      <w:r w:rsidRPr="0054039C">
        <w:rPr>
          <w:rFonts w:ascii="Arial" w:eastAsiaTheme="majorEastAsia" w:hAnsi="Arial" w:cs="Arial"/>
          <w:color w:val="595959" w:themeColor="text1" w:themeTint="A6"/>
        </w:rPr>
        <w:t>αSMA</w:t>
      </w:r>
      <w:r w:rsidRPr="0054039C">
        <w:rPr>
          <w:rFonts w:ascii="Arial" w:hAnsi="Arial" w:cs="Arial"/>
          <w:color w:val="595959" w:themeColor="text1" w:themeTint="A6"/>
        </w:rPr>
        <w:t xml:space="preserve"> </w:t>
      </w:r>
      <w:r w:rsidR="009C0559">
        <w:rPr>
          <w:rFonts w:ascii="Arial" w:hAnsi="Arial" w:cs="Arial"/>
          <w:color w:val="595959" w:themeColor="text1" w:themeTint="A6"/>
        </w:rPr>
        <w:t xml:space="preserve">transcript </w:t>
      </w:r>
      <w:r w:rsidR="0054039C" w:rsidRPr="0054039C">
        <w:rPr>
          <w:rFonts w:ascii="Arial" w:hAnsi="Arial" w:cs="Arial"/>
          <w:color w:val="595959" w:themeColor="text1" w:themeTint="A6"/>
        </w:rPr>
        <w:t xml:space="preserve">expression </w:t>
      </w:r>
      <w:r>
        <w:rPr>
          <w:rFonts w:ascii="Arial" w:hAnsi="Arial" w:cs="Arial"/>
          <w:color w:val="595959" w:themeColor="text1" w:themeTint="A6"/>
        </w:rPr>
        <w:t xml:space="preserve">was </w:t>
      </w:r>
      <w:r w:rsidR="0054039C" w:rsidRPr="0054039C">
        <w:rPr>
          <w:rFonts w:ascii="Arial" w:hAnsi="Arial" w:cs="Arial"/>
          <w:color w:val="595959" w:themeColor="text1" w:themeTint="A6"/>
        </w:rPr>
        <w:t>observed in NOF cultures</w:t>
      </w:r>
      <w:r>
        <w:rPr>
          <w:rFonts w:ascii="Arial" w:hAnsi="Arial" w:cs="Arial"/>
          <w:color w:val="595959" w:themeColor="text1" w:themeTint="A6"/>
        </w:rPr>
        <w:t xml:space="preserve"> following long-term exposure to</w:t>
      </w:r>
      <w:r w:rsidRPr="00A36CAC">
        <w:rPr>
          <w:rFonts w:ascii="Arial" w:hAnsi="Arial" w:cs="Arial"/>
          <w:color w:val="595959" w:themeColor="text1" w:themeTint="A6"/>
        </w:rPr>
        <w:t xml:space="preserve"> </w:t>
      </w:r>
      <w:r w:rsidRPr="0054039C">
        <w:rPr>
          <w:rFonts w:ascii="Arial" w:hAnsi="Arial" w:cs="Arial"/>
          <w:color w:val="595959" w:themeColor="text1" w:themeTint="A6"/>
        </w:rPr>
        <w:t xml:space="preserve">TGFβ-1 </w:t>
      </w:r>
      <w:r w:rsidR="0054039C" w:rsidRPr="0054039C">
        <w:rPr>
          <w:rFonts w:ascii="Arial" w:hAnsi="Arial" w:cs="Arial"/>
          <w:color w:val="595959" w:themeColor="text1" w:themeTint="A6"/>
        </w:rPr>
        <w:t xml:space="preserve">(Figure 3.7). </w:t>
      </w:r>
    </w:p>
    <w:p w14:paraId="1B06B482" w14:textId="6F8C748B" w:rsidR="00D36A53" w:rsidRDefault="00D36A53" w:rsidP="00A36CAC">
      <w:pPr>
        <w:spacing w:line="480" w:lineRule="auto"/>
        <w:jc w:val="both"/>
        <w:rPr>
          <w:rFonts w:ascii="Arial" w:hAnsi="Arial" w:cs="Arial"/>
          <w:color w:val="595959" w:themeColor="text1" w:themeTint="A6"/>
        </w:rPr>
      </w:pPr>
    </w:p>
    <w:p w14:paraId="7A5FDDB9" w14:textId="4AC9EB55" w:rsidR="00D36A53" w:rsidRDefault="00D36A53" w:rsidP="00A36CAC">
      <w:pPr>
        <w:spacing w:line="480" w:lineRule="auto"/>
        <w:jc w:val="both"/>
        <w:rPr>
          <w:rFonts w:ascii="Arial" w:hAnsi="Arial" w:cs="Arial"/>
          <w:color w:val="595959" w:themeColor="text1" w:themeTint="A6"/>
        </w:rPr>
      </w:pPr>
    </w:p>
    <w:p w14:paraId="3F55EFB9" w14:textId="77777777" w:rsidR="00D36A53" w:rsidRPr="0054039C" w:rsidRDefault="00D36A53" w:rsidP="00A36CAC">
      <w:pPr>
        <w:spacing w:line="480" w:lineRule="auto"/>
        <w:jc w:val="both"/>
        <w:rPr>
          <w:rFonts w:ascii="Arial" w:hAnsi="Arial" w:cs="Arial"/>
          <w:color w:val="595959" w:themeColor="text1" w:themeTint="A6"/>
        </w:rPr>
      </w:pPr>
    </w:p>
    <w:p w14:paraId="34F19578" w14:textId="148371F9" w:rsidR="0054039C" w:rsidRPr="0054039C" w:rsidRDefault="00D36A53" w:rsidP="0054039C">
      <w:pPr>
        <w:spacing w:line="480" w:lineRule="auto"/>
        <w:jc w:val="both"/>
        <w:rPr>
          <w:rFonts w:ascii="Arial" w:hAnsi="Arial" w:cs="Arial"/>
          <w:color w:val="595959" w:themeColor="text1" w:themeTint="A6"/>
        </w:rPr>
      </w:pPr>
      <w:r w:rsidRPr="00D36A53">
        <w:rPr>
          <w:noProof/>
        </w:rPr>
        <w:drawing>
          <wp:anchor distT="0" distB="0" distL="114300" distR="114300" simplePos="0" relativeHeight="251658479" behindDoc="0" locked="0" layoutInCell="1" allowOverlap="1" wp14:anchorId="41158231" wp14:editId="11B812F6">
            <wp:simplePos x="0" y="0"/>
            <wp:positionH relativeFrom="margin">
              <wp:align>center</wp:align>
            </wp:positionH>
            <wp:positionV relativeFrom="paragraph">
              <wp:posOffset>15875</wp:posOffset>
            </wp:positionV>
            <wp:extent cx="4102100" cy="2755900"/>
            <wp:effectExtent l="0" t="0" r="0" b="0"/>
            <wp:wrapNone/>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102100" cy="2755900"/>
                    </a:xfrm>
                    <a:prstGeom prst="rect">
                      <a:avLst/>
                    </a:prstGeom>
                    <a:noFill/>
                    <a:ln>
                      <a:noFill/>
                    </a:ln>
                  </pic:spPr>
                </pic:pic>
              </a:graphicData>
            </a:graphic>
          </wp:anchor>
        </w:drawing>
      </w:r>
    </w:p>
    <w:p w14:paraId="32FFF8E8" w14:textId="361D138A" w:rsidR="0054039C" w:rsidRPr="0054039C" w:rsidRDefault="0054039C" w:rsidP="0054039C">
      <w:pPr>
        <w:spacing w:line="480" w:lineRule="auto"/>
        <w:ind w:firstLine="720"/>
        <w:jc w:val="both"/>
        <w:rPr>
          <w:rFonts w:ascii="Arial" w:hAnsi="Arial" w:cs="Arial"/>
          <w:color w:val="595959" w:themeColor="text1" w:themeTint="A6"/>
        </w:rPr>
      </w:pPr>
    </w:p>
    <w:p w14:paraId="20FCADBB" w14:textId="77777777" w:rsidR="0054039C" w:rsidRPr="0054039C" w:rsidRDefault="0054039C" w:rsidP="0054039C">
      <w:pPr>
        <w:spacing w:line="480" w:lineRule="auto"/>
        <w:ind w:firstLine="720"/>
        <w:jc w:val="both"/>
        <w:rPr>
          <w:rFonts w:ascii="Arial" w:hAnsi="Arial" w:cs="Arial"/>
          <w:color w:val="595959" w:themeColor="text1" w:themeTint="A6"/>
        </w:rPr>
      </w:pPr>
    </w:p>
    <w:p w14:paraId="18A1A36C" w14:textId="77777777" w:rsidR="0054039C" w:rsidRPr="0054039C" w:rsidRDefault="0054039C" w:rsidP="0054039C">
      <w:pPr>
        <w:spacing w:line="480" w:lineRule="auto"/>
        <w:ind w:firstLine="720"/>
        <w:jc w:val="both"/>
        <w:rPr>
          <w:rFonts w:ascii="Arial" w:hAnsi="Arial" w:cs="Arial"/>
          <w:color w:val="595959" w:themeColor="text1" w:themeTint="A6"/>
        </w:rPr>
      </w:pPr>
    </w:p>
    <w:p w14:paraId="0C071A77" w14:textId="77777777" w:rsidR="0054039C" w:rsidRPr="0054039C" w:rsidRDefault="0054039C" w:rsidP="0054039C">
      <w:pPr>
        <w:spacing w:line="480" w:lineRule="auto"/>
        <w:ind w:firstLine="720"/>
        <w:jc w:val="both"/>
        <w:rPr>
          <w:rFonts w:ascii="Arial" w:hAnsi="Arial" w:cs="Arial"/>
          <w:color w:val="595959" w:themeColor="text1" w:themeTint="A6"/>
        </w:rPr>
      </w:pPr>
    </w:p>
    <w:p w14:paraId="078EEB80" w14:textId="18F47038" w:rsidR="0054039C" w:rsidRPr="0054039C" w:rsidRDefault="0054039C" w:rsidP="0054039C">
      <w:pPr>
        <w:spacing w:line="480" w:lineRule="auto"/>
        <w:ind w:firstLine="720"/>
        <w:jc w:val="both"/>
        <w:rPr>
          <w:rFonts w:ascii="Arial" w:hAnsi="Arial" w:cs="Arial"/>
          <w:color w:val="595959" w:themeColor="text1" w:themeTint="A6"/>
        </w:rPr>
      </w:pPr>
    </w:p>
    <w:p w14:paraId="10ED3DAF" w14:textId="77777777" w:rsidR="0054039C" w:rsidRPr="0054039C" w:rsidRDefault="0054039C" w:rsidP="0054039C">
      <w:pPr>
        <w:spacing w:line="480" w:lineRule="auto"/>
        <w:jc w:val="both"/>
        <w:rPr>
          <w:rFonts w:ascii="Arial" w:hAnsi="Arial" w:cs="Arial"/>
          <w:color w:val="595959" w:themeColor="text1" w:themeTint="A6"/>
        </w:rPr>
      </w:pPr>
    </w:p>
    <w:p w14:paraId="78640E2E" w14:textId="7F403BCD" w:rsidR="0054039C" w:rsidRPr="0054039C" w:rsidRDefault="0054039C" w:rsidP="0054039C">
      <w:pPr>
        <w:spacing w:line="480" w:lineRule="auto"/>
        <w:jc w:val="both"/>
        <w:rPr>
          <w:rFonts w:ascii="Arial" w:hAnsi="Arial" w:cs="Arial"/>
          <w:color w:val="595959" w:themeColor="text1" w:themeTint="A6"/>
        </w:rPr>
      </w:pPr>
    </w:p>
    <w:p w14:paraId="3180EFFA" w14:textId="77777777" w:rsidR="0054039C" w:rsidRPr="0054039C" w:rsidRDefault="0054039C" w:rsidP="0054039C">
      <w:pPr>
        <w:spacing w:line="480" w:lineRule="auto"/>
        <w:jc w:val="both"/>
        <w:rPr>
          <w:rFonts w:ascii="Arial" w:hAnsi="Arial" w:cs="Arial"/>
          <w:color w:val="595959" w:themeColor="text1" w:themeTint="A6"/>
        </w:rPr>
      </w:pPr>
      <w:r w:rsidRPr="0054039C">
        <w:rPr>
          <w:rFonts w:ascii="Arial" w:hAnsi="Arial" w:cs="Arial"/>
          <w:noProof/>
          <w:color w:val="595959" w:themeColor="text1" w:themeTint="A6"/>
          <w:sz w:val="24"/>
          <w:szCs w:val="24"/>
          <w:lang w:eastAsia="zh-CN"/>
        </w:rPr>
        <mc:AlternateContent>
          <mc:Choice Requires="wps">
            <w:drawing>
              <wp:anchor distT="0" distB="0" distL="114300" distR="114300" simplePos="0" relativeHeight="251658273" behindDoc="0" locked="0" layoutInCell="1" allowOverlap="1" wp14:anchorId="0DFCAA07" wp14:editId="6623B65D">
                <wp:simplePos x="0" y="0"/>
                <wp:positionH relativeFrom="margin">
                  <wp:align>right</wp:align>
                </wp:positionH>
                <wp:positionV relativeFrom="paragraph">
                  <wp:posOffset>320040</wp:posOffset>
                </wp:positionV>
                <wp:extent cx="5724525" cy="1295400"/>
                <wp:effectExtent l="0" t="0" r="9525" b="0"/>
                <wp:wrapNone/>
                <wp:docPr id="20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1295400"/>
                        </a:xfrm>
                        <a:prstGeom prst="rect">
                          <a:avLst/>
                        </a:prstGeom>
                        <a:solidFill>
                          <a:srgbClr val="FFFFFF"/>
                        </a:solidFill>
                        <a:ln w="9525">
                          <a:noFill/>
                          <a:miter lim="800000"/>
                          <a:headEnd/>
                          <a:tailEnd/>
                        </a:ln>
                      </wps:spPr>
                      <wps:txbx>
                        <w:txbxContent>
                          <w:p w14:paraId="19B7917D" w14:textId="77777777" w:rsidR="008A47AC" w:rsidRDefault="008A47AC" w:rsidP="0054039C">
                            <w:pPr>
                              <w:pStyle w:val="NormalWeb"/>
                              <w:spacing w:after="200"/>
                              <w:jc w:val="both"/>
                            </w:pPr>
                            <w:r>
                              <w:rPr>
                                <w:rFonts w:ascii="Arial Narrow" w:eastAsia="SimSun" w:hAnsi="Arial Narrow" w:cs="Arial"/>
                                <w:b/>
                                <w:bCs/>
                                <w:color w:val="595959"/>
                                <w:kern w:val="24"/>
                                <w:sz w:val="22"/>
                                <w:szCs w:val="22"/>
                              </w:rPr>
                              <w:t xml:space="preserve">Figure 3.7 Long-term expression data for the myofibroblast </w:t>
                            </w:r>
                            <w:r w:rsidRPr="00C75A86">
                              <w:rPr>
                                <w:rFonts w:ascii="Arial Narrow" w:eastAsia="SimSun" w:hAnsi="Arial Narrow" w:cs="Arial"/>
                                <w:b/>
                                <w:bCs/>
                                <w:color w:val="595959"/>
                                <w:kern w:val="24"/>
                                <w:sz w:val="22"/>
                                <w:szCs w:val="22"/>
                              </w:rPr>
                              <w:t xml:space="preserve">marker </w:t>
                            </w:r>
                            <w:r w:rsidRPr="00C75A86">
                              <w:rPr>
                                <w:rFonts w:ascii="Arial Narrow" w:eastAsia="SimSun" w:hAnsi="Arial Narrow" w:cs="Arial"/>
                                <w:b/>
                                <w:color w:val="595959"/>
                                <w:kern w:val="24"/>
                                <w:sz w:val="22"/>
                                <w:szCs w:val="22"/>
                              </w:rPr>
                              <w:t>αSMA</w:t>
                            </w:r>
                            <w:r>
                              <w:rPr>
                                <w:rFonts w:ascii="Arial Narrow" w:eastAsia="SimSun" w:hAnsi="Arial Narrow" w:cs="Arial"/>
                                <w:b/>
                                <w:bCs/>
                                <w:color w:val="595959"/>
                                <w:kern w:val="24"/>
                                <w:sz w:val="22"/>
                                <w:szCs w:val="22"/>
                              </w:rPr>
                              <w:t xml:space="preserve"> </w:t>
                            </w:r>
                            <w:r>
                              <w:rPr>
                                <w:rFonts w:ascii="Arial Narrow" w:eastAsia="SimSun" w:hAnsi="Arial Narrow" w:cs="Arial"/>
                                <w:b/>
                                <w:color w:val="595959"/>
                                <w:kern w:val="24"/>
                                <w:sz w:val="22"/>
                                <w:szCs w:val="22"/>
                              </w:rPr>
                              <w:t xml:space="preserve">in NOF </w:t>
                            </w:r>
                            <w:r>
                              <w:rPr>
                                <w:rFonts w:ascii="Arial Narrow" w:eastAsia="SimSun" w:hAnsi="Arial Narrow" w:cs="Arial"/>
                                <w:b/>
                                <w:bCs/>
                                <w:color w:val="595959"/>
                                <w:kern w:val="24"/>
                                <w:sz w:val="22"/>
                                <w:szCs w:val="22"/>
                              </w:rPr>
                              <w:t>with and without TGFβ-1 stimulation</w:t>
                            </w:r>
                            <w:r>
                              <w:rPr>
                                <w:rFonts w:ascii="Arial Narrow" w:eastAsia="SimSun" w:hAnsi="Arial Narrow" w:cs="Arial"/>
                                <w:b/>
                                <w:color w:val="595959"/>
                                <w:kern w:val="24"/>
                                <w:sz w:val="22"/>
                                <w:szCs w:val="22"/>
                              </w:rPr>
                              <w:t xml:space="preserve"> </w:t>
                            </w:r>
                            <w:r>
                              <w:rPr>
                                <w:rFonts w:ascii="Arial Narrow" w:eastAsia="SimSun" w:hAnsi="Arial Narrow" w:cs="Arial"/>
                                <w:b/>
                                <w:bCs/>
                                <w:color w:val="595959"/>
                                <w:kern w:val="24"/>
                                <w:sz w:val="22"/>
                                <w:szCs w:val="22"/>
                              </w:rPr>
                              <w:t xml:space="preserve">  </w:t>
                            </w:r>
                          </w:p>
                          <w:p w14:paraId="32552122" w14:textId="5E242B52" w:rsidR="008A47AC" w:rsidRPr="00B612DF" w:rsidRDefault="008A47AC" w:rsidP="0054039C">
                            <w:pPr>
                              <w:pStyle w:val="NormalWeb"/>
                              <w:spacing w:after="200" w:line="276" w:lineRule="auto"/>
                              <w:jc w:val="both"/>
                              <w:rPr>
                                <w:rFonts w:ascii="Arial Narrow" w:eastAsia="SimSun" w:hAnsi="Arial Narrow" w:cs="Arial"/>
                                <w:color w:val="595959"/>
                                <w:kern w:val="24"/>
                                <w:sz w:val="22"/>
                                <w:szCs w:val="22"/>
                              </w:rPr>
                            </w:pPr>
                            <w:r>
                              <w:rPr>
                                <w:rFonts w:ascii="Arial Narrow" w:eastAsia="SimSun" w:hAnsi="Arial Narrow" w:cs="Arial"/>
                                <w:color w:val="595959"/>
                                <w:kern w:val="24"/>
                                <w:sz w:val="22"/>
                              </w:rPr>
                              <w:t xml:space="preserve">NOF 2D monolayers were treated </w:t>
                            </w:r>
                            <w:r>
                              <w:rPr>
                                <w:rFonts w:ascii="Arial Narrow" w:eastAsia="SimSun" w:hAnsi="Arial Narrow" w:cs="Arial"/>
                                <w:color w:val="595959"/>
                                <w:kern w:val="24"/>
                                <w:sz w:val="22"/>
                                <w:szCs w:val="22"/>
                              </w:rPr>
                              <w:t xml:space="preserve">with 2 ng/mL TGFβ-1 up to 72 h + 14 days </w:t>
                            </w:r>
                            <w:r>
                              <w:rPr>
                                <w:rFonts w:ascii="Arial Narrow" w:eastAsia="SimSun" w:hAnsi="Arial Narrow" w:cs="Arial"/>
                                <w:color w:val="595959"/>
                                <w:kern w:val="24"/>
                                <w:sz w:val="22"/>
                              </w:rPr>
                              <w:t xml:space="preserve">and the gene expression for </w:t>
                            </w:r>
                            <w:r>
                              <w:rPr>
                                <w:rFonts w:ascii="Arial Narrow" w:eastAsia="SimSun" w:hAnsi="Arial Narrow" w:cs="Arial"/>
                                <w:color w:val="595959"/>
                                <w:kern w:val="24"/>
                                <w:sz w:val="22"/>
                                <w:szCs w:val="22"/>
                              </w:rPr>
                              <w:t xml:space="preserve">αSMA was </w:t>
                            </w:r>
                            <w:r>
                              <w:rPr>
                                <w:rFonts w:ascii="Arial Narrow" w:eastAsia="SimSun" w:hAnsi="Arial Narrow" w:cs="Arial"/>
                                <w:color w:val="595959"/>
                                <w:kern w:val="24"/>
                                <w:sz w:val="22"/>
                              </w:rPr>
                              <w:t>determined by qPCR</w:t>
                            </w:r>
                            <w:r>
                              <w:rPr>
                                <w:rFonts w:ascii="Arial Narrow" w:eastAsia="SimSun" w:hAnsi="Arial Narrow" w:cs="Arial"/>
                                <w:color w:val="595959"/>
                                <w:kern w:val="24"/>
                                <w:sz w:val="22"/>
                                <w:szCs w:val="22"/>
                              </w:rPr>
                              <w:t xml:space="preserve">. </w:t>
                            </w:r>
                            <w:r>
                              <w:rPr>
                                <w:rFonts w:ascii="Arial Narrow" w:eastAsia="SimSun" w:hAnsi="Arial Narrow" w:cs="Arial"/>
                                <w:color w:val="595959"/>
                                <w:kern w:val="24"/>
                                <w:sz w:val="22"/>
                              </w:rPr>
                              <w:t xml:space="preserve">Data is expressed as fold change relative to housekeeping gene U6, with mean ± SD. </w:t>
                            </w:r>
                            <w:r w:rsidRPr="004C4D93">
                              <w:rPr>
                                <w:rFonts w:ascii="Arial Narrow" w:eastAsia="SimSun" w:hAnsi="Arial Narrow" w:cs="Arial"/>
                                <w:i/>
                                <w:iCs/>
                                <w:color w:val="595959"/>
                                <w:kern w:val="24"/>
                                <w:sz w:val="22"/>
                              </w:rPr>
                              <w:t>NS</w:t>
                            </w:r>
                            <w:r>
                              <w:rPr>
                                <w:rFonts w:ascii="Arial Narrow" w:eastAsia="SimSun" w:hAnsi="Arial Narrow" w:cs="Arial"/>
                                <w:color w:val="595959"/>
                                <w:kern w:val="24"/>
                                <w:sz w:val="22"/>
                              </w:rPr>
                              <w:t xml:space="preserve"> was observed in </w:t>
                            </w:r>
                            <w:r>
                              <w:rPr>
                                <w:rFonts w:ascii="Arial Narrow" w:eastAsia="SimSun" w:hAnsi="Arial Narrow" w:cs="Arial"/>
                                <w:color w:val="595959"/>
                                <w:kern w:val="24"/>
                                <w:sz w:val="22"/>
                                <w:szCs w:val="22"/>
                              </w:rPr>
                              <w:t>analysis by ordinary one-way ANOVA with Dunnett’s multiple comparison. (N=3, n=3).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FCAA07" id="_x0000_s1068" type="#_x0000_t202" style="position:absolute;left:0;text-align:left;margin-left:399.55pt;margin-top:25.2pt;width:450.75pt;height:102pt;z-index:251658273;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" stroked="f">
                <v:textbox>
                  <w:txbxContent>
                    <w:p w14:paraId="19B7917D" w14:textId="77777777" w:rsidR="008A47AC" w:rsidRDefault="008A47AC" w:rsidP="0054039C">
                      <w:pPr>
                        <w:pStyle w:val="NormalWeb"/>
                        <w:spacing w:after="200"/>
                        <w:jc w:val="both"/>
                      </w:pPr>
                      <w:r>
                        <w:rPr>
                          <w:rFonts w:ascii="Arial Narrow" w:eastAsia="SimSun" w:hAnsi="Arial Narrow" w:cs="Arial"/>
                          <w:b/>
                          <w:bCs/>
                          <w:color w:val="595959"/>
                          <w:kern w:val="24"/>
                          <w:sz w:val="22"/>
                          <w:szCs w:val="22"/>
                        </w:rPr>
                        <w:t xml:space="preserve">Figure 3.7 Long-term expression data for the myofibroblast </w:t>
                      </w:r>
                      <w:r w:rsidRPr="00C75A86">
                        <w:rPr>
                          <w:rFonts w:ascii="Arial Narrow" w:eastAsia="SimSun" w:hAnsi="Arial Narrow" w:cs="Arial"/>
                          <w:b/>
                          <w:bCs/>
                          <w:color w:val="595959"/>
                          <w:kern w:val="24"/>
                          <w:sz w:val="22"/>
                          <w:szCs w:val="22"/>
                        </w:rPr>
                        <w:t xml:space="preserve">marker </w:t>
                      </w:r>
                      <w:r w:rsidRPr="00C75A86">
                        <w:rPr>
                          <w:rFonts w:ascii="Arial Narrow" w:eastAsia="SimSun" w:hAnsi="Arial Narrow" w:cs="Arial"/>
                          <w:b/>
                          <w:color w:val="595959"/>
                          <w:kern w:val="24"/>
                          <w:sz w:val="22"/>
                          <w:szCs w:val="22"/>
                        </w:rPr>
                        <w:t>αSMA</w:t>
                      </w:r>
                      <w:r>
                        <w:rPr>
                          <w:rFonts w:ascii="Arial Narrow" w:eastAsia="SimSun" w:hAnsi="Arial Narrow" w:cs="Arial"/>
                          <w:b/>
                          <w:bCs/>
                          <w:color w:val="595959"/>
                          <w:kern w:val="24"/>
                          <w:sz w:val="22"/>
                          <w:szCs w:val="22"/>
                        </w:rPr>
                        <w:t xml:space="preserve"> </w:t>
                      </w:r>
                      <w:r>
                        <w:rPr>
                          <w:rFonts w:ascii="Arial Narrow" w:eastAsia="SimSun" w:hAnsi="Arial Narrow" w:cs="Arial"/>
                          <w:b/>
                          <w:color w:val="595959"/>
                          <w:kern w:val="24"/>
                          <w:sz w:val="22"/>
                          <w:szCs w:val="22"/>
                        </w:rPr>
                        <w:t xml:space="preserve">in NOF </w:t>
                      </w:r>
                      <w:r>
                        <w:rPr>
                          <w:rFonts w:ascii="Arial Narrow" w:eastAsia="SimSun" w:hAnsi="Arial Narrow" w:cs="Arial"/>
                          <w:b/>
                          <w:bCs/>
                          <w:color w:val="595959"/>
                          <w:kern w:val="24"/>
                          <w:sz w:val="22"/>
                          <w:szCs w:val="22"/>
                        </w:rPr>
                        <w:t>with and without TGFβ-1 stimulation</w:t>
                      </w:r>
                      <w:r>
                        <w:rPr>
                          <w:rFonts w:ascii="Arial Narrow" w:eastAsia="SimSun" w:hAnsi="Arial Narrow" w:cs="Arial"/>
                          <w:b/>
                          <w:color w:val="595959"/>
                          <w:kern w:val="24"/>
                          <w:sz w:val="22"/>
                          <w:szCs w:val="22"/>
                        </w:rPr>
                        <w:t xml:space="preserve"> </w:t>
                      </w:r>
                      <w:r>
                        <w:rPr>
                          <w:rFonts w:ascii="Arial Narrow" w:eastAsia="SimSun" w:hAnsi="Arial Narrow" w:cs="Arial"/>
                          <w:b/>
                          <w:bCs/>
                          <w:color w:val="595959"/>
                          <w:kern w:val="24"/>
                          <w:sz w:val="22"/>
                          <w:szCs w:val="22"/>
                        </w:rPr>
                        <w:t xml:space="preserve">  </w:t>
                      </w:r>
                    </w:p>
                    <w:p w14:paraId="32552122" w14:textId="5E242B52" w:rsidR="008A47AC" w:rsidRPr="00B612DF" w:rsidRDefault="008A47AC" w:rsidP="0054039C">
                      <w:pPr>
                        <w:pStyle w:val="NormalWeb"/>
                        <w:spacing w:after="200" w:line="276" w:lineRule="auto"/>
                        <w:jc w:val="both"/>
                        <w:rPr>
                          <w:rFonts w:ascii="Arial Narrow" w:eastAsia="SimSun" w:hAnsi="Arial Narrow" w:cs="Arial"/>
                          <w:color w:val="595959"/>
                          <w:kern w:val="24"/>
                          <w:sz w:val="22"/>
                          <w:szCs w:val="22"/>
                        </w:rPr>
                      </w:pPr>
                      <w:r>
                        <w:rPr>
                          <w:rFonts w:ascii="Arial Narrow" w:eastAsia="SimSun" w:hAnsi="Arial Narrow" w:cs="Arial"/>
                          <w:color w:val="595959"/>
                          <w:kern w:val="24"/>
                          <w:sz w:val="22"/>
                        </w:rPr>
                        <w:t xml:space="preserve">NOF 2D monolayers were treated </w:t>
                      </w:r>
                      <w:r>
                        <w:rPr>
                          <w:rFonts w:ascii="Arial Narrow" w:eastAsia="SimSun" w:hAnsi="Arial Narrow" w:cs="Arial"/>
                          <w:color w:val="595959"/>
                          <w:kern w:val="24"/>
                          <w:sz w:val="22"/>
                          <w:szCs w:val="22"/>
                        </w:rPr>
                        <w:t xml:space="preserve">with 2 ng/mL TGFβ-1 up to 72 h + 14 days </w:t>
                      </w:r>
                      <w:r>
                        <w:rPr>
                          <w:rFonts w:ascii="Arial Narrow" w:eastAsia="SimSun" w:hAnsi="Arial Narrow" w:cs="Arial"/>
                          <w:color w:val="595959"/>
                          <w:kern w:val="24"/>
                          <w:sz w:val="22"/>
                        </w:rPr>
                        <w:t xml:space="preserve">and the gene expression for </w:t>
                      </w:r>
                      <w:r>
                        <w:rPr>
                          <w:rFonts w:ascii="Arial Narrow" w:eastAsia="SimSun" w:hAnsi="Arial Narrow" w:cs="Arial"/>
                          <w:color w:val="595959"/>
                          <w:kern w:val="24"/>
                          <w:sz w:val="22"/>
                          <w:szCs w:val="22"/>
                        </w:rPr>
                        <w:t xml:space="preserve">αSMA was </w:t>
                      </w:r>
                      <w:r>
                        <w:rPr>
                          <w:rFonts w:ascii="Arial Narrow" w:eastAsia="SimSun" w:hAnsi="Arial Narrow" w:cs="Arial"/>
                          <w:color w:val="595959"/>
                          <w:kern w:val="24"/>
                          <w:sz w:val="22"/>
                        </w:rPr>
                        <w:t>determined by qPCR</w:t>
                      </w:r>
                      <w:r>
                        <w:rPr>
                          <w:rFonts w:ascii="Arial Narrow" w:eastAsia="SimSun" w:hAnsi="Arial Narrow" w:cs="Arial"/>
                          <w:color w:val="595959"/>
                          <w:kern w:val="24"/>
                          <w:sz w:val="22"/>
                          <w:szCs w:val="22"/>
                        </w:rPr>
                        <w:t xml:space="preserve">. </w:t>
                      </w:r>
                      <w:r>
                        <w:rPr>
                          <w:rFonts w:ascii="Arial Narrow" w:eastAsia="SimSun" w:hAnsi="Arial Narrow" w:cs="Arial"/>
                          <w:color w:val="595959"/>
                          <w:kern w:val="24"/>
                          <w:sz w:val="22"/>
                        </w:rPr>
                        <w:t xml:space="preserve">Data is expressed as fold change relative to housekeeping gene U6, with mean ± SD. </w:t>
                      </w:r>
                      <w:r w:rsidRPr="004C4D93">
                        <w:rPr>
                          <w:rFonts w:ascii="Arial Narrow" w:eastAsia="SimSun" w:hAnsi="Arial Narrow" w:cs="Arial"/>
                          <w:i/>
                          <w:iCs/>
                          <w:color w:val="595959"/>
                          <w:kern w:val="24"/>
                          <w:sz w:val="22"/>
                        </w:rPr>
                        <w:t>NS</w:t>
                      </w:r>
                      <w:r>
                        <w:rPr>
                          <w:rFonts w:ascii="Arial Narrow" w:eastAsia="SimSun" w:hAnsi="Arial Narrow" w:cs="Arial"/>
                          <w:color w:val="595959"/>
                          <w:kern w:val="24"/>
                          <w:sz w:val="22"/>
                        </w:rPr>
                        <w:t xml:space="preserve"> was observed in </w:t>
                      </w:r>
                      <w:r>
                        <w:rPr>
                          <w:rFonts w:ascii="Arial Narrow" w:eastAsia="SimSun" w:hAnsi="Arial Narrow" w:cs="Arial"/>
                          <w:color w:val="595959"/>
                          <w:kern w:val="24"/>
                          <w:sz w:val="22"/>
                          <w:szCs w:val="22"/>
                        </w:rPr>
                        <w:t>analysis by ordinary one-way ANOVA with Dunnett’s multiple comparison. (N=3, n=3).</w:t>
                      </w:r>
                    </w:p>
                  </w:txbxContent>
                </v:textbox>
                <w10:wrap anchorx="margin"/>
              </v:shape>
            </w:pict>
          </mc:Fallback>
        </mc:AlternateContent>
      </w:r>
    </w:p>
    <w:p w14:paraId="3A8307A3" w14:textId="77777777" w:rsidR="0054039C" w:rsidRPr="0054039C" w:rsidRDefault="0054039C" w:rsidP="0054039C">
      <w:pPr>
        <w:spacing w:line="480" w:lineRule="auto"/>
        <w:ind w:firstLine="720"/>
        <w:jc w:val="both"/>
        <w:rPr>
          <w:rFonts w:ascii="Arial" w:hAnsi="Arial" w:cs="Arial"/>
          <w:color w:val="595959" w:themeColor="text1" w:themeTint="A6"/>
        </w:rPr>
      </w:pPr>
    </w:p>
    <w:p w14:paraId="4FC8CC6F" w14:textId="77777777" w:rsidR="0054039C" w:rsidRPr="0054039C" w:rsidRDefault="0054039C" w:rsidP="0054039C">
      <w:pPr>
        <w:spacing w:line="480" w:lineRule="auto"/>
        <w:ind w:firstLine="720"/>
        <w:jc w:val="both"/>
        <w:rPr>
          <w:rFonts w:ascii="Arial" w:hAnsi="Arial" w:cs="Arial"/>
          <w:color w:val="595959" w:themeColor="text1" w:themeTint="A6"/>
        </w:rPr>
      </w:pPr>
    </w:p>
    <w:p w14:paraId="65579E75" w14:textId="77777777" w:rsidR="0054039C" w:rsidRPr="0054039C" w:rsidRDefault="0054039C" w:rsidP="0054039C">
      <w:pPr>
        <w:spacing w:line="480" w:lineRule="auto"/>
        <w:ind w:firstLine="720"/>
        <w:jc w:val="both"/>
        <w:rPr>
          <w:rFonts w:ascii="Arial" w:hAnsi="Arial" w:cs="Arial"/>
          <w:color w:val="595959" w:themeColor="text1" w:themeTint="A6"/>
        </w:rPr>
      </w:pPr>
    </w:p>
    <w:p w14:paraId="6D66CA10" w14:textId="77777777" w:rsidR="0054039C" w:rsidRPr="0054039C" w:rsidRDefault="0054039C" w:rsidP="0054039C">
      <w:pPr>
        <w:spacing w:line="480" w:lineRule="auto"/>
        <w:ind w:firstLine="720"/>
        <w:jc w:val="both"/>
        <w:rPr>
          <w:rFonts w:ascii="Arial" w:hAnsi="Arial" w:cs="Arial"/>
          <w:color w:val="595959" w:themeColor="text1" w:themeTint="A6"/>
        </w:rPr>
      </w:pPr>
    </w:p>
    <w:p w14:paraId="6BD9FE64" w14:textId="1901C0F4" w:rsidR="00A36CAC" w:rsidRDefault="00A36CAC" w:rsidP="0054039C">
      <w:pPr>
        <w:spacing w:line="480" w:lineRule="auto"/>
        <w:jc w:val="both"/>
        <w:rPr>
          <w:rFonts w:ascii="Arial" w:hAnsi="Arial" w:cs="Arial"/>
          <w:color w:val="595959" w:themeColor="text1" w:themeTint="A6"/>
        </w:rPr>
      </w:pPr>
    </w:p>
    <w:p w14:paraId="67FAA461" w14:textId="77777777" w:rsidR="00360232" w:rsidRDefault="00360232" w:rsidP="0054039C">
      <w:pPr>
        <w:keepNext/>
        <w:keepLines/>
        <w:spacing w:before="40" w:after="0"/>
        <w:outlineLvl w:val="4"/>
        <w:rPr>
          <w:rFonts w:ascii="Arial" w:hAnsi="Arial" w:cs="Arial"/>
          <w:color w:val="595959" w:themeColor="text1" w:themeTint="A6"/>
        </w:rPr>
      </w:pPr>
      <w:bookmarkStart w:id="247" w:name="_Toc7107247"/>
      <w:bookmarkStart w:id="248" w:name="OLE_LINK6"/>
    </w:p>
    <w:p w14:paraId="5219F9DA" w14:textId="742FC738" w:rsidR="0054039C" w:rsidRPr="0054039C" w:rsidRDefault="0054039C" w:rsidP="0054039C">
      <w:pPr>
        <w:keepNext/>
        <w:keepLines/>
        <w:spacing w:before="40" w:after="0"/>
        <w:outlineLvl w:val="4"/>
        <w:rPr>
          <w:rFonts w:ascii="Arial" w:eastAsiaTheme="majorEastAsia" w:hAnsi="Arial" w:cs="Arial"/>
          <w:color w:val="595959" w:themeColor="text1" w:themeTint="A6"/>
        </w:rPr>
      </w:pPr>
      <w:bookmarkStart w:id="249" w:name="_Toc34208353"/>
      <w:r w:rsidRPr="0054039C">
        <w:rPr>
          <w:rFonts w:ascii="Arial" w:eastAsiaTheme="majorEastAsia" w:hAnsi="Arial" w:cs="Arial"/>
          <w:color w:val="595959" w:themeColor="text1" w:themeTint="A6"/>
        </w:rPr>
        <w:t>3.3.1.2.2 FN1-EDA expression by RT-qPCR</w:t>
      </w:r>
      <w:bookmarkEnd w:id="247"/>
      <w:bookmarkEnd w:id="249"/>
    </w:p>
    <w:p w14:paraId="499309EB" w14:textId="77777777" w:rsidR="0054039C" w:rsidRPr="0054039C" w:rsidRDefault="0054039C" w:rsidP="0054039C"/>
    <w:p w14:paraId="28F06187" w14:textId="025EC4AF" w:rsidR="0054039C" w:rsidRPr="0054039C" w:rsidRDefault="00A36CAC" w:rsidP="004B7004">
      <w:pPr>
        <w:spacing w:line="480" w:lineRule="auto"/>
        <w:jc w:val="both"/>
        <w:rPr>
          <w:rFonts w:ascii="Arial" w:hAnsi="Arial" w:cs="Arial"/>
          <w:color w:val="595959" w:themeColor="text1" w:themeTint="A6"/>
        </w:rPr>
      </w:pPr>
      <w:r>
        <w:rPr>
          <w:rFonts w:ascii="Arial" w:hAnsi="Arial" w:cs="Arial"/>
          <w:color w:val="595959" w:themeColor="text1" w:themeTint="A6"/>
        </w:rPr>
        <w:t xml:space="preserve">A significant increase in FN1-EDA transcript was observed at </w:t>
      </w:r>
      <w:r w:rsidR="004B7004">
        <w:rPr>
          <w:rFonts w:ascii="Arial" w:hAnsi="Arial" w:cs="Arial"/>
          <w:color w:val="595959" w:themeColor="text1" w:themeTint="A6"/>
        </w:rPr>
        <w:t xml:space="preserve">the </w:t>
      </w:r>
      <w:r w:rsidR="0054039C" w:rsidRPr="0054039C">
        <w:rPr>
          <w:rFonts w:ascii="Arial" w:hAnsi="Arial" w:cs="Arial"/>
          <w:color w:val="595959" w:themeColor="text1" w:themeTint="A6"/>
        </w:rPr>
        <w:t>24 h- and 48 h + 14 days’ time points</w:t>
      </w:r>
      <w:r w:rsidR="009C0559">
        <w:rPr>
          <w:rFonts w:ascii="Arial" w:hAnsi="Arial" w:cs="Arial"/>
          <w:color w:val="595959" w:themeColor="text1" w:themeTint="A6"/>
        </w:rPr>
        <w:t xml:space="preserve"> upon </w:t>
      </w:r>
      <w:r w:rsidR="009C0559" w:rsidRPr="0054039C">
        <w:rPr>
          <w:rFonts w:ascii="Arial" w:hAnsi="Arial" w:cs="Arial"/>
          <w:color w:val="595959" w:themeColor="text1" w:themeTint="A6"/>
        </w:rPr>
        <w:t>TGFβ-1 treatment</w:t>
      </w:r>
      <w:r w:rsidR="004B7004">
        <w:rPr>
          <w:rFonts w:ascii="Arial" w:hAnsi="Arial" w:cs="Arial"/>
          <w:color w:val="595959" w:themeColor="text1" w:themeTint="A6"/>
        </w:rPr>
        <w:t xml:space="preserve"> (Figure 3.8)</w:t>
      </w:r>
      <w:r w:rsidR="0054039C" w:rsidRPr="0054039C">
        <w:rPr>
          <w:rFonts w:ascii="Arial" w:hAnsi="Arial" w:cs="Arial"/>
          <w:color w:val="595959" w:themeColor="text1" w:themeTint="A6"/>
        </w:rPr>
        <w:t xml:space="preserve">. </w:t>
      </w:r>
      <w:r w:rsidR="009C0559">
        <w:rPr>
          <w:rFonts w:ascii="Arial" w:hAnsi="Arial" w:cs="Arial"/>
          <w:color w:val="595959" w:themeColor="text1" w:themeTint="A6"/>
        </w:rPr>
        <w:t>At</w:t>
      </w:r>
      <w:r w:rsidR="0054039C" w:rsidRPr="0054039C">
        <w:rPr>
          <w:rFonts w:ascii="Arial" w:hAnsi="Arial" w:cs="Arial"/>
          <w:color w:val="595959" w:themeColor="text1" w:themeTint="A6"/>
        </w:rPr>
        <w:t xml:space="preserve"> 24 h + 14-day </w:t>
      </w:r>
      <w:r w:rsidR="009C0559">
        <w:rPr>
          <w:rFonts w:ascii="Arial" w:hAnsi="Arial" w:cs="Arial"/>
          <w:color w:val="595959" w:themeColor="text1" w:themeTint="A6"/>
        </w:rPr>
        <w:t xml:space="preserve">a </w:t>
      </w:r>
      <w:r w:rsidR="0054039C" w:rsidRPr="0054039C">
        <w:rPr>
          <w:rFonts w:ascii="Arial" w:hAnsi="Arial" w:cs="Arial"/>
          <w:color w:val="595959" w:themeColor="text1" w:themeTint="A6"/>
        </w:rPr>
        <w:t xml:space="preserve">mean fold change </w:t>
      </w:r>
      <w:r w:rsidR="009C0559">
        <w:rPr>
          <w:rFonts w:ascii="Arial" w:hAnsi="Arial" w:cs="Arial"/>
          <w:color w:val="595959" w:themeColor="text1" w:themeTint="A6"/>
        </w:rPr>
        <w:t>of</w:t>
      </w:r>
      <w:r w:rsidR="0054039C" w:rsidRPr="0054039C">
        <w:rPr>
          <w:rFonts w:ascii="Arial" w:hAnsi="Arial" w:cs="Arial"/>
          <w:color w:val="595959" w:themeColor="text1" w:themeTint="A6"/>
        </w:rPr>
        <w:t xml:space="preserve"> 1.59 ± 0.34 (p=0.0054) </w:t>
      </w:r>
      <w:r w:rsidR="009C0559">
        <w:rPr>
          <w:rFonts w:ascii="Arial" w:hAnsi="Arial" w:cs="Arial"/>
          <w:color w:val="595959" w:themeColor="text1" w:themeTint="A6"/>
        </w:rPr>
        <w:t xml:space="preserve">was observed </w:t>
      </w:r>
      <w:r w:rsidR="0054039C" w:rsidRPr="0054039C">
        <w:rPr>
          <w:rFonts w:ascii="Arial" w:hAnsi="Arial" w:cs="Arial"/>
          <w:color w:val="595959" w:themeColor="text1" w:themeTint="A6"/>
        </w:rPr>
        <w:t xml:space="preserve">compared to 24 h control samples. At 48 h +14-day TGFβ-1 treatment exhibited the largest fold change in transcript expression with a mean of 1.72 ± 0.61, (p=0.0006) compared to 24 </w:t>
      </w:r>
      <w:r w:rsidR="004260C5">
        <w:rPr>
          <w:rFonts w:ascii="Arial" w:hAnsi="Arial" w:cs="Arial"/>
          <w:color w:val="595959" w:themeColor="text1" w:themeTint="A6"/>
        </w:rPr>
        <w:t xml:space="preserve">h </w:t>
      </w:r>
      <w:r w:rsidR="0054039C" w:rsidRPr="0054039C">
        <w:rPr>
          <w:rFonts w:ascii="Arial" w:hAnsi="Arial" w:cs="Arial"/>
          <w:color w:val="595959" w:themeColor="text1" w:themeTint="A6"/>
        </w:rPr>
        <w:t>+ 14-day vehicle control groups. No significant changes in expression w</w:t>
      </w:r>
      <w:r w:rsidR="000632A8">
        <w:rPr>
          <w:rFonts w:ascii="Arial" w:hAnsi="Arial" w:cs="Arial"/>
          <w:color w:val="595959" w:themeColor="text1" w:themeTint="A6"/>
        </w:rPr>
        <w:t>ere</w:t>
      </w:r>
      <w:r w:rsidR="0054039C" w:rsidRPr="0054039C">
        <w:rPr>
          <w:rFonts w:ascii="Arial" w:hAnsi="Arial" w:cs="Arial"/>
          <w:color w:val="595959" w:themeColor="text1" w:themeTint="A6"/>
        </w:rPr>
        <w:t xml:space="preserve"> observed for NOF treated at</w:t>
      </w:r>
      <w:r w:rsidR="004B7004">
        <w:rPr>
          <w:rFonts w:ascii="Arial" w:hAnsi="Arial" w:cs="Arial"/>
          <w:color w:val="595959" w:themeColor="text1" w:themeTint="A6"/>
        </w:rPr>
        <w:t xml:space="preserve"> with TGFβ-1 at 72 h + 14 days.</w:t>
      </w:r>
    </w:p>
    <w:bookmarkEnd w:id="248"/>
    <w:p w14:paraId="28DA33C3" w14:textId="77777777" w:rsidR="0054039C" w:rsidRPr="0054039C" w:rsidRDefault="0054039C" w:rsidP="0054039C">
      <w:pPr>
        <w:spacing w:line="480" w:lineRule="auto"/>
        <w:jc w:val="both"/>
        <w:rPr>
          <w:rFonts w:ascii="Arial" w:hAnsi="Arial" w:cs="Arial"/>
          <w:color w:val="595959" w:themeColor="text1" w:themeTint="A6"/>
        </w:rPr>
      </w:pPr>
    </w:p>
    <w:p w14:paraId="560090C3" w14:textId="74A88040" w:rsidR="0054039C" w:rsidRPr="0054039C" w:rsidRDefault="0054039C" w:rsidP="0054039C">
      <w:pPr>
        <w:spacing w:line="480" w:lineRule="auto"/>
        <w:ind w:firstLine="720"/>
        <w:jc w:val="both"/>
        <w:rPr>
          <w:rFonts w:ascii="Arial" w:hAnsi="Arial" w:cs="Arial"/>
          <w:color w:val="595959" w:themeColor="text1" w:themeTint="A6"/>
        </w:rPr>
      </w:pPr>
    </w:p>
    <w:p w14:paraId="6EBE6945" w14:textId="24960F7E" w:rsidR="0054039C" w:rsidRPr="0054039C" w:rsidRDefault="00B314A0" w:rsidP="0054039C">
      <w:pPr>
        <w:spacing w:line="480" w:lineRule="auto"/>
        <w:ind w:firstLine="720"/>
        <w:jc w:val="both"/>
        <w:rPr>
          <w:rFonts w:ascii="Arial" w:hAnsi="Arial" w:cs="Arial"/>
          <w:color w:val="595959" w:themeColor="text1" w:themeTint="A6"/>
        </w:rPr>
      </w:pPr>
      <w:r w:rsidRPr="00B314A0">
        <w:rPr>
          <w:noProof/>
        </w:rPr>
        <w:drawing>
          <wp:anchor distT="0" distB="0" distL="114300" distR="114300" simplePos="0" relativeHeight="251658480" behindDoc="0" locked="0" layoutInCell="1" allowOverlap="1" wp14:anchorId="6FA64570" wp14:editId="2BDD0B19">
            <wp:simplePos x="0" y="0"/>
            <wp:positionH relativeFrom="margin">
              <wp:align>center</wp:align>
            </wp:positionH>
            <wp:positionV relativeFrom="paragraph">
              <wp:posOffset>10795</wp:posOffset>
            </wp:positionV>
            <wp:extent cx="3327400" cy="2730500"/>
            <wp:effectExtent l="0" t="0" r="0" b="0"/>
            <wp:wrapNone/>
            <wp:docPr id="5300" name="Picture 5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327400" cy="2730500"/>
                    </a:xfrm>
                    <a:prstGeom prst="rect">
                      <a:avLst/>
                    </a:prstGeom>
                    <a:noFill/>
                    <a:ln>
                      <a:noFill/>
                    </a:ln>
                  </pic:spPr>
                </pic:pic>
              </a:graphicData>
            </a:graphic>
          </wp:anchor>
        </w:drawing>
      </w:r>
    </w:p>
    <w:p w14:paraId="19D97381" w14:textId="7F7D84FE" w:rsidR="0054039C" w:rsidRPr="0054039C" w:rsidRDefault="0054039C" w:rsidP="0054039C">
      <w:pPr>
        <w:spacing w:line="480" w:lineRule="auto"/>
        <w:ind w:firstLine="720"/>
        <w:jc w:val="both"/>
        <w:rPr>
          <w:rFonts w:ascii="Arial" w:hAnsi="Arial" w:cs="Arial"/>
          <w:color w:val="595959" w:themeColor="text1" w:themeTint="A6"/>
        </w:rPr>
      </w:pPr>
    </w:p>
    <w:p w14:paraId="4630E405" w14:textId="3D9BFF18" w:rsidR="0054039C" w:rsidRPr="0054039C" w:rsidRDefault="0054039C" w:rsidP="0054039C">
      <w:pPr>
        <w:spacing w:line="480" w:lineRule="auto"/>
        <w:ind w:firstLine="720"/>
        <w:jc w:val="both"/>
        <w:rPr>
          <w:rFonts w:ascii="Arial" w:hAnsi="Arial" w:cs="Arial"/>
          <w:color w:val="595959" w:themeColor="text1" w:themeTint="A6"/>
        </w:rPr>
      </w:pPr>
    </w:p>
    <w:p w14:paraId="5CA86A95" w14:textId="77777777" w:rsidR="0054039C" w:rsidRPr="0054039C" w:rsidRDefault="0054039C" w:rsidP="0054039C">
      <w:pPr>
        <w:spacing w:line="480" w:lineRule="auto"/>
        <w:ind w:firstLine="720"/>
        <w:jc w:val="both"/>
        <w:rPr>
          <w:rFonts w:ascii="Arial" w:hAnsi="Arial" w:cs="Arial"/>
          <w:color w:val="595959" w:themeColor="text1" w:themeTint="A6"/>
        </w:rPr>
      </w:pPr>
    </w:p>
    <w:p w14:paraId="440DBD01" w14:textId="77777777" w:rsidR="0054039C" w:rsidRPr="0054039C" w:rsidRDefault="0054039C" w:rsidP="0054039C">
      <w:pPr>
        <w:spacing w:line="480" w:lineRule="auto"/>
        <w:ind w:firstLine="720"/>
        <w:jc w:val="both"/>
        <w:rPr>
          <w:rFonts w:ascii="Arial" w:hAnsi="Arial" w:cs="Arial"/>
          <w:color w:val="595959" w:themeColor="text1" w:themeTint="A6"/>
        </w:rPr>
      </w:pPr>
    </w:p>
    <w:p w14:paraId="5E18B843" w14:textId="77777777" w:rsidR="0054039C" w:rsidRPr="0054039C" w:rsidRDefault="0054039C" w:rsidP="0054039C">
      <w:pPr>
        <w:spacing w:line="480" w:lineRule="auto"/>
        <w:ind w:firstLine="720"/>
        <w:jc w:val="both"/>
        <w:rPr>
          <w:rFonts w:ascii="Arial" w:hAnsi="Arial" w:cs="Arial"/>
          <w:color w:val="595959" w:themeColor="text1" w:themeTint="A6"/>
        </w:rPr>
      </w:pPr>
    </w:p>
    <w:p w14:paraId="7561C791" w14:textId="560454DA" w:rsidR="0054039C" w:rsidRPr="0054039C" w:rsidRDefault="0054039C" w:rsidP="0054039C">
      <w:pPr>
        <w:spacing w:line="480" w:lineRule="auto"/>
        <w:ind w:firstLine="720"/>
        <w:jc w:val="both"/>
        <w:rPr>
          <w:rFonts w:ascii="Arial" w:hAnsi="Arial" w:cs="Arial"/>
          <w:color w:val="595959" w:themeColor="text1" w:themeTint="A6"/>
        </w:rPr>
      </w:pPr>
    </w:p>
    <w:p w14:paraId="4331EEBA" w14:textId="7F380CA1" w:rsidR="0054039C" w:rsidRPr="0054039C" w:rsidRDefault="004B7004" w:rsidP="0054039C">
      <w:pPr>
        <w:spacing w:line="480" w:lineRule="auto"/>
        <w:ind w:firstLine="720"/>
        <w:jc w:val="both"/>
        <w:rPr>
          <w:rFonts w:ascii="Arial" w:hAnsi="Arial" w:cs="Arial"/>
          <w:color w:val="595959" w:themeColor="text1" w:themeTint="A6"/>
        </w:rPr>
      </w:pPr>
      <w:r w:rsidRPr="0054039C">
        <w:rPr>
          <w:rFonts w:ascii="Arial" w:hAnsi="Arial" w:cs="Arial"/>
          <w:noProof/>
          <w:color w:val="595959" w:themeColor="text1" w:themeTint="A6"/>
          <w:sz w:val="24"/>
          <w:szCs w:val="24"/>
          <w:lang w:eastAsia="zh-CN"/>
        </w:rPr>
        <mc:AlternateContent>
          <mc:Choice Requires="wps">
            <w:drawing>
              <wp:anchor distT="0" distB="0" distL="114300" distR="114300" simplePos="0" relativeHeight="251658274" behindDoc="0" locked="0" layoutInCell="1" allowOverlap="1" wp14:anchorId="78FB65A4" wp14:editId="4AAA0DEE">
                <wp:simplePos x="0" y="0"/>
                <wp:positionH relativeFrom="margin">
                  <wp:align>right</wp:align>
                </wp:positionH>
                <wp:positionV relativeFrom="paragraph">
                  <wp:posOffset>19050</wp:posOffset>
                </wp:positionV>
                <wp:extent cx="5734050" cy="1428750"/>
                <wp:effectExtent l="0" t="0" r="0" b="0"/>
                <wp:wrapNone/>
                <wp:docPr id="20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1428750"/>
                        </a:xfrm>
                        <a:prstGeom prst="rect">
                          <a:avLst/>
                        </a:prstGeom>
                        <a:solidFill>
                          <a:srgbClr val="FFFFFF"/>
                        </a:solidFill>
                        <a:ln w="9525">
                          <a:noFill/>
                          <a:miter lim="800000"/>
                          <a:headEnd/>
                          <a:tailEnd/>
                        </a:ln>
                      </wps:spPr>
                      <wps:txbx>
                        <w:txbxContent>
                          <w:p w14:paraId="14DBFD74" w14:textId="77777777" w:rsidR="008A47AC" w:rsidRDefault="008A47AC" w:rsidP="0054039C">
                            <w:pPr>
                              <w:pStyle w:val="NormalWeb"/>
                              <w:spacing w:after="200"/>
                              <w:jc w:val="both"/>
                            </w:pPr>
                            <w:r>
                              <w:rPr>
                                <w:rFonts w:ascii="Arial Narrow" w:eastAsia="SimSun" w:hAnsi="Arial Narrow" w:cs="Arial"/>
                                <w:b/>
                                <w:bCs/>
                                <w:color w:val="595959"/>
                                <w:kern w:val="24"/>
                                <w:sz w:val="22"/>
                                <w:szCs w:val="22"/>
                              </w:rPr>
                              <w:t xml:space="preserve">Figure 3.8 Long-term expression data for the myofibroblasts </w:t>
                            </w:r>
                            <w:r w:rsidRPr="00C75A86">
                              <w:rPr>
                                <w:rFonts w:ascii="Arial Narrow" w:eastAsia="SimSun" w:hAnsi="Arial Narrow" w:cs="Arial"/>
                                <w:b/>
                                <w:bCs/>
                                <w:color w:val="595959"/>
                                <w:kern w:val="24"/>
                                <w:sz w:val="22"/>
                                <w:szCs w:val="22"/>
                              </w:rPr>
                              <w:t xml:space="preserve">marker </w:t>
                            </w:r>
                            <w:r>
                              <w:rPr>
                                <w:rFonts w:ascii="Arial Narrow" w:eastAsia="SimSun" w:hAnsi="Arial Narrow" w:cs="Arial"/>
                                <w:b/>
                                <w:color w:val="595959"/>
                                <w:kern w:val="24"/>
                                <w:sz w:val="22"/>
                                <w:szCs w:val="22"/>
                              </w:rPr>
                              <w:t xml:space="preserve">FN1-EDA in NOF </w:t>
                            </w:r>
                            <w:r>
                              <w:rPr>
                                <w:rFonts w:ascii="Arial Narrow" w:eastAsia="SimSun" w:hAnsi="Arial Narrow" w:cs="Arial"/>
                                <w:b/>
                                <w:bCs/>
                                <w:color w:val="595959"/>
                                <w:kern w:val="24"/>
                                <w:sz w:val="22"/>
                                <w:szCs w:val="22"/>
                              </w:rPr>
                              <w:t>with and without TGFβ-1 stimulation</w:t>
                            </w:r>
                            <w:r>
                              <w:rPr>
                                <w:rFonts w:ascii="Arial Narrow" w:eastAsia="SimSun" w:hAnsi="Arial Narrow" w:cs="Arial"/>
                                <w:b/>
                                <w:color w:val="595959"/>
                                <w:kern w:val="24"/>
                                <w:sz w:val="22"/>
                                <w:szCs w:val="22"/>
                              </w:rPr>
                              <w:t xml:space="preserve"> </w:t>
                            </w:r>
                            <w:r>
                              <w:rPr>
                                <w:rFonts w:ascii="Arial Narrow" w:eastAsia="SimSun" w:hAnsi="Arial Narrow" w:cs="Arial"/>
                                <w:b/>
                                <w:bCs/>
                                <w:color w:val="595959"/>
                                <w:kern w:val="24"/>
                                <w:sz w:val="22"/>
                                <w:szCs w:val="22"/>
                              </w:rPr>
                              <w:t xml:space="preserve">  </w:t>
                            </w:r>
                          </w:p>
                          <w:p w14:paraId="56970D3A" w14:textId="7FE83B00" w:rsidR="008A47AC" w:rsidRPr="00B612DF" w:rsidRDefault="008A47AC" w:rsidP="0054039C">
                            <w:pPr>
                              <w:pStyle w:val="NormalWeb"/>
                              <w:spacing w:after="200" w:line="276" w:lineRule="auto"/>
                              <w:jc w:val="both"/>
                              <w:rPr>
                                <w:rFonts w:ascii="Arial Narrow" w:eastAsia="SimSun" w:hAnsi="Arial Narrow" w:cs="Arial"/>
                                <w:color w:val="595959"/>
                                <w:kern w:val="24"/>
                                <w:sz w:val="22"/>
                                <w:szCs w:val="22"/>
                              </w:rPr>
                            </w:pPr>
                            <w:r>
                              <w:rPr>
                                <w:rFonts w:ascii="Arial Narrow" w:eastAsia="SimSun" w:hAnsi="Arial Narrow" w:cs="Arial"/>
                                <w:color w:val="595959"/>
                                <w:kern w:val="24"/>
                                <w:sz w:val="22"/>
                              </w:rPr>
                              <w:t xml:space="preserve">NOF 2D monolayers were treated </w:t>
                            </w:r>
                            <w:r>
                              <w:rPr>
                                <w:rFonts w:ascii="Arial Narrow" w:eastAsia="SimSun" w:hAnsi="Arial Narrow" w:cs="Arial"/>
                                <w:color w:val="595959"/>
                                <w:kern w:val="24"/>
                                <w:sz w:val="22"/>
                                <w:szCs w:val="22"/>
                              </w:rPr>
                              <w:t xml:space="preserve">with 2 ng/mL TGFβ-1 up to 72 h + 14 days </w:t>
                            </w:r>
                            <w:r>
                              <w:rPr>
                                <w:rFonts w:ascii="Arial Narrow" w:eastAsia="SimSun" w:hAnsi="Arial Narrow" w:cs="Arial"/>
                                <w:color w:val="595959"/>
                                <w:kern w:val="24"/>
                                <w:sz w:val="22"/>
                              </w:rPr>
                              <w:t xml:space="preserve">and the gene expression for </w:t>
                            </w:r>
                            <w:r>
                              <w:rPr>
                                <w:rFonts w:ascii="Arial Narrow" w:eastAsia="SimSun" w:hAnsi="Arial Narrow" w:cs="Arial"/>
                                <w:color w:val="595959"/>
                                <w:kern w:val="24"/>
                                <w:sz w:val="22"/>
                                <w:szCs w:val="22"/>
                              </w:rPr>
                              <w:t xml:space="preserve">FN1-EDA was </w:t>
                            </w:r>
                            <w:r>
                              <w:rPr>
                                <w:rFonts w:ascii="Arial Narrow" w:eastAsia="SimSun" w:hAnsi="Arial Narrow" w:cs="Arial"/>
                                <w:color w:val="595959"/>
                                <w:kern w:val="24"/>
                                <w:sz w:val="22"/>
                              </w:rPr>
                              <w:t>determined by qPCR</w:t>
                            </w:r>
                            <w:r>
                              <w:rPr>
                                <w:rFonts w:ascii="Arial Narrow" w:eastAsia="SimSun" w:hAnsi="Arial Narrow" w:cs="Arial"/>
                                <w:color w:val="595959"/>
                                <w:kern w:val="24"/>
                                <w:sz w:val="22"/>
                                <w:szCs w:val="22"/>
                              </w:rPr>
                              <w:t xml:space="preserve">. </w:t>
                            </w:r>
                            <w:r>
                              <w:rPr>
                                <w:rFonts w:ascii="Arial Narrow" w:eastAsia="SimSun" w:hAnsi="Arial Narrow" w:cs="Arial"/>
                                <w:color w:val="595959"/>
                                <w:kern w:val="24"/>
                                <w:sz w:val="22"/>
                              </w:rPr>
                              <w:t xml:space="preserve">Data is expressed as fold change relative to housekeeping gene U6, with mean ± SD. ** denotes p &lt;0.01 and *** p &lt;0.001 as </w:t>
                            </w:r>
                            <w:r>
                              <w:rPr>
                                <w:rFonts w:ascii="Arial Narrow" w:eastAsia="SimSun" w:hAnsi="Arial Narrow" w:cs="Arial"/>
                                <w:color w:val="595959"/>
                                <w:kern w:val="24"/>
                                <w:sz w:val="22"/>
                                <w:szCs w:val="22"/>
                              </w:rPr>
                              <w:t>analysed by ordinary one-way ANOVA with Dunnett’s multiple comparison. (N=3, n=3).</w:t>
                            </w:r>
                          </w:p>
                          <w:p w14:paraId="7BE34BD9" w14:textId="77777777" w:rsidR="008A47AC" w:rsidRDefault="008A47AC" w:rsidP="0054039C">
                            <w:pPr>
                              <w:pStyle w:val="NormalWeb"/>
                              <w:spacing w:after="200"/>
                              <w:jc w:val="both"/>
                            </w:pPr>
                            <w:r>
                              <w:rPr>
                                <w:rFonts w:ascii="Arial Narrow" w:eastAsia="SimSun" w:hAnsi="Arial Narrow" w:cs="Arial"/>
                                <w:b/>
                                <w:bCs/>
                                <w:color w:val="595959"/>
                                <w:kern w:val="24"/>
                                <w:sz w:val="22"/>
                                <w:szCs w:val="22"/>
                              </w:rPr>
                              <w:t xml:space="preserve"> </w:t>
                            </w:r>
                          </w:p>
                          <w:p w14:paraId="59E1C59B" w14:textId="77777777" w:rsidR="008A47AC" w:rsidRPr="003768A0" w:rsidRDefault="008A47AC" w:rsidP="0054039C">
                            <w:pPr>
                              <w:pStyle w:val="NormalWeb"/>
                              <w:spacing w:after="200" w:line="276" w:lineRule="auto"/>
                              <w:jc w:val="both"/>
                              <w:rPr>
                                <w:rFonts w:ascii="Arial Narrow" w:eastAsia="SimSun" w:hAnsi="Arial Narrow" w:cs="Arial"/>
                                <w:color w:val="595959"/>
                                <w:kern w:val="24"/>
                                <w:sz w:val="22"/>
                                <w:szCs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FB65A4" id="_x0000_s1069" type="#_x0000_t202" style="position:absolute;left:0;text-align:left;margin-left:400.3pt;margin-top:1.5pt;width:451.5pt;height:112.5pt;z-index:25165827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" stroked="f">
                <v:textbox>
                  <w:txbxContent>
                    <w:p w14:paraId="14DBFD74" w14:textId="77777777" w:rsidR="008A47AC" w:rsidRDefault="008A47AC" w:rsidP="0054039C">
                      <w:pPr>
                        <w:pStyle w:val="NormalWeb"/>
                        <w:spacing w:after="200"/>
                        <w:jc w:val="both"/>
                      </w:pPr>
                      <w:r>
                        <w:rPr>
                          <w:rFonts w:ascii="Arial Narrow" w:eastAsia="SimSun" w:hAnsi="Arial Narrow" w:cs="Arial"/>
                          <w:b/>
                          <w:bCs/>
                          <w:color w:val="595959"/>
                          <w:kern w:val="24"/>
                          <w:sz w:val="22"/>
                          <w:szCs w:val="22"/>
                        </w:rPr>
                        <w:t xml:space="preserve">Figure 3.8 Long-term expression data for the myofibroblasts </w:t>
                      </w:r>
                      <w:r w:rsidRPr="00C75A86">
                        <w:rPr>
                          <w:rFonts w:ascii="Arial Narrow" w:eastAsia="SimSun" w:hAnsi="Arial Narrow" w:cs="Arial"/>
                          <w:b/>
                          <w:bCs/>
                          <w:color w:val="595959"/>
                          <w:kern w:val="24"/>
                          <w:sz w:val="22"/>
                          <w:szCs w:val="22"/>
                        </w:rPr>
                        <w:t xml:space="preserve">marker </w:t>
                      </w:r>
                      <w:r>
                        <w:rPr>
                          <w:rFonts w:ascii="Arial Narrow" w:eastAsia="SimSun" w:hAnsi="Arial Narrow" w:cs="Arial"/>
                          <w:b/>
                          <w:color w:val="595959"/>
                          <w:kern w:val="24"/>
                          <w:sz w:val="22"/>
                          <w:szCs w:val="22"/>
                        </w:rPr>
                        <w:t xml:space="preserve">FN1-EDA in NOF </w:t>
                      </w:r>
                      <w:r>
                        <w:rPr>
                          <w:rFonts w:ascii="Arial Narrow" w:eastAsia="SimSun" w:hAnsi="Arial Narrow" w:cs="Arial"/>
                          <w:b/>
                          <w:bCs/>
                          <w:color w:val="595959"/>
                          <w:kern w:val="24"/>
                          <w:sz w:val="22"/>
                          <w:szCs w:val="22"/>
                        </w:rPr>
                        <w:t>with and without TGFβ-1 stimulation</w:t>
                      </w:r>
                      <w:r>
                        <w:rPr>
                          <w:rFonts w:ascii="Arial Narrow" w:eastAsia="SimSun" w:hAnsi="Arial Narrow" w:cs="Arial"/>
                          <w:b/>
                          <w:color w:val="595959"/>
                          <w:kern w:val="24"/>
                          <w:sz w:val="22"/>
                          <w:szCs w:val="22"/>
                        </w:rPr>
                        <w:t xml:space="preserve"> </w:t>
                      </w:r>
                      <w:r>
                        <w:rPr>
                          <w:rFonts w:ascii="Arial Narrow" w:eastAsia="SimSun" w:hAnsi="Arial Narrow" w:cs="Arial"/>
                          <w:b/>
                          <w:bCs/>
                          <w:color w:val="595959"/>
                          <w:kern w:val="24"/>
                          <w:sz w:val="22"/>
                          <w:szCs w:val="22"/>
                        </w:rPr>
                        <w:t xml:space="preserve">  </w:t>
                      </w:r>
                    </w:p>
                    <w:p w14:paraId="56970D3A" w14:textId="7FE83B00" w:rsidR="008A47AC" w:rsidRPr="00B612DF" w:rsidRDefault="008A47AC" w:rsidP="0054039C">
                      <w:pPr>
                        <w:pStyle w:val="NormalWeb"/>
                        <w:spacing w:after="200" w:line="276" w:lineRule="auto"/>
                        <w:jc w:val="both"/>
                        <w:rPr>
                          <w:rFonts w:ascii="Arial Narrow" w:eastAsia="SimSun" w:hAnsi="Arial Narrow" w:cs="Arial"/>
                          <w:color w:val="595959"/>
                          <w:kern w:val="24"/>
                          <w:sz w:val="22"/>
                          <w:szCs w:val="22"/>
                        </w:rPr>
                      </w:pPr>
                      <w:r>
                        <w:rPr>
                          <w:rFonts w:ascii="Arial Narrow" w:eastAsia="SimSun" w:hAnsi="Arial Narrow" w:cs="Arial"/>
                          <w:color w:val="595959"/>
                          <w:kern w:val="24"/>
                          <w:sz w:val="22"/>
                        </w:rPr>
                        <w:t xml:space="preserve">NOF 2D monolayers were treated </w:t>
                      </w:r>
                      <w:r>
                        <w:rPr>
                          <w:rFonts w:ascii="Arial Narrow" w:eastAsia="SimSun" w:hAnsi="Arial Narrow" w:cs="Arial"/>
                          <w:color w:val="595959"/>
                          <w:kern w:val="24"/>
                          <w:sz w:val="22"/>
                          <w:szCs w:val="22"/>
                        </w:rPr>
                        <w:t xml:space="preserve">with 2 ng/mL TGFβ-1 up to 72 h + 14 days </w:t>
                      </w:r>
                      <w:r>
                        <w:rPr>
                          <w:rFonts w:ascii="Arial Narrow" w:eastAsia="SimSun" w:hAnsi="Arial Narrow" w:cs="Arial"/>
                          <w:color w:val="595959"/>
                          <w:kern w:val="24"/>
                          <w:sz w:val="22"/>
                        </w:rPr>
                        <w:t xml:space="preserve">and the gene expression for </w:t>
                      </w:r>
                      <w:r>
                        <w:rPr>
                          <w:rFonts w:ascii="Arial Narrow" w:eastAsia="SimSun" w:hAnsi="Arial Narrow" w:cs="Arial"/>
                          <w:color w:val="595959"/>
                          <w:kern w:val="24"/>
                          <w:sz w:val="22"/>
                          <w:szCs w:val="22"/>
                        </w:rPr>
                        <w:t xml:space="preserve">FN1-EDA was </w:t>
                      </w:r>
                      <w:r>
                        <w:rPr>
                          <w:rFonts w:ascii="Arial Narrow" w:eastAsia="SimSun" w:hAnsi="Arial Narrow" w:cs="Arial"/>
                          <w:color w:val="595959"/>
                          <w:kern w:val="24"/>
                          <w:sz w:val="22"/>
                        </w:rPr>
                        <w:t>determined by qPCR</w:t>
                      </w:r>
                      <w:r>
                        <w:rPr>
                          <w:rFonts w:ascii="Arial Narrow" w:eastAsia="SimSun" w:hAnsi="Arial Narrow" w:cs="Arial"/>
                          <w:color w:val="595959"/>
                          <w:kern w:val="24"/>
                          <w:sz w:val="22"/>
                          <w:szCs w:val="22"/>
                        </w:rPr>
                        <w:t xml:space="preserve">. </w:t>
                      </w:r>
                      <w:r>
                        <w:rPr>
                          <w:rFonts w:ascii="Arial Narrow" w:eastAsia="SimSun" w:hAnsi="Arial Narrow" w:cs="Arial"/>
                          <w:color w:val="595959"/>
                          <w:kern w:val="24"/>
                          <w:sz w:val="22"/>
                        </w:rPr>
                        <w:t xml:space="preserve">Data is expressed as fold change relative to housekeeping gene U6, with mean ± SD. ** denotes p &lt;0.01 and *** p &lt;0.001 as </w:t>
                      </w:r>
                      <w:r>
                        <w:rPr>
                          <w:rFonts w:ascii="Arial Narrow" w:eastAsia="SimSun" w:hAnsi="Arial Narrow" w:cs="Arial"/>
                          <w:color w:val="595959"/>
                          <w:kern w:val="24"/>
                          <w:sz w:val="22"/>
                          <w:szCs w:val="22"/>
                        </w:rPr>
                        <w:t>analysed by ordinary one-way ANOVA with Dunnett’s multiple comparison. (N=3, n=3).</w:t>
                      </w:r>
                    </w:p>
                    <w:p w14:paraId="7BE34BD9" w14:textId="77777777" w:rsidR="008A47AC" w:rsidRDefault="008A47AC" w:rsidP="0054039C">
                      <w:pPr>
                        <w:pStyle w:val="NormalWeb"/>
                        <w:spacing w:after="200"/>
                        <w:jc w:val="both"/>
                      </w:pPr>
                      <w:r>
                        <w:rPr>
                          <w:rFonts w:ascii="Arial Narrow" w:eastAsia="SimSun" w:hAnsi="Arial Narrow" w:cs="Arial"/>
                          <w:b/>
                          <w:bCs/>
                          <w:color w:val="595959"/>
                          <w:kern w:val="24"/>
                          <w:sz w:val="22"/>
                          <w:szCs w:val="22"/>
                        </w:rPr>
                        <w:t xml:space="preserve"> </w:t>
                      </w:r>
                    </w:p>
                    <w:p w14:paraId="59E1C59B" w14:textId="77777777" w:rsidR="008A47AC" w:rsidRPr="003768A0" w:rsidRDefault="008A47AC" w:rsidP="0054039C">
                      <w:pPr>
                        <w:pStyle w:val="NormalWeb"/>
                        <w:spacing w:after="200" w:line="276" w:lineRule="auto"/>
                        <w:jc w:val="both"/>
                        <w:rPr>
                          <w:rFonts w:ascii="Arial Narrow" w:eastAsia="SimSun" w:hAnsi="Arial Narrow" w:cs="Arial"/>
                          <w:color w:val="595959"/>
                          <w:kern w:val="24"/>
                          <w:sz w:val="22"/>
                          <w:szCs w:val="22"/>
                        </w:rPr>
                      </w:pPr>
                    </w:p>
                  </w:txbxContent>
                </v:textbox>
                <w10:wrap anchorx="margin"/>
              </v:shape>
            </w:pict>
          </mc:Fallback>
        </mc:AlternateContent>
      </w:r>
    </w:p>
    <w:p w14:paraId="6DA02285" w14:textId="77777777" w:rsidR="0054039C" w:rsidRPr="0054039C" w:rsidRDefault="0054039C" w:rsidP="0054039C">
      <w:pPr>
        <w:spacing w:line="480" w:lineRule="auto"/>
        <w:ind w:firstLine="720"/>
        <w:jc w:val="both"/>
        <w:rPr>
          <w:rFonts w:ascii="Arial" w:hAnsi="Arial" w:cs="Arial"/>
          <w:color w:val="595959" w:themeColor="text1" w:themeTint="A6"/>
        </w:rPr>
      </w:pPr>
    </w:p>
    <w:p w14:paraId="33593710" w14:textId="77777777" w:rsidR="0054039C" w:rsidRPr="0054039C" w:rsidRDefault="0054039C" w:rsidP="0054039C">
      <w:pPr>
        <w:spacing w:line="480" w:lineRule="auto"/>
        <w:ind w:firstLine="720"/>
        <w:jc w:val="both"/>
        <w:rPr>
          <w:rFonts w:ascii="Arial" w:hAnsi="Arial" w:cs="Arial"/>
          <w:color w:val="595959" w:themeColor="text1" w:themeTint="A6"/>
        </w:rPr>
      </w:pPr>
    </w:p>
    <w:p w14:paraId="00A22646" w14:textId="02822EF2" w:rsidR="0054039C" w:rsidRDefault="0054039C" w:rsidP="0054039C">
      <w:pPr>
        <w:spacing w:line="480" w:lineRule="auto"/>
        <w:jc w:val="both"/>
        <w:rPr>
          <w:rFonts w:ascii="Arial" w:hAnsi="Arial" w:cs="Arial"/>
          <w:color w:val="595959" w:themeColor="text1" w:themeTint="A6"/>
        </w:rPr>
      </w:pPr>
    </w:p>
    <w:p w14:paraId="574FB555" w14:textId="27EC594C" w:rsidR="004B7004" w:rsidRDefault="004B7004" w:rsidP="0054039C">
      <w:pPr>
        <w:spacing w:line="480" w:lineRule="auto"/>
        <w:jc w:val="both"/>
        <w:rPr>
          <w:rFonts w:ascii="Arial" w:hAnsi="Arial" w:cs="Arial"/>
          <w:color w:val="595959" w:themeColor="text1" w:themeTint="A6"/>
        </w:rPr>
      </w:pPr>
    </w:p>
    <w:p w14:paraId="312A73CE" w14:textId="77777777" w:rsidR="004B7004" w:rsidRPr="0054039C" w:rsidRDefault="004B7004" w:rsidP="0054039C">
      <w:pPr>
        <w:spacing w:line="480" w:lineRule="auto"/>
        <w:jc w:val="both"/>
        <w:rPr>
          <w:rFonts w:ascii="Arial" w:hAnsi="Arial" w:cs="Arial"/>
          <w:color w:val="595959" w:themeColor="text1" w:themeTint="A6"/>
        </w:rPr>
      </w:pPr>
    </w:p>
    <w:p w14:paraId="67A30D84" w14:textId="77777777" w:rsidR="0054039C" w:rsidRPr="0054039C" w:rsidRDefault="0054039C" w:rsidP="0054039C">
      <w:pPr>
        <w:keepNext/>
        <w:keepLines/>
        <w:spacing w:before="40" w:after="0"/>
        <w:outlineLvl w:val="4"/>
        <w:rPr>
          <w:rFonts w:ascii="Arial" w:eastAsiaTheme="majorEastAsia" w:hAnsi="Arial" w:cs="Arial"/>
          <w:color w:val="595959" w:themeColor="text1" w:themeTint="A6"/>
        </w:rPr>
      </w:pPr>
      <w:bookmarkStart w:id="250" w:name="_Toc7107248"/>
      <w:bookmarkStart w:id="251" w:name="_Toc34208354"/>
      <w:bookmarkStart w:id="252" w:name="OLE_LINK7"/>
      <w:r w:rsidRPr="0054039C">
        <w:rPr>
          <w:rFonts w:ascii="Arial" w:eastAsiaTheme="majorEastAsia" w:hAnsi="Arial" w:cs="Arial"/>
          <w:color w:val="595959" w:themeColor="text1" w:themeTint="A6"/>
        </w:rPr>
        <w:lastRenderedPageBreak/>
        <w:t>3.3.1.2.3 COL1A1 expression by RT-qPCR</w:t>
      </w:r>
      <w:bookmarkEnd w:id="250"/>
      <w:bookmarkEnd w:id="251"/>
    </w:p>
    <w:p w14:paraId="754A62BC" w14:textId="77777777" w:rsidR="0054039C" w:rsidRPr="0054039C" w:rsidRDefault="0054039C" w:rsidP="0054039C">
      <w:pPr>
        <w:spacing w:line="480" w:lineRule="auto"/>
        <w:jc w:val="both"/>
        <w:rPr>
          <w:rFonts w:ascii="Arial" w:hAnsi="Arial" w:cs="Arial"/>
          <w:color w:val="595959" w:themeColor="text1" w:themeTint="A6"/>
        </w:rPr>
      </w:pPr>
    </w:p>
    <w:p w14:paraId="41BAAD2C" w14:textId="4A8D3D95" w:rsidR="0054039C" w:rsidRPr="0054039C" w:rsidRDefault="004B7004" w:rsidP="004B7004">
      <w:pPr>
        <w:spacing w:line="480" w:lineRule="auto"/>
        <w:jc w:val="both"/>
        <w:rPr>
          <w:rFonts w:ascii="Arial" w:hAnsi="Arial" w:cs="Arial"/>
          <w:color w:val="595959" w:themeColor="text1" w:themeTint="A6"/>
        </w:rPr>
      </w:pPr>
      <w:r>
        <w:rPr>
          <w:rFonts w:ascii="Arial" w:hAnsi="Arial" w:cs="Arial"/>
          <w:color w:val="595959" w:themeColor="text1" w:themeTint="A6"/>
        </w:rPr>
        <w:t>F</w:t>
      </w:r>
      <w:r w:rsidR="0054039C" w:rsidRPr="0054039C">
        <w:rPr>
          <w:rFonts w:ascii="Arial" w:hAnsi="Arial" w:cs="Arial"/>
          <w:color w:val="595959" w:themeColor="text1" w:themeTint="A6"/>
        </w:rPr>
        <w:t>or COL1A1 trans</w:t>
      </w:r>
      <w:r>
        <w:rPr>
          <w:rFonts w:ascii="Arial" w:hAnsi="Arial" w:cs="Arial"/>
          <w:color w:val="595959" w:themeColor="text1" w:themeTint="A6"/>
        </w:rPr>
        <w:t>cript expression t</w:t>
      </w:r>
      <w:r w:rsidR="0054039C" w:rsidRPr="0054039C">
        <w:rPr>
          <w:rFonts w:ascii="Arial" w:hAnsi="Arial" w:cs="Arial"/>
          <w:color w:val="595959" w:themeColor="text1" w:themeTint="A6"/>
        </w:rPr>
        <w:t>he 48 h + 14-day control samples showed a significant increase in COL1A1 expression with a mean fold change of 1.5 ± 0.53, p=0.0408 compared to 24 h + 14-day control groups</w:t>
      </w:r>
      <w:r>
        <w:rPr>
          <w:rFonts w:ascii="Arial" w:hAnsi="Arial" w:cs="Arial"/>
          <w:color w:val="595959" w:themeColor="text1" w:themeTint="A6"/>
        </w:rPr>
        <w:t xml:space="preserve"> (Figure 3.69)</w:t>
      </w:r>
      <w:r w:rsidR="0054039C" w:rsidRPr="0054039C">
        <w:rPr>
          <w:rFonts w:ascii="Arial" w:hAnsi="Arial" w:cs="Arial"/>
          <w:color w:val="595959" w:themeColor="text1" w:themeTint="A6"/>
        </w:rPr>
        <w:t xml:space="preserve">. At 72 h +14-day NOF controls exhibited a significant </w:t>
      </w:r>
      <w:r w:rsidR="00BD4CB5">
        <w:rPr>
          <w:rFonts w:ascii="Arial" w:hAnsi="Arial" w:cs="Arial"/>
          <w:color w:val="595959" w:themeColor="text1" w:themeTint="A6"/>
        </w:rPr>
        <w:t xml:space="preserve">~11-fold </w:t>
      </w:r>
      <w:r w:rsidR="0054039C" w:rsidRPr="0054039C">
        <w:rPr>
          <w:rFonts w:ascii="Arial" w:hAnsi="Arial" w:cs="Arial"/>
          <w:color w:val="595959" w:themeColor="text1" w:themeTint="A6"/>
        </w:rPr>
        <w:t>decreas</w:t>
      </w:r>
      <w:r w:rsidR="00BD4CB5">
        <w:rPr>
          <w:rFonts w:ascii="Arial" w:hAnsi="Arial" w:cs="Arial"/>
          <w:color w:val="595959" w:themeColor="text1" w:themeTint="A6"/>
        </w:rPr>
        <w:t>e</w:t>
      </w:r>
      <w:r w:rsidR="0054039C" w:rsidRPr="0054039C">
        <w:rPr>
          <w:rFonts w:ascii="Arial" w:hAnsi="Arial" w:cs="Arial"/>
          <w:color w:val="595959" w:themeColor="text1" w:themeTint="A6"/>
        </w:rPr>
        <w:t xml:space="preserve"> </w:t>
      </w:r>
      <w:r w:rsidR="00BD4CB5">
        <w:rPr>
          <w:rFonts w:ascii="Arial" w:hAnsi="Arial" w:cs="Arial"/>
          <w:color w:val="595959" w:themeColor="text1" w:themeTint="A6"/>
        </w:rPr>
        <w:t>with a mean of</w:t>
      </w:r>
      <w:r w:rsidR="0054039C" w:rsidRPr="0054039C">
        <w:rPr>
          <w:rFonts w:ascii="Arial" w:hAnsi="Arial" w:cs="Arial"/>
          <w:color w:val="595959" w:themeColor="text1" w:themeTint="A6"/>
        </w:rPr>
        <w:t xml:space="preserve"> 0.09 ± 0.04 (p &lt;0.0001). A significant decrease in COL1A1 expression was also observed with TGFβ-1 treatment at 24 h + 14 days with a</w:t>
      </w:r>
      <w:r w:rsidR="00BD4CB5">
        <w:rPr>
          <w:rFonts w:ascii="Arial" w:hAnsi="Arial" w:cs="Arial"/>
          <w:color w:val="595959" w:themeColor="text1" w:themeTint="A6"/>
        </w:rPr>
        <w:t>n</w:t>
      </w:r>
      <w:r w:rsidR="0054039C" w:rsidRPr="0054039C">
        <w:rPr>
          <w:rFonts w:ascii="Arial" w:hAnsi="Arial" w:cs="Arial"/>
          <w:color w:val="595959" w:themeColor="text1" w:themeTint="A6"/>
        </w:rPr>
        <w:t xml:space="preserve"> </w:t>
      </w:r>
      <w:r w:rsidR="00BD4CB5">
        <w:rPr>
          <w:rFonts w:ascii="Arial" w:hAnsi="Arial" w:cs="Arial"/>
          <w:color w:val="595959" w:themeColor="text1" w:themeTint="A6"/>
        </w:rPr>
        <w:t>~4-</w:t>
      </w:r>
      <w:r w:rsidR="0054039C" w:rsidRPr="0054039C">
        <w:rPr>
          <w:rFonts w:ascii="Arial" w:hAnsi="Arial" w:cs="Arial"/>
          <w:color w:val="595959" w:themeColor="text1" w:themeTint="A6"/>
        </w:rPr>
        <w:t xml:space="preserve">fold decrease </w:t>
      </w:r>
      <w:r w:rsidR="00BD4CB5">
        <w:rPr>
          <w:rFonts w:ascii="Arial" w:hAnsi="Arial" w:cs="Arial"/>
          <w:color w:val="595959" w:themeColor="text1" w:themeTint="A6"/>
        </w:rPr>
        <w:t>(</w:t>
      </w:r>
      <w:r w:rsidR="0054039C" w:rsidRPr="0054039C">
        <w:rPr>
          <w:rFonts w:ascii="Arial" w:hAnsi="Arial" w:cs="Arial"/>
          <w:color w:val="595959" w:themeColor="text1" w:themeTint="A6"/>
        </w:rPr>
        <w:t>0.21 ± 0.24</w:t>
      </w:r>
      <w:r w:rsidR="00BD4CB5">
        <w:rPr>
          <w:rFonts w:ascii="Arial" w:hAnsi="Arial" w:cs="Arial"/>
          <w:color w:val="595959" w:themeColor="text1" w:themeTint="A6"/>
        </w:rPr>
        <w:t>)</w:t>
      </w:r>
      <w:r w:rsidR="0054039C" w:rsidRPr="0054039C">
        <w:rPr>
          <w:rFonts w:ascii="Arial" w:hAnsi="Arial" w:cs="Arial"/>
          <w:color w:val="595959" w:themeColor="text1" w:themeTint="A6"/>
        </w:rPr>
        <w:t xml:space="preserve">, p=0.0004 compared to 24 h + 14-day control samples. No significant differences in COL1A1 expression were observed </w:t>
      </w:r>
      <w:r>
        <w:rPr>
          <w:rFonts w:ascii="Arial" w:hAnsi="Arial" w:cs="Arial"/>
          <w:color w:val="595959" w:themeColor="text1" w:themeTint="A6"/>
        </w:rPr>
        <w:t>at 48 h- and 72 h + 14 days with TGFβ-1 treatment.</w:t>
      </w:r>
    </w:p>
    <w:bookmarkEnd w:id="252"/>
    <w:p w14:paraId="319259F6" w14:textId="77777777" w:rsidR="0054039C" w:rsidRPr="0054039C" w:rsidRDefault="0054039C" w:rsidP="0054039C">
      <w:pPr>
        <w:spacing w:line="480" w:lineRule="auto"/>
        <w:jc w:val="both"/>
        <w:rPr>
          <w:rFonts w:ascii="Arial" w:hAnsi="Arial" w:cs="Arial"/>
          <w:color w:val="595959" w:themeColor="text1" w:themeTint="A6"/>
        </w:rPr>
      </w:pPr>
    </w:p>
    <w:p w14:paraId="5691F833" w14:textId="70DC4C9F" w:rsidR="0054039C" w:rsidRPr="0054039C" w:rsidRDefault="004F19ED" w:rsidP="0054039C">
      <w:pPr>
        <w:spacing w:line="480" w:lineRule="auto"/>
        <w:jc w:val="both"/>
        <w:rPr>
          <w:rFonts w:ascii="Arial" w:hAnsi="Arial" w:cs="Arial"/>
          <w:color w:val="595959" w:themeColor="text1" w:themeTint="A6"/>
        </w:rPr>
      </w:pPr>
      <w:r w:rsidRPr="004F19ED">
        <w:rPr>
          <w:noProof/>
        </w:rPr>
        <w:drawing>
          <wp:anchor distT="0" distB="0" distL="114300" distR="114300" simplePos="0" relativeHeight="251658481" behindDoc="0" locked="0" layoutInCell="1" allowOverlap="1" wp14:anchorId="28A402B9" wp14:editId="4E74755C">
            <wp:simplePos x="0" y="0"/>
            <wp:positionH relativeFrom="margin">
              <wp:align>center</wp:align>
            </wp:positionH>
            <wp:positionV relativeFrom="paragraph">
              <wp:posOffset>17145</wp:posOffset>
            </wp:positionV>
            <wp:extent cx="3543300" cy="2717800"/>
            <wp:effectExtent l="0" t="0" r="0" b="0"/>
            <wp:wrapNone/>
            <wp:docPr id="5301" name="Picture 5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543300" cy="2717800"/>
                    </a:xfrm>
                    <a:prstGeom prst="rect">
                      <a:avLst/>
                    </a:prstGeom>
                    <a:noFill/>
                    <a:ln>
                      <a:noFill/>
                    </a:ln>
                  </pic:spPr>
                </pic:pic>
              </a:graphicData>
            </a:graphic>
          </wp:anchor>
        </w:drawing>
      </w:r>
    </w:p>
    <w:p w14:paraId="38EBA175" w14:textId="7CC6C764" w:rsidR="0054039C" w:rsidRPr="0054039C" w:rsidRDefault="0054039C" w:rsidP="0054039C">
      <w:pPr>
        <w:spacing w:line="480" w:lineRule="auto"/>
        <w:ind w:firstLine="720"/>
        <w:jc w:val="both"/>
        <w:rPr>
          <w:rFonts w:ascii="Arial" w:hAnsi="Arial" w:cs="Arial"/>
          <w:color w:val="595959" w:themeColor="text1" w:themeTint="A6"/>
        </w:rPr>
      </w:pPr>
    </w:p>
    <w:p w14:paraId="429DD2AE" w14:textId="77777777" w:rsidR="0054039C" w:rsidRPr="0054039C" w:rsidRDefault="0054039C" w:rsidP="0054039C">
      <w:pPr>
        <w:spacing w:line="480" w:lineRule="auto"/>
        <w:ind w:firstLine="720"/>
        <w:jc w:val="both"/>
        <w:rPr>
          <w:rFonts w:ascii="Arial" w:hAnsi="Arial" w:cs="Arial"/>
          <w:color w:val="595959" w:themeColor="text1" w:themeTint="A6"/>
        </w:rPr>
      </w:pPr>
    </w:p>
    <w:p w14:paraId="3BA83A7F" w14:textId="77777777" w:rsidR="0054039C" w:rsidRPr="0054039C" w:rsidRDefault="0054039C" w:rsidP="0054039C">
      <w:pPr>
        <w:spacing w:line="480" w:lineRule="auto"/>
        <w:ind w:firstLine="720"/>
        <w:jc w:val="both"/>
        <w:rPr>
          <w:rFonts w:ascii="Arial" w:hAnsi="Arial" w:cs="Arial"/>
          <w:color w:val="595959" w:themeColor="text1" w:themeTint="A6"/>
        </w:rPr>
      </w:pPr>
    </w:p>
    <w:p w14:paraId="3FD8F972" w14:textId="77777777" w:rsidR="0054039C" w:rsidRPr="0054039C" w:rsidRDefault="0054039C" w:rsidP="0054039C">
      <w:pPr>
        <w:spacing w:line="480" w:lineRule="auto"/>
        <w:ind w:firstLine="720"/>
        <w:jc w:val="both"/>
        <w:rPr>
          <w:rFonts w:ascii="Arial" w:hAnsi="Arial" w:cs="Arial"/>
          <w:color w:val="595959" w:themeColor="text1" w:themeTint="A6"/>
        </w:rPr>
      </w:pPr>
    </w:p>
    <w:p w14:paraId="01E6660E" w14:textId="54472CB3" w:rsidR="0054039C" w:rsidRPr="0054039C" w:rsidRDefault="0054039C" w:rsidP="0054039C">
      <w:pPr>
        <w:spacing w:line="480" w:lineRule="auto"/>
        <w:ind w:firstLine="720"/>
        <w:jc w:val="both"/>
        <w:rPr>
          <w:rFonts w:ascii="Arial" w:hAnsi="Arial" w:cs="Arial"/>
          <w:color w:val="595959" w:themeColor="text1" w:themeTint="A6"/>
        </w:rPr>
      </w:pPr>
    </w:p>
    <w:p w14:paraId="7EE5E02E" w14:textId="3C9A47BC" w:rsidR="0054039C" w:rsidRPr="0054039C" w:rsidRDefault="0054039C" w:rsidP="0054039C">
      <w:pPr>
        <w:spacing w:line="480" w:lineRule="auto"/>
        <w:ind w:firstLine="720"/>
        <w:jc w:val="both"/>
        <w:rPr>
          <w:rFonts w:ascii="Arial" w:hAnsi="Arial" w:cs="Arial"/>
          <w:color w:val="595959" w:themeColor="text1" w:themeTint="A6"/>
        </w:rPr>
      </w:pPr>
    </w:p>
    <w:p w14:paraId="53D62E49" w14:textId="498A9F20" w:rsidR="0054039C" w:rsidRPr="0054039C" w:rsidRDefault="004B7004" w:rsidP="0054039C">
      <w:pPr>
        <w:spacing w:line="480" w:lineRule="auto"/>
        <w:ind w:firstLine="720"/>
        <w:jc w:val="both"/>
        <w:rPr>
          <w:rFonts w:ascii="Arial" w:hAnsi="Arial" w:cs="Arial"/>
          <w:color w:val="595959" w:themeColor="text1" w:themeTint="A6"/>
        </w:rPr>
      </w:pPr>
      <w:r w:rsidRPr="0054039C">
        <w:rPr>
          <w:rFonts w:ascii="Arial" w:hAnsi="Arial" w:cs="Arial"/>
          <w:noProof/>
          <w:color w:val="595959" w:themeColor="text1" w:themeTint="A6"/>
          <w:sz w:val="24"/>
          <w:szCs w:val="24"/>
          <w:lang w:eastAsia="zh-CN"/>
        </w:rPr>
        <mc:AlternateContent>
          <mc:Choice Requires="wps">
            <w:drawing>
              <wp:anchor distT="0" distB="0" distL="114300" distR="114300" simplePos="0" relativeHeight="251658275" behindDoc="0" locked="0" layoutInCell="1" allowOverlap="1" wp14:anchorId="783974D0" wp14:editId="0DACD8CE">
                <wp:simplePos x="0" y="0"/>
                <wp:positionH relativeFrom="margin">
                  <wp:align>right</wp:align>
                </wp:positionH>
                <wp:positionV relativeFrom="paragraph">
                  <wp:posOffset>218937</wp:posOffset>
                </wp:positionV>
                <wp:extent cx="5724939" cy="1457325"/>
                <wp:effectExtent l="0" t="0" r="9525" b="9525"/>
                <wp:wrapNone/>
                <wp:docPr id="20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939" cy="1457325"/>
                        </a:xfrm>
                        <a:prstGeom prst="rect">
                          <a:avLst/>
                        </a:prstGeom>
                        <a:solidFill>
                          <a:srgbClr val="FFFFFF"/>
                        </a:solidFill>
                        <a:ln w="9525">
                          <a:noFill/>
                          <a:miter lim="800000"/>
                          <a:headEnd/>
                          <a:tailEnd/>
                        </a:ln>
                      </wps:spPr>
                      <wps:txbx>
                        <w:txbxContent>
                          <w:p w14:paraId="114FCCA6" w14:textId="77777777" w:rsidR="008A47AC" w:rsidRDefault="008A47AC" w:rsidP="0054039C">
                            <w:pPr>
                              <w:pStyle w:val="NormalWeb"/>
                              <w:spacing w:after="200"/>
                              <w:jc w:val="both"/>
                            </w:pPr>
                            <w:r>
                              <w:rPr>
                                <w:rFonts w:ascii="Arial Narrow" w:eastAsia="SimSun" w:hAnsi="Arial Narrow" w:cs="Arial"/>
                                <w:b/>
                                <w:bCs/>
                                <w:color w:val="595959"/>
                                <w:kern w:val="24"/>
                                <w:sz w:val="22"/>
                                <w:szCs w:val="22"/>
                              </w:rPr>
                              <w:t xml:space="preserve">Figure 3.9 Long-term expression data for the ECM </w:t>
                            </w:r>
                            <w:r w:rsidRPr="00C75A86">
                              <w:rPr>
                                <w:rFonts w:ascii="Arial Narrow" w:eastAsia="SimSun" w:hAnsi="Arial Narrow" w:cs="Arial"/>
                                <w:b/>
                                <w:bCs/>
                                <w:color w:val="595959"/>
                                <w:kern w:val="24"/>
                                <w:sz w:val="22"/>
                                <w:szCs w:val="22"/>
                              </w:rPr>
                              <w:t xml:space="preserve">marker </w:t>
                            </w:r>
                            <w:r>
                              <w:rPr>
                                <w:rFonts w:ascii="Arial Narrow" w:eastAsia="SimSun" w:hAnsi="Arial Narrow" w:cs="Arial"/>
                                <w:b/>
                                <w:color w:val="595959"/>
                                <w:kern w:val="24"/>
                                <w:sz w:val="22"/>
                                <w:szCs w:val="22"/>
                              </w:rPr>
                              <w:t>COL1A1</w:t>
                            </w:r>
                            <w:r>
                              <w:rPr>
                                <w:rFonts w:ascii="Arial Narrow" w:eastAsia="SimSun" w:hAnsi="Arial Narrow" w:cs="Arial"/>
                                <w:b/>
                                <w:bCs/>
                                <w:color w:val="595959"/>
                                <w:kern w:val="24"/>
                                <w:sz w:val="22"/>
                                <w:szCs w:val="22"/>
                              </w:rPr>
                              <w:t xml:space="preserve"> </w:t>
                            </w:r>
                            <w:r>
                              <w:rPr>
                                <w:rFonts w:ascii="Arial Narrow" w:eastAsia="SimSun" w:hAnsi="Arial Narrow" w:cs="Arial"/>
                                <w:b/>
                                <w:color w:val="595959"/>
                                <w:kern w:val="24"/>
                                <w:sz w:val="22"/>
                                <w:szCs w:val="22"/>
                              </w:rPr>
                              <w:t xml:space="preserve">in NOF </w:t>
                            </w:r>
                            <w:r>
                              <w:rPr>
                                <w:rFonts w:ascii="Arial Narrow" w:eastAsia="SimSun" w:hAnsi="Arial Narrow" w:cs="Arial"/>
                                <w:b/>
                                <w:bCs/>
                                <w:color w:val="595959"/>
                                <w:kern w:val="24"/>
                                <w:sz w:val="22"/>
                                <w:szCs w:val="22"/>
                              </w:rPr>
                              <w:t>with and without TGFβ-1 stimulation</w:t>
                            </w:r>
                            <w:r>
                              <w:rPr>
                                <w:rFonts w:ascii="Arial Narrow" w:eastAsia="SimSun" w:hAnsi="Arial Narrow" w:cs="Arial"/>
                                <w:b/>
                                <w:color w:val="595959"/>
                                <w:kern w:val="24"/>
                                <w:sz w:val="22"/>
                                <w:szCs w:val="22"/>
                              </w:rPr>
                              <w:t xml:space="preserve"> </w:t>
                            </w:r>
                            <w:r>
                              <w:rPr>
                                <w:rFonts w:ascii="Arial Narrow" w:eastAsia="SimSun" w:hAnsi="Arial Narrow" w:cs="Arial"/>
                                <w:b/>
                                <w:bCs/>
                                <w:color w:val="595959"/>
                                <w:kern w:val="24"/>
                                <w:sz w:val="22"/>
                                <w:szCs w:val="22"/>
                              </w:rPr>
                              <w:t xml:space="preserve">  </w:t>
                            </w:r>
                          </w:p>
                          <w:p w14:paraId="3D6AAC09" w14:textId="7F3994EC" w:rsidR="008A47AC" w:rsidRPr="00B612DF" w:rsidRDefault="008A47AC" w:rsidP="0054039C">
                            <w:pPr>
                              <w:pStyle w:val="NormalWeb"/>
                              <w:spacing w:after="200" w:line="276" w:lineRule="auto"/>
                              <w:jc w:val="both"/>
                              <w:rPr>
                                <w:rFonts w:ascii="Arial Narrow" w:eastAsia="SimSun" w:hAnsi="Arial Narrow" w:cs="Arial"/>
                                <w:color w:val="595959"/>
                                <w:kern w:val="24"/>
                                <w:sz w:val="22"/>
                                <w:szCs w:val="22"/>
                              </w:rPr>
                            </w:pPr>
                            <w:r>
                              <w:rPr>
                                <w:rFonts w:ascii="Arial Narrow" w:eastAsia="SimSun" w:hAnsi="Arial Narrow" w:cs="Arial"/>
                                <w:color w:val="595959"/>
                                <w:kern w:val="24"/>
                                <w:sz w:val="22"/>
                              </w:rPr>
                              <w:t xml:space="preserve">NOF 2D monolayers were treated </w:t>
                            </w:r>
                            <w:r>
                              <w:rPr>
                                <w:rFonts w:ascii="Arial Narrow" w:eastAsia="SimSun" w:hAnsi="Arial Narrow" w:cs="Arial"/>
                                <w:color w:val="595959"/>
                                <w:kern w:val="24"/>
                                <w:sz w:val="22"/>
                                <w:szCs w:val="22"/>
                              </w:rPr>
                              <w:t xml:space="preserve">with 2 ng/mL TGFβ-1 up to 72 h + 14 days </w:t>
                            </w:r>
                            <w:r>
                              <w:rPr>
                                <w:rFonts w:ascii="Arial Narrow" w:eastAsia="SimSun" w:hAnsi="Arial Narrow" w:cs="Arial"/>
                                <w:color w:val="595959"/>
                                <w:kern w:val="24"/>
                                <w:sz w:val="22"/>
                              </w:rPr>
                              <w:t xml:space="preserve">and the gene expression of COL1A1 </w:t>
                            </w:r>
                            <w:r>
                              <w:rPr>
                                <w:rFonts w:ascii="Arial Narrow" w:eastAsia="SimSun" w:hAnsi="Arial Narrow" w:cs="Arial"/>
                                <w:color w:val="595959"/>
                                <w:kern w:val="24"/>
                                <w:sz w:val="22"/>
                                <w:szCs w:val="22"/>
                              </w:rPr>
                              <w:t xml:space="preserve">was </w:t>
                            </w:r>
                            <w:r>
                              <w:rPr>
                                <w:rFonts w:ascii="Arial Narrow" w:eastAsia="SimSun" w:hAnsi="Arial Narrow" w:cs="Arial"/>
                                <w:color w:val="595959"/>
                                <w:kern w:val="24"/>
                                <w:sz w:val="22"/>
                              </w:rPr>
                              <w:t>determined by qPCR</w:t>
                            </w:r>
                            <w:r>
                              <w:rPr>
                                <w:rFonts w:ascii="Arial Narrow" w:eastAsia="SimSun" w:hAnsi="Arial Narrow" w:cs="Arial"/>
                                <w:color w:val="595959"/>
                                <w:kern w:val="24"/>
                                <w:sz w:val="22"/>
                                <w:szCs w:val="22"/>
                              </w:rPr>
                              <w:t xml:space="preserve">. </w:t>
                            </w:r>
                            <w:r>
                              <w:rPr>
                                <w:rFonts w:ascii="Arial Narrow" w:eastAsia="SimSun" w:hAnsi="Arial Narrow" w:cs="Arial"/>
                                <w:color w:val="595959"/>
                                <w:kern w:val="24"/>
                                <w:sz w:val="22"/>
                              </w:rPr>
                              <w:t xml:space="preserve">Data is expressed as fold change relative to housekeeping gene U6, with mean ± SD. * denotes p &lt;0.05, *** p &lt;0.001, and **** p&lt;0.0001 as </w:t>
                            </w:r>
                            <w:r>
                              <w:rPr>
                                <w:rFonts w:ascii="Arial Narrow" w:eastAsia="SimSun" w:hAnsi="Arial Narrow" w:cs="Arial"/>
                                <w:color w:val="595959"/>
                                <w:kern w:val="24"/>
                                <w:sz w:val="22"/>
                                <w:szCs w:val="22"/>
                              </w:rPr>
                              <w:t>analysed by ordinary one-way ANOVA with Dunnett’s multiple comparison. (N=3, n=3).</w:t>
                            </w:r>
                          </w:p>
                          <w:p w14:paraId="4056A3CB" w14:textId="77777777" w:rsidR="008A47AC" w:rsidRPr="004C4D93" w:rsidRDefault="008A47AC" w:rsidP="0054039C">
                            <w:pPr>
                              <w:pStyle w:val="NormalWeb"/>
                              <w:spacing w:after="200"/>
                              <w:jc w:val="both"/>
                            </w:pPr>
                          </w:p>
                          <w:p w14:paraId="56D68A5F" w14:textId="77777777" w:rsidR="008A47AC" w:rsidRPr="00780209" w:rsidRDefault="008A47AC" w:rsidP="0054039C">
                            <w:pPr>
                              <w:pStyle w:val="NormalWeb"/>
                              <w:spacing w:after="200" w:line="276" w:lineRule="auto"/>
                              <w:jc w:val="both"/>
                              <w:rPr>
                                <w:rFonts w:ascii="Arial Narrow" w:eastAsia="SimSun" w:hAnsi="Arial Narrow" w:cs="Arial"/>
                                <w:color w:val="595959"/>
                                <w:kern w:val="24"/>
                                <w:sz w:val="22"/>
                                <w:szCs w:val="22"/>
                              </w:rPr>
                            </w:pPr>
                            <w:r>
                              <w:rPr>
                                <w:rFonts w:ascii="Arial Narrow" w:eastAsia="SimSun" w:hAnsi="Arial Narrow" w:cs="Arial"/>
                                <w:color w:val="595959"/>
                                <w:kern w:val="24"/>
                                <w:sz w:val="22"/>
                                <w:szCs w:val="22"/>
                              </w:rPr>
                              <w:t>Relative fold change of COL1A1 expression was decreased with treatment of 2 ng/ml TGFβ-1 at 24 h + 14 days (p &lt;0.001) in NOF populations compared to 24 h + 14 days vehicle controls analysed by ordinary one-way ANOVA with Dunnett’s multiple comparison. Graph shows mean and SD (N=3, n=3).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3974D0" id="_x0000_s1070" type="#_x0000_t202" style="position:absolute;left:0;text-align:left;margin-left:399.6pt;margin-top:17.25pt;width:450.8pt;height:114.75pt;z-index:251658275;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" stroked="f">
                <v:textbox>
                  <w:txbxContent>
                    <w:p w14:paraId="114FCCA6" w14:textId="77777777" w:rsidR="008A47AC" w:rsidRDefault="008A47AC" w:rsidP="0054039C">
                      <w:pPr>
                        <w:pStyle w:val="NormalWeb"/>
                        <w:spacing w:after="200"/>
                        <w:jc w:val="both"/>
                      </w:pPr>
                      <w:r>
                        <w:rPr>
                          <w:rFonts w:ascii="Arial Narrow" w:eastAsia="SimSun" w:hAnsi="Arial Narrow" w:cs="Arial"/>
                          <w:b/>
                          <w:bCs/>
                          <w:color w:val="595959"/>
                          <w:kern w:val="24"/>
                          <w:sz w:val="22"/>
                          <w:szCs w:val="22"/>
                        </w:rPr>
                        <w:t xml:space="preserve">Figure 3.9 Long-term expression data for the ECM </w:t>
                      </w:r>
                      <w:r w:rsidRPr="00C75A86">
                        <w:rPr>
                          <w:rFonts w:ascii="Arial Narrow" w:eastAsia="SimSun" w:hAnsi="Arial Narrow" w:cs="Arial"/>
                          <w:b/>
                          <w:bCs/>
                          <w:color w:val="595959"/>
                          <w:kern w:val="24"/>
                          <w:sz w:val="22"/>
                          <w:szCs w:val="22"/>
                        </w:rPr>
                        <w:t xml:space="preserve">marker </w:t>
                      </w:r>
                      <w:r>
                        <w:rPr>
                          <w:rFonts w:ascii="Arial Narrow" w:eastAsia="SimSun" w:hAnsi="Arial Narrow" w:cs="Arial"/>
                          <w:b/>
                          <w:color w:val="595959"/>
                          <w:kern w:val="24"/>
                          <w:sz w:val="22"/>
                          <w:szCs w:val="22"/>
                        </w:rPr>
                        <w:t>COL1A1</w:t>
                      </w:r>
                      <w:r>
                        <w:rPr>
                          <w:rFonts w:ascii="Arial Narrow" w:eastAsia="SimSun" w:hAnsi="Arial Narrow" w:cs="Arial"/>
                          <w:b/>
                          <w:bCs/>
                          <w:color w:val="595959"/>
                          <w:kern w:val="24"/>
                          <w:sz w:val="22"/>
                          <w:szCs w:val="22"/>
                        </w:rPr>
                        <w:t xml:space="preserve"> </w:t>
                      </w:r>
                      <w:r>
                        <w:rPr>
                          <w:rFonts w:ascii="Arial Narrow" w:eastAsia="SimSun" w:hAnsi="Arial Narrow" w:cs="Arial"/>
                          <w:b/>
                          <w:color w:val="595959"/>
                          <w:kern w:val="24"/>
                          <w:sz w:val="22"/>
                          <w:szCs w:val="22"/>
                        </w:rPr>
                        <w:t xml:space="preserve">in NOF </w:t>
                      </w:r>
                      <w:r>
                        <w:rPr>
                          <w:rFonts w:ascii="Arial Narrow" w:eastAsia="SimSun" w:hAnsi="Arial Narrow" w:cs="Arial"/>
                          <w:b/>
                          <w:bCs/>
                          <w:color w:val="595959"/>
                          <w:kern w:val="24"/>
                          <w:sz w:val="22"/>
                          <w:szCs w:val="22"/>
                        </w:rPr>
                        <w:t>with and without TGFβ-1 stimulation</w:t>
                      </w:r>
                      <w:r>
                        <w:rPr>
                          <w:rFonts w:ascii="Arial Narrow" w:eastAsia="SimSun" w:hAnsi="Arial Narrow" w:cs="Arial"/>
                          <w:b/>
                          <w:color w:val="595959"/>
                          <w:kern w:val="24"/>
                          <w:sz w:val="22"/>
                          <w:szCs w:val="22"/>
                        </w:rPr>
                        <w:t xml:space="preserve"> </w:t>
                      </w:r>
                      <w:r>
                        <w:rPr>
                          <w:rFonts w:ascii="Arial Narrow" w:eastAsia="SimSun" w:hAnsi="Arial Narrow" w:cs="Arial"/>
                          <w:b/>
                          <w:bCs/>
                          <w:color w:val="595959"/>
                          <w:kern w:val="24"/>
                          <w:sz w:val="22"/>
                          <w:szCs w:val="22"/>
                        </w:rPr>
                        <w:t xml:space="preserve">  </w:t>
                      </w:r>
                    </w:p>
                    <w:p w14:paraId="3D6AAC09" w14:textId="7F3994EC" w:rsidR="008A47AC" w:rsidRPr="00B612DF" w:rsidRDefault="008A47AC" w:rsidP="0054039C">
                      <w:pPr>
                        <w:pStyle w:val="NormalWeb"/>
                        <w:spacing w:after="200" w:line="276" w:lineRule="auto"/>
                        <w:jc w:val="both"/>
                        <w:rPr>
                          <w:rFonts w:ascii="Arial Narrow" w:eastAsia="SimSun" w:hAnsi="Arial Narrow" w:cs="Arial"/>
                          <w:color w:val="595959"/>
                          <w:kern w:val="24"/>
                          <w:sz w:val="22"/>
                          <w:szCs w:val="22"/>
                        </w:rPr>
                      </w:pPr>
                      <w:r>
                        <w:rPr>
                          <w:rFonts w:ascii="Arial Narrow" w:eastAsia="SimSun" w:hAnsi="Arial Narrow" w:cs="Arial"/>
                          <w:color w:val="595959"/>
                          <w:kern w:val="24"/>
                          <w:sz w:val="22"/>
                        </w:rPr>
                        <w:t xml:space="preserve">NOF 2D monolayers were treated </w:t>
                      </w:r>
                      <w:r>
                        <w:rPr>
                          <w:rFonts w:ascii="Arial Narrow" w:eastAsia="SimSun" w:hAnsi="Arial Narrow" w:cs="Arial"/>
                          <w:color w:val="595959"/>
                          <w:kern w:val="24"/>
                          <w:sz w:val="22"/>
                          <w:szCs w:val="22"/>
                        </w:rPr>
                        <w:t xml:space="preserve">with 2 ng/mL TGFβ-1 up to 72 h + 14 days </w:t>
                      </w:r>
                      <w:r>
                        <w:rPr>
                          <w:rFonts w:ascii="Arial Narrow" w:eastAsia="SimSun" w:hAnsi="Arial Narrow" w:cs="Arial"/>
                          <w:color w:val="595959"/>
                          <w:kern w:val="24"/>
                          <w:sz w:val="22"/>
                        </w:rPr>
                        <w:t xml:space="preserve">and the gene expression of COL1A1 </w:t>
                      </w:r>
                      <w:r>
                        <w:rPr>
                          <w:rFonts w:ascii="Arial Narrow" w:eastAsia="SimSun" w:hAnsi="Arial Narrow" w:cs="Arial"/>
                          <w:color w:val="595959"/>
                          <w:kern w:val="24"/>
                          <w:sz w:val="22"/>
                          <w:szCs w:val="22"/>
                        </w:rPr>
                        <w:t xml:space="preserve">was </w:t>
                      </w:r>
                      <w:r>
                        <w:rPr>
                          <w:rFonts w:ascii="Arial Narrow" w:eastAsia="SimSun" w:hAnsi="Arial Narrow" w:cs="Arial"/>
                          <w:color w:val="595959"/>
                          <w:kern w:val="24"/>
                          <w:sz w:val="22"/>
                        </w:rPr>
                        <w:t>determined by qPCR</w:t>
                      </w:r>
                      <w:r>
                        <w:rPr>
                          <w:rFonts w:ascii="Arial Narrow" w:eastAsia="SimSun" w:hAnsi="Arial Narrow" w:cs="Arial"/>
                          <w:color w:val="595959"/>
                          <w:kern w:val="24"/>
                          <w:sz w:val="22"/>
                          <w:szCs w:val="22"/>
                        </w:rPr>
                        <w:t xml:space="preserve">. </w:t>
                      </w:r>
                      <w:r>
                        <w:rPr>
                          <w:rFonts w:ascii="Arial Narrow" w:eastAsia="SimSun" w:hAnsi="Arial Narrow" w:cs="Arial"/>
                          <w:color w:val="595959"/>
                          <w:kern w:val="24"/>
                          <w:sz w:val="22"/>
                        </w:rPr>
                        <w:t xml:space="preserve">Data is expressed as fold change relative to housekeeping gene U6, with mean ± SD. * denotes p &lt;0.05, *** p &lt;0.001, and **** p&lt;0.0001 as </w:t>
                      </w:r>
                      <w:r>
                        <w:rPr>
                          <w:rFonts w:ascii="Arial Narrow" w:eastAsia="SimSun" w:hAnsi="Arial Narrow" w:cs="Arial"/>
                          <w:color w:val="595959"/>
                          <w:kern w:val="24"/>
                          <w:sz w:val="22"/>
                          <w:szCs w:val="22"/>
                        </w:rPr>
                        <w:t>analysed by ordinary one-way ANOVA with Dunnett’s multiple comparison. (N=3, n=3).</w:t>
                      </w:r>
                    </w:p>
                    <w:p w14:paraId="4056A3CB" w14:textId="77777777" w:rsidR="008A47AC" w:rsidRPr="004C4D93" w:rsidRDefault="008A47AC" w:rsidP="0054039C">
                      <w:pPr>
                        <w:pStyle w:val="NormalWeb"/>
                        <w:spacing w:after="200"/>
                        <w:jc w:val="both"/>
                      </w:pPr>
                    </w:p>
                    <w:p w14:paraId="56D68A5F" w14:textId="77777777" w:rsidR="008A47AC" w:rsidRPr="00780209" w:rsidRDefault="008A47AC" w:rsidP="0054039C">
                      <w:pPr>
                        <w:pStyle w:val="NormalWeb"/>
                        <w:spacing w:after="200" w:line="276" w:lineRule="auto"/>
                        <w:jc w:val="both"/>
                        <w:rPr>
                          <w:rFonts w:ascii="Arial Narrow" w:eastAsia="SimSun" w:hAnsi="Arial Narrow" w:cs="Arial"/>
                          <w:color w:val="595959"/>
                          <w:kern w:val="24"/>
                          <w:sz w:val="22"/>
                          <w:szCs w:val="22"/>
                        </w:rPr>
                      </w:pPr>
                      <w:r>
                        <w:rPr>
                          <w:rFonts w:ascii="Arial Narrow" w:eastAsia="SimSun" w:hAnsi="Arial Narrow" w:cs="Arial"/>
                          <w:color w:val="595959"/>
                          <w:kern w:val="24"/>
                          <w:sz w:val="22"/>
                          <w:szCs w:val="22"/>
                        </w:rPr>
                        <w:t>Relative fold change of COL1A1 expression was decreased with treatment of 2 ng/ml TGFβ-1 at 24 h + 14 days (p &lt;0.001) in NOF populations compared to 24 h + 14 days vehicle controls analysed by ordinary one-way ANOVA with Dunnett’s multiple comparison. Graph shows mean and SD (N=3, n=3).</w:t>
                      </w:r>
                    </w:p>
                  </w:txbxContent>
                </v:textbox>
                <w10:wrap anchorx="margin"/>
              </v:shape>
            </w:pict>
          </mc:Fallback>
        </mc:AlternateContent>
      </w:r>
    </w:p>
    <w:p w14:paraId="5ABA94BD" w14:textId="77777777" w:rsidR="0054039C" w:rsidRPr="0054039C" w:rsidRDefault="0054039C" w:rsidP="0054039C">
      <w:pPr>
        <w:spacing w:line="480" w:lineRule="auto"/>
        <w:ind w:firstLine="720"/>
        <w:jc w:val="both"/>
        <w:rPr>
          <w:rFonts w:ascii="Arial" w:hAnsi="Arial" w:cs="Arial"/>
          <w:color w:val="595959" w:themeColor="text1" w:themeTint="A6"/>
        </w:rPr>
      </w:pPr>
    </w:p>
    <w:p w14:paraId="7E7BC35D" w14:textId="4E42E663" w:rsidR="0054039C" w:rsidRDefault="0054039C" w:rsidP="0054039C">
      <w:pPr>
        <w:spacing w:line="480" w:lineRule="auto"/>
        <w:ind w:firstLine="720"/>
        <w:jc w:val="both"/>
        <w:rPr>
          <w:rFonts w:ascii="Arial" w:hAnsi="Arial" w:cs="Arial"/>
          <w:color w:val="595959" w:themeColor="text1" w:themeTint="A6"/>
        </w:rPr>
      </w:pPr>
    </w:p>
    <w:p w14:paraId="778D3F99" w14:textId="00CDD668" w:rsidR="004B7004" w:rsidRDefault="004B7004" w:rsidP="0054039C">
      <w:pPr>
        <w:spacing w:line="480" w:lineRule="auto"/>
        <w:ind w:firstLine="720"/>
        <w:jc w:val="both"/>
        <w:rPr>
          <w:rFonts w:ascii="Arial" w:hAnsi="Arial" w:cs="Arial"/>
          <w:color w:val="595959" w:themeColor="text1" w:themeTint="A6"/>
        </w:rPr>
      </w:pPr>
    </w:p>
    <w:p w14:paraId="73A71724" w14:textId="77777777" w:rsidR="004B7004" w:rsidRPr="0054039C" w:rsidRDefault="004B7004" w:rsidP="0054039C">
      <w:pPr>
        <w:spacing w:line="480" w:lineRule="auto"/>
        <w:ind w:firstLine="720"/>
        <w:jc w:val="both"/>
        <w:rPr>
          <w:rFonts w:ascii="Arial" w:hAnsi="Arial" w:cs="Arial"/>
          <w:color w:val="595959" w:themeColor="text1" w:themeTint="A6"/>
        </w:rPr>
      </w:pPr>
    </w:p>
    <w:p w14:paraId="6D02D48C" w14:textId="2096FC98" w:rsidR="0054039C" w:rsidRPr="0054039C" w:rsidRDefault="0054039C" w:rsidP="0054039C">
      <w:pPr>
        <w:keepNext/>
        <w:keepLines/>
        <w:spacing w:before="40" w:after="0"/>
        <w:outlineLvl w:val="4"/>
        <w:rPr>
          <w:rFonts w:ascii="Arial" w:eastAsiaTheme="majorEastAsia" w:hAnsi="Arial" w:cs="Arial"/>
          <w:color w:val="595959" w:themeColor="text1" w:themeTint="A6"/>
        </w:rPr>
      </w:pPr>
      <w:bookmarkStart w:id="253" w:name="_Toc7107249"/>
      <w:bookmarkStart w:id="254" w:name="_Toc34208355"/>
      <w:bookmarkStart w:id="255" w:name="OLE_LINK8"/>
      <w:r w:rsidRPr="0054039C">
        <w:rPr>
          <w:rFonts w:ascii="Arial" w:eastAsiaTheme="majorEastAsia" w:hAnsi="Arial" w:cs="Arial"/>
          <w:color w:val="595959" w:themeColor="text1" w:themeTint="A6"/>
        </w:rPr>
        <w:lastRenderedPageBreak/>
        <w:t>3.3.1.2.4 VCAN expression by RT-qPCR</w:t>
      </w:r>
      <w:bookmarkEnd w:id="253"/>
      <w:bookmarkEnd w:id="254"/>
    </w:p>
    <w:p w14:paraId="20A0F22D" w14:textId="77777777" w:rsidR="0054039C" w:rsidRPr="0054039C" w:rsidRDefault="0054039C" w:rsidP="0054039C"/>
    <w:p w14:paraId="597770CD" w14:textId="66962812" w:rsidR="0054039C" w:rsidRPr="0054039C" w:rsidRDefault="0054039C" w:rsidP="004B7004">
      <w:pPr>
        <w:spacing w:line="480" w:lineRule="auto"/>
        <w:jc w:val="both"/>
        <w:rPr>
          <w:rFonts w:ascii="Arial" w:hAnsi="Arial" w:cs="Arial"/>
          <w:color w:val="595959" w:themeColor="text1" w:themeTint="A6"/>
        </w:rPr>
      </w:pPr>
      <w:r w:rsidRPr="0054039C">
        <w:rPr>
          <w:rFonts w:ascii="Arial" w:hAnsi="Arial" w:cs="Arial"/>
          <w:color w:val="595959" w:themeColor="text1" w:themeTint="A6"/>
        </w:rPr>
        <w:t>No</w:t>
      </w:r>
      <w:r w:rsidR="004B7004">
        <w:rPr>
          <w:rFonts w:ascii="Arial" w:hAnsi="Arial" w:cs="Arial"/>
          <w:color w:val="595959" w:themeColor="text1" w:themeTint="A6"/>
        </w:rPr>
        <w:t xml:space="preserve"> significant </w:t>
      </w:r>
      <w:r w:rsidRPr="0054039C">
        <w:rPr>
          <w:rFonts w:ascii="Arial" w:hAnsi="Arial" w:cs="Arial"/>
          <w:color w:val="595959" w:themeColor="text1" w:themeTint="A6"/>
        </w:rPr>
        <w:t>changes were observed in VCAN transcript exp</w:t>
      </w:r>
      <w:r w:rsidR="004B7004">
        <w:rPr>
          <w:rFonts w:ascii="Arial" w:hAnsi="Arial" w:cs="Arial"/>
          <w:color w:val="595959" w:themeColor="text1" w:themeTint="A6"/>
        </w:rPr>
        <w:t>ression upon long-term TGFβ-1 treatment of</w:t>
      </w:r>
      <w:r w:rsidRPr="0054039C">
        <w:rPr>
          <w:rFonts w:ascii="Arial" w:hAnsi="Arial" w:cs="Arial"/>
          <w:color w:val="595959" w:themeColor="text1" w:themeTint="A6"/>
        </w:rPr>
        <w:t xml:space="preserve"> NOF cultures (Figure 3.10). </w:t>
      </w:r>
    </w:p>
    <w:bookmarkEnd w:id="255"/>
    <w:p w14:paraId="562F5B1D" w14:textId="77777777" w:rsidR="0054039C" w:rsidRPr="0054039C" w:rsidRDefault="0054039C" w:rsidP="0054039C">
      <w:pPr>
        <w:spacing w:line="480" w:lineRule="auto"/>
        <w:jc w:val="both"/>
        <w:rPr>
          <w:rFonts w:ascii="Arial" w:hAnsi="Arial" w:cs="Arial"/>
          <w:color w:val="595959" w:themeColor="text1" w:themeTint="A6"/>
        </w:rPr>
      </w:pPr>
    </w:p>
    <w:p w14:paraId="71C73DED" w14:textId="374CBB28" w:rsidR="0054039C" w:rsidRPr="0054039C" w:rsidRDefault="0054039C" w:rsidP="0054039C">
      <w:pPr>
        <w:spacing w:line="480" w:lineRule="auto"/>
        <w:jc w:val="both"/>
        <w:rPr>
          <w:rFonts w:ascii="Arial" w:hAnsi="Arial" w:cs="Arial"/>
          <w:color w:val="595959" w:themeColor="text1" w:themeTint="A6"/>
        </w:rPr>
      </w:pPr>
    </w:p>
    <w:p w14:paraId="039F9780" w14:textId="15B4C7D3" w:rsidR="0054039C" w:rsidRPr="0054039C" w:rsidRDefault="0097536E" w:rsidP="0054039C">
      <w:pPr>
        <w:spacing w:line="480" w:lineRule="auto"/>
        <w:jc w:val="both"/>
        <w:rPr>
          <w:rFonts w:ascii="Arial" w:hAnsi="Arial" w:cs="Arial"/>
          <w:color w:val="595959" w:themeColor="text1" w:themeTint="A6"/>
        </w:rPr>
      </w:pPr>
      <w:r w:rsidRPr="0097536E">
        <w:rPr>
          <w:noProof/>
        </w:rPr>
        <w:drawing>
          <wp:anchor distT="0" distB="0" distL="114300" distR="114300" simplePos="0" relativeHeight="251658482" behindDoc="0" locked="0" layoutInCell="1" allowOverlap="1" wp14:anchorId="07CB9FD9" wp14:editId="53629868">
            <wp:simplePos x="0" y="0"/>
            <wp:positionH relativeFrom="margin">
              <wp:align>center</wp:align>
            </wp:positionH>
            <wp:positionV relativeFrom="paragraph">
              <wp:posOffset>8255</wp:posOffset>
            </wp:positionV>
            <wp:extent cx="4127500" cy="2755900"/>
            <wp:effectExtent l="0" t="0" r="0" b="0"/>
            <wp:wrapNone/>
            <wp:docPr id="5302" name="Picture 5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127500" cy="2755900"/>
                    </a:xfrm>
                    <a:prstGeom prst="rect">
                      <a:avLst/>
                    </a:prstGeom>
                    <a:noFill/>
                    <a:ln>
                      <a:noFill/>
                    </a:ln>
                  </pic:spPr>
                </pic:pic>
              </a:graphicData>
            </a:graphic>
          </wp:anchor>
        </w:drawing>
      </w:r>
    </w:p>
    <w:p w14:paraId="1C83BA48" w14:textId="77777777" w:rsidR="0054039C" w:rsidRPr="0054039C" w:rsidRDefault="0054039C" w:rsidP="0054039C">
      <w:pPr>
        <w:spacing w:line="480" w:lineRule="auto"/>
        <w:jc w:val="both"/>
        <w:rPr>
          <w:rFonts w:ascii="Arial" w:hAnsi="Arial" w:cs="Arial"/>
          <w:color w:val="595959" w:themeColor="text1" w:themeTint="A6"/>
        </w:rPr>
      </w:pPr>
    </w:p>
    <w:p w14:paraId="048E1927" w14:textId="77777777" w:rsidR="0054039C" w:rsidRPr="0054039C" w:rsidRDefault="0054039C" w:rsidP="0054039C">
      <w:pPr>
        <w:spacing w:line="480" w:lineRule="auto"/>
        <w:ind w:firstLine="720"/>
        <w:jc w:val="both"/>
        <w:rPr>
          <w:rFonts w:ascii="Arial" w:hAnsi="Arial" w:cs="Arial"/>
          <w:color w:val="595959" w:themeColor="text1" w:themeTint="A6"/>
        </w:rPr>
      </w:pPr>
    </w:p>
    <w:p w14:paraId="5A679B19" w14:textId="77777777" w:rsidR="0054039C" w:rsidRPr="0054039C" w:rsidRDefault="0054039C" w:rsidP="0054039C">
      <w:pPr>
        <w:spacing w:line="480" w:lineRule="auto"/>
        <w:ind w:firstLine="720"/>
        <w:jc w:val="both"/>
        <w:rPr>
          <w:rFonts w:ascii="Arial" w:hAnsi="Arial" w:cs="Arial"/>
          <w:color w:val="595959" w:themeColor="text1" w:themeTint="A6"/>
        </w:rPr>
      </w:pPr>
    </w:p>
    <w:p w14:paraId="53B5F52F" w14:textId="77777777" w:rsidR="0054039C" w:rsidRPr="0054039C" w:rsidRDefault="0054039C" w:rsidP="0054039C">
      <w:pPr>
        <w:spacing w:line="480" w:lineRule="auto"/>
        <w:ind w:firstLine="720"/>
        <w:jc w:val="both"/>
        <w:rPr>
          <w:rFonts w:ascii="Arial" w:hAnsi="Arial" w:cs="Arial"/>
          <w:color w:val="595959" w:themeColor="text1" w:themeTint="A6"/>
        </w:rPr>
      </w:pPr>
    </w:p>
    <w:p w14:paraId="068BE385" w14:textId="77777777" w:rsidR="0054039C" w:rsidRPr="0054039C" w:rsidRDefault="0054039C" w:rsidP="0054039C">
      <w:pPr>
        <w:spacing w:line="480" w:lineRule="auto"/>
        <w:ind w:firstLine="720"/>
        <w:jc w:val="both"/>
        <w:rPr>
          <w:rFonts w:ascii="Arial" w:hAnsi="Arial" w:cs="Arial"/>
          <w:color w:val="595959" w:themeColor="text1" w:themeTint="A6"/>
        </w:rPr>
      </w:pPr>
    </w:p>
    <w:p w14:paraId="3FA417D2" w14:textId="77777777" w:rsidR="0054039C" w:rsidRPr="0054039C" w:rsidRDefault="0054039C" w:rsidP="0054039C">
      <w:pPr>
        <w:spacing w:line="480" w:lineRule="auto"/>
        <w:ind w:firstLine="720"/>
        <w:jc w:val="both"/>
        <w:rPr>
          <w:rFonts w:ascii="Arial" w:hAnsi="Arial" w:cs="Arial"/>
          <w:color w:val="595959" w:themeColor="text1" w:themeTint="A6"/>
        </w:rPr>
      </w:pPr>
    </w:p>
    <w:p w14:paraId="1532971A" w14:textId="77777777" w:rsidR="0054039C" w:rsidRPr="0054039C" w:rsidRDefault="0054039C" w:rsidP="0054039C">
      <w:pPr>
        <w:spacing w:line="480" w:lineRule="auto"/>
        <w:ind w:firstLine="720"/>
        <w:jc w:val="both"/>
        <w:rPr>
          <w:rFonts w:ascii="Arial" w:hAnsi="Arial" w:cs="Arial"/>
          <w:color w:val="595959" w:themeColor="text1" w:themeTint="A6"/>
        </w:rPr>
      </w:pPr>
    </w:p>
    <w:p w14:paraId="50DB82AE" w14:textId="77777777" w:rsidR="0054039C" w:rsidRPr="0054039C" w:rsidRDefault="0054039C" w:rsidP="0054039C">
      <w:pPr>
        <w:spacing w:line="360" w:lineRule="auto"/>
        <w:jc w:val="both"/>
        <w:rPr>
          <w:rFonts w:ascii="Arial" w:hAnsi="Arial" w:cs="Arial"/>
          <w:color w:val="595959" w:themeColor="text1" w:themeTint="A6"/>
          <w:sz w:val="24"/>
          <w:szCs w:val="24"/>
        </w:rPr>
      </w:pPr>
      <w:r w:rsidRPr="0054039C">
        <w:rPr>
          <w:rFonts w:ascii="Arial" w:hAnsi="Arial" w:cs="Arial"/>
          <w:noProof/>
          <w:color w:val="595959" w:themeColor="text1" w:themeTint="A6"/>
          <w:sz w:val="24"/>
          <w:szCs w:val="24"/>
          <w:lang w:eastAsia="zh-CN"/>
        </w:rPr>
        <mc:AlternateContent>
          <mc:Choice Requires="wps">
            <w:drawing>
              <wp:anchor distT="0" distB="0" distL="114300" distR="114300" simplePos="0" relativeHeight="251658276" behindDoc="0" locked="0" layoutInCell="1" allowOverlap="1" wp14:anchorId="179C0319" wp14:editId="740556DE">
                <wp:simplePos x="0" y="0"/>
                <wp:positionH relativeFrom="margin">
                  <wp:align>right</wp:align>
                </wp:positionH>
                <wp:positionV relativeFrom="paragraph">
                  <wp:posOffset>19050</wp:posOffset>
                </wp:positionV>
                <wp:extent cx="5724525" cy="1466850"/>
                <wp:effectExtent l="0" t="0" r="9525" b="0"/>
                <wp:wrapNone/>
                <wp:docPr id="2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1466850"/>
                        </a:xfrm>
                        <a:prstGeom prst="rect">
                          <a:avLst/>
                        </a:prstGeom>
                        <a:solidFill>
                          <a:srgbClr val="FFFFFF"/>
                        </a:solidFill>
                        <a:ln w="9525">
                          <a:noFill/>
                          <a:miter lim="800000"/>
                          <a:headEnd/>
                          <a:tailEnd/>
                        </a:ln>
                      </wps:spPr>
                      <wps:txbx>
                        <w:txbxContent>
                          <w:p w14:paraId="02BD3889" w14:textId="77777777" w:rsidR="008A47AC" w:rsidRDefault="008A47AC" w:rsidP="0054039C">
                            <w:pPr>
                              <w:pStyle w:val="NormalWeb"/>
                              <w:spacing w:after="200"/>
                              <w:jc w:val="both"/>
                            </w:pPr>
                            <w:r>
                              <w:rPr>
                                <w:rFonts w:ascii="Arial Narrow" w:eastAsia="SimSun" w:hAnsi="Arial Narrow" w:cs="Arial"/>
                                <w:b/>
                                <w:bCs/>
                                <w:color w:val="595959"/>
                                <w:kern w:val="24"/>
                                <w:sz w:val="22"/>
                                <w:szCs w:val="22"/>
                              </w:rPr>
                              <w:t xml:space="preserve">Figure 3.10 Long-term expression data for the ECM </w:t>
                            </w:r>
                            <w:r w:rsidRPr="00C75A86">
                              <w:rPr>
                                <w:rFonts w:ascii="Arial Narrow" w:eastAsia="SimSun" w:hAnsi="Arial Narrow" w:cs="Arial"/>
                                <w:b/>
                                <w:bCs/>
                                <w:color w:val="595959"/>
                                <w:kern w:val="24"/>
                                <w:sz w:val="22"/>
                                <w:szCs w:val="22"/>
                              </w:rPr>
                              <w:t xml:space="preserve">marker </w:t>
                            </w:r>
                            <w:r>
                              <w:rPr>
                                <w:rFonts w:ascii="Arial Narrow" w:eastAsia="SimSun" w:hAnsi="Arial Narrow" w:cs="Arial"/>
                                <w:b/>
                                <w:color w:val="595959"/>
                                <w:kern w:val="24"/>
                                <w:sz w:val="22"/>
                                <w:szCs w:val="22"/>
                              </w:rPr>
                              <w:t xml:space="preserve">VCAN in NOF </w:t>
                            </w:r>
                            <w:r>
                              <w:rPr>
                                <w:rFonts w:ascii="Arial Narrow" w:eastAsia="SimSun" w:hAnsi="Arial Narrow" w:cs="Arial"/>
                                <w:b/>
                                <w:bCs/>
                                <w:color w:val="595959"/>
                                <w:kern w:val="24"/>
                                <w:sz w:val="22"/>
                                <w:szCs w:val="22"/>
                              </w:rPr>
                              <w:t>with and without TGFβ-1 stimulation</w:t>
                            </w:r>
                            <w:r>
                              <w:rPr>
                                <w:rFonts w:ascii="Arial Narrow" w:eastAsia="SimSun" w:hAnsi="Arial Narrow" w:cs="Arial"/>
                                <w:b/>
                                <w:color w:val="595959"/>
                                <w:kern w:val="24"/>
                                <w:sz w:val="22"/>
                                <w:szCs w:val="22"/>
                              </w:rPr>
                              <w:t xml:space="preserve"> </w:t>
                            </w:r>
                            <w:r>
                              <w:rPr>
                                <w:rFonts w:ascii="Arial Narrow" w:eastAsia="SimSun" w:hAnsi="Arial Narrow" w:cs="Arial"/>
                                <w:b/>
                                <w:bCs/>
                                <w:color w:val="595959"/>
                                <w:kern w:val="24"/>
                                <w:sz w:val="22"/>
                                <w:szCs w:val="22"/>
                              </w:rPr>
                              <w:t xml:space="preserve">  </w:t>
                            </w:r>
                          </w:p>
                          <w:p w14:paraId="302E7FEA" w14:textId="796EE3EF" w:rsidR="008A47AC" w:rsidRPr="00B612DF" w:rsidRDefault="008A47AC" w:rsidP="0054039C">
                            <w:pPr>
                              <w:pStyle w:val="NormalWeb"/>
                              <w:spacing w:after="200" w:line="276" w:lineRule="auto"/>
                              <w:jc w:val="both"/>
                              <w:rPr>
                                <w:rFonts w:ascii="Arial Narrow" w:eastAsia="SimSun" w:hAnsi="Arial Narrow" w:cs="Arial"/>
                                <w:color w:val="595959"/>
                                <w:kern w:val="24"/>
                                <w:sz w:val="22"/>
                                <w:szCs w:val="22"/>
                              </w:rPr>
                            </w:pPr>
                            <w:r>
                              <w:rPr>
                                <w:rFonts w:ascii="Arial Narrow" w:eastAsia="SimSun" w:hAnsi="Arial Narrow" w:cs="Arial"/>
                                <w:color w:val="595959"/>
                                <w:kern w:val="24"/>
                                <w:sz w:val="22"/>
                              </w:rPr>
                              <w:t xml:space="preserve">NOF 2D monolayers were treated </w:t>
                            </w:r>
                            <w:r>
                              <w:rPr>
                                <w:rFonts w:ascii="Arial Narrow" w:eastAsia="SimSun" w:hAnsi="Arial Narrow" w:cs="Arial"/>
                                <w:color w:val="595959"/>
                                <w:kern w:val="24"/>
                                <w:sz w:val="22"/>
                                <w:szCs w:val="22"/>
                              </w:rPr>
                              <w:t xml:space="preserve">with 2 ng/mL TGFβ-1 up to 72 h + 14 days </w:t>
                            </w:r>
                            <w:r>
                              <w:rPr>
                                <w:rFonts w:ascii="Arial Narrow" w:eastAsia="SimSun" w:hAnsi="Arial Narrow" w:cs="Arial"/>
                                <w:color w:val="595959"/>
                                <w:kern w:val="24"/>
                                <w:sz w:val="22"/>
                              </w:rPr>
                              <w:t xml:space="preserve">and the gene expression for </w:t>
                            </w:r>
                            <w:r>
                              <w:rPr>
                                <w:rFonts w:ascii="Arial Narrow" w:eastAsia="SimSun" w:hAnsi="Arial Narrow" w:cs="Arial"/>
                                <w:color w:val="595959"/>
                                <w:kern w:val="24"/>
                                <w:sz w:val="22"/>
                                <w:szCs w:val="22"/>
                              </w:rPr>
                              <w:t xml:space="preserve">VCAN was </w:t>
                            </w:r>
                            <w:r>
                              <w:rPr>
                                <w:rFonts w:ascii="Arial Narrow" w:eastAsia="SimSun" w:hAnsi="Arial Narrow" w:cs="Arial"/>
                                <w:color w:val="595959"/>
                                <w:kern w:val="24"/>
                                <w:sz w:val="22"/>
                              </w:rPr>
                              <w:t>determined by qPCR</w:t>
                            </w:r>
                            <w:r>
                              <w:rPr>
                                <w:rFonts w:ascii="Arial Narrow" w:eastAsia="SimSun" w:hAnsi="Arial Narrow" w:cs="Arial"/>
                                <w:color w:val="595959"/>
                                <w:kern w:val="24"/>
                                <w:sz w:val="22"/>
                                <w:szCs w:val="22"/>
                              </w:rPr>
                              <w:t xml:space="preserve">. </w:t>
                            </w:r>
                            <w:r>
                              <w:rPr>
                                <w:rFonts w:ascii="Arial Narrow" w:eastAsia="SimSun" w:hAnsi="Arial Narrow" w:cs="Arial"/>
                                <w:color w:val="595959"/>
                                <w:kern w:val="24"/>
                                <w:sz w:val="22"/>
                              </w:rPr>
                              <w:t xml:space="preserve">Data is expressed as fold change relative to housekeeping gene U6, with mean ± SD. </w:t>
                            </w:r>
                            <w:r w:rsidRPr="004C4D93">
                              <w:rPr>
                                <w:rFonts w:ascii="Arial Narrow" w:eastAsia="SimSun" w:hAnsi="Arial Narrow" w:cs="Arial"/>
                                <w:i/>
                                <w:iCs/>
                                <w:color w:val="595959"/>
                                <w:kern w:val="24"/>
                                <w:sz w:val="22"/>
                              </w:rPr>
                              <w:t>NS</w:t>
                            </w:r>
                            <w:r>
                              <w:rPr>
                                <w:rFonts w:ascii="Arial Narrow" w:eastAsia="SimSun" w:hAnsi="Arial Narrow" w:cs="Arial"/>
                                <w:color w:val="595959"/>
                                <w:kern w:val="24"/>
                                <w:sz w:val="22"/>
                              </w:rPr>
                              <w:t xml:space="preserve"> was observed when </w:t>
                            </w:r>
                            <w:r>
                              <w:rPr>
                                <w:rFonts w:ascii="Arial Narrow" w:eastAsia="SimSun" w:hAnsi="Arial Narrow" w:cs="Arial"/>
                                <w:color w:val="595959"/>
                                <w:kern w:val="24"/>
                                <w:sz w:val="22"/>
                                <w:szCs w:val="22"/>
                              </w:rPr>
                              <w:t>analysed by ordinary one-way ANOVA with Dunnett’s multiple comparison. (N=3, n=3).</w:t>
                            </w:r>
                          </w:p>
                          <w:p w14:paraId="02EE0AEE" w14:textId="77777777" w:rsidR="008A47AC" w:rsidRPr="004C4D93" w:rsidRDefault="008A47AC" w:rsidP="0054039C">
                            <w:pPr>
                              <w:pStyle w:val="NormalWeb"/>
                              <w:spacing w:after="200"/>
                              <w:jc w:val="both"/>
                            </w:pPr>
                          </w:p>
                          <w:p w14:paraId="01260B8E" w14:textId="77777777" w:rsidR="008A47AC" w:rsidRPr="00E270CB" w:rsidRDefault="008A47AC" w:rsidP="0054039C">
                            <w:pPr>
                              <w:pStyle w:val="NormalWeb"/>
                              <w:spacing w:after="200" w:line="276" w:lineRule="auto"/>
                              <w:jc w:val="both"/>
                              <w:rPr>
                                <w:rFonts w:ascii="Arial Narrow" w:eastAsia="SimSun" w:hAnsi="Arial Narrow" w:cs="Arial"/>
                                <w:color w:val="595959"/>
                                <w:kern w:val="24"/>
                                <w:sz w:val="22"/>
                                <w:szCs w:val="22"/>
                              </w:rPr>
                            </w:pPr>
                            <w:r>
                              <w:rPr>
                                <w:rFonts w:ascii="Arial Narrow" w:eastAsia="SimSun" w:hAnsi="Arial Narrow" w:cs="Arial"/>
                                <w:color w:val="595959"/>
                                <w:kern w:val="24"/>
                                <w:sz w:val="22"/>
                                <w:szCs w:val="22"/>
                              </w:rPr>
                              <w:t>No significant fold change of VCAN expression was observed with treatment of 2 ng/ml TGFβ-1 long-term in NOF compared to 24 h + 14 days vehicle control group analysed by ordinary one-way ANOVA with Dunnett’s multiple comparison. Graph shows mean and SD (N=3, n=3).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9C0319" id="_x0000_s1071" type="#_x0000_t202" style="position:absolute;left:0;text-align:left;margin-left:399.55pt;margin-top:1.5pt;width:450.75pt;height:115.5pt;z-index:2516582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" stroked="f">
                <v:textbox>
                  <w:txbxContent>
                    <w:p w14:paraId="02BD3889" w14:textId="77777777" w:rsidR="008A47AC" w:rsidRDefault="008A47AC" w:rsidP="0054039C">
                      <w:pPr>
                        <w:pStyle w:val="NormalWeb"/>
                        <w:spacing w:after="200"/>
                        <w:jc w:val="both"/>
                      </w:pPr>
                      <w:r>
                        <w:rPr>
                          <w:rFonts w:ascii="Arial Narrow" w:eastAsia="SimSun" w:hAnsi="Arial Narrow" w:cs="Arial"/>
                          <w:b/>
                          <w:bCs/>
                          <w:color w:val="595959"/>
                          <w:kern w:val="24"/>
                          <w:sz w:val="22"/>
                          <w:szCs w:val="22"/>
                        </w:rPr>
                        <w:t xml:space="preserve">Figure 3.10 Long-term expression data for the ECM </w:t>
                      </w:r>
                      <w:r w:rsidRPr="00C75A86">
                        <w:rPr>
                          <w:rFonts w:ascii="Arial Narrow" w:eastAsia="SimSun" w:hAnsi="Arial Narrow" w:cs="Arial"/>
                          <w:b/>
                          <w:bCs/>
                          <w:color w:val="595959"/>
                          <w:kern w:val="24"/>
                          <w:sz w:val="22"/>
                          <w:szCs w:val="22"/>
                        </w:rPr>
                        <w:t xml:space="preserve">marker </w:t>
                      </w:r>
                      <w:r>
                        <w:rPr>
                          <w:rFonts w:ascii="Arial Narrow" w:eastAsia="SimSun" w:hAnsi="Arial Narrow" w:cs="Arial"/>
                          <w:b/>
                          <w:color w:val="595959"/>
                          <w:kern w:val="24"/>
                          <w:sz w:val="22"/>
                          <w:szCs w:val="22"/>
                        </w:rPr>
                        <w:t xml:space="preserve">VCAN in NOF </w:t>
                      </w:r>
                      <w:r>
                        <w:rPr>
                          <w:rFonts w:ascii="Arial Narrow" w:eastAsia="SimSun" w:hAnsi="Arial Narrow" w:cs="Arial"/>
                          <w:b/>
                          <w:bCs/>
                          <w:color w:val="595959"/>
                          <w:kern w:val="24"/>
                          <w:sz w:val="22"/>
                          <w:szCs w:val="22"/>
                        </w:rPr>
                        <w:t>with and without TGFβ-1 stimulation</w:t>
                      </w:r>
                      <w:r>
                        <w:rPr>
                          <w:rFonts w:ascii="Arial Narrow" w:eastAsia="SimSun" w:hAnsi="Arial Narrow" w:cs="Arial"/>
                          <w:b/>
                          <w:color w:val="595959"/>
                          <w:kern w:val="24"/>
                          <w:sz w:val="22"/>
                          <w:szCs w:val="22"/>
                        </w:rPr>
                        <w:t xml:space="preserve"> </w:t>
                      </w:r>
                      <w:r>
                        <w:rPr>
                          <w:rFonts w:ascii="Arial Narrow" w:eastAsia="SimSun" w:hAnsi="Arial Narrow" w:cs="Arial"/>
                          <w:b/>
                          <w:bCs/>
                          <w:color w:val="595959"/>
                          <w:kern w:val="24"/>
                          <w:sz w:val="22"/>
                          <w:szCs w:val="22"/>
                        </w:rPr>
                        <w:t xml:space="preserve">  </w:t>
                      </w:r>
                    </w:p>
                    <w:p w14:paraId="302E7FEA" w14:textId="796EE3EF" w:rsidR="008A47AC" w:rsidRPr="00B612DF" w:rsidRDefault="008A47AC" w:rsidP="0054039C">
                      <w:pPr>
                        <w:pStyle w:val="NormalWeb"/>
                        <w:spacing w:after="200" w:line="276" w:lineRule="auto"/>
                        <w:jc w:val="both"/>
                        <w:rPr>
                          <w:rFonts w:ascii="Arial Narrow" w:eastAsia="SimSun" w:hAnsi="Arial Narrow" w:cs="Arial"/>
                          <w:color w:val="595959"/>
                          <w:kern w:val="24"/>
                          <w:sz w:val="22"/>
                          <w:szCs w:val="22"/>
                        </w:rPr>
                      </w:pPr>
                      <w:r>
                        <w:rPr>
                          <w:rFonts w:ascii="Arial Narrow" w:eastAsia="SimSun" w:hAnsi="Arial Narrow" w:cs="Arial"/>
                          <w:color w:val="595959"/>
                          <w:kern w:val="24"/>
                          <w:sz w:val="22"/>
                        </w:rPr>
                        <w:t xml:space="preserve">NOF 2D monolayers were treated </w:t>
                      </w:r>
                      <w:r>
                        <w:rPr>
                          <w:rFonts w:ascii="Arial Narrow" w:eastAsia="SimSun" w:hAnsi="Arial Narrow" w:cs="Arial"/>
                          <w:color w:val="595959"/>
                          <w:kern w:val="24"/>
                          <w:sz w:val="22"/>
                          <w:szCs w:val="22"/>
                        </w:rPr>
                        <w:t xml:space="preserve">with 2 ng/mL TGFβ-1 up to 72 h + 14 days </w:t>
                      </w:r>
                      <w:r>
                        <w:rPr>
                          <w:rFonts w:ascii="Arial Narrow" w:eastAsia="SimSun" w:hAnsi="Arial Narrow" w:cs="Arial"/>
                          <w:color w:val="595959"/>
                          <w:kern w:val="24"/>
                          <w:sz w:val="22"/>
                        </w:rPr>
                        <w:t xml:space="preserve">and the gene expression for </w:t>
                      </w:r>
                      <w:r>
                        <w:rPr>
                          <w:rFonts w:ascii="Arial Narrow" w:eastAsia="SimSun" w:hAnsi="Arial Narrow" w:cs="Arial"/>
                          <w:color w:val="595959"/>
                          <w:kern w:val="24"/>
                          <w:sz w:val="22"/>
                          <w:szCs w:val="22"/>
                        </w:rPr>
                        <w:t xml:space="preserve">VCAN was </w:t>
                      </w:r>
                      <w:r>
                        <w:rPr>
                          <w:rFonts w:ascii="Arial Narrow" w:eastAsia="SimSun" w:hAnsi="Arial Narrow" w:cs="Arial"/>
                          <w:color w:val="595959"/>
                          <w:kern w:val="24"/>
                          <w:sz w:val="22"/>
                        </w:rPr>
                        <w:t>determined by qPCR</w:t>
                      </w:r>
                      <w:r>
                        <w:rPr>
                          <w:rFonts w:ascii="Arial Narrow" w:eastAsia="SimSun" w:hAnsi="Arial Narrow" w:cs="Arial"/>
                          <w:color w:val="595959"/>
                          <w:kern w:val="24"/>
                          <w:sz w:val="22"/>
                          <w:szCs w:val="22"/>
                        </w:rPr>
                        <w:t xml:space="preserve">. </w:t>
                      </w:r>
                      <w:r>
                        <w:rPr>
                          <w:rFonts w:ascii="Arial Narrow" w:eastAsia="SimSun" w:hAnsi="Arial Narrow" w:cs="Arial"/>
                          <w:color w:val="595959"/>
                          <w:kern w:val="24"/>
                          <w:sz w:val="22"/>
                        </w:rPr>
                        <w:t xml:space="preserve">Data is expressed as fold change relative to housekeeping gene U6, with mean ± SD. </w:t>
                      </w:r>
                      <w:r w:rsidRPr="004C4D93">
                        <w:rPr>
                          <w:rFonts w:ascii="Arial Narrow" w:eastAsia="SimSun" w:hAnsi="Arial Narrow" w:cs="Arial"/>
                          <w:i/>
                          <w:iCs/>
                          <w:color w:val="595959"/>
                          <w:kern w:val="24"/>
                          <w:sz w:val="22"/>
                        </w:rPr>
                        <w:t>NS</w:t>
                      </w:r>
                      <w:r>
                        <w:rPr>
                          <w:rFonts w:ascii="Arial Narrow" w:eastAsia="SimSun" w:hAnsi="Arial Narrow" w:cs="Arial"/>
                          <w:color w:val="595959"/>
                          <w:kern w:val="24"/>
                          <w:sz w:val="22"/>
                        </w:rPr>
                        <w:t xml:space="preserve"> was observed when </w:t>
                      </w:r>
                      <w:r>
                        <w:rPr>
                          <w:rFonts w:ascii="Arial Narrow" w:eastAsia="SimSun" w:hAnsi="Arial Narrow" w:cs="Arial"/>
                          <w:color w:val="595959"/>
                          <w:kern w:val="24"/>
                          <w:sz w:val="22"/>
                          <w:szCs w:val="22"/>
                        </w:rPr>
                        <w:t>analysed by ordinary one-way ANOVA with Dunnett’s multiple comparison. (N=3, n=3).</w:t>
                      </w:r>
                    </w:p>
                    <w:p w14:paraId="02EE0AEE" w14:textId="77777777" w:rsidR="008A47AC" w:rsidRPr="004C4D93" w:rsidRDefault="008A47AC" w:rsidP="0054039C">
                      <w:pPr>
                        <w:pStyle w:val="NormalWeb"/>
                        <w:spacing w:after="200"/>
                        <w:jc w:val="both"/>
                      </w:pPr>
                    </w:p>
                    <w:p w14:paraId="01260B8E" w14:textId="77777777" w:rsidR="008A47AC" w:rsidRPr="00E270CB" w:rsidRDefault="008A47AC" w:rsidP="0054039C">
                      <w:pPr>
                        <w:pStyle w:val="NormalWeb"/>
                        <w:spacing w:after="200" w:line="276" w:lineRule="auto"/>
                        <w:jc w:val="both"/>
                        <w:rPr>
                          <w:rFonts w:ascii="Arial Narrow" w:eastAsia="SimSun" w:hAnsi="Arial Narrow" w:cs="Arial"/>
                          <w:color w:val="595959"/>
                          <w:kern w:val="24"/>
                          <w:sz w:val="22"/>
                          <w:szCs w:val="22"/>
                        </w:rPr>
                      </w:pPr>
                      <w:r>
                        <w:rPr>
                          <w:rFonts w:ascii="Arial Narrow" w:eastAsia="SimSun" w:hAnsi="Arial Narrow" w:cs="Arial"/>
                          <w:color w:val="595959"/>
                          <w:kern w:val="24"/>
                          <w:sz w:val="22"/>
                          <w:szCs w:val="22"/>
                        </w:rPr>
                        <w:t>No significant fold change of VCAN expression was observed with treatment of 2 ng/ml TGFβ-1 long-term in NOF compared to 24 h + 14 days vehicle control group analysed by ordinary one-way ANOVA with Dunnett’s multiple comparison. Graph shows mean and SD (N=3, n=3).</w:t>
                      </w:r>
                    </w:p>
                  </w:txbxContent>
                </v:textbox>
                <w10:wrap anchorx="margin"/>
              </v:shape>
            </w:pict>
          </mc:Fallback>
        </mc:AlternateContent>
      </w:r>
      <w:r w:rsidRPr="0054039C">
        <w:rPr>
          <w:rFonts w:ascii="Arial" w:hAnsi="Arial" w:cs="Arial"/>
          <w:noProof/>
          <w:color w:val="595959" w:themeColor="text1" w:themeTint="A6"/>
          <w:sz w:val="24"/>
          <w:szCs w:val="24"/>
          <w:lang w:eastAsia="zh-CN"/>
        </w:rPr>
        <mc:AlternateContent>
          <mc:Choice Requires="wps">
            <w:drawing>
              <wp:anchor distT="0" distB="0" distL="114300" distR="114300" simplePos="0" relativeHeight="251658266" behindDoc="0" locked="0" layoutInCell="1" allowOverlap="1" wp14:anchorId="56E2376E" wp14:editId="0BE26FD3">
                <wp:simplePos x="0" y="0"/>
                <wp:positionH relativeFrom="margin">
                  <wp:align>left</wp:align>
                </wp:positionH>
                <wp:positionV relativeFrom="paragraph">
                  <wp:posOffset>5480050</wp:posOffset>
                </wp:positionV>
                <wp:extent cx="6546850" cy="2800350"/>
                <wp:effectExtent l="0" t="0" r="6350" b="0"/>
                <wp:wrapNone/>
                <wp:docPr id="3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46850" cy="2800350"/>
                        </a:xfrm>
                        <a:prstGeom prst="rect">
                          <a:avLst/>
                        </a:prstGeom>
                        <a:solidFill>
                          <a:srgbClr val="FFFFFF"/>
                        </a:solidFill>
                        <a:ln w="9525">
                          <a:noFill/>
                          <a:miter lim="800000"/>
                          <a:headEnd/>
                          <a:tailEnd/>
                        </a:ln>
                      </wps:spPr>
                      <wps:txbx>
                        <w:txbxContent>
                          <w:p w14:paraId="3350E45D" w14:textId="77777777" w:rsidR="008A47AC" w:rsidRDefault="008A47AC" w:rsidP="0054039C">
                            <w:pPr>
                              <w:pStyle w:val="NormalWeb"/>
                              <w:spacing w:after="200" w:line="360" w:lineRule="auto"/>
                              <w:jc w:val="both"/>
                            </w:pPr>
                            <w:r>
                              <w:rPr>
                                <w:rFonts w:ascii="Arial Narrow" w:eastAsia="SimSun" w:hAnsi="Arial Narrow" w:cs="Arial"/>
                                <w:b/>
                                <w:bCs/>
                                <w:color w:val="595959"/>
                                <w:kern w:val="24"/>
                                <w:sz w:val="22"/>
                                <w:szCs w:val="22"/>
                              </w:rPr>
                              <w:t>Figure.  Long-term expression data for for myofibroblasts markers and ECM components in NOF316 by RT-qPCR</w:t>
                            </w:r>
                          </w:p>
                          <w:p w14:paraId="41558982" w14:textId="77777777" w:rsidR="008A47AC" w:rsidRDefault="008A47AC" w:rsidP="0054039C">
                            <w:pPr>
                              <w:pStyle w:val="NormalWeb"/>
                              <w:spacing w:after="200" w:line="276" w:lineRule="auto"/>
                              <w:jc w:val="both"/>
                            </w:pPr>
                            <w:r>
                              <w:rPr>
                                <w:rFonts w:ascii="Arial Narrow" w:eastAsia="SimSun" w:hAnsi="Arial Narrow" w:cs="Arial"/>
                                <w:color w:val="595959"/>
                                <w:kern w:val="24"/>
                                <w:sz w:val="22"/>
                                <w:szCs w:val="22"/>
                              </w:rPr>
                              <w:t xml:space="preserve">Schematic showing the experimental protocol used for long-term differentiation experiment. RNA was extracted after each time point indicated (A). </w:t>
                            </w:r>
                          </w:p>
                          <w:p w14:paraId="09890786" w14:textId="77777777" w:rsidR="008A47AC" w:rsidRDefault="008A47AC" w:rsidP="0054039C">
                            <w:pPr>
                              <w:pStyle w:val="NormalWeb"/>
                              <w:spacing w:after="200" w:line="276" w:lineRule="auto"/>
                              <w:jc w:val="both"/>
                            </w:pPr>
                            <w:r>
                              <w:rPr>
                                <w:rFonts w:ascii="Arial Narrow" w:eastAsia="SimSun" w:hAnsi="Arial Narrow" w:cs="Arial"/>
                                <w:color w:val="595959"/>
                                <w:kern w:val="24"/>
                                <w:sz w:val="22"/>
                                <w:szCs w:val="22"/>
                              </w:rPr>
                              <w:t xml:space="preserve">Relative fold change of α-SMA expression is increased marginally long-term in all TGFβ-1 treated groups for each time-point compared to vehicle control samples. Statistical analysis using a paired Student’s t-test confirmed that no significance was reached in all TGFβ-1 treated samples compared to their corresponding vehicle control treated samples (B). </w:t>
                            </w:r>
                          </w:p>
                          <w:p w14:paraId="68F25FD1" w14:textId="77777777" w:rsidR="008A47AC" w:rsidRDefault="008A47AC" w:rsidP="0054039C">
                            <w:pPr>
                              <w:pStyle w:val="NormalWeb"/>
                              <w:spacing w:after="200" w:line="276" w:lineRule="auto"/>
                              <w:jc w:val="both"/>
                              <w:rPr>
                                <w:rFonts w:ascii="Arial Narrow" w:eastAsia="SimSun" w:hAnsi="Arial Narrow" w:cs="Arial"/>
                                <w:color w:val="595959"/>
                                <w:kern w:val="24"/>
                                <w:sz w:val="22"/>
                                <w:szCs w:val="22"/>
                              </w:rPr>
                            </w:pPr>
                            <w:r>
                              <w:rPr>
                                <w:rFonts w:ascii="Arial Narrow" w:eastAsia="SimSun" w:hAnsi="Arial Narrow" w:cs="Arial"/>
                                <w:color w:val="595959"/>
                                <w:kern w:val="24"/>
                                <w:sz w:val="22"/>
                                <w:szCs w:val="22"/>
                              </w:rPr>
                              <w:t xml:space="preserve">Relative fold change of FN1-EDA expression is increased with treatment of 2 ng/ml TGFβ-1 long-term. All treated samples show an increase fold change in FN1-EDA compared to control with 72 h + 14 Days showing the highest average increase in fold change ~1.9. Statistical analysis was performed on all control samples against treated samples for the same time points and statistical significance was reached in the 72 h +14 Days samples with a *p value &lt;0.0373 (C). </w:t>
                            </w:r>
                          </w:p>
                          <w:p w14:paraId="3552C159" w14:textId="77777777" w:rsidR="008A47AC" w:rsidRDefault="008A47AC" w:rsidP="0054039C">
                            <w:pPr>
                              <w:pStyle w:val="NormalWeb"/>
                              <w:spacing w:after="200" w:line="276" w:lineRule="auto"/>
                              <w:jc w:val="both"/>
                            </w:pPr>
                            <w:r>
                              <w:rPr>
                                <w:rFonts w:ascii="Arial Narrow" w:eastAsia="SimSun" w:hAnsi="Arial Narrow" w:cs="Arial"/>
                                <w:color w:val="595959"/>
                                <w:kern w:val="24"/>
                                <w:sz w:val="22"/>
                                <w:szCs w:val="22"/>
                              </w:rPr>
                              <w:t xml:space="preserve">Error bars show standard deviation. (N=3, n=3).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E2376E" id="_x0000_s1072" type="#_x0000_t202" style="position:absolute;left:0;text-align:left;margin-left:0;margin-top:431.5pt;width:515.5pt;height:220.5pt;z-index:25165826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" stroked="f">
                <v:textbox>
                  <w:txbxContent>
                    <w:p w14:paraId="3350E45D" w14:textId="77777777" w:rsidR="008A47AC" w:rsidRDefault="008A47AC" w:rsidP="0054039C">
                      <w:pPr>
                        <w:pStyle w:val="NormalWeb"/>
                        <w:spacing w:after="200" w:line="360" w:lineRule="auto"/>
                        <w:jc w:val="both"/>
                      </w:pPr>
                      <w:r>
                        <w:rPr>
                          <w:rFonts w:ascii="Arial Narrow" w:eastAsia="SimSun" w:hAnsi="Arial Narrow" w:cs="Arial"/>
                          <w:b/>
                          <w:bCs/>
                          <w:color w:val="595959"/>
                          <w:kern w:val="24"/>
                          <w:sz w:val="22"/>
                          <w:szCs w:val="22"/>
                        </w:rPr>
                        <w:t xml:space="preserve">Figure.  Long-term expression data for </w:t>
                      </w:r>
                      <w:proofErr w:type="spellStart"/>
                      <w:r>
                        <w:rPr>
                          <w:rFonts w:ascii="Arial Narrow" w:eastAsia="SimSun" w:hAnsi="Arial Narrow" w:cs="Arial"/>
                          <w:b/>
                          <w:bCs/>
                          <w:color w:val="595959"/>
                          <w:kern w:val="24"/>
                          <w:sz w:val="22"/>
                          <w:szCs w:val="22"/>
                        </w:rPr>
                        <w:t>for</w:t>
                      </w:r>
                      <w:proofErr w:type="spellEnd"/>
                      <w:r>
                        <w:rPr>
                          <w:rFonts w:ascii="Arial Narrow" w:eastAsia="SimSun" w:hAnsi="Arial Narrow" w:cs="Arial"/>
                          <w:b/>
                          <w:bCs/>
                          <w:color w:val="595959"/>
                          <w:kern w:val="24"/>
                          <w:sz w:val="22"/>
                          <w:szCs w:val="22"/>
                        </w:rPr>
                        <w:t xml:space="preserve"> myofibroblasts markers and ECM components in NOF316 by RT-qPCR</w:t>
                      </w:r>
                    </w:p>
                    <w:p w14:paraId="41558982" w14:textId="77777777" w:rsidR="008A47AC" w:rsidRDefault="008A47AC" w:rsidP="0054039C">
                      <w:pPr>
                        <w:pStyle w:val="NormalWeb"/>
                        <w:spacing w:after="200" w:line="276" w:lineRule="auto"/>
                        <w:jc w:val="both"/>
                      </w:pPr>
                      <w:r>
                        <w:rPr>
                          <w:rFonts w:ascii="Arial Narrow" w:eastAsia="SimSun" w:hAnsi="Arial Narrow" w:cs="Arial"/>
                          <w:color w:val="595959"/>
                          <w:kern w:val="24"/>
                          <w:sz w:val="22"/>
                          <w:szCs w:val="22"/>
                        </w:rPr>
                        <w:t xml:space="preserve">Schematic showing the experimental protocol used for long-term differentiation experiment. RNA was extracted after each time point indicated (A). </w:t>
                      </w:r>
                    </w:p>
                    <w:p w14:paraId="09890786" w14:textId="77777777" w:rsidR="008A47AC" w:rsidRDefault="008A47AC" w:rsidP="0054039C">
                      <w:pPr>
                        <w:pStyle w:val="NormalWeb"/>
                        <w:spacing w:after="200" w:line="276" w:lineRule="auto"/>
                        <w:jc w:val="both"/>
                      </w:pPr>
                      <w:r>
                        <w:rPr>
                          <w:rFonts w:ascii="Arial Narrow" w:eastAsia="SimSun" w:hAnsi="Arial Narrow" w:cs="Arial"/>
                          <w:color w:val="595959"/>
                          <w:kern w:val="24"/>
                          <w:sz w:val="22"/>
                          <w:szCs w:val="22"/>
                        </w:rPr>
                        <w:t xml:space="preserve">Relative fold change of α-SMA expression is increased marginally long-term in all TGFβ-1 treated groups for each time-point compared to vehicle control samples. Statistical analysis using a paired Student’s t-test confirmed that no significance was reached in all TGFβ-1 treated samples compared to their corresponding vehicle control treated samples (B). </w:t>
                      </w:r>
                    </w:p>
                    <w:p w14:paraId="68F25FD1" w14:textId="77777777" w:rsidR="008A47AC" w:rsidRDefault="008A47AC" w:rsidP="0054039C">
                      <w:pPr>
                        <w:pStyle w:val="NormalWeb"/>
                        <w:spacing w:after="200" w:line="276" w:lineRule="auto"/>
                        <w:jc w:val="both"/>
                        <w:rPr>
                          <w:rFonts w:ascii="Arial Narrow" w:eastAsia="SimSun" w:hAnsi="Arial Narrow" w:cs="Arial"/>
                          <w:color w:val="595959"/>
                          <w:kern w:val="24"/>
                          <w:sz w:val="22"/>
                          <w:szCs w:val="22"/>
                        </w:rPr>
                      </w:pPr>
                      <w:r>
                        <w:rPr>
                          <w:rFonts w:ascii="Arial Narrow" w:eastAsia="SimSun" w:hAnsi="Arial Narrow" w:cs="Arial"/>
                          <w:color w:val="595959"/>
                          <w:kern w:val="24"/>
                          <w:sz w:val="22"/>
                          <w:szCs w:val="22"/>
                        </w:rPr>
                        <w:t xml:space="preserve">Relative fold change of FN1-EDA expression is increased with treatment of 2 ng/ml TGFβ-1 long-term. All treated samples show an increase fold change in FN1-EDA compared to control with 72 h + 14 Days showing the highest average increase in fold change ~1.9. Statistical analysis was performed on all control samples against treated samples for the same time points and statistical significance was reached in the 72 h +14 Days samples with a *p value &lt;0.0373 (C). </w:t>
                      </w:r>
                    </w:p>
                    <w:p w14:paraId="3552C159" w14:textId="77777777" w:rsidR="008A47AC" w:rsidRDefault="008A47AC" w:rsidP="0054039C">
                      <w:pPr>
                        <w:pStyle w:val="NormalWeb"/>
                        <w:spacing w:after="200" w:line="276" w:lineRule="auto"/>
                        <w:jc w:val="both"/>
                      </w:pPr>
                      <w:r>
                        <w:rPr>
                          <w:rFonts w:ascii="Arial Narrow" w:eastAsia="SimSun" w:hAnsi="Arial Narrow" w:cs="Arial"/>
                          <w:color w:val="595959"/>
                          <w:kern w:val="24"/>
                          <w:sz w:val="22"/>
                          <w:szCs w:val="22"/>
                        </w:rPr>
                        <w:t xml:space="preserve">Error bars show standard deviation. (N=3, n=3).  </w:t>
                      </w:r>
                    </w:p>
                  </w:txbxContent>
                </v:textbox>
                <w10:wrap anchorx="margin"/>
              </v:shape>
            </w:pict>
          </mc:Fallback>
        </mc:AlternateContent>
      </w:r>
    </w:p>
    <w:p w14:paraId="10313CEF" w14:textId="77777777" w:rsidR="0054039C" w:rsidRPr="0054039C" w:rsidRDefault="0054039C" w:rsidP="0054039C">
      <w:pPr>
        <w:rPr>
          <w:rFonts w:ascii="Arial" w:hAnsi="Arial" w:cs="Arial"/>
          <w:color w:val="595959" w:themeColor="text1" w:themeTint="A6"/>
          <w:sz w:val="24"/>
          <w:szCs w:val="24"/>
        </w:rPr>
      </w:pPr>
    </w:p>
    <w:p w14:paraId="4BFB49A2" w14:textId="77777777" w:rsidR="0054039C" w:rsidRPr="0054039C" w:rsidRDefault="0054039C" w:rsidP="0054039C">
      <w:pPr>
        <w:rPr>
          <w:rFonts w:ascii="Arial" w:hAnsi="Arial" w:cs="Arial"/>
          <w:color w:val="595959" w:themeColor="text1" w:themeTint="A6"/>
          <w:sz w:val="24"/>
          <w:szCs w:val="24"/>
        </w:rPr>
      </w:pPr>
    </w:p>
    <w:p w14:paraId="02449729" w14:textId="77777777" w:rsidR="0054039C" w:rsidRPr="0054039C" w:rsidRDefault="0054039C" w:rsidP="0054039C">
      <w:pPr>
        <w:rPr>
          <w:rFonts w:ascii="Arial" w:hAnsi="Arial" w:cs="Arial"/>
          <w:color w:val="595959" w:themeColor="text1" w:themeTint="A6"/>
          <w:sz w:val="24"/>
          <w:szCs w:val="24"/>
        </w:rPr>
      </w:pPr>
    </w:p>
    <w:p w14:paraId="1C67A210" w14:textId="77777777" w:rsidR="0054039C" w:rsidRPr="0054039C" w:rsidRDefault="0054039C" w:rsidP="0054039C">
      <w:pPr>
        <w:rPr>
          <w:rFonts w:ascii="Arial" w:hAnsi="Arial" w:cs="Arial"/>
          <w:color w:val="595959" w:themeColor="text1" w:themeTint="A6"/>
          <w:sz w:val="24"/>
          <w:szCs w:val="24"/>
        </w:rPr>
      </w:pPr>
    </w:p>
    <w:p w14:paraId="4EC1130F" w14:textId="77777777" w:rsidR="0054039C" w:rsidRPr="0054039C" w:rsidRDefault="0054039C" w:rsidP="0054039C">
      <w:pPr>
        <w:rPr>
          <w:rFonts w:ascii="Arial" w:hAnsi="Arial" w:cs="Arial"/>
          <w:color w:val="595959" w:themeColor="text1" w:themeTint="A6"/>
          <w:sz w:val="24"/>
          <w:szCs w:val="24"/>
        </w:rPr>
      </w:pPr>
    </w:p>
    <w:p w14:paraId="60050FB9" w14:textId="77777777" w:rsidR="0054039C" w:rsidRPr="0054039C" w:rsidRDefault="0054039C" w:rsidP="0054039C">
      <w:pPr>
        <w:rPr>
          <w:rFonts w:ascii="Arial" w:hAnsi="Arial" w:cs="Arial"/>
          <w:color w:val="595959" w:themeColor="text1" w:themeTint="A6"/>
          <w:sz w:val="24"/>
          <w:szCs w:val="24"/>
        </w:rPr>
      </w:pPr>
    </w:p>
    <w:p w14:paraId="3D390DEA" w14:textId="77777777" w:rsidR="0054039C" w:rsidRPr="0054039C" w:rsidRDefault="0054039C" w:rsidP="0054039C">
      <w:pPr>
        <w:rPr>
          <w:rFonts w:ascii="Arial" w:hAnsi="Arial" w:cs="Arial"/>
          <w:color w:val="595959" w:themeColor="text1" w:themeTint="A6"/>
          <w:sz w:val="24"/>
          <w:szCs w:val="24"/>
        </w:rPr>
      </w:pPr>
    </w:p>
    <w:p w14:paraId="50D79E74" w14:textId="77777777" w:rsidR="0054039C" w:rsidRPr="0054039C" w:rsidRDefault="0054039C" w:rsidP="0054039C">
      <w:pPr>
        <w:rPr>
          <w:rFonts w:ascii="Arial" w:hAnsi="Arial" w:cs="Arial"/>
          <w:color w:val="595959" w:themeColor="text1" w:themeTint="A6"/>
          <w:sz w:val="24"/>
          <w:szCs w:val="24"/>
        </w:rPr>
      </w:pPr>
    </w:p>
    <w:p w14:paraId="7AE696D0" w14:textId="62957026" w:rsidR="0054039C" w:rsidRDefault="0054039C" w:rsidP="0054039C">
      <w:pPr>
        <w:rPr>
          <w:rFonts w:ascii="Arial" w:hAnsi="Arial" w:cs="Arial"/>
          <w:color w:val="595959" w:themeColor="text1" w:themeTint="A6"/>
          <w:sz w:val="24"/>
          <w:szCs w:val="24"/>
        </w:rPr>
      </w:pPr>
    </w:p>
    <w:p w14:paraId="19FC5413" w14:textId="77777777" w:rsidR="004B7004" w:rsidRPr="0054039C" w:rsidRDefault="004B7004" w:rsidP="0054039C">
      <w:pPr>
        <w:rPr>
          <w:rFonts w:ascii="Arial" w:hAnsi="Arial" w:cs="Arial"/>
          <w:color w:val="595959" w:themeColor="text1" w:themeTint="A6"/>
          <w:sz w:val="24"/>
          <w:szCs w:val="24"/>
        </w:rPr>
      </w:pPr>
    </w:p>
    <w:p w14:paraId="7B349F1F" w14:textId="77777777" w:rsidR="0054039C" w:rsidRPr="0054039C" w:rsidRDefault="0054039C" w:rsidP="0054039C">
      <w:pPr>
        <w:keepNext/>
        <w:keepLines/>
        <w:spacing w:before="40" w:after="0"/>
        <w:outlineLvl w:val="4"/>
        <w:rPr>
          <w:rFonts w:ascii="Arial" w:eastAsiaTheme="majorEastAsia" w:hAnsi="Arial" w:cs="Arial"/>
          <w:color w:val="595959" w:themeColor="text1" w:themeTint="A6"/>
        </w:rPr>
      </w:pPr>
      <w:bookmarkStart w:id="256" w:name="_Toc7107250"/>
      <w:bookmarkStart w:id="257" w:name="_Toc34208356"/>
      <w:r w:rsidRPr="0054039C">
        <w:rPr>
          <w:rFonts w:ascii="Arial" w:eastAsiaTheme="majorEastAsia" w:hAnsi="Arial" w:cs="Arial"/>
          <w:color w:val="595959" w:themeColor="text1" w:themeTint="A6"/>
        </w:rPr>
        <w:lastRenderedPageBreak/>
        <w:t>3.3.1.2.5 TNC expression by RT-qPCR</w:t>
      </w:r>
      <w:bookmarkEnd w:id="256"/>
      <w:bookmarkEnd w:id="257"/>
    </w:p>
    <w:p w14:paraId="2CC96851" w14:textId="77777777" w:rsidR="0054039C" w:rsidRPr="0054039C" w:rsidRDefault="0054039C" w:rsidP="0054039C"/>
    <w:p w14:paraId="45B3AF3C" w14:textId="6EAB42E9" w:rsidR="0054039C" w:rsidRPr="0054039C" w:rsidRDefault="0054039C" w:rsidP="004B7004">
      <w:pPr>
        <w:spacing w:line="480" w:lineRule="auto"/>
        <w:jc w:val="both"/>
        <w:rPr>
          <w:rFonts w:ascii="Arial" w:hAnsi="Arial" w:cs="Arial"/>
          <w:color w:val="595959" w:themeColor="text1" w:themeTint="A6"/>
        </w:rPr>
      </w:pPr>
      <w:bookmarkStart w:id="258" w:name="OLE_LINK9"/>
      <w:r w:rsidRPr="0054039C">
        <w:rPr>
          <w:rFonts w:ascii="Arial" w:hAnsi="Arial" w:cs="Arial"/>
          <w:color w:val="595959" w:themeColor="text1" w:themeTint="A6"/>
        </w:rPr>
        <w:t xml:space="preserve">Increased TNC expression was observed in NOF with long-term TGFβ-1 treatment </w:t>
      </w:r>
      <w:bookmarkEnd w:id="258"/>
      <w:r w:rsidRPr="0054039C">
        <w:rPr>
          <w:rFonts w:ascii="Arial" w:hAnsi="Arial" w:cs="Arial"/>
          <w:color w:val="595959" w:themeColor="text1" w:themeTint="A6"/>
        </w:rPr>
        <w:t xml:space="preserve">(Figure 3.11). Significant increases in TNC transcript expression were detected </w:t>
      </w:r>
      <w:r w:rsidR="00BD4CB5">
        <w:rPr>
          <w:rFonts w:ascii="Arial" w:hAnsi="Arial" w:cs="Arial"/>
          <w:color w:val="595959" w:themeColor="text1" w:themeTint="A6"/>
        </w:rPr>
        <w:t>at</w:t>
      </w:r>
      <w:r w:rsidRPr="0054039C">
        <w:rPr>
          <w:rFonts w:ascii="Arial" w:hAnsi="Arial" w:cs="Arial"/>
          <w:color w:val="595959" w:themeColor="text1" w:themeTint="A6"/>
        </w:rPr>
        <w:t xml:space="preserve"> both 24 h- and 48h + 14 days TGFβ-1 treatment groups, with mean fold changes of 4.67 ± 1.24, p=0.0002 and 3.63 ± 2.35, p=0.0097 respectively, compared to 24 h + 14-day vehicle control samples. No significant differences in fold-change was observed with TGFβ-1 treatment at 72 h + 14-</w:t>
      </w:r>
      <w:r w:rsidR="004B7004">
        <w:rPr>
          <w:rFonts w:ascii="Arial" w:hAnsi="Arial" w:cs="Arial"/>
          <w:color w:val="595959" w:themeColor="text1" w:themeTint="A6"/>
        </w:rPr>
        <w:t xml:space="preserve">day time point. </w:t>
      </w:r>
    </w:p>
    <w:p w14:paraId="19567966" w14:textId="77777777" w:rsidR="0054039C" w:rsidRPr="0054039C" w:rsidRDefault="0054039C" w:rsidP="0054039C">
      <w:pPr>
        <w:spacing w:line="480" w:lineRule="auto"/>
        <w:jc w:val="both"/>
        <w:rPr>
          <w:rFonts w:ascii="Arial" w:hAnsi="Arial" w:cs="Arial"/>
          <w:color w:val="595959" w:themeColor="text1" w:themeTint="A6"/>
        </w:rPr>
      </w:pPr>
    </w:p>
    <w:p w14:paraId="257C0769" w14:textId="0CA3CEA6" w:rsidR="0054039C" w:rsidRPr="0054039C" w:rsidRDefault="00D4685A" w:rsidP="0054039C">
      <w:pPr>
        <w:spacing w:line="480" w:lineRule="auto"/>
        <w:jc w:val="both"/>
        <w:rPr>
          <w:rFonts w:ascii="Arial" w:hAnsi="Arial" w:cs="Arial"/>
          <w:color w:val="595959" w:themeColor="text1" w:themeTint="A6"/>
        </w:rPr>
      </w:pPr>
      <w:r w:rsidRPr="00D4685A">
        <w:rPr>
          <w:noProof/>
        </w:rPr>
        <w:drawing>
          <wp:anchor distT="0" distB="0" distL="114300" distR="114300" simplePos="0" relativeHeight="251658483" behindDoc="0" locked="0" layoutInCell="1" allowOverlap="1" wp14:anchorId="2F72D761" wp14:editId="033B7121">
            <wp:simplePos x="0" y="0"/>
            <wp:positionH relativeFrom="margin">
              <wp:align>center</wp:align>
            </wp:positionH>
            <wp:positionV relativeFrom="paragraph">
              <wp:posOffset>136525</wp:posOffset>
            </wp:positionV>
            <wp:extent cx="4152900" cy="2755900"/>
            <wp:effectExtent l="0" t="0" r="0" b="0"/>
            <wp:wrapNone/>
            <wp:docPr id="5303" name="Picture 5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152900" cy="2755900"/>
                    </a:xfrm>
                    <a:prstGeom prst="rect">
                      <a:avLst/>
                    </a:prstGeom>
                    <a:noFill/>
                    <a:ln>
                      <a:noFill/>
                    </a:ln>
                  </pic:spPr>
                </pic:pic>
              </a:graphicData>
            </a:graphic>
          </wp:anchor>
        </w:drawing>
      </w:r>
    </w:p>
    <w:p w14:paraId="22351A51" w14:textId="68C5F062" w:rsidR="0054039C" w:rsidRPr="0054039C" w:rsidRDefault="0054039C" w:rsidP="0054039C">
      <w:pPr>
        <w:spacing w:line="480" w:lineRule="auto"/>
        <w:jc w:val="both"/>
        <w:rPr>
          <w:rFonts w:ascii="Arial" w:hAnsi="Arial" w:cs="Arial"/>
          <w:color w:val="595959" w:themeColor="text1" w:themeTint="A6"/>
        </w:rPr>
      </w:pPr>
    </w:p>
    <w:p w14:paraId="6A3F60BA" w14:textId="77777777" w:rsidR="0054039C" w:rsidRPr="0054039C" w:rsidRDefault="0054039C" w:rsidP="0054039C">
      <w:pPr>
        <w:spacing w:line="480" w:lineRule="auto"/>
        <w:jc w:val="both"/>
        <w:rPr>
          <w:rFonts w:ascii="Arial" w:hAnsi="Arial" w:cs="Arial"/>
          <w:color w:val="595959" w:themeColor="text1" w:themeTint="A6"/>
        </w:rPr>
      </w:pPr>
    </w:p>
    <w:p w14:paraId="1C6EAE77" w14:textId="77777777" w:rsidR="0054039C" w:rsidRPr="0054039C" w:rsidRDefault="0054039C" w:rsidP="0054039C">
      <w:pPr>
        <w:spacing w:line="480" w:lineRule="auto"/>
        <w:jc w:val="both"/>
        <w:rPr>
          <w:rFonts w:ascii="Arial" w:hAnsi="Arial" w:cs="Arial"/>
          <w:color w:val="595959" w:themeColor="text1" w:themeTint="A6"/>
        </w:rPr>
      </w:pPr>
    </w:p>
    <w:p w14:paraId="5D27DE79" w14:textId="77777777" w:rsidR="0054039C" w:rsidRPr="0054039C" w:rsidRDefault="0054039C" w:rsidP="0054039C">
      <w:pPr>
        <w:spacing w:line="480" w:lineRule="auto"/>
        <w:jc w:val="both"/>
        <w:rPr>
          <w:rFonts w:ascii="Arial" w:hAnsi="Arial" w:cs="Arial"/>
          <w:color w:val="595959" w:themeColor="text1" w:themeTint="A6"/>
        </w:rPr>
      </w:pPr>
    </w:p>
    <w:p w14:paraId="5D8EC097" w14:textId="77777777" w:rsidR="0054039C" w:rsidRPr="0054039C" w:rsidRDefault="0054039C" w:rsidP="0054039C">
      <w:pPr>
        <w:spacing w:line="480" w:lineRule="auto"/>
        <w:jc w:val="both"/>
        <w:rPr>
          <w:rFonts w:ascii="Arial" w:hAnsi="Arial" w:cs="Arial"/>
          <w:color w:val="595959" w:themeColor="text1" w:themeTint="A6"/>
        </w:rPr>
      </w:pPr>
    </w:p>
    <w:p w14:paraId="487F4BA1" w14:textId="77777777" w:rsidR="0054039C" w:rsidRPr="0054039C" w:rsidRDefault="0054039C" w:rsidP="0054039C">
      <w:pPr>
        <w:tabs>
          <w:tab w:val="left" w:pos="1330"/>
        </w:tabs>
        <w:rPr>
          <w:rFonts w:ascii="Arial" w:hAnsi="Arial" w:cs="Arial"/>
          <w:color w:val="595959" w:themeColor="text1" w:themeTint="A6"/>
        </w:rPr>
      </w:pPr>
    </w:p>
    <w:p w14:paraId="5685331B" w14:textId="77777777" w:rsidR="0054039C" w:rsidRPr="0054039C" w:rsidRDefault="0054039C" w:rsidP="0054039C">
      <w:pPr>
        <w:tabs>
          <w:tab w:val="left" w:pos="1330"/>
        </w:tabs>
        <w:rPr>
          <w:rFonts w:ascii="Arial" w:hAnsi="Arial" w:cs="Arial"/>
          <w:color w:val="595959" w:themeColor="text1" w:themeTint="A6"/>
        </w:rPr>
      </w:pPr>
    </w:p>
    <w:p w14:paraId="4F0687EC" w14:textId="77777777" w:rsidR="0054039C" w:rsidRPr="0054039C" w:rsidRDefault="0054039C" w:rsidP="0054039C">
      <w:pPr>
        <w:tabs>
          <w:tab w:val="left" w:pos="1330"/>
        </w:tabs>
        <w:rPr>
          <w:rFonts w:ascii="Arial" w:hAnsi="Arial" w:cs="Arial"/>
          <w:color w:val="595959" w:themeColor="text1" w:themeTint="A6"/>
          <w:sz w:val="24"/>
          <w:szCs w:val="24"/>
        </w:rPr>
      </w:pPr>
    </w:p>
    <w:p w14:paraId="48993EE7" w14:textId="77777777" w:rsidR="0054039C" w:rsidRPr="0054039C" w:rsidRDefault="0054039C" w:rsidP="0054039C">
      <w:pPr>
        <w:tabs>
          <w:tab w:val="left" w:pos="1330"/>
        </w:tabs>
        <w:jc w:val="both"/>
        <w:rPr>
          <w:rFonts w:ascii="Arial" w:hAnsi="Arial" w:cs="Arial"/>
          <w:color w:val="595959" w:themeColor="text1" w:themeTint="A6"/>
          <w:sz w:val="24"/>
          <w:szCs w:val="24"/>
          <w:u w:val="single"/>
        </w:rPr>
      </w:pPr>
      <w:r w:rsidRPr="0054039C">
        <w:rPr>
          <w:rFonts w:ascii="Arial" w:hAnsi="Arial" w:cs="Arial"/>
          <w:noProof/>
          <w:color w:val="595959" w:themeColor="text1" w:themeTint="A6"/>
          <w:sz w:val="24"/>
          <w:szCs w:val="24"/>
          <w:lang w:eastAsia="zh-CN"/>
        </w:rPr>
        <mc:AlternateContent>
          <mc:Choice Requires="wps">
            <w:drawing>
              <wp:anchor distT="0" distB="0" distL="114300" distR="114300" simplePos="0" relativeHeight="251658277" behindDoc="0" locked="0" layoutInCell="1" allowOverlap="1" wp14:anchorId="2453FADA" wp14:editId="5E140BAE">
                <wp:simplePos x="0" y="0"/>
                <wp:positionH relativeFrom="margin">
                  <wp:align>right</wp:align>
                </wp:positionH>
                <wp:positionV relativeFrom="paragraph">
                  <wp:posOffset>178435</wp:posOffset>
                </wp:positionV>
                <wp:extent cx="5734050" cy="1352550"/>
                <wp:effectExtent l="0" t="0" r="0" b="0"/>
                <wp:wrapNone/>
                <wp:docPr id="2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1352550"/>
                        </a:xfrm>
                        <a:prstGeom prst="rect">
                          <a:avLst/>
                        </a:prstGeom>
                        <a:solidFill>
                          <a:srgbClr val="FFFFFF"/>
                        </a:solidFill>
                        <a:ln w="9525">
                          <a:noFill/>
                          <a:miter lim="800000"/>
                          <a:headEnd/>
                          <a:tailEnd/>
                        </a:ln>
                      </wps:spPr>
                      <wps:txbx>
                        <w:txbxContent>
                          <w:p w14:paraId="4B390DA6" w14:textId="77777777" w:rsidR="008A47AC" w:rsidRDefault="008A47AC" w:rsidP="0054039C">
                            <w:pPr>
                              <w:pStyle w:val="NormalWeb"/>
                              <w:spacing w:after="200"/>
                              <w:jc w:val="both"/>
                            </w:pPr>
                            <w:r>
                              <w:rPr>
                                <w:rFonts w:ascii="Arial Narrow" w:eastAsia="SimSun" w:hAnsi="Arial Narrow" w:cs="Arial"/>
                                <w:b/>
                                <w:bCs/>
                                <w:color w:val="595959"/>
                                <w:kern w:val="24"/>
                                <w:sz w:val="22"/>
                                <w:szCs w:val="22"/>
                              </w:rPr>
                              <w:t xml:space="preserve">Figure 3.11 Long-term expression data for the ECM marker </w:t>
                            </w:r>
                            <w:r>
                              <w:rPr>
                                <w:rFonts w:ascii="Arial Narrow" w:eastAsia="SimSun" w:hAnsi="Arial Narrow" w:cs="Arial"/>
                                <w:b/>
                                <w:color w:val="595959"/>
                                <w:kern w:val="24"/>
                                <w:sz w:val="22"/>
                                <w:szCs w:val="22"/>
                              </w:rPr>
                              <w:t xml:space="preserve">TNC in NOF </w:t>
                            </w:r>
                            <w:r>
                              <w:rPr>
                                <w:rFonts w:ascii="Arial Narrow" w:eastAsia="SimSun" w:hAnsi="Arial Narrow" w:cs="Arial"/>
                                <w:b/>
                                <w:bCs/>
                                <w:color w:val="595959"/>
                                <w:kern w:val="24"/>
                                <w:sz w:val="22"/>
                                <w:szCs w:val="22"/>
                              </w:rPr>
                              <w:t>with and without TGFβ-1 stimulation</w:t>
                            </w:r>
                            <w:r>
                              <w:rPr>
                                <w:rFonts w:ascii="Arial Narrow" w:eastAsia="SimSun" w:hAnsi="Arial Narrow" w:cs="Arial"/>
                                <w:b/>
                                <w:color w:val="595959"/>
                                <w:kern w:val="24"/>
                                <w:sz w:val="22"/>
                                <w:szCs w:val="22"/>
                              </w:rPr>
                              <w:t xml:space="preserve"> </w:t>
                            </w:r>
                            <w:r>
                              <w:rPr>
                                <w:rFonts w:ascii="Arial Narrow" w:eastAsia="SimSun" w:hAnsi="Arial Narrow" w:cs="Arial"/>
                                <w:b/>
                                <w:bCs/>
                                <w:color w:val="595959"/>
                                <w:kern w:val="24"/>
                                <w:sz w:val="22"/>
                                <w:szCs w:val="22"/>
                              </w:rPr>
                              <w:t xml:space="preserve">  </w:t>
                            </w:r>
                          </w:p>
                          <w:p w14:paraId="66CD77B6" w14:textId="2B1A83A7" w:rsidR="008A47AC" w:rsidRPr="00B612DF" w:rsidRDefault="008A47AC" w:rsidP="0054039C">
                            <w:pPr>
                              <w:pStyle w:val="NormalWeb"/>
                              <w:spacing w:after="200" w:line="276" w:lineRule="auto"/>
                              <w:jc w:val="both"/>
                              <w:rPr>
                                <w:rFonts w:ascii="Arial Narrow" w:eastAsia="SimSun" w:hAnsi="Arial Narrow" w:cs="Arial"/>
                                <w:color w:val="595959"/>
                                <w:kern w:val="24"/>
                                <w:sz w:val="22"/>
                                <w:szCs w:val="22"/>
                              </w:rPr>
                            </w:pPr>
                            <w:r>
                              <w:rPr>
                                <w:rFonts w:ascii="Arial Narrow" w:eastAsia="SimSun" w:hAnsi="Arial Narrow" w:cs="Arial"/>
                                <w:color w:val="595959"/>
                                <w:kern w:val="24"/>
                                <w:sz w:val="22"/>
                              </w:rPr>
                              <w:t xml:space="preserve">NOF 2D monolayers were treated </w:t>
                            </w:r>
                            <w:r>
                              <w:rPr>
                                <w:rFonts w:ascii="Arial Narrow" w:eastAsia="SimSun" w:hAnsi="Arial Narrow" w:cs="Arial"/>
                                <w:color w:val="595959"/>
                                <w:kern w:val="24"/>
                                <w:sz w:val="22"/>
                                <w:szCs w:val="22"/>
                              </w:rPr>
                              <w:t xml:space="preserve">with 2 ng/mL TGFβ-1 up to 72 h + 14 days </w:t>
                            </w:r>
                            <w:r>
                              <w:rPr>
                                <w:rFonts w:ascii="Arial Narrow" w:eastAsia="SimSun" w:hAnsi="Arial Narrow" w:cs="Arial"/>
                                <w:color w:val="595959"/>
                                <w:kern w:val="24"/>
                                <w:sz w:val="22"/>
                              </w:rPr>
                              <w:t xml:space="preserve">and the gene expression for </w:t>
                            </w:r>
                            <w:r>
                              <w:rPr>
                                <w:rFonts w:ascii="Arial Narrow" w:eastAsia="SimSun" w:hAnsi="Arial Narrow" w:cs="Arial"/>
                                <w:color w:val="595959"/>
                                <w:kern w:val="24"/>
                                <w:sz w:val="22"/>
                                <w:szCs w:val="22"/>
                              </w:rPr>
                              <w:t xml:space="preserve">TNC was </w:t>
                            </w:r>
                            <w:r>
                              <w:rPr>
                                <w:rFonts w:ascii="Arial Narrow" w:eastAsia="SimSun" w:hAnsi="Arial Narrow" w:cs="Arial"/>
                                <w:color w:val="595959"/>
                                <w:kern w:val="24"/>
                                <w:sz w:val="22"/>
                              </w:rPr>
                              <w:t>determined by qPCR</w:t>
                            </w:r>
                            <w:r>
                              <w:rPr>
                                <w:rFonts w:ascii="Arial Narrow" w:eastAsia="SimSun" w:hAnsi="Arial Narrow" w:cs="Arial"/>
                                <w:color w:val="595959"/>
                                <w:kern w:val="24"/>
                                <w:sz w:val="22"/>
                                <w:szCs w:val="22"/>
                              </w:rPr>
                              <w:t xml:space="preserve">. </w:t>
                            </w:r>
                            <w:r>
                              <w:rPr>
                                <w:rFonts w:ascii="Arial Narrow" w:eastAsia="SimSun" w:hAnsi="Arial Narrow" w:cs="Arial"/>
                                <w:color w:val="595959"/>
                                <w:kern w:val="24"/>
                                <w:sz w:val="22"/>
                              </w:rPr>
                              <w:t xml:space="preserve">Data is expressed as fold change relative to housekeeping gene U6, with mean ± SD. ** denotes p &lt;0.01 and *** p &lt;0.001 as </w:t>
                            </w:r>
                            <w:r>
                              <w:rPr>
                                <w:rFonts w:ascii="Arial Narrow" w:eastAsia="SimSun" w:hAnsi="Arial Narrow" w:cs="Arial"/>
                                <w:color w:val="595959"/>
                                <w:kern w:val="24"/>
                                <w:sz w:val="22"/>
                                <w:szCs w:val="22"/>
                              </w:rPr>
                              <w:t>analysed by ordinary one-way ANOVA with Dunnett’s multiple comparison. (N=3, n=3).</w:t>
                            </w:r>
                          </w:p>
                          <w:p w14:paraId="73767C39" w14:textId="77777777" w:rsidR="008A47AC" w:rsidRPr="004C4D93" w:rsidRDefault="008A47AC" w:rsidP="0054039C">
                            <w:pPr>
                              <w:pStyle w:val="NormalWeb"/>
                              <w:spacing w:after="200"/>
                              <w:jc w:val="both"/>
                            </w:pPr>
                          </w:p>
                          <w:p w14:paraId="23888142" w14:textId="77777777" w:rsidR="008A47AC" w:rsidRPr="005567BA" w:rsidRDefault="008A47AC" w:rsidP="0054039C">
                            <w:pPr>
                              <w:pStyle w:val="NormalWeb"/>
                              <w:spacing w:after="200" w:line="276" w:lineRule="auto"/>
                              <w:jc w:val="both"/>
                              <w:rPr>
                                <w:rFonts w:ascii="Arial Narrow" w:eastAsia="SimSun" w:hAnsi="Arial Narrow" w:cs="Arial"/>
                                <w:color w:val="595959"/>
                                <w:kern w:val="24"/>
                                <w:sz w:val="22"/>
                                <w:szCs w:val="22"/>
                              </w:rPr>
                            </w:pPr>
                            <w:r>
                              <w:rPr>
                                <w:rFonts w:ascii="Arial Narrow" w:eastAsia="SimSun" w:hAnsi="Arial Narrow" w:cs="Arial"/>
                                <w:color w:val="595959"/>
                                <w:kern w:val="24"/>
                                <w:sz w:val="22"/>
                                <w:szCs w:val="22"/>
                              </w:rPr>
                              <w:t>TNC expression increased with treatment of 2 ng/ml TGFβ-1 up to 48 h + 14 days in all NOF compared to 24 h vehicle control group with a  significance fold-change observed for 24 h- and 48 h + 14 days’ time points (p &lt;0.001 and p &lt;0.01 respectively, analysed by ordinary one-way ANOVA with Dunnett’s multiple comparison. Graph shows mean and SD (N=3, n=3).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53FADA" id="_x0000_s1073" type="#_x0000_t202" style="position:absolute;left:0;text-align:left;margin-left:400.3pt;margin-top:14.05pt;width:451.5pt;height:106.5pt;z-index:251658277;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" stroked="f">
                <v:textbox>
                  <w:txbxContent>
                    <w:p w14:paraId="4B390DA6" w14:textId="77777777" w:rsidR="008A47AC" w:rsidRDefault="008A47AC" w:rsidP="0054039C">
                      <w:pPr>
                        <w:pStyle w:val="NormalWeb"/>
                        <w:spacing w:after="200"/>
                        <w:jc w:val="both"/>
                      </w:pPr>
                      <w:r>
                        <w:rPr>
                          <w:rFonts w:ascii="Arial Narrow" w:eastAsia="SimSun" w:hAnsi="Arial Narrow" w:cs="Arial"/>
                          <w:b/>
                          <w:bCs/>
                          <w:color w:val="595959"/>
                          <w:kern w:val="24"/>
                          <w:sz w:val="22"/>
                          <w:szCs w:val="22"/>
                        </w:rPr>
                        <w:t xml:space="preserve">Figure 3.11 Long-term expression data for the ECM marker </w:t>
                      </w:r>
                      <w:r>
                        <w:rPr>
                          <w:rFonts w:ascii="Arial Narrow" w:eastAsia="SimSun" w:hAnsi="Arial Narrow" w:cs="Arial"/>
                          <w:b/>
                          <w:color w:val="595959"/>
                          <w:kern w:val="24"/>
                          <w:sz w:val="22"/>
                          <w:szCs w:val="22"/>
                        </w:rPr>
                        <w:t xml:space="preserve">TNC in NOF </w:t>
                      </w:r>
                      <w:r>
                        <w:rPr>
                          <w:rFonts w:ascii="Arial Narrow" w:eastAsia="SimSun" w:hAnsi="Arial Narrow" w:cs="Arial"/>
                          <w:b/>
                          <w:bCs/>
                          <w:color w:val="595959"/>
                          <w:kern w:val="24"/>
                          <w:sz w:val="22"/>
                          <w:szCs w:val="22"/>
                        </w:rPr>
                        <w:t>with and without TGFβ-1 stimulation</w:t>
                      </w:r>
                      <w:r>
                        <w:rPr>
                          <w:rFonts w:ascii="Arial Narrow" w:eastAsia="SimSun" w:hAnsi="Arial Narrow" w:cs="Arial"/>
                          <w:b/>
                          <w:color w:val="595959"/>
                          <w:kern w:val="24"/>
                          <w:sz w:val="22"/>
                          <w:szCs w:val="22"/>
                        </w:rPr>
                        <w:t xml:space="preserve"> </w:t>
                      </w:r>
                      <w:r>
                        <w:rPr>
                          <w:rFonts w:ascii="Arial Narrow" w:eastAsia="SimSun" w:hAnsi="Arial Narrow" w:cs="Arial"/>
                          <w:b/>
                          <w:bCs/>
                          <w:color w:val="595959"/>
                          <w:kern w:val="24"/>
                          <w:sz w:val="22"/>
                          <w:szCs w:val="22"/>
                        </w:rPr>
                        <w:t xml:space="preserve">  </w:t>
                      </w:r>
                    </w:p>
                    <w:p w14:paraId="66CD77B6" w14:textId="2B1A83A7" w:rsidR="008A47AC" w:rsidRPr="00B612DF" w:rsidRDefault="008A47AC" w:rsidP="0054039C">
                      <w:pPr>
                        <w:pStyle w:val="NormalWeb"/>
                        <w:spacing w:after="200" w:line="276" w:lineRule="auto"/>
                        <w:jc w:val="both"/>
                        <w:rPr>
                          <w:rFonts w:ascii="Arial Narrow" w:eastAsia="SimSun" w:hAnsi="Arial Narrow" w:cs="Arial"/>
                          <w:color w:val="595959"/>
                          <w:kern w:val="24"/>
                          <w:sz w:val="22"/>
                          <w:szCs w:val="22"/>
                        </w:rPr>
                      </w:pPr>
                      <w:r>
                        <w:rPr>
                          <w:rFonts w:ascii="Arial Narrow" w:eastAsia="SimSun" w:hAnsi="Arial Narrow" w:cs="Arial"/>
                          <w:color w:val="595959"/>
                          <w:kern w:val="24"/>
                          <w:sz w:val="22"/>
                        </w:rPr>
                        <w:t xml:space="preserve">NOF 2D monolayers were treated </w:t>
                      </w:r>
                      <w:r>
                        <w:rPr>
                          <w:rFonts w:ascii="Arial Narrow" w:eastAsia="SimSun" w:hAnsi="Arial Narrow" w:cs="Arial"/>
                          <w:color w:val="595959"/>
                          <w:kern w:val="24"/>
                          <w:sz w:val="22"/>
                          <w:szCs w:val="22"/>
                        </w:rPr>
                        <w:t xml:space="preserve">with 2 ng/mL TGFβ-1 up to 72 h + 14 days </w:t>
                      </w:r>
                      <w:r>
                        <w:rPr>
                          <w:rFonts w:ascii="Arial Narrow" w:eastAsia="SimSun" w:hAnsi="Arial Narrow" w:cs="Arial"/>
                          <w:color w:val="595959"/>
                          <w:kern w:val="24"/>
                          <w:sz w:val="22"/>
                        </w:rPr>
                        <w:t xml:space="preserve">and the gene expression for </w:t>
                      </w:r>
                      <w:r>
                        <w:rPr>
                          <w:rFonts w:ascii="Arial Narrow" w:eastAsia="SimSun" w:hAnsi="Arial Narrow" w:cs="Arial"/>
                          <w:color w:val="595959"/>
                          <w:kern w:val="24"/>
                          <w:sz w:val="22"/>
                          <w:szCs w:val="22"/>
                        </w:rPr>
                        <w:t xml:space="preserve">TNC was </w:t>
                      </w:r>
                      <w:r>
                        <w:rPr>
                          <w:rFonts w:ascii="Arial Narrow" w:eastAsia="SimSun" w:hAnsi="Arial Narrow" w:cs="Arial"/>
                          <w:color w:val="595959"/>
                          <w:kern w:val="24"/>
                          <w:sz w:val="22"/>
                        </w:rPr>
                        <w:t>determined by qPCR</w:t>
                      </w:r>
                      <w:r>
                        <w:rPr>
                          <w:rFonts w:ascii="Arial Narrow" w:eastAsia="SimSun" w:hAnsi="Arial Narrow" w:cs="Arial"/>
                          <w:color w:val="595959"/>
                          <w:kern w:val="24"/>
                          <w:sz w:val="22"/>
                          <w:szCs w:val="22"/>
                        </w:rPr>
                        <w:t xml:space="preserve">. </w:t>
                      </w:r>
                      <w:r>
                        <w:rPr>
                          <w:rFonts w:ascii="Arial Narrow" w:eastAsia="SimSun" w:hAnsi="Arial Narrow" w:cs="Arial"/>
                          <w:color w:val="595959"/>
                          <w:kern w:val="24"/>
                          <w:sz w:val="22"/>
                        </w:rPr>
                        <w:t xml:space="preserve">Data is expressed as fold change relative to housekeeping gene U6, with mean ± SD. ** denotes p &lt;0.01 and *** p &lt;0.001 as </w:t>
                      </w:r>
                      <w:r>
                        <w:rPr>
                          <w:rFonts w:ascii="Arial Narrow" w:eastAsia="SimSun" w:hAnsi="Arial Narrow" w:cs="Arial"/>
                          <w:color w:val="595959"/>
                          <w:kern w:val="24"/>
                          <w:sz w:val="22"/>
                          <w:szCs w:val="22"/>
                        </w:rPr>
                        <w:t>analysed by ordinary one-way ANOVA with Dunnett’s multiple comparison. (N=3, n=3).</w:t>
                      </w:r>
                    </w:p>
                    <w:p w14:paraId="73767C39" w14:textId="77777777" w:rsidR="008A47AC" w:rsidRPr="004C4D93" w:rsidRDefault="008A47AC" w:rsidP="0054039C">
                      <w:pPr>
                        <w:pStyle w:val="NormalWeb"/>
                        <w:spacing w:after="200"/>
                        <w:jc w:val="both"/>
                      </w:pPr>
                    </w:p>
                    <w:p w14:paraId="23888142" w14:textId="77777777" w:rsidR="008A47AC" w:rsidRPr="005567BA" w:rsidRDefault="008A47AC" w:rsidP="0054039C">
                      <w:pPr>
                        <w:pStyle w:val="NormalWeb"/>
                        <w:spacing w:after="200" w:line="276" w:lineRule="auto"/>
                        <w:jc w:val="both"/>
                        <w:rPr>
                          <w:rFonts w:ascii="Arial Narrow" w:eastAsia="SimSun" w:hAnsi="Arial Narrow" w:cs="Arial"/>
                          <w:color w:val="595959"/>
                          <w:kern w:val="24"/>
                          <w:sz w:val="22"/>
                          <w:szCs w:val="22"/>
                        </w:rPr>
                      </w:pPr>
                      <w:r>
                        <w:rPr>
                          <w:rFonts w:ascii="Arial Narrow" w:eastAsia="SimSun" w:hAnsi="Arial Narrow" w:cs="Arial"/>
                          <w:color w:val="595959"/>
                          <w:kern w:val="24"/>
                          <w:sz w:val="22"/>
                          <w:szCs w:val="22"/>
                        </w:rPr>
                        <w:t>TNC expression increased with treatment of 2 ng/ml TGFβ-1 up to 48 h + 14 days in all NOF compared to 24 h vehicle control group with a  significance fold-change observed for 24 h- and 48 h + 14 days’ time points (p &lt;0.001 and p &lt;0.01 respectively, analysed by ordinary one-way ANOVA with Dunnett’s multiple comparison. Graph shows mean and SD (N=3, n=3).</w:t>
                      </w:r>
                    </w:p>
                  </w:txbxContent>
                </v:textbox>
                <w10:wrap anchorx="margin"/>
              </v:shape>
            </w:pict>
          </mc:Fallback>
        </mc:AlternateContent>
      </w:r>
    </w:p>
    <w:p w14:paraId="3A0EF969" w14:textId="77777777" w:rsidR="0054039C" w:rsidRPr="0054039C" w:rsidRDefault="0054039C" w:rsidP="0054039C">
      <w:pPr>
        <w:tabs>
          <w:tab w:val="left" w:pos="1330"/>
        </w:tabs>
        <w:jc w:val="both"/>
        <w:rPr>
          <w:rFonts w:ascii="Arial" w:hAnsi="Arial" w:cs="Arial"/>
          <w:color w:val="595959" w:themeColor="text1" w:themeTint="A6"/>
          <w:sz w:val="24"/>
          <w:szCs w:val="24"/>
          <w:u w:val="single"/>
        </w:rPr>
      </w:pPr>
    </w:p>
    <w:p w14:paraId="6B8314A6" w14:textId="77777777" w:rsidR="0054039C" w:rsidRPr="0054039C" w:rsidRDefault="0054039C" w:rsidP="0054039C">
      <w:pPr>
        <w:tabs>
          <w:tab w:val="left" w:pos="1330"/>
        </w:tabs>
        <w:jc w:val="both"/>
        <w:rPr>
          <w:rFonts w:ascii="Arial" w:hAnsi="Arial" w:cs="Arial"/>
          <w:color w:val="595959" w:themeColor="text1" w:themeTint="A6"/>
          <w:sz w:val="24"/>
          <w:szCs w:val="24"/>
          <w:u w:val="single"/>
        </w:rPr>
      </w:pPr>
    </w:p>
    <w:p w14:paraId="1EBC068A" w14:textId="77777777" w:rsidR="0054039C" w:rsidRPr="0054039C" w:rsidRDefault="0054039C" w:rsidP="0054039C">
      <w:pPr>
        <w:tabs>
          <w:tab w:val="left" w:pos="1330"/>
        </w:tabs>
        <w:jc w:val="both"/>
        <w:rPr>
          <w:rFonts w:ascii="Arial" w:hAnsi="Arial" w:cs="Arial"/>
          <w:color w:val="595959" w:themeColor="text1" w:themeTint="A6"/>
          <w:sz w:val="24"/>
          <w:szCs w:val="24"/>
          <w:u w:val="single"/>
        </w:rPr>
      </w:pPr>
    </w:p>
    <w:p w14:paraId="2E5394B5" w14:textId="77777777" w:rsidR="0054039C" w:rsidRPr="0054039C" w:rsidRDefault="0054039C" w:rsidP="0054039C">
      <w:pPr>
        <w:tabs>
          <w:tab w:val="left" w:pos="1330"/>
        </w:tabs>
        <w:jc w:val="both"/>
        <w:rPr>
          <w:rFonts w:ascii="Arial" w:hAnsi="Arial" w:cs="Arial"/>
          <w:color w:val="595959" w:themeColor="text1" w:themeTint="A6"/>
          <w:sz w:val="24"/>
          <w:szCs w:val="24"/>
          <w:u w:val="single"/>
        </w:rPr>
      </w:pPr>
    </w:p>
    <w:p w14:paraId="577C9C8C" w14:textId="77777777" w:rsidR="0054039C" w:rsidRPr="0054039C" w:rsidRDefault="0054039C" w:rsidP="0054039C">
      <w:pPr>
        <w:tabs>
          <w:tab w:val="left" w:pos="1330"/>
        </w:tabs>
        <w:jc w:val="both"/>
        <w:rPr>
          <w:rFonts w:ascii="Arial" w:hAnsi="Arial" w:cs="Arial"/>
          <w:color w:val="595959" w:themeColor="text1" w:themeTint="A6"/>
          <w:sz w:val="24"/>
          <w:szCs w:val="24"/>
          <w:u w:val="single"/>
        </w:rPr>
      </w:pPr>
    </w:p>
    <w:p w14:paraId="628E9AEC" w14:textId="77777777" w:rsidR="0054039C" w:rsidRPr="0054039C" w:rsidRDefault="0054039C" w:rsidP="0054039C">
      <w:pPr>
        <w:spacing w:line="480" w:lineRule="auto"/>
        <w:jc w:val="both"/>
        <w:rPr>
          <w:rFonts w:ascii="Arial" w:hAnsi="Arial" w:cs="Arial"/>
          <w:color w:val="595959" w:themeColor="text1" w:themeTint="A6"/>
          <w:sz w:val="24"/>
          <w:szCs w:val="24"/>
          <w:u w:val="single"/>
        </w:rPr>
      </w:pPr>
    </w:p>
    <w:p w14:paraId="13DA3770" w14:textId="77777777" w:rsidR="0054039C" w:rsidRPr="0054039C" w:rsidRDefault="0054039C" w:rsidP="0054039C">
      <w:pPr>
        <w:spacing w:line="480" w:lineRule="auto"/>
        <w:jc w:val="both"/>
        <w:rPr>
          <w:rFonts w:ascii="Arial" w:eastAsia="Times New Roman" w:hAnsi="Arial" w:cs="Arial"/>
          <w:color w:val="595959" w:themeColor="text1" w:themeTint="A6"/>
        </w:rPr>
      </w:pPr>
    </w:p>
    <w:p w14:paraId="358D8626" w14:textId="531C76A9" w:rsidR="0054039C" w:rsidRPr="0054039C" w:rsidRDefault="004B7004" w:rsidP="0054039C">
      <w:pPr>
        <w:keepNext/>
        <w:keepLines/>
        <w:spacing w:before="40" w:after="0"/>
        <w:outlineLvl w:val="3"/>
        <w:rPr>
          <w:rFonts w:ascii="Arial" w:eastAsia="Times New Roman" w:hAnsi="Arial" w:cs="Arial"/>
          <w:i/>
          <w:iCs/>
          <w:color w:val="595959" w:themeColor="text1" w:themeTint="A6"/>
        </w:rPr>
      </w:pPr>
      <w:bookmarkStart w:id="259" w:name="_Toc7107251"/>
      <w:bookmarkStart w:id="260" w:name="_Toc34208357"/>
      <w:r>
        <w:rPr>
          <w:rFonts w:ascii="Arial" w:eastAsia="Times New Roman" w:hAnsi="Arial" w:cs="Arial"/>
          <w:i/>
          <w:iCs/>
          <w:color w:val="595959" w:themeColor="text1" w:themeTint="A6"/>
        </w:rPr>
        <w:lastRenderedPageBreak/>
        <w:t>3.3.1.4 Normal oral f</w:t>
      </w:r>
      <w:r w:rsidR="0054039C" w:rsidRPr="0054039C">
        <w:rPr>
          <w:rFonts w:ascii="Arial" w:eastAsia="Times New Roman" w:hAnsi="Arial" w:cs="Arial"/>
          <w:i/>
          <w:iCs/>
          <w:color w:val="595959" w:themeColor="text1" w:themeTint="A6"/>
        </w:rPr>
        <w:t>ibroblast protein abundance analysis</w:t>
      </w:r>
      <w:bookmarkEnd w:id="259"/>
      <w:bookmarkEnd w:id="260"/>
    </w:p>
    <w:p w14:paraId="11603E11" w14:textId="77777777" w:rsidR="0054039C" w:rsidRPr="0054039C" w:rsidRDefault="0054039C" w:rsidP="0054039C"/>
    <w:p w14:paraId="3439D8FC" w14:textId="6D22075B" w:rsidR="0054039C" w:rsidRDefault="004B7004" w:rsidP="004B7004">
      <w:pPr>
        <w:spacing w:line="480" w:lineRule="auto"/>
        <w:jc w:val="both"/>
        <w:rPr>
          <w:rFonts w:ascii="Arial" w:eastAsia="Times New Roman" w:hAnsi="Arial" w:cs="Arial"/>
          <w:bCs/>
          <w:color w:val="595959" w:themeColor="text1" w:themeTint="A6"/>
        </w:rPr>
      </w:pPr>
      <w:r>
        <w:rPr>
          <w:rFonts w:ascii="Arial" w:eastAsia="Times New Roman" w:hAnsi="Arial" w:cs="Arial"/>
          <w:bCs/>
          <w:color w:val="595959" w:themeColor="text1" w:themeTint="A6"/>
        </w:rPr>
        <w:t xml:space="preserve">Having established the effect of short and long-term exposure to </w:t>
      </w:r>
      <w:r w:rsidRPr="0054039C">
        <w:rPr>
          <w:rFonts w:ascii="Arial" w:eastAsia="Times New Roman" w:hAnsi="Arial" w:cs="Arial"/>
          <w:bCs/>
          <w:color w:val="595959" w:themeColor="text1" w:themeTint="A6"/>
        </w:rPr>
        <w:t>TGFβ</w:t>
      </w:r>
      <w:r>
        <w:rPr>
          <w:rFonts w:ascii="Arial" w:eastAsia="Times New Roman" w:hAnsi="Arial" w:cs="Arial"/>
          <w:bCs/>
          <w:color w:val="595959" w:themeColor="text1" w:themeTint="A6"/>
        </w:rPr>
        <w:t>-1</w:t>
      </w:r>
      <w:r w:rsidRPr="0054039C">
        <w:rPr>
          <w:rFonts w:ascii="Arial" w:eastAsia="Times New Roman" w:hAnsi="Arial" w:cs="Arial"/>
          <w:bCs/>
          <w:color w:val="595959" w:themeColor="text1" w:themeTint="A6"/>
        </w:rPr>
        <w:t xml:space="preserve"> </w:t>
      </w:r>
      <w:r>
        <w:rPr>
          <w:rFonts w:ascii="Arial" w:eastAsia="Times New Roman" w:hAnsi="Arial" w:cs="Arial"/>
          <w:bCs/>
          <w:color w:val="595959" w:themeColor="text1" w:themeTint="A6"/>
        </w:rPr>
        <w:t xml:space="preserve">on the levels of myofibroblast marker gene transcripts, we next sort to characterise the corresponding protein expression. </w:t>
      </w:r>
      <w:r w:rsidR="0054039C" w:rsidRPr="0054039C">
        <w:rPr>
          <w:rFonts w:ascii="Arial" w:eastAsia="Times New Roman" w:hAnsi="Arial" w:cs="Arial"/>
          <w:bCs/>
          <w:color w:val="595959" w:themeColor="text1" w:themeTint="A6"/>
        </w:rPr>
        <w:t>To analyse the effects of on protein expression in NOF, immunoblotting was used to assess semi-quantitatively the abundance of fibr</w:t>
      </w:r>
      <w:r>
        <w:rPr>
          <w:rFonts w:ascii="Arial" w:eastAsia="Times New Roman" w:hAnsi="Arial" w:cs="Arial"/>
          <w:bCs/>
          <w:color w:val="595959" w:themeColor="text1" w:themeTint="A6"/>
        </w:rPr>
        <w:t>oblast markers and ECM proteins.</w:t>
      </w:r>
    </w:p>
    <w:p w14:paraId="4D8126C4" w14:textId="6EB91F04" w:rsidR="00E31505" w:rsidRDefault="00E31505" w:rsidP="004B7004">
      <w:pPr>
        <w:spacing w:line="480" w:lineRule="auto"/>
        <w:jc w:val="both"/>
        <w:rPr>
          <w:rFonts w:ascii="Arial" w:eastAsia="Times New Roman" w:hAnsi="Arial" w:cs="Arial"/>
          <w:bCs/>
          <w:color w:val="595959" w:themeColor="text1" w:themeTint="A6"/>
        </w:rPr>
      </w:pPr>
    </w:p>
    <w:p w14:paraId="4EE7D948" w14:textId="2F8790AD" w:rsidR="00E31505" w:rsidRDefault="00E31505" w:rsidP="004B7004">
      <w:pPr>
        <w:spacing w:line="480" w:lineRule="auto"/>
        <w:jc w:val="both"/>
        <w:rPr>
          <w:rFonts w:ascii="Arial" w:eastAsia="Times New Roman" w:hAnsi="Arial" w:cs="Arial"/>
          <w:bCs/>
          <w:color w:val="595959" w:themeColor="text1" w:themeTint="A6"/>
        </w:rPr>
      </w:pPr>
    </w:p>
    <w:p w14:paraId="7EC5F770" w14:textId="0BB2858B" w:rsidR="00E31505" w:rsidRDefault="00E31505" w:rsidP="004B7004">
      <w:pPr>
        <w:spacing w:line="480" w:lineRule="auto"/>
        <w:jc w:val="both"/>
        <w:rPr>
          <w:rFonts w:ascii="Arial" w:eastAsia="Times New Roman" w:hAnsi="Arial" w:cs="Arial"/>
          <w:bCs/>
          <w:color w:val="595959" w:themeColor="text1" w:themeTint="A6"/>
        </w:rPr>
      </w:pPr>
    </w:p>
    <w:p w14:paraId="5AB9D0BA" w14:textId="2589685B" w:rsidR="00E31505" w:rsidRDefault="00E31505" w:rsidP="004B7004">
      <w:pPr>
        <w:spacing w:line="480" w:lineRule="auto"/>
        <w:jc w:val="both"/>
        <w:rPr>
          <w:rFonts w:ascii="Arial" w:eastAsia="Times New Roman" w:hAnsi="Arial" w:cs="Arial"/>
          <w:bCs/>
          <w:color w:val="595959" w:themeColor="text1" w:themeTint="A6"/>
        </w:rPr>
      </w:pPr>
    </w:p>
    <w:p w14:paraId="23753D68" w14:textId="63C18A28" w:rsidR="00E31505" w:rsidRDefault="00E31505" w:rsidP="004B7004">
      <w:pPr>
        <w:spacing w:line="480" w:lineRule="auto"/>
        <w:jc w:val="both"/>
        <w:rPr>
          <w:rFonts w:ascii="Arial" w:eastAsia="Times New Roman" w:hAnsi="Arial" w:cs="Arial"/>
          <w:bCs/>
          <w:color w:val="595959" w:themeColor="text1" w:themeTint="A6"/>
        </w:rPr>
      </w:pPr>
    </w:p>
    <w:p w14:paraId="12DE1666" w14:textId="6D0DEFD0" w:rsidR="00E31505" w:rsidRDefault="00E31505" w:rsidP="004B7004">
      <w:pPr>
        <w:spacing w:line="480" w:lineRule="auto"/>
        <w:jc w:val="both"/>
        <w:rPr>
          <w:rFonts w:ascii="Arial" w:eastAsia="Times New Roman" w:hAnsi="Arial" w:cs="Arial"/>
          <w:bCs/>
          <w:color w:val="595959" w:themeColor="text1" w:themeTint="A6"/>
        </w:rPr>
      </w:pPr>
    </w:p>
    <w:p w14:paraId="4AB5F792" w14:textId="41E7835E" w:rsidR="00E31505" w:rsidRDefault="00E31505" w:rsidP="004B7004">
      <w:pPr>
        <w:spacing w:line="480" w:lineRule="auto"/>
        <w:jc w:val="both"/>
        <w:rPr>
          <w:rFonts w:ascii="Arial" w:eastAsia="Times New Roman" w:hAnsi="Arial" w:cs="Arial"/>
          <w:bCs/>
          <w:color w:val="595959" w:themeColor="text1" w:themeTint="A6"/>
        </w:rPr>
      </w:pPr>
    </w:p>
    <w:p w14:paraId="69A77321" w14:textId="57F8ABDA" w:rsidR="00E31505" w:rsidRDefault="00E31505" w:rsidP="004B7004">
      <w:pPr>
        <w:spacing w:line="480" w:lineRule="auto"/>
        <w:jc w:val="both"/>
        <w:rPr>
          <w:rFonts w:ascii="Arial" w:eastAsia="Times New Roman" w:hAnsi="Arial" w:cs="Arial"/>
          <w:bCs/>
          <w:color w:val="595959" w:themeColor="text1" w:themeTint="A6"/>
        </w:rPr>
      </w:pPr>
    </w:p>
    <w:p w14:paraId="79E5B57D" w14:textId="7C7080CE" w:rsidR="00E31505" w:rsidRDefault="00E31505" w:rsidP="004B7004">
      <w:pPr>
        <w:spacing w:line="480" w:lineRule="auto"/>
        <w:jc w:val="both"/>
        <w:rPr>
          <w:rFonts w:ascii="Arial" w:eastAsia="Times New Roman" w:hAnsi="Arial" w:cs="Arial"/>
          <w:bCs/>
          <w:color w:val="595959" w:themeColor="text1" w:themeTint="A6"/>
        </w:rPr>
      </w:pPr>
    </w:p>
    <w:p w14:paraId="030A5D8B" w14:textId="3FB356F7" w:rsidR="00E31505" w:rsidRDefault="00E31505" w:rsidP="004B7004">
      <w:pPr>
        <w:spacing w:line="480" w:lineRule="auto"/>
        <w:jc w:val="both"/>
        <w:rPr>
          <w:rFonts w:ascii="Arial" w:eastAsia="Times New Roman" w:hAnsi="Arial" w:cs="Arial"/>
          <w:bCs/>
          <w:color w:val="595959" w:themeColor="text1" w:themeTint="A6"/>
        </w:rPr>
      </w:pPr>
    </w:p>
    <w:p w14:paraId="5E1C27C9" w14:textId="792F23A1" w:rsidR="00E31505" w:rsidRDefault="00E31505" w:rsidP="004B7004">
      <w:pPr>
        <w:spacing w:line="480" w:lineRule="auto"/>
        <w:jc w:val="both"/>
        <w:rPr>
          <w:rFonts w:ascii="Arial" w:eastAsia="Times New Roman" w:hAnsi="Arial" w:cs="Arial"/>
          <w:bCs/>
          <w:color w:val="595959" w:themeColor="text1" w:themeTint="A6"/>
        </w:rPr>
      </w:pPr>
    </w:p>
    <w:p w14:paraId="2076E0FC" w14:textId="0BA1E304" w:rsidR="00E31505" w:rsidRDefault="00E31505" w:rsidP="004B7004">
      <w:pPr>
        <w:spacing w:line="480" w:lineRule="auto"/>
        <w:jc w:val="both"/>
        <w:rPr>
          <w:rFonts w:ascii="Arial" w:eastAsia="Times New Roman" w:hAnsi="Arial" w:cs="Arial"/>
          <w:bCs/>
          <w:color w:val="595959" w:themeColor="text1" w:themeTint="A6"/>
        </w:rPr>
      </w:pPr>
    </w:p>
    <w:p w14:paraId="5C8EBE28" w14:textId="6B21FD17" w:rsidR="00E31505" w:rsidRDefault="00E31505" w:rsidP="004B7004">
      <w:pPr>
        <w:spacing w:line="480" w:lineRule="auto"/>
        <w:jc w:val="both"/>
        <w:rPr>
          <w:rFonts w:ascii="Arial" w:eastAsia="Times New Roman" w:hAnsi="Arial" w:cs="Arial"/>
          <w:bCs/>
          <w:color w:val="595959" w:themeColor="text1" w:themeTint="A6"/>
        </w:rPr>
      </w:pPr>
    </w:p>
    <w:p w14:paraId="11F73F2A" w14:textId="386C008C" w:rsidR="00E31505" w:rsidRDefault="00E31505" w:rsidP="004B7004">
      <w:pPr>
        <w:spacing w:line="480" w:lineRule="auto"/>
        <w:jc w:val="both"/>
        <w:rPr>
          <w:rFonts w:ascii="Arial" w:eastAsia="Times New Roman" w:hAnsi="Arial" w:cs="Arial"/>
          <w:bCs/>
          <w:color w:val="595959" w:themeColor="text1" w:themeTint="A6"/>
        </w:rPr>
      </w:pPr>
    </w:p>
    <w:p w14:paraId="225DBE99" w14:textId="0165AEDB" w:rsidR="00E31505" w:rsidRDefault="00E31505" w:rsidP="004B7004">
      <w:pPr>
        <w:spacing w:line="480" w:lineRule="auto"/>
        <w:jc w:val="both"/>
        <w:rPr>
          <w:rFonts w:ascii="Arial" w:eastAsia="Times New Roman" w:hAnsi="Arial" w:cs="Arial"/>
          <w:bCs/>
          <w:color w:val="595959" w:themeColor="text1" w:themeTint="A6"/>
        </w:rPr>
      </w:pPr>
    </w:p>
    <w:p w14:paraId="34F1AEAC" w14:textId="77777777" w:rsidR="00E31505" w:rsidRPr="0054039C" w:rsidRDefault="00E31505" w:rsidP="004B7004">
      <w:pPr>
        <w:spacing w:line="480" w:lineRule="auto"/>
        <w:jc w:val="both"/>
        <w:rPr>
          <w:rFonts w:ascii="Arial" w:eastAsia="Times New Roman" w:hAnsi="Arial" w:cs="Arial"/>
          <w:bCs/>
          <w:color w:val="595959" w:themeColor="text1" w:themeTint="A6"/>
        </w:rPr>
      </w:pPr>
    </w:p>
    <w:p w14:paraId="20F3B1F9" w14:textId="6D9AF7D1" w:rsidR="0054039C" w:rsidRPr="0054039C" w:rsidRDefault="00E31505" w:rsidP="0054039C">
      <w:pPr>
        <w:keepNext/>
        <w:keepLines/>
        <w:spacing w:before="40" w:after="0"/>
        <w:outlineLvl w:val="4"/>
        <w:rPr>
          <w:rFonts w:ascii="Arial" w:eastAsia="Times New Roman" w:hAnsi="Arial" w:cs="Arial"/>
          <w:color w:val="595959" w:themeColor="text1" w:themeTint="A6"/>
          <w:kern w:val="24"/>
        </w:rPr>
      </w:pPr>
      <w:bookmarkStart w:id="261" w:name="_Toc7107253"/>
      <w:bookmarkStart w:id="262" w:name="_Toc34208358"/>
      <w:bookmarkStart w:id="263" w:name="OLE_LINK10"/>
      <w:r>
        <w:rPr>
          <w:rFonts w:ascii="Arial" w:eastAsia="Times New Roman" w:hAnsi="Arial" w:cs="Arial"/>
          <w:color w:val="595959" w:themeColor="text1" w:themeTint="A6"/>
          <w:kern w:val="24"/>
        </w:rPr>
        <w:lastRenderedPageBreak/>
        <w:t>3.3.1.4.1</w:t>
      </w:r>
      <w:r w:rsidR="0054039C" w:rsidRPr="0054039C">
        <w:rPr>
          <w:rFonts w:ascii="Arial" w:eastAsia="Times New Roman" w:hAnsi="Arial" w:cs="Arial"/>
          <w:color w:val="595959" w:themeColor="text1" w:themeTint="A6"/>
          <w:kern w:val="24"/>
        </w:rPr>
        <w:t xml:space="preserve"> αSMA protein abundance in normal oral fibroblasts</w:t>
      </w:r>
      <w:bookmarkEnd w:id="261"/>
      <w:bookmarkEnd w:id="262"/>
    </w:p>
    <w:p w14:paraId="3FFF689C" w14:textId="77777777" w:rsidR="0054039C" w:rsidRPr="0054039C" w:rsidRDefault="0054039C" w:rsidP="0054039C"/>
    <w:p w14:paraId="445D09A1" w14:textId="0E403897" w:rsidR="0054039C" w:rsidRPr="0054039C" w:rsidRDefault="0054039C" w:rsidP="00E31505">
      <w:pPr>
        <w:spacing w:line="480" w:lineRule="auto"/>
        <w:jc w:val="both"/>
        <w:rPr>
          <w:rFonts w:ascii="Arial" w:eastAsia="Times New Roman" w:hAnsi="Arial" w:cs="Arial"/>
          <w:color w:val="595959" w:themeColor="text1" w:themeTint="A6"/>
          <w:kern w:val="24"/>
        </w:rPr>
      </w:pPr>
      <w:r w:rsidRPr="0054039C">
        <w:rPr>
          <w:rFonts w:ascii="Arial" w:eastAsia="Times New Roman" w:hAnsi="Arial" w:cs="Arial"/>
          <w:color w:val="595959" w:themeColor="text1" w:themeTint="A6"/>
          <w:kern w:val="24"/>
        </w:rPr>
        <w:t>αSMA was detected by immunoblotting in both</w:t>
      </w:r>
      <w:r w:rsidR="00A97DBB">
        <w:rPr>
          <w:rFonts w:ascii="Arial" w:eastAsia="Times New Roman" w:hAnsi="Arial" w:cs="Arial"/>
          <w:color w:val="595959" w:themeColor="text1" w:themeTint="A6"/>
          <w:kern w:val="24"/>
        </w:rPr>
        <w:t xml:space="preserve"> vehicle</w:t>
      </w:r>
      <w:r w:rsidRPr="0054039C">
        <w:rPr>
          <w:rFonts w:ascii="Arial" w:eastAsia="Times New Roman" w:hAnsi="Arial" w:cs="Arial"/>
          <w:color w:val="595959" w:themeColor="text1" w:themeTint="A6"/>
          <w:kern w:val="24"/>
        </w:rPr>
        <w:t xml:space="preserve"> control</w:t>
      </w:r>
      <w:r w:rsidR="00A97DBB">
        <w:rPr>
          <w:rFonts w:ascii="Arial" w:eastAsia="Times New Roman" w:hAnsi="Arial" w:cs="Arial"/>
          <w:color w:val="595959" w:themeColor="text1" w:themeTint="A6"/>
          <w:kern w:val="24"/>
        </w:rPr>
        <w:t xml:space="preserve"> </w:t>
      </w:r>
      <w:r w:rsidRPr="0054039C">
        <w:rPr>
          <w:rFonts w:ascii="Arial" w:eastAsia="Times New Roman" w:hAnsi="Arial" w:cs="Arial"/>
          <w:color w:val="595959" w:themeColor="text1" w:themeTint="A6"/>
          <w:kern w:val="24"/>
        </w:rPr>
        <w:t>and TGFβ-1 treated samples up to 72 h</w:t>
      </w:r>
      <w:r w:rsidR="00E31505">
        <w:rPr>
          <w:rFonts w:ascii="Arial" w:eastAsia="Times New Roman" w:hAnsi="Arial" w:cs="Arial"/>
          <w:color w:val="595959" w:themeColor="text1" w:themeTint="A6"/>
          <w:kern w:val="24"/>
        </w:rPr>
        <w:t xml:space="preserve"> (Figure 3.1</w:t>
      </w:r>
      <w:r w:rsidR="007F3E53">
        <w:rPr>
          <w:rFonts w:ascii="Arial" w:eastAsia="Times New Roman" w:hAnsi="Arial" w:cs="Arial"/>
          <w:color w:val="595959" w:themeColor="text1" w:themeTint="A6"/>
          <w:kern w:val="24"/>
        </w:rPr>
        <w:t>2</w:t>
      </w:r>
      <w:r w:rsidR="00E31505">
        <w:rPr>
          <w:rFonts w:ascii="Arial" w:eastAsia="Times New Roman" w:hAnsi="Arial" w:cs="Arial"/>
          <w:color w:val="595959" w:themeColor="text1" w:themeTint="A6"/>
          <w:kern w:val="24"/>
        </w:rPr>
        <w:t xml:space="preserve"> A).  B</w:t>
      </w:r>
      <w:r w:rsidRPr="0054039C">
        <w:rPr>
          <w:rFonts w:ascii="Arial" w:eastAsia="Times New Roman" w:hAnsi="Arial" w:cs="Arial"/>
          <w:color w:val="595959" w:themeColor="text1" w:themeTint="A6"/>
          <w:kern w:val="24"/>
        </w:rPr>
        <w:t>and densitometry indicated that αSMA protein abundance significantly increased upon TGFβ-1 treatment compared to 24 h vehicle control group (Figure 3.1</w:t>
      </w:r>
      <w:r w:rsidR="00837F17">
        <w:rPr>
          <w:rFonts w:ascii="Arial" w:eastAsia="Times New Roman" w:hAnsi="Arial" w:cs="Arial"/>
          <w:color w:val="595959" w:themeColor="text1" w:themeTint="A6"/>
          <w:kern w:val="24"/>
        </w:rPr>
        <w:t>2</w:t>
      </w:r>
      <w:r w:rsidRPr="0054039C">
        <w:rPr>
          <w:rFonts w:ascii="Arial" w:eastAsia="Times New Roman" w:hAnsi="Arial" w:cs="Arial"/>
          <w:color w:val="595959" w:themeColor="text1" w:themeTint="A6"/>
          <w:kern w:val="24"/>
        </w:rPr>
        <w:t xml:space="preserve"> B) with </w:t>
      </w:r>
      <w:r w:rsidR="00A97DBB">
        <w:rPr>
          <w:rFonts w:ascii="Arial" w:eastAsia="Times New Roman" w:hAnsi="Arial" w:cs="Arial"/>
          <w:color w:val="595959" w:themeColor="text1" w:themeTint="A6"/>
          <w:kern w:val="24"/>
        </w:rPr>
        <w:t xml:space="preserve">treatment at </w:t>
      </w:r>
      <w:r w:rsidRPr="0054039C">
        <w:rPr>
          <w:rFonts w:ascii="Arial" w:eastAsia="Times New Roman" w:hAnsi="Arial" w:cs="Arial"/>
          <w:color w:val="595959" w:themeColor="text1" w:themeTint="A6"/>
          <w:kern w:val="24"/>
        </w:rPr>
        <w:t>72 h having the highest fold-change compared to control; with a 6.68 ± 0.67-fold increase (p &lt;0.0001). A statistically significant increase (p &lt;0.0001) was also observed at 24 h, with a mean of 4.32 ± 0.44 and at 48 h with a mean of 4.76 ± 0.52 upon TGFβ-1 treatment compared to 24 h control samples.</w:t>
      </w:r>
    </w:p>
    <w:bookmarkEnd w:id="263"/>
    <w:p w14:paraId="404740FA" w14:textId="4828C296" w:rsidR="0054039C" w:rsidRPr="0054039C" w:rsidRDefault="0054039C" w:rsidP="0054039C">
      <w:pPr>
        <w:spacing w:line="480" w:lineRule="auto"/>
        <w:jc w:val="both"/>
        <w:rPr>
          <w:rFonts w:ascii="Arial" w:eastAsia="Times New Roman" w:hAnsi="Arial" w:cs="Arial"/>
          <w:color w:val="595959" w:themeColor="text1" w:themeTint="A6"/>
          <w:kern w:val="24"/>
        </w:rPr>
      </w:pPr>
    </w:p>
    <w:p w14:paraId="08948859" w14:textId="2A4F70FC" w:rsidR="0054039C" w:rsidRPr="0054039C" w:rsidRDefault="000E39FA" w:rsidP="0054039C">
      <w:pPr>
        <w:spacing w:line="480" w:lineRule="auto"/>
        <w:jc w:val="both"/>
        <w:rPr>
          <w:rFonts w:ascii="Arial" w:eastAsia="Times New Roman" w:hAnsi="Arial" w:cs="Arial"/>
          <w:color w:val="595959" w:themeColor="text1" w:themeTint="A6"/>
          <w:kern w:val="24"/>
        </w:rPr>
      </w:pPr>
      <w:r>
        <w:rPr>
          <w:rFonts w:ascii="Arial" w:eastAsia="Times New Roman" w:hAnsi="Arial" w:cs="Arial"/>
          <w:noProof/>
          <w:color w:val="595959" w:themeColor="text1" w:themeTint="A6"/>
          <w:kern w:val="24"/>
        </w:rPr>
        <w:drawing>
          <wp:anchor distT="0" distB="0" distL="114300" distR="114300" simplePos="0" relativeHeight="251659531" behindDoc="0" locked="0" layoutInCell="1" allowOverlap="1" wp14:anchorId="45DA5690" wp14:editId="20D2F1B1">
            <wp:simplePos x="0" y="0"/>
            <wp:positionH relativeFrom="column">
              <wp:posOffset>0</wp:posOffset>
            </wp:positionH>
            <wp:positionV relativeFrom="paragraph">
              <wp:posOffset>334</wp:posOffset>
            </wp:positionV>
            <wp:extent cx="6071870" cy="3048000"/>
            <wp:effectExtent l="0" t="0" r="0" b="0"/>
            <wp:wrapNone/>
            <wp:docPr id="5571" name="Picture 5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071870" cy="3048000"/>
                    </a:xfrm>
                    <a:prstGeom prst="rect">
                      <a:avLst/>
                    </a:prstGeom>
                    <a:noFill/>
                  </pic:spPr>
                </pic:pic>
              </a:graphicData>
            </a:graphic>
          </wp:anchor>
        </w:drawing>
      </w:r>
    </w:p>
    <w:p w14:paraId="453F636C" w14:textId="04829EA2" w:rsidR="0054039C" w:rsidRPr="0054039C" w:rsidRDefault="0054039C" w:rsidP="0054039C">
      <w:pPr>
        <w:spacing w:line="480" w:lineRule="auto"/>
        <w:jc w:val="both"/>
        <w:rPr>
          <w:rFonts w:ascii="Arial" w:eastAsia="Times New Roman" w:hAnsi="Arial" w:cs="Arial"/>
          <w:color w:val="595959" w:themeColor="text1" w:themeTint="A6"/>
          <w:kern w:val="24"/>
        </w:rPr>
      </w:pPr>
    </w:p>
    <w:p w14:paraId="2BD5FCB4" w14:textId="45E7407C" w:rsidR="0054039C" w:rsidRPr="0054039C" w:rsidRDefault="0054039C" w:rsidP="0054039C">
      <w:pPr>
        <w:spacing w:line="480" w:lineRule="auto"/>
        <w:jc w:val="both"/>
        <w:rPr>
          <w:rFonts w:ascii="Arial" w:eastAsia="Times New Roman" w:hAnsi="Arial" w:cs="Arial"/>
          <w:color w:val="595959" w:themeColor="text1" w:themeTint="A6"/>
          <w:kern w:val="24"/>
        </w:rPr>
      </w:pPr>
    </w:p>
    <w:p w14:paraId="4B4C5065" w14:textId="2B1B5361" w:rsidR="0054039C" w:rsidRPr="0054039C" w:rsidRDefault="0054039C" w:rsidP="0054039C">
      <w:pPr>
        <w:spacing w:line="480" w:lineRule="auto"/>
        <w:jc w:val="both"/>
        <w:rPr>
          <w:rFonts w:ascii="Arial" w:eastAsia="Times New Roman" w:hAnsi="Arial" w:cs="Arial"/>
          <w:color w:val="595959" w:themeColor="text1" w:themeTint="A6"/>
          <w:kern w:val="24"/>
        </w:rPr>
      </w:pPr>
    </w:p>
    <w:p w14:paraId="49B505B6" w14:textId="6DDBAF6C" w:rsidR="0054039C" w:rsidRPr="0054039C" w:rsidRDefault="0054039C" w:rsidP="0054039C">
      <w:pPr>
        <w:spacing w:line="480" w:lineRule="auto"/>
        <w:jc w:val="both"/>
        <w:rPr>
          <w:rFonts w:ascii="Arial" w:eastAsia="Times New Roman" w:hAnsi="Arial" w:cs="Arial"/>
          <w:color w:val="595959" w:themeColor="text1" w:themeTint="A6"/>
          <w:kern w:val="24"/>
        </w:rPr>
      </w:pPr>
    </w:p>
    <w:p w14:paraId="40A8FAD9" w14:textId="50A42BF3" w:rsidR="0054039C" w:rsidRPr="0054039C" w:rsidRDefault="0054039C" w:rsidP="0054039C">
      <w:pPr>
        <w:spacing w:line="480" w:lineRule="auto"/>
        <w:jc w:val="both"/>
        <w:rPr>
          <w:rFonts w:ascii="Arial" w:eastAsia="Times New Roman" w:hAnsi="Arial" w:cs="Arial"/>
          <w:color w:val="595959" w:themeColor="text1" w:themeTint="A6"/>
          <w:kern w:val="24"/>
        </w:rPr>
      </w:pPr>
    </w:p>
    <w:p w14:paraId="2DAC279B" w14:textId="77777777" w:rsidR="0054039C" w:rsidRPr="0054039C" w:rsidRDefault="0054039C" w:rsidP="0054039C">
      <w:pPr>
        <w:spacing w:line="480" w:lineRule="auto"/>
        <w:jc w:val="both"/>
        <w:rPr>
          <w:rFonts w:ascii="Arial" w:eastAsia="Times New Roman" w:hAnsi="Arial" w:cs="Arial"/>
          <w:color w:val="595959" w:themeColor="text1" w:themeTint="A6"/>
          <w:kern w:val="24"/>
        </w:rPr>
      </w:pPr>
    </w:p>
    <w:p w14:paraId="407837CE" w14:textId="77777777" w:rsidR="0054039C" w:rsidRPr="0054039C" w:rsidRDefault="0054039C" w:rsidP="0054039C">
      <w:pPr>
        <w:spacing w:line="480" w:lineRule="auto"/>
        <w:jc w:val="both"/>
        <w:rPr>
          <w:rFonts w:ascii="Arial" w:eastAsia="Times New Roman" w:hAnsi="Arial" w:cs="Arial"/>
          <w:color w:val="595959" w:themeColor="text1" w:themeTint="A6"/>
          <w:kern w:val="24"/>
        </w:rPr>
      </w:pPr>
    </w:p>
    <w:p w14:paraId="5F01B326" w14:textId="77777777" w:rsidR="0054039C" w:rsidRPr="0054039C" w:rsidRDefault="0054039C" w:rsidP="0054039C">
      <w:pPr>
        <w:spacing w:line="480" w:lineRule="auto"/>
        <w:jc w:val="both"/>
        <w:rPr>
          <w:rFonts w:ascii="Arial" w:eastAsia="Times New Roman" w:hAnsi="Arial" w:cs="Arial"/>
          <w:color w:val="595959" w:themeColor="text1" w:themeTint="A6"/>
          <w:kern w:val="24"/>
        </w:rPr>
      </w:pPr>
      <w:r w:rsidRPr="0054039C">
        <w:rPr>
          <w:rFonts w:ascii="Arial" w:hAnsi="Arial" w:cs="Arial"/>
          <w:noProof/>
          <w:color w:val="595959" w:themeColor="text1" w:themeTint="A6"/>
          <w:sz w:val="24"/>
          <w:szCs w:val="24"/>
          <w:lang w:eastAsia="zh-CN"/>
        </w:rPr>
        <mc:AlternateContent>
          <mc:Choice Requires="wps">
            <w:drawing>
              <wp:anchor distT="0" distB="0" distL="114300" distR="114300" simplePos="0" relativeHeight="251658279" behindDoc="0" locked="0" layoutInCell="1" allowOverlap="1" wp14:anchorId="2EF9DFFE" wp14:editId="1EDD7928">
                <wp:simplePos x="0" y="0"/>
                <wp:positionH relativeFrom="margin">
                  <wp:align>right</wp:align>
                </wp:positionH>
                <wp:positionV relativeFrom="paragraph">
                  <wp:posOffset>11430</wp:posOffset>
                </wp:positionV>
                <wp:extent cx="5724525" cy="1514475"/>
                <wp:effectExtent l="0" t="0" r="9525" b="9525"/>
                <wp:wrapNone/>
                <wp:docPr id="15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1514475"/>
                        </a:xfrm>
                        <a:prstGeom prst="rect">
                          <a:avLst/>
                        </a:prstGeom>
                        <a:solidFill>
                          <a:srgbClr val="FFFFFF"/>
                        </a:solidFill>
                        <a:ln w="9525">
                          <a:noFill/>
                          <a:miter lim="800000"/>
                          <a:headEnd/>
                          <a:tailEnd/>
                        </a:ln>
                      </wps:spPr>
                      <wps:txbx>
                        <w:txbxContent>
                          <w:p w14:paraId="3ADC4428" w14:textId="4FB71C44" w:rsidR="008A47AC" w:rsidRDefault="008A47AC" w:rsidP="0054039C">
                            <w:pPr>
                              <w:pStyle w:val="NormalWeb"/>
                              <w:spacing w:after="200"/>
                              <w:jc w:val="both"/>
                              <w:rPr>
                                <w:rFonts w:ascii="Arial Narrow" w:eastAsia="SimSun" w:hAnsi="Arial Narrow" w:cs="Arial"/>
                                <w:b/>
                                <w:bCs/>
                                <w:color w:val="595959"/>
                                <w:kern w:val="24"/>
                                <w:sz w:val="22"/>
                                <w:szCs w:val="22"/>
                              </w:rPr>
                            </w:pPr>
                            <w:r>
                              <w:rPr>
                                <w:rFonts w:ascii="Arial Narrow" w:eastAsia="SimSun" w:hAnsi="Arial Narrow" w:cs="Arial"/>
                                <w:b/>
                                <w:bCs/>
                                <w:color w:val="595959"/>
                                <w:kern w:val="24"/>
                                <w:sz w:val="22"/>
                                <w:szCs w:val="22"/>
                              </w:rPr>
                              <w:t xml:space="preserve">Figure 3.12 Immunoblotting for αSMA abundance in NOF with and without TGFβ-1 stimulation </w:t>
                            </w:r>
                          </w:p>
                          <w:p w14:paraId="2F2F7F56" w14:textId="39304E95" w:rsidR="008A47AC" w:rsidRPr="00944EBD" w:rsidRDefault="008A47AC" w:rsidP="0054039C">
                            <w:pPr>
                              <w:pStyle w:val="NormalWeb"/>
                              <w:spacing w:after="200" w:line="276" w:lineRule="auto"/>
                              <w:jc w:val="both"/>
                              <w:rPr>
                                <w:rFonts w:ascii="Arial Narrow" w:eastAsia="SimSun" w:hAnsi="Arial Narrow" w:cs="Arial"/>
                                <w:color w:val="595959"/>
                                <w:kern w:val="24"/>
                                <w:sz w:val="22"/>
                              </w:rPr>
                            </w:pPr>
                            <w:r>
                              <w:rPr>
                                <w:rFonts w:ascii="Arial Narrow" w:eastAsia="SimSun" w:hAnsi="Arial Narrow" w:cs="Arial"/>
                                <w:color w:val="595959"/>
                                <w:kern w:val="24"/>
                                <w:sz w:val="22"/>
                              </w:rPr>
                              <w:t xml:space="preserve">NOF 2D monolayers were treated with </w:t>
                            </w:r>
                            <w:r w:rsidRPr="00944EBD">
                              <w:rPr>
                                <w:rFonts w:ascii="Arial Narrow" w:eastAsia="SimSun" w:hAnsi="Arial Narrow" w:cs="Arial"/>
                                <w:color w:val="595959"/>
                                <w:kern w:val="24"/>
                                <w:sz w:val="22"/>
                              </w:rPr>
                              <w:t xml:space="preserve">TGFβ-1 </w:t>
                            </w:r>
                            <w:r>
                              <w:rPr>
                                <w:rFonts w:ascii="Arial Narrow" w:eastAsia="SimSun" w:hAnsi="Arial Narrow" w:cs="Arial"/>
                                <w:color w:val="595959"/>
                                <w:kern w:val="24"/>
                                <w:sz w:val="22"/>
                              </w:rPr>
                              <w:t xml:space="preserve">(5 ng/mL) for up to 72 h with αSMA protein levels determined using immunoblotting (A). Densitometry of the resultant bands were measured using ImageJ and the intensity measured relative to GAPDH controls (B).  Data is expressed as relative fold change, with mean ± SD, N=3, n=2, **** denotes p &lt;0.0001 analysed by Kruskal-Wallis test with Dunn’s multiple comparison test. </w:t>
                            </w:r>
                            <w:r w:rsidRPr="00944EBD">
                              <w:rPr>
                                <w:rFonts w:ascii="Arial Narrow" w:eastAsia="SimSun" w:hAnsi="Arial Narrow" w:cs="Arial"/>
                                <w:color w:val="595959"/>
                                <w:kern w:val="24"/>
                                <w:sz w:val="22"/>
                              </w:rPr>
                              <w:t xml:space="preserve"> </w:t>
                            </w:r>
                          </w:p>
                          <w:p w14:paraId="4C34C0B0" w14:textId="77777777" w:rsidR="008A47AC" w:rsidRPr="00A6564F" w:rsidRDefault="008A47AC" w:rsidP="0054039C">
                            <w:pPr>
                              <w:pStyle w:val="NormalWeb"/>
                              <w:spacing w:after="200"/>
                              <w:jc w:val="both"/>
                            </w:pPr>
                          </w:p>
                          <w:p w14:paraId="1ED0ED7E" w14:textId="77777777" w:rsidR="008A47AC" w:rsidRPr="005567BA" w:rsidRDefault="008A47AC" w:rsidP="0054039C">
                            <w:pPr>
                              <w:pStyle w:val="NormalWeb"/>
                              <w:spacing w:after="200" w:line="276" w:lineRule="auto"/>
                              <w:jc w:val="both"/>
                              <w:rPr>
                                <w:rFonts w:ascii="Arial Narrow" w:eastAsia="SimSun" w:hAnsi="Arial Narrow" w:cs="Arial"/>
                                <w:color w:val="595959"/>
                                <w:kern w:val="24"/>
                                <w:sz w:val="22"/>
                                <w:szCs w:val="22"/>
                              </w:rPr>
                            </w:pPr>
                            <w:r w:rsidRPr="009C268A">
                              <w:rPr>
                                <w:rFonts w:ascii="Arial Narrow" w:hAnsi="Arial Narrow" w:cs="Arial"/>
                                <w:color w:val="595959" w:themeColor="text1" w:themeTint="A6"/>
                                <w:kern w:val="24"/>
                                <w:sz w:val="22"/>
                                <w:szCs w:val="22"/>
                              </w:rPr>
                              <w:t>Total protein isolated from NOF</w:t>
                            </w:r>
                            <w:r>
                              <w:rPr>
                                <w:rFonts w:ascii="Arial Narrow" w:hAnsi="Arial Narrow" w:cs="Arial"/>
                                <w:color w:val="595959" w:themeColor="text1" w:themeTint="A6"/>
                                <w:kern w:val="24"/>
                                <w:sz w:val="22"/>
                                <w:szCs w:val="22"/>
                              </w:rPr>
                              <w:t xml:space="preserve"> treated with either </w:t>
                            </w:r>
                            <w:r w:rsidRPr="009C268A">
                              <w:rPr>
                                <w:rFonts w:ascii="Arial Narrow" w:hAnsi="Arial Narrow" w:cs="Arial"/>
                                <w:color w:val="595959" w:themeColor="text1" w:themeTint="A6"/>
                                <w:kern w:val="24"/>
                                <w:sz w:val="22"/>
                                <w:szCs w:val="22"/>
                              </w:rPr>
                              <w:t>5 ng/m</w:t>
                            </w:r>
                            <w:r>
                              <w:rPr>
                                <w:rFonts w:ascii="Arial Narrow" w:hAnsi="Arial Narrow" w:cs="Arial"/>
                                <w:color w:val="595959" w:themeColor="text1" w:themeTint="A6"/>
                                <w:kern w:val="24"/>
                                <w:sz w:val="22"/>
                                <w:szCs w:val="22"/>
                              </w:rPr>
                              <w:t>L</w:t>
                            </w:r>
                            <w:r w:rsidRPr="009C268A">
                              <w:rPr>
                                <w:rFonts w:ascii="Arial Narrow" w:hAnsi="Arial Narrow" w:cs="Arial"/>
                                <w:color w:val="595959" w:themeColor="text1" w:themeTint="A6"/>
                                <w:kern w:val="24"/>
                                <w:sz w:val="22"/>
                                <w:szCs w:val="22"/>
                              </w:rPr>
                              <w:t xml:space="preserve"> TGFβ-1</w:t>
                            </w:r>
                            <w:r>
                              <w:rPr>
                                <w:rFonts w:ascii="Arial Narrow" w:hAnsi="Arial Narrow" w:cs="Arial"/>
                                <w:color w:val="595959" w:themeColor="text1" w:themeTint="A6"/>
                                <w:kern w:val="24"/>
                                <w:sz w:val="22"/>
                                <w:szCs w:val="22"/>
                              </w:rPr>
                              <w:t xml:space="preserve"> or vehicle control</w:t>
                            </w:r>
                            <w:r w:rsidRPr="009C268A">
                              <w:rPr>
                                <w:rFonts w:ascii="Arial Narrow" w:hAnsi="Arial Narrow" w:cs="Arial"/>
                                <w:color w:val="595959" w:themeColor="text1" w:themeTint="A6"/>
                                <w:kern w:val="24"/>
                                <w:sz w:val="22"/>
                                <w:szCs w:val="22"/>
                              </w:rPr>
                              <w:t>, separated by gel electrop</w:t>
                            </w:r>
                            <w:r>
                              <w:rPr>
                                <w:rFonts w:ascii="Arial Narrow" w:hAnsi="Arial Narrow" w:cs="Arial"/>
                                <w:color w:val="595959" w:themeColor="text1" w:themeTint="A6"/>
                                <w:kern w:val="24"/>
                                <w:sz w:val="22"/>
                                <w:szCs w:val="22"/>
                              </w:rPr>
                              <w:t>horesis and blotted. A representative immunoblot showing</w:t>
                            </w:r>
                            <w:r w:rsidRPr="009C268A">
                              <w:rPr>
                                <w:rFonts w:ascii="Arial Narrow" w:hAnsi="Arial Narrow" w:cs="Arial"/>
                                <w:color w:val="595959" w:themeColor="text1" w:themeTint="A6"/>
                                <w:kern w:val="24"/>
                                <w:sz w:val="22"/>
                                <w:szCs w:val="22"/>
                              </w:rPr>
                              <w:t xml:space="preserve"> </w:t>
                            </w:r>
                            <w:r>
                              <w:rPr>
                                <w:rFonts w:ascii="Arial Narrow" w:hAnsi="Arial Narrow" w:cs="Arial"/>
                                <w:color w:val="595959" w:themeColor="text1" w:themeTint="A6"/>
                                <w:kern w:val="24"/>
                                <w:sz w:val="22"/>
                                <w:szCs w:val="22"/>
                              </w:rPr>
                              <w:t xml:space="preserve">αSMA present in all samples </w:t>
                            </w:r>
                            <w:r w:rsidRPr="009C268A">
                              <w:rPr>
                                <w:rFonts w:ascii="Arial Narrow" w:hAnsi="Arial Narrow" w:cs="Arial"/>
                                <w:color w:val="595959" w:themeColor="text1" w:themeTint="A6"/>
                                <w:kern w:val="24"/>
                                <w:sz w:val="22"/>
                                <w:szCs w:val="22"/>
                              </w:rPr>
                              <w:t xml:space="preserve">(A). </w:t>
                            </w:r>
                            <w:r>
                              <w:rPr>
                                <w:rFonts w:ascii="Arial Narrow" w:hAnsi="Arial Narrow" w:cs="Arial"/>
                                <w:color w:val="595959" w:themeColor="text1" w:themeTint="A6"/>
                                <w:kern w:val="24"/>
                                <w:sz w:val="22"/>
                                <w:szCs w:val="22"/>
                              </w:rPr>
                              <w:t>Densiometric analysis of immnoblot conferred a significant increase of αSMA in all TGF</w:t>
                            </w:r>
                            <w:r w:rsidRPr="009C268A">
                              <w:rPr>
                                <w:rFonts w:ascii="Arial Narrow" w:hAnsi="Arial Narrow" w:cs="Arial"/>
                                <w:color w:val="595959" w:themeColor="text1" w:themeTint="A6"/>
                                <w:kern w:val="24"/>
                                <w:sz w:val="22"/>
                                <w:szCs w:val="22"/>
                              </w:rPr>
                              <w:t>β-</w:t>
                            </w:r>
                            <w:r>
                              <w:rPr>
                                <w:rFonts w:ascii="Arial Narrow" w:hAnsi="Arial Narrow" w:cs="Arial"/>
                                <w:color w:val="595959" w:themeColor="text1" w:themeTint="A6"/>
                                <w:kern w:val="24"/>
                                <w:sz w:val="22"/>
                                <w:szCs w:val="22"/>
                              </w:rPr>
                              <w:t xml:space="preserve">1 treated samples p &lt;0.0001 </w:t>
                            </w:r>
                            <w:r>
                              <w:rPr>
                                <w:rFonts w:ascii="Arial Narrow" w:eastAsia="SimSun" w:hAnsi="Arial Narrow" w:cs="Arial"/>
                                <w:color w:val="595959"/>
                                <w:kern w:val="24"/>
                                <w:sz w:val="22"/>
                                <w:szCs w:val="22"/>
                              </w:rPr>
                              <w:t>and analysed by ordinary one-way ANOVA with Dunnett’s multiple comparison. Graph shows mean and SD</w:t>
                            </w:r>
                            <w:r>
                              <w:rPr>
                                <w:rFonts w:ascii="Arial Narrow" w:hAnsi="Arial Narrow" w:cs="Arial"/>
                                <w:color w:val="595959" w:themeColor="text1" w:themeTint="A6"/>
                                <w:kern w:val="24"/>
                                <w:sz w:val="22"/>
                                <w:szCs w:val="22"/>
                              </w:rPr>
                              <w:t xml:space="preserve"> (N=3, n=3) </w:t>
                            </w:r>
                            <w:r w:rsidRPr="009C268A">
                              <w:rPr>
                                <w:rFonts w:ascii="Arial Narrow" w:hAnsi="Arial Narrow" w:cs="Arial"/>
                                <w:color w:val="595959" w:themeColor="text1" w:themeTint="A6"/>
                                <w:kern w:val="24"/>
                                <w:sz w:val="22"/>
                                <w:szCs w:val="22"/>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F9DFFE" id="_x0000_s1074" type="#_x0000_t202" style="position:absolute;left:0;text-align:left;margin-left:399.55pt;margin-top:.9pt;width:450.75pt;height:119.25pt;z-index:251658279;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" stroked="f">
                <v:textbox>
                  <w:txbxContent>
                    <w:p w14:paraId="3ADC4428" w14:textId="4FB71C44" w:rsidR="008A47AC" w:rsidRDefault="008A47AC" w:rsidP="0054039C">
                      <w:pPr>
                        <w:pStyle w:val="NormalWeb"/>
                        <w:spacing w:after="200"/>
                        <w:jc w:val="both"/>
                        <w:rPr>
                          <w:rFonts w:ascii="Arial Narrow" w:eastAsia="SimSun" w:hAnsi="Arial Narrow" w:cs="Arial"/>
                          <w:b/>
                          <w:bCs/>
                          <w:color w:val="595959"/>
                          <w:kern w:val="24"/>
                          <w:sz w:val="22"/>
                          <w:szCs w:val="22"/>
                        </w:rPr>
                      </w:pPr>
                      <w:r>
                        <w:rPr>
                          <w:rFonts w:ascii="Arial Narrow" w:eastAsia="SimSun" w:hAnsi="Arial Narrow" w:cs="Arial"/>
                          <w:b/>
                          <w:bCs/>
                          <w:color w:val="595959"/>
                          <w:kern w:val="24"/>
                          <w:sz w:val="22"/>
                          <w:szCs w:val="22"/>
                        </w:rPr>
                        <w:t xml:space="preserve">Figure 3.12 Immunoblotting for αSMA abundance in NOF with and without TGFβ-1 stimulation </w:t>
                      </w:r>
                    </w:p>
                    <w:p w14:paraId="2F2F7F56" w14:textId="39304E95" w:rsidR="008A47AC" w:rsidRPr="00944EBD" w:rsidRDefault="008A47AC" w:rsidP="0054039C">
                      <w:pPr>
                        <w:pStyle w:val="NormalWeb"/>
                        <w:spacing w:after="200" w:line="276" w:lineRule="auto"/>
                        <w:jc w:val="both"/>
                        <w:rPr>
                          <w:rFonts w:ascii="Arial Narrow" w:eastAsia="SimSun" w:hAnsi="Arial Narrow" w:cs="Arial"/>
                          <w:color w:val="595959"/>
                          <w:kern w:val="24"/>
                          <w:sz w:val="22"/>
                        </w:rPr>
                      </w:pPr>
                      <w:r>
                        <w:rPr>
                          <w:rFonts w:ascii="Arial Narrow" w:eastAsia="SimSun" w:hAnsi="Arial Narrow" w:cs="Arial"/>
                          <w:color w:val="595959"/>
                          <w:kern w:val="24"/>
                          <w:sz w:val="22"/>
                        </w:rPr>
                        <w:t xml:space="preserve">NOF 2D monolayers were treated with </w:t>
                      </w:r>
                      <w:r w:rsidRPr="00944EBD">
                        <w:rPr>
                          <w:rFonts w:ascii="Arial Narrow" w:eastAsia="SimSun" w:hAnsi="Arial Narrow" w:cs="Arial"/>
                          <w:color w:val="595959"/>
                          <w:kern w:val="24"/>
                          <w:sz w:val="22"/>
                        </w:rPr>
                        <w:t xml:space="preserve">TGFβ-1 </w:t>
                      </w:r>
                      <w:r>
                        <w:rPr>
                          <w:rFonts w:ascii="Arial Narrow" w:eastAsia="SimSun" w:hAnsi="Arial Narrow" w:cs="Arial"/>
                          <w:color w:val="595959"/>
                          <w:kern w:val="24"/>
                          <w:sz w:val="22"/>
                        </w:rPr>
                        <w:t xml:space="preserve">(5 ng/mL) for up to 72 h with αSMA protein levels determined using immunoblotting (A). Densitometry of the resultant bands were measured using ImageJ and the intensity measured relative to GAPDH controls (B).  Data is expressed as relative fold change, with mean ± SD, N=3, n=2, **** denotes p &lt;0.0001 analysed by Kruskal-Wallis test with Dunn’s multiple comparison test. </w:t>
                      </w:r>
                      <w:r w:rsidRPr="00944EBD">
                        <w:rPr>
                          <w:rFonts w:ascii="Arial Narrow" w:eastAsia="SimSun" w:hAnsi="Arial Narrow" w:cs="Arial"/>
                          <w:color w:val="595959"/>
                          <w:kern w:val="24"/>
                          <w:sz w:val="22"/>
                        </w:rPr>
                        <w:t xml:space="preserve"> </w:t>
                      </w:r>
                    </w:p>
                    <w:p w14:paraId="4C34C0B0" w14:textId="77777777" w:rsidR="008A47AC" w:rsidRPr="00A6564F" w:rsidRDefault="008A47AC" w:rsidP="0054039C">
                      <w:pPr>
                        <w:pStyle w:val="NormalWeb"/>
                        <w:spacing w:after="200"/>
                        <w:jc w:val="both"/>
                      </w:pPr>
                    </w:p>
                    <w:p w14:paraId="1ED0ED7E" w14:textId="77777777" w:rsidR="008A47AC" w:rsidRPr="005567BA" w:rsidRDefault="008A47AC" w:rsidP="0054039C">
                      <w:pPr>
                        <w:pStyle w:val="NormalWeb"/>
                        <w:spacing w:after="200" w:line="276" w:lineRule="auto"/>
                        <w:jc w:val="both"/>
                        <w:rPr>
                          <w:rFonts w:ascii="Arial Narrow" w:eastAsia="SimSun" w:hAnsi="Arial Narrow" w:cs="Arial"/>
                          <w:color w:val="595959"/>
                          <w:kern w:val="24"/>
                          <w:sz w:val="22"/>
                          <w:szCs w:val="22"/>
                        </w:rPr>
                      </w:pPr>
                      <w:r w:rsidRPr="009C268A">
                        <w:rPr>
                          <w:rFonts w:ascii="Arial Narrow" w:hAnsi="Arial Narrow" w:cs="Arial"/>
                          <w:color w:val="595959" w:themeColor="text1" w:themeTint="A6"/>
                          <w:kern w:val="24"/>
                          <w:sz w:val="22"/>
                          <w:szCs w:val="22"/>
                        </w:rPr>
                        <w:t>Total protein isolated from NOF</w:t>
                      </w:r>
                      <w:r>
                        <w:rPr>
                          <w:rFonts w:ascii="Arial Narrow" w:hAnsi="Arial Narrow" w:cs="Arial"/>
                          <w:color w:val="595959" w:themeColor="text1" w:themeTint="A6"/>
                          <w:kern w:val="24"/>
                          <w:sz w:val="22"/>
                          <w:szCs w:val="22"/>
                        </w:rPr>
                        <w:t xml:space="preserve"> treated with either </w:t>
                      </w:r>
                      <w:r w:rsidRPr="009C268A">
                        <w:rPr>
                          <w:rFonts w:ascii="Arial Narrow" w:hAnsi="Arial Narrow" w:cs="Arial"/>
                          <w:color w:val="595959" w:themeColor="text1" w:themeTint="A6"/>
                          <w:kern w:val="24"/>
                          <w:sz w:val="22"/>
                          <w:szCs w:val="22"/>
                        </w:rPr>
                        <w:t>5 ng/m</w:t>
                      </w:r>
                      <w:r>
                        <w:rPr>
                          <w:rFonts w:ascii="Arial Narrow" w:hAnsi="Arial Narrow" w:cs="Arial"/>
                          <w:color w:val="595959" w:themeColor="text1" w:themeTint="A6"/>
                          <w:kern w:val="24"/>
                          <w:sz w:val="22"/>
                          <w:szCs w:val="22"/>
                        </w:rPr>
                        <w:t>L</w:t>
                      </w:r>
                      <w:r w:rsidRPr="009C268A">
                        <w:rPr>
                          <w:rFonts w:ascii="Arial Narrow" w:hAnsi="Arial Narrow" w:cs="Arial"/>
                          <w:color w:val="595959" w:themeColor="text1" w:themeTint="A6"/>
                          <w:kern w:val="24"/>
                          <w:sz w:val="22"/>
                          <w:szCs w:val="22"/>
                        </w:rPr>
                        <w:t xml:space="preserve"> TGFβ-1</w:t>
                      </w:r>
                      <w:r>
                        <w:rPr>
                          <w:rFonts w:ascii="Arial Narrow" w:hAnsi="Arial Narrow" w:cs="Arial"/>
                          <w:color w:val="595959" w:themeColor="text1" w:themeTint="A6"/>
                          <w:kern w:val="24"/>
                          <w:sz w:val="22"/>
                          <w:szCs w:val="22"/>
                        </w:rPr>
                        <w:t xml:space="preserve"> or vehicle control</w:t>
                      </w:r>
                      <w:r w:rsidRPr="009C268A">
                        <w:rPr>
                          <w:rFonts w:ascii="Arial Narrow" w:hAnsi="Arial Narrow" w:cs="Arial"/>
                          <w:color w:val="595959" w:themeColor="text1" w:themeTint="A6"/>
                          <w:kern w:val="24"/>
                          <w:sz w:val="22"/>
                          <w:szCs w:val="22"/>
                        </w:rPr>
                        <w:t>, separated by gel electrop</w:t>
                      </w:r>
                      <w:r>
                        <w:rPr>
                          <w:rFonts w:ascii="Arial Narrow" w:hAnsi="Arial Narrow" w:cs="Arial"/>
                          <w:color w:val="595959" w:themeColor="text1" w:themeTint="A6"/>
                          <w:kern w:val="24"/>
                          <w:sz w:val="22"/>
                          <w:szCs w:val="22"/>
                        </w:rPr>
                        <w:t xml:space="preserve">horesis and blotted. A representative </w:t>
                      </w:r>
                      <w:proofErr w:type="gramStart"/>
                      <w:r>
                        <w:rPr>
                          <w:rFonts w:ascii="Arial Narrow" w:hAnsi="Arial Narrow" w:cs="Arial"/>
                          <w:color w:val="595959" w:themeColor="text1" w:themeTint="A6"/>
                          <w:kern w:val="24"/>
                          <w:sz w:val="22"/>
                          <w:szCs w:val="22"/>
                        </w:rPr>
                        <w:t>immunoblot</w:t>
                      </w:r>
                      <w:proofErr w:type="gramEnd"/>
                      <w:r>
                        <w:rPr>
                          <w:rFonts w:ascii="Arial Narrow" w:hAnsi="Arial Narrow" w:cs="Arial"/>
                          <w:color w:val="595959" w:themeColor="text1" w:themeTint="A6"/>
                          <w:kern w:val="24"/>
                          <w:sz w:val="22"/>
                          <w:szCs w:val="22"/>
                        </w:rPr>
                        <w:t xml:space="preserve"> showing</w:t>
                      </w:r>
                      <w:r w:rsidRPr="009C268A">
                        <w:rPr>
                          <w:rFonts w:ascii="Arial Narrow" w:hAnsi="Arial Narrow" w:cs="Arial"/>
                          <w:color w:val="595959" w:themeColor="text1" w:themeTint="A6"/>
                          <w:kern w:val="24"/>
                          <w:sz w:val="22"/>
                          <w:szCs w:val="22"/>
                        </w:rPr>
                        <w:t xml:space="preserve"> </w:t>
                      </w:r>
                      <w:r>
                        <w:rPr>
                          <w:rFonts w:ascii="Arial Narrow" w:hAnsi="Arial Narrow" w:cs="Arial"/>
                          <w:color w:val="595959" w:themeColor="text1" w:themeTint="A6"/>
                          <w:kern w:val="24"/>
                          <w:sz w:val="22"/>
                          <w:szCs w:val="22"/>
                        </w:rPr>
                        <w:t xml:space="preserve">αSMA present in all samples </w:t>
                      </w:r>
                      <w:r w:rsidRPr="009C268A">
                        <w:rPr>
                          <w:rFonts w:ascii="Arial Narrow" w:hAnsi="Arial Narrow" w:cs="Arial"/>
                          <w:color w:val="595959" w:themeColor="text1" w:themeTint="A6"/>
                          <w:kern w:val="24"/>
                          <w:sz w:val="22"/>
                          <w:szCs w:val="22"/>
                        </w:rPr>
                        <w:t xml:space="preserve">(A). </w:t>
                      </w:r>
                      <w:r>
                        <w:rPr>
                          <w:rFonts w:ascii="Arial Narrow" w:hAnsi="Arial Narrow" w:cs="Arial"/>
                          <w:color w:val="595959" w:themeColor="text1" w:themeTint="A6"/>
                          <w:kern w:val="24"/>
                          <w:sz w:val="22"/>
                          <w:szCs w:val="22"/>
                        </w:rPr>
                        <w:t xml:space="preserve">Densiometric analysis of </w:t>
                      </w:r>
                      <w:proofErr w:type="spellStart"/>
                      <w:r>
                        <w:rPr>
                          <w:rFonts w:ascii="Arial Narrow" w:hAnsi="Arial Narrow" w:cs="Arial"/>
                          <w:color w:val="595959" w:themeColor="text1" w:themeTint="A6"/>
                          <w:kern w:val="24"/>
                          <w:sz w:val="22"/>
                          <w:szCs w:val="22"/>
                        </w:rPr>
                        <w:t>immnoblot</w:t>
                      </w:r>
                      <w:proofErr w:type="spellEnd"/>
                      <w:r>
                        <w:rPr>
                          <w:rFonts w:ascii="Arial Narrow" w:hAnsi="Arial Narrow" w:cs="Arial"/>
                          <w:color w:val="595959" w:themeColor="text1" w:themeTint="A6"/>
                          <w:kern w:val="24"/>
                          <w:sz w:val="22"/>
                          <w:szCs w:val="22"/>
                        </w:rPr>
                        <w:t xml:space="preserve"> conferred a significant increase of αSMA in all TGF</w:t>
                      </w:r>
                      <w:r w:rsidRPr="009C268A">
                        <w:rPr>
                          <w:rFonts w:ascii="Arial Narrow" w:hAnsi="Arial Narrow" w:cs="Arial"/>
                          <w:color w:val="595959" w:themeColor="text1" w:themeTint="A6"/>
                          <w:kern w:val="24"/>
                          <w:sz w:val="22"/>
                          <w:szCs w:val="22"/>
                        </w:rPr>
                        <w:t>β-</w:t>
                      </w:r>
                      <w:r>
                        <w:rPr>
                          <w:rFonts w:ascii="Arial Narrow" w:hAnsi="Arial Narrow" w:cs="Arial"/>
                          <w:color w:val="595959" w:themeColor="text1" w:themeTint="A6"/>
                          <w:kern w:val="24"/>
                          <w:sz w:val="22"/>
                          <w:szCs w:val="22"/>
                        </w:rPr>
                        <w:t xml:space="preserve">1 treated samples p &lt;0.0001 </w:t>
                      </w:r>
                      <w:r>
                        <w:rPr>
                          <w:rFonts w:ascii="Arial Narrow" w:eastAsia="SimSun" w:hAnsi="Arial Narrow" w:cs="Arial"/>
                          <w:color w:val="595959"/>
                          <w:kern w:val="24"/>
                          <w:sz w:val="22"/>
                          <w:szCs w:val="22"/>
                        </w:rPr>
                        <w:t>and analysed by ordinary one-way ANOVA with Dunnett’s multiple comparison. Graph shows mean and SD</w:t>
                      </w:r>
                      <w:r>
                        <w:rPr>
                          <w:rFonts w:ascii="Arial Narrow" w:hAnsi="Arial Narrow" w:cs="Arial"/>
                          <w:color w:val="595959" w:themeColor="text1" w:themeTint="A6"/>
                          <w:kern w:val="24"/>
                          <w:sz w:val="22"/>
                          <w:szCs w:val="22"/>
                        </w:rPr>
                        <w:t xml:space="preserve"> (N=3, n=3) </w:t>
                      </w:r>
                      <w:r w:rsidRPr="009C268A">
                        <w:rPr>
                          <w:rFonts w:ascii="Arial Narrow" w:hAnsi="Arial Narrow" w:cs="Arial"/>
                          <w:color w:val="595959" w:themeColor="text1" w:themeTint="A6"/>
                          <w:kern w:val="24"/>
                          <w:sz w:val="22"/>
                          <w:szCs w:val="22"/>
                        </w:rPr>
                        <w:t>(B).</w:t>
                      </w:r>
                    </w:p>
                  </w:txbxContent>
                </v:textbox>
                <w10:wrap anchorx="margin"/>
              </v:shape>
            </w:pict>
          </mc:Fallback>
        </mc:AlternateContent>
      </w:r>
    </w:p>
    <w:p w14:paraId="5F42A66C" w14:textId="77777777" w:rsidR="0054039C" w:rsidRPr="0054039C" w:rsidRDefault="0054039C" w:rsidP="0054039C">
      <w:pPr>
        <w:spacing w:line="480" w:lineRule="auto"/>
        <w:jc w:val="both"/>
        <w:rPr>
          <w:rFonts w:ascii="Arial" w:eastAsia="Times New Roman" w:hAnsi="Arial" w:cs="Arial"/>
          <w:color w:val="595959" w:themeColor="text1" w:themeTint="A6"/>
          <w:kern w:val="24"/>
        </w:rPr>
      </w:pPr>
    </w:p>
    <w:p w14:paraId="1AF77379" w14:textId="77777777" w:rsidR="0054039C" w:rsidRPr="0054039C" w:rsidRDefault="0054039C" w:rsidP="0054039C">
      <w:pPr>
        <w:spacing w:line="480" w:lineRule="auto"/>
        <w:jc w:val="both"/>
        <w:rPr>
          <w:rFonts w:ascii="Arial" w:eastAsia="Times New Roman" w:hAnsi="Arial" w:cs="Arial"/>
          <w:color w:val="595959" w:themeColor="text1" w:themeTint="A6"/>
          <w:kern w:val="24"/>
        </w:rPr>
      </w:pPr>
    </w:p>
    <w:p w14:paraId="2215B490" w14:textId="77777777" w:rsidR="0054039C" w:rsidRPr="0054039C" w:rsidRDefault="0054039C" w:rsidP="0054039C">
      <w:pPr>
        <w:spacing w:line="480" w:lineRule="auto"/>
        <w:jc w:val="both"/>
        <w:rPr>
          <w:rFonts w:ascii="Arial" w:eastAsia="Times New Roman" w:hAnsi="Arial" w:cs="Arial"/>
          <w:color w:val="595959" w:themeColor="text1" w:themeTint="A6"/>
          <w:kern w:val="24"/>
        </w:rPr>
      </w:pPr>
    </w:p>
    <w:p w14:paraId="35BCB65B" w14:textId="77777777" w:rsidR="0054039C" w:rsidRPr="0054039C" w:rsidRDefault="0054039C" w:rsidP="0054039C">
      <w:pPr>
        <w:spacing w:line="480" w:lineRule="auto"/>
        <w:jc w:val="both"/>
        <w:rPr>
          <w:rFonts w:ascii="Arial" w:eastAsia="Times New Roman" w:hAnsi="Arial" w:cs="Arial"/>
          <w:color w:val="595959" w:themeColor="text1" w:themeTint="A6"/>
          <w:kern w:val="24"/>
        </w:rPr>
      </w:pPr>
    </w:p>
    <w:p w14:paraId="23AC83D2" w14:textId="5B824121" w:rsidR="0054039C" w:rsidRPr="0054039C" w:rsidRDefault="00E31505" w:rsidP="0054039C">
      <w:pPr>
        <w:keepNext/>
        <w:keepLines/>
        <w:spacing w:before="40" w:after="0"/>
        <w:outlineLvl w:val="4"/>
        <w:rPr>
          <w:rFonts w:ascii="Arial" w:eastAsia="Times New Roman" w:hAnsi="Arial" w:cs="Arial"/>
          <w:color w:val="595959" w:themeColor="text1" w:themeTint="A6"/>
          <w:kern w:val="24"/>
        </w:rPr>
      </w:pPr>
      <w:bookmarkStart w:id="264" w:name="_Toc7107254"/>
      <w:bookmarkStart w:id="265" w:name="_Toc34208359"/>
      <w:r>
        <w:rPr>
          <w:rFonts w:ascii="Arial" w:eastAsia="Times New Roman" w:hAnsi="Arial" w:cs="Arial"/>
          <w:color w:val="595959" w:themeColor="text1" w:themeTint="A6"/>
          <w:kern w:val="24"/>
        </w:rPr>
        <w:lastRenderedPageBreak/>
        <w:t>3.3.1.4.</w:t>
      </w:r>
      <w:r w:rsidR="0054039C" w:rsidRPr="0054039C">
        <w:rPr>
          <w:rFonts w:ascii="Arial" w:eastAsia="Times New Roman" w:hAnsi="Arial" w:cs="Arial"/>
          <w:color w:val="595959" w:themeColor="text1" w:themeTint="A6"/>
          <w:kern w:val="24"/>
        </w:rPr>
        <w:t>2 FN1-EDA protein abundance in normal oral fibroblasts</w:t>
      </w:r>
      <w:bookmarkEnd w:id="264"/>
      <w:bookmarkEnd w:id="265"/>
    </w:p>
    <w:p w14:paraId="2C49E30F" w14:textId="77777777" w:rsidR="0054039C" w:rsidRPr="0054039C" w:rsidRDefault="0054039C" w:rsidP="0054039C"/>
    <w:p w14:paraId="29989323" w14:textId="52F6D729" w:rsidR="0054039C" w:rsidRPr="0054039C" w:rsidRDefault="0054039C" w:rsidP="00E31505">
      <w:pPr>
        <w:spacing w:line="480" w:lineRule="auto"/>
        <w:jc w:val="both"/>
        <w:rPr>
          <w:rFonts w:ascii="Arial" w:eastAsia="Times New Roman" w:hAnsi="Arial" w:cs="Arial"/>
          <w:color w:val="595959" w:themeColor="text1" w:themeTint="A6"/>
          <w:kern w:val="24"/>
        </w:rPr>
      </w:pPr>
      <w:r w:rsidRPr="0054039C">
        <w:rPr>
          <w:rFonts w:ascii="Arial" w:eastAsia="Times New Roman" w:hAnsi="Arial" w:cs="Arial"/>
          <w:color w:val="595959" w:themeColor="text1" w:themeTint="A6"/>
          <w:kern w:val="24"/>
        </w:rPr>
        <w:t>Immunoblotting indicated FN1-EDA was present in all control and TGFβ-1 treated samples up to 72 h</w:t>
      </w:r>
      <w:r w:rsidR="00E31505">
        <w:rPr>
          <w:rFonts w:ascii="Arial" w:eastAsia="Times New Roman" w:hAnsi="Arial" w:cs="Arial"/>
          <w:color w:val="595959" w:themeColor="text1" w:themeTint="A6"/>
          <w:kern w:val="24"/>
        </w:rPr>
        <w:t xml:space="preserve"> (Figure 3.1</w:t>
      </w:r>
      <w:r w:rsidR="00837F17">
        <w:rPr>
          <w:rFonts w:ascii="Arial" w:eastAsia="Times New Roman" w:hAnsi="Arial" w:cs="Arial"/>
          <w:color w:val="595959" w:themeColor="text1" w:themeTint="A6"/>
          <w:kern w:val="24"/>
        </w:rPr>
        <w:t>3</w:t>
      </w:r>
      <w:r w:rsidR="00E31505">
        <w:rPr>
          <w:rFonts w:ascii="Arial" w:eastAsia="Times New Roman" w:hAnsi="Arial" w:cs="Arial"/>
          <w:color w:val="595959" w:themeColor="text1" w:themeTint="A6"/>
          <w:kern w:val="24"/>
        </w:rPr>
        <w:t xml:space="preserve"> A).  B</w:t>
      </w:r>
      <w:r w:rsidRPr="0054039C">
        <w:rPr>
          <w:rFonts w:ascii="Arial" w:eastAsia="Times New Roman" w:hAnsi="Arial" w:cs="Arial"/>
          <w:color w:val="595959" w:themeColor="text1" w:themeTint="A6"/>
          <w:kern w:val="24"/>
        </w:rPr>
        <w:t xml:space="preserve">and densitometry indicated that FN1-EDA protein increased upon TGFβ-1 </w:t>
      </w:r>
      <w:r w:rsidR="00A97DBB">
        <w:rPr>
          <w:rFonts w:ascii="Arial" w:eastAsia="Times New Roman" w:hAnsi="Arial" w:cs="Arial"/>
          <w:color w:val="595959" w:themeColor="text1" w:themeTint="A6"/>
          <w:kern w:val="24"/>
        </w:rPr>
        <w:t xml:space="preserve">treatment </w:t>
      </w:r>
      <w:r w:rsidRPr="0054039C">
        <w:rPr>
          <w:rFonts w:ascii="Arial" w:eastAsia="Times New Roman" w:hAnsi="Arial" w:cs="Arial"/>
          <w:color w:val="595959" w:themeColor="text1" w:themeTint="A6"/>
          <w:kern w:val="24"/>
        </w:rPr>
        <w:t>compared to 24 h vehicle control samples (Figure 3.1</w:t>
      </w:r>
      <w:r w:rsidR="00837F17">
        <w:rPr>
          <w:rFonts w:ascii="Arial" w:eastAsia="Times New Roman" w:hAnsi="Arial" w:cs="Arial"/>
          <w:color w:val="595959" w:themeColor="text1" w:themeTint="A6"/>
          <w:kern w:val="24"/>
        </w:rPr>
        <w:t>3</w:t>
      </w:r>
      <w:r w:rsidRPr="0054039C">
        <w:rPr>
          <w:rFonts w:ascii="Arial" w:eastAsia="Times New Roman" w:hAnsi="Arial" w:cs="Arial"/>
          <w:color w:val="595959" w:themeColor="text1" w:themeTint="A6"/>
          <w:kern w:val="24"/>
        </w:rPr>
        <w:t xml:space="preserve"> B). 72 h TGFβ-1 treatment resulted in the greatest fold change compared to control samples; with a 5.35 ± 0.31-fold increase (p &lt;0.0001). A significant fold change was also seen at 48 h with a fold- increase of 2.27 ± 0.07, p &lt;0.0001. </w:t>
      </w:r>
    </w:p>
    <w:p w14:paraId="5D5173A4" w14:textId="760E37C1" w:rsidR="0054039C" w:rsidRPr="0054039C" w:rsidRDefault="00F01B7D" w:rsidP="0054039C">
      <w:pPr>
        <w:spacing w:line="480" w:lineRule="auto"/>
        <w:jc w:val="both"/>
        <w:rPr>
          <w:rFonts w:ascii="Arial" w:eastAsia="Times New Roman" w:hAnsi="Arial" w:cs="Arial"/>
          <w:color w:val="595959" w:themeColor="text1" w:themeTint="A6"/>
          <w:kern w:val="24"/>
        </w:rPr>
      </w:pPr>
      <w:r>
        <w:rPr>
          <w:rFonts w:ascii="Arial" w:eastAsia="Times New Roman" w:hAnsi="Arial" w:cs="Arial"/>
          <w:noProof/>
          <w:color w:val="595959" w:themeColor="text1" w:themeTint="A6"/>
          <w:kern w:val="24"/>
        </w:rPr>
        <w:drawing>
          <wp:anchor distT="0" distB="0" distL="114300" distR="114300" simplePos="0" relativeHeight="251660555" behindDoc="0" locked="0" layoutInCell="1" allowOverlap="1" wp14:anchorId="182468E6" wp14:editId="4BCDD463">
            <wp:simplePos x="0" y="0"/>
            <wp:positionH relativeFrom="column">
              <wp:posOffset>0</wp:posOffset>
            </wp:positionH>
            <wp:positionV relativeFrom="paragraph">
              <wp:posOffset>-2039</wp:posOffset>
            </wp:positionV>
            <wp:extent cx="6200140" cy="2731135"/>
            <wp:effectExtent l="0" t="0" r="0" b="0"/>
            <wp:wrapNone/>
            <wp:docPr id="5572" name="Picture 5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200140" cy="2731135"/>
                    </a:xfrm>
                    <a:prstGeom prst="rect">
                      <a:avLst/>
                    </a:prstGeom>
                    <a:noFill/>
                  </pic:spPr>
                </pic:pic>
              </a:graphicData>
            </a:graphic>
          </wp:anchor>
        </w:drawing>
      </w:r>
    </w:p>
    <w:p w14:paraId="18CE30D3" w14:textId="77777777" w:rsidR="0054039C" w:rsidRPr="0054039C" w:rsidRDefault="0054039C" w:rsidP="0054039C">
      <w:pPr>
        <w:spacing w:line="480" w:lineRule="auto"/>
        <w:jc w:val="both"/>
        <w:rPr>
          <w:rFonts w:ascii="Arial" w:eastAsia="Times New Roman" w:hAnsi="Arial" w:cs="Arial"/>
          <w:color w:val="595959" w:themeColor="text1" w:themeTint="A6"/>
          <w:kern w:val="24"/>
        </w:rPr>
      </w:pPr>
    </w:p>
    <w:p w14:paraId="3933C4C0" w14:textId="77777777" w:rsidR="0054039C" w:rsidRPr="0054039C" w:rsidRDefault="0054039C" w:rsidP="0054039C">
      <w:pPr>
        <w:spacing w:line="480" w:lineRule="auto"/>
        <w:jc w:val="both"/>
        <w:rPr>
          <w:rFonts w:ascii="Arial" w:eastAsia="Times New Roman" w:hAnsi="Arial" w:cs="Arial"/>
          <w:color w:val="595959" w:themeColor="text1" w:themeTint="A6"/>
          <w:kern w:val="24"/>
        </w:rPr>
      </w:pPr>
    </w:p>
    <w:p w14:paraId="120FD923" w14:textId="77777777" w:rsidR="0054039C" w:rsidRPr="0054039C" w:rsidRDefault="0054039C" w:rsidP="0054039C">
      <w:pPr>
        <w:spacing w:line="480" w:lineRule="auto"/>
        <w:jc w:val="both"/>
        <w:rPr>
          <w:rFonts w:ascii="Arial" w:eastAsia="Times New Roman" w:hAnsi="Arial" w:cs="Arial"/>
          <w:color w:val="595959" w:themeColor="text1" w:themeTint="A6"/>
          <w:kern w:val="24"/>
        </w:rPr>
      </w:pPr>
    </w:p>
    <w:p w14:paraId="0509CFF6" w14:textId="77777777" w:rsidR="0054039C" w:rsidRPr="0054039C" w:rsidRDefault="0054039C" w:rsidP="0054039C">
      <w:pPr>
        <w:spacing w:line="480" w:lineRule="auto"/>
        <w:jc w:val="both"/>
        <w:rPr>
          <w:rFonts w:ascii="Arial" w:eastAsia="Times New Roman" w:hAnsi="Arial" w:cs="Arial"/>
          <w:color w:val="595959" w:themeColor="text1" w:themeTint="A6"/>
          <w:kern w:val="24"/>
        </w:rPr>
      </w:pPr>
    </w:p>
    <w:p w14:paraId="647BC557" w14:textId="77777777" w:rsidR="0054039C" w:rsidRPr="0054039C" w:rsidRDefault="0054039C" w:rsidP="0054039C">
      <w:pPr>
        <w:spacing w:line="480" w:lineRule="auto"/>
        <w:jc w:val="both"/>
        <w:rPr>
          <w:rFonts w:ascii="Arial" w:eastAsia="Times New Roman" w:hAnsi="Arial" w:cs="Arial"/>
          <w:color w:val="595959" w:themeColor="text1" w:themeTint="A6"/>
          <w:kern w:val="24"/>
        </w:rPr>
      </w:pPr>
    </w:p>
    <w:p w14:paraId="7B4E848D" w14:textId="77777777" w:rsidR="0054039C" w:rsidRPr="0054039C" w:rsidRDefault="0054039C" w:rsidP="0054039C">
      <w:pPr>
        <w:spacing w:line="480" w:lineRule="auto"/>
        <w:jc w:val="both"/>
        <w:rPr>
          <w:rFonts w:ascii="Arial" w:eastAsia="Times New Roman" w:hAnsi="Arial" w:cs="Arial"/>
          <w:color w:val="595959" w:themeColor="text1" w:themeTint="A6"/>
          <w:kern w:val="24"/>
        </w:rPr>
      </w:pPr>
    </w:p>
    <w:p w14:paraId="0E400F49" w14:textId="77777777" w:rsidR="0054039C" w:rsidRPr="0054039C" w:rsidRDefault="0054039C" w:rsidP="0054039C">
      <w:pPr>
        <w:spacing w:line="480" w:lineRule="auto"/>
        <w:jc w:val="both"/>
        <w:rPr>
          <w:rFonts w:ascii="Arial" w:eastAsia="Times New Roman" w:hAnsi="Arial" w:cs="Arial"/>
          <w:color w:val="595959" w:themeColor="text1" w:themeTint="A6"/>
          <w:kern w:val="24"/>
        </w:rPr>
      </w:pPr>
    </w:p>
    <w:p w14:paraId="4A9712F3" w14:textId="77777777" w:rsidR="0054039C" w:rsidRPr="0054039C" w:rsidRDefault="0054039C" w:rsidP="0054039C">
      <w:pPr>
        <w:spacing w:line="480" w:lineRule="auto"/>
        <w:jc w:val="both"/>
        <w:rPr>
          <w:rFonts w:ascii="Arial" w:eastAsia="Times New Roman" w:hAnsi="Arial" w:cs="Arial"/>
          <w:color w:val="595959" w:themeColor="text1" w:themeTint="A6"/>
          <w:kern w:val="24"/>
        </w:rPr>
      </w:pPr>
    </w:p>
    <w:p w14:paraId="20BECD4B" w14:textId="77777777" w:rsidR="0054039C" w:rsidRPr="0054039C" w:rsidRDefault="0054039C" w:rsidP="0054039C">
      <w:pPr>
        <w:spacing w:line="480" w:lineRule="auto"/>
        <w:jc w:val="both"/>
        <w:rPr>
          <w:rFonts w:ascii="Arial" w:eastAsia="Times New Roman" w:hAnsi="Arial" w:cs="Arial"/>
          <w:color w:val="595959" w:themeColor="text1" w:themeTint="A6"/>
          <w:kern w:val="24"/>
        </w:rPr>
      </w:pPr>
      <w:r w:rsidRPr="0054039C">
        <w:rPr>
          <w:rFonts w:ascii="Arial" w:hAnsi="Arial" w:cs="Arial"/>
          <w:noProof/>
          <w:color w:val="595959" w:themeColor="text1" w:themeTint="A6"/>
          <w:sz w:val="24"/>
          <w:szCs w:val="24"/>
          <w:lang w:eastAsia="zh-CN"/>
        </w:rPr>
        <mc:AlternateContent>
          <mc:Choice Requires="wps">
            <w:drawing>
              <wp:anchor distT="0" distB="0" distL="114300" distR="114300" simplePos="0" relativeHeight="251658281" behindDoc="0" locked="0" layoutInCell="1" allowOverlap="1" wp14:anchorId="35C4FD0F" wp14:editId="3C548B36">
                <wp:simplePos x="0" y="0"/>
                <wp:positionH relativeFrom="margin">
                  <wp:align>right</wp:align>
                </wp:positionH>
                <wp:positionV relativeFrom="paragraph">
                  <wp:posOffset>375920</wp:posOffset>
                </wp:positionV>
                <wp:extent cx="5734050" cy="1524000"/>
                <wp:effectExtent l="0" t="0" r="0" b="0"/>
                <wp:wrapNone/>
                <wp:docPr id="15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1524000"/>
                        </a:xfrm>
                        <a:prstGeom prst="rect">
                          <a:avLst/>
                        </a:prstGeom>
                        <a:solidFill>
                          <a:srgbClr val="FFFFFF"/>
                        </a:solidFill>
                        <a:ln w="9525">
                          <a:noFill/>
                          <a:miter lim="800000"/>
                          <a:headEnd/>
                          <a:tailEnd/>
                        </a:ln>
                      </wps:spPr>
                      <wps:txbx>
                        <w:txbxContent>
                          <w:p w14:paraId="69ADBF0D" w14:textId="0A44AEF6" w:rsidR="008A47AC" w:rsidRDefault="008A47AC" w:rsidP="0054039C">
                            <w:pPr>
                              <w:pStyle w:val="NormalWeb"/>
                              <w:spacing w:after="200"/>
                              <w:jc w:val="both"/>
                              <w:rPr>
                                <w:rFonts w:ascii="Arial Narrow" w:eastAsia="SimSun" w:hAnsi="Arial Narrow" w:cs="Arial"/>
                                <w:b/>
                                <w:bCs/>
                                <w:color w:val="595959"/>
                                <w:kern w:val="24"/>
                                <w:sz w:val="22"/>
                                <w:szCs w:val="22"/>
                              </w:rPr>
                            </w:pPr>
                            <w:r>
                              <w:rPr>
                                <w:rFonts w:ascii="Arial Narrow" w:eastAsia="SimSun" w:hAnsi="Arial Narrow" w:cs="Arial"/>
                                <w:b/>
                                <w:bCs/>
                                <w:color w:val="595959"/>
                                <w:kern w:val="24"/>
                                <w:sz w:val="22"/>
                                <w:szCs w:val="22"/>
                              </w:rPr>
                              <w:t xml:space="preserve">Figure 3.13 Immunoblotting for FN1-EDA abundance in NOF with and without TGFβ-1 stimulation </w:t>
                            </w:r>
                          </w:p>
                          <w:p w14:paraId="4987333C" w14:textId="77777777" w:rsidR="008A47AC" w:rsidRPr="00A6564F" w:rsidRDefault="008A47AC" w:rsidP="0054039C">
                            <w:pPr>
                              <w:pStyle w:val="NormalWeb"/>
                              <w:spacing w:after="200" w:line="276" w:lineRule="auto"/>
                              <w:jc w:val="both"/>
                              <w:rPr>
                                <w:rFonts w:ascii="Arial Narrow" w:eastAsia="SimSun" w:hAnsi="Arial Narrow" w:cs="Arial"/>
                                <w:color w:val="595959"/>
                                <w:kern w:val="24"/>
                                <w:sz w:val="22"/>
                              </w:rPr>
                            </w:pPr>
                            <w:r>
                              <w:rPr>
                                <w:rFonts w:ascii="Arial Narrow" w:eastAsia="SimSun" w:hAnsi="Arial Narrow" w:cs="Arial"/>
                                <w:color w:val="595959"/>
                                <w:kern w:val="24"/>
                                <w:sz w:val="22"/>
                              </w:rPr>
                              <w:t xml:space="preserve">NOF 2D monolayers were treated with </w:t>
                            </w:r>
                            <w:r w:rsidRPr="00944EBD">
                              <w:rPr>
                                <w:rFonts w:ascii="Arial Narrow" w:eastAsia="SimSun" w:hAnsi="Arial Narrow" w:cs="Arial"/>
                                <w:color w:val="595959"/>
                                <w:kern w:val="24"/>
                                <w:sz w:val="22"/>
                              </w:rPr>
                              <w:t xml:space="preserve">TGFβ-1 </w:t>
                            </w:r>
                            <w:r>
                              <w:rPr>
                                <w:rFonts w:ascii="Arial Narrow" w:eastAsia="SimSun" w:hAnsi="Arial Narrow" w:cs="Arial"/>
                                <w:color w:val="595959"/>
                                <w:kern w:val="24"/>
                                <w:sz w:val="22"/>
                              </w:rPr>
                              <w:t xml:space="preserve">for up to 72 h with FN1-EDA protein levels determined using immunoblotting (A). Densitometry of the resultant bands were measured using ImageJ and the intensity measured relative to GAPDH controls (B).  Data is expressed as relative fold change, with mean ± SD, N=3, n=2, **** denotes p &lt;0.0001 analysed by Kruskal-Wallis test with Dunn’s multiple comparison test.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C4FD0F" id="_x0000_s1075" type="#_x0000_t202" style="position:absolute;left:0;text-align:left;margin-left:400.3pt;margin-top:29.6pt;width:451.5pt;height:120pt;z-index:251658281;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" stroked="f">
                <v:textbox>
                  <w:txbxContent>
                    <w:p w14:paraId="69ADBF0D" w14:textId="0A44AEF6" w:rsidR="008A47AC" w:rsidRDefault="008A47AC" w:rsidP="0054039C">
                      <w:pPr>
                        <w:pStyle w:val="NormalWeb"/>
                        <w:spacing w:after="200"/>
                        <w:jc w:val="both"/>
                        <w:rPr>
                          <w:rFonts w:ascii="Arial Narrow" w:eastAsia="SimSun" w:hAnsi="Arial Narrow" w:cs="Arial"/>
                          <w:b/>
                          <w:bCs/>
                          <w:color w:val="595959"/>
                          <w:kern w:val="24"/>
                          <w:sz w:val="22"/>
                          <w:szCs w:val="22"/>
                        </w:rPr>
                      </w:pPr>
                      <w:r>
                        <w:rPr>
                          <w:rFonts w:ascii="Arial Narrow" w:eastAsia="SimSun" w:hAnsi="Arial Narrow" w:cs="Arial"/>
                          <w:b/>
                          <w:bCs/>
                          <w:color w:val="595959"/>
                          <w:kern w:val="24"/>
                          <w:sz w:val="22"/>
                          <w:szCs w:val="22"/>
                        </w:rPr>
                        <w:t xml:space="preserve">Figure 3.13 Immunoblotting for FN1-EDA abundance in NOF with and without TGFβ-1 stimulation </w:t>
                      </w:r>
                    </w:p>
                    <w:p w14:paraId="4987333C" w14:textId="77777777" w:rsidR="008A47AC" w:rsidRPr="00A6564F" w:rsidRDefault="008A47AC" w:rsidP="0054039C">
                      <w:pPr>
                        <w:pStyle w:val="NormalWeb"/>
                        <w:spacing w:after="200" w:line="276" w:lineRule="auto"/>
                        <w:jc w:val="both"/>
                        <w:rPr>
                          <w:rFonts w:ascii="Arial Narrow" w:eastAsia="SimSun" w:hAnsi="Arial Narrow" w:cs="Arial"/>
                          <w:color w:val="595959"/>
                          <w:kern w:val="24"/>
                          <w:sz w:val="22"/>
                        </w:rPr>
                      </w:pPr>
                      <w:r>
                        <w:rPr>
                          <w:rFonts w:ascii="Arial Narrow" w:eastAsia="SimSun" w:hAnsi="Arial Narrow" w:cs="Arial"/>
                          <w:color w:val="595959"/>
                          <w:kern w:val="24"/>
                          <w:sz w:val="22"/>
                        </w:rPr>
                        <w:t xml:space="preserve">NOF 2D monolayers were treated with </w:t>
                      </w:r>
                      <w:r w:rsidRPr="00944EBD">
                        <w:rPr>
                          <w:rFonts w:ascii="Arial Narrow" w:eastAsia="SimSun" w:hAnsi="Arial Narrow" w:cs="Arial"/>
                          <w:color w:val="595959"/>
                          <w:kern w:val="24"/>
                          <w:sz w:val="22"/>
                        </w:rPr>
                        <w:t xml:space="preserve">TGFβ-1 </w:t>
                      </w:r>
                      <w:r>
                        <w:rPr>
                          <w:rFonts w:ascii="Arial Narrow" w:eastAsia="SimSun" w:hAnsi="Arial Narrow" w:cs="Arial"/>
                          <w:color w:val="595959"/>
                          <w:kern w:val="24"/>
                          <w:sz w:val="22"/>
                        </w:rPr>
                        <w:t xml:space="preserve">for up to 72 h with FN1-EDA protein levels determined using immunoblotting (A). Densitometry of the resultant bands were measured using ImageJ and the intensity measured relative to GAPDH controls (B).  Data is expressed as relative fold change, with mean ± SD, N=3, n=2, **** denotes p &lt;0.0001 analysed by Kruskal-Wallis test with Dunn’s multiple comparison test.  </w:t>
                      </w:r>
                    </w:p>
                  </w:txbxContent>
                </v:textbox>
                <w10:wrap anchorx="margin"/>
              </v:shape>
            </w:pict>
          </mc:Fallback>
        </mc:AlternateContent>
      </w:r>
    </w:p>
    <w:p w14:paraId="52D687FE" w14:textId="77777777" w:rsidR="0054039C" w:rsidRPr="0054039C" w:rsidRDefault="0054039C" w:rsidP="0054039C">
      <w:pPr>
        <w:spacing w:line="480" w:lineRule="auto"/>
        <w:jc w:val="both"/>
        <w:rPr>
          <w:rFonts w:ascii="Arial" w:eastAsia="Times New Roman" w:hAnsi="Arial" w:cs="Arial"/>
          <w:color w:val="595959" w:themeColor="text1" w:themeTint="A6"/>
          <w:kern w:val="24"/>
        </w:rPr>
      </w:pPr>
    </w:p>
    <w:p w14:paraId="0B2BFBA3" w14:textId="77777777" w:rsidR="0054039C" w:rsidRPr="0054039C" w:rsidRDefault="0054039C" w:rsidP="0054039C">
      <w:pPr>
        <w:spacing w:line="480" w:lineRule="auto"/>
        <w:jc w:val="both"/>
        <w:rPr>
          <w:rFonts w:ascii="Arial" w:eastAsia="Times New Roman" w:hAnsi="Arial" w:cs="Arial"/>
          <w:color w:val="595959" w:themeColor="text1" w:themeTint="A6"/>
          <w:kern w:val="24"/>
        </w:rPr>
      </w:pPr>
    </w:p>
    <w:p w14:paraId="31613FF5" w14:textId="77777777" w:rsidR="0054039C" w:rsidRPr="0054039C" w:rsidRDefault="0054039C" w:rsidP="0054039C">
      <w:pPr>
        <w:spacing w:line="480" w:lineRule="auto"/>
        <w:jc w:val="both"/>
        <w:rPr>
          <w:rFonts w:ascii="Arial" w:eastAsia="Times New Roman" w:hAnsi="Arial" w:cs="Arial"/>
          <w:color w:val="595959" w:themeColor="text1" w:themeTint="A6"/>
          <w:kern w:val="24"/>
        </w:rPr>
      </w:pPr>
    </w:p>
    <w:p w14:paraId="7ADF6621" w14:textId="008B0BA2" w:rsidR="0054039C" w:rsidRDefault="0054039C" w:rsidP="0054039C">
      <w:pPr>
        <w:spacing w:line="480" w:lineRule="auto"/>
        <w:jc w:val="both"/>
        <w:rPr>
          <w:rFonts w:ascii="Arial" w:eastAsia="Times New Roman" w:hAnsi="Arial" w:cs="Arial"/>
          <w:color w:val="595959" w:themeColor="text1" w:themeTint="A6"/>
          <w:kern w:val="24"/>
        </w:rPr>
      </w:pPr>
    </w:p>
    <w:p w14:paraId="7149EB2A" w14:textId="77777777" w:rsidR="00E31505" w:rsidRPr="0054039C" w:rsidRDefault="00E31505" w:rsidP="0054039C">
      <w:pPr>
        <w:spacing w:line="480" w:lineRule="auto"/>
        <w:jc w:val="both"/>
        <w:rPr>
          <w:rFonts w:ascii="Arial" w:eastAsia="Times New Roman" w:hAnsi="Arial" w:cs="Arial"/>
          <w:color w:val="595959" w:themeColor="text1" w:themeTint="A6"/>
          <w:kern w:val="24"/>
        </w:rPr>
      </w:pPr>
    </w:p>
    <w:p w14:paraId="675DEECE" w14:textId="562FBDA3" w:rsidR="0054039C" w:rsidRPr="0054039C" w:rsidRDefault="0054039C" w:rsidP="0054039C">
      <w:pPr>
        <w:keepNext/>
        <w:keepLines/>
        <w:spacing w:before="40" w:after="0"/>
        <w:outlineLvl w:val="4"/>
        <w:rPr>
          <w:rFonts w:ascii="Arial" w:eastAsia="Times New Roman" w:hAnsi="Arial" w:cs="Arial"/>
          <w:color w:val="595959" w:themeColor="text1" w:themeTint="A6"/>
          <w:kern w:val="24"/>
        </w:rPr>
      </w:pPr>
      <w:bookmarkStart w:id="266" w:name="_Toc7107255"/>
      <w:bookmarkStart w:id="267" w:name="_Toc34208360"/>
      <w:r w:rsidRPr="0054039C">
        <w:rPr>
          <w:rFonts w:ascii="Arial" w:eastAsia="Times New Roman" w:hAnsi="Arial" w:cs="Arial"/>
          <w:color w:val="595959" w:themeColor="text1" w:themeTint="A6"/>
          <w:kern w:val="24"/>
        </w:rPr>
        <w:lastRenderedPageBreak/>
        <w:t>3.3</w:t>
      </w:r>
      <w:r w:rsidR="00E31505">
        <w:rPr>
          <w:rFonts w:ascii="Arial" w:eastAsia="Times New Roman" w:hAnsi="Arial" w:cs="Arial"/>
          <w:color w:val="595959" w:themeColor="text1" w:themeTint="A6"/>
          <w:kern w:val="24"/>
        </w:rPr>
        <w:t>.1.4.</w:t>
      </w:r>
      <w:r w:rsidRPr="0054039C">
        <w:rPr>
          <w:rFonts w:ascii="Arial" w:eastAsia="Times New Roman" w:hAnsi="Arial" w:cs="Arial"/>
          <w:color w:val="595959" w:themeColor="text1" w:themeTint="A6"/>
          <w:kern w:val="24"/>
        </w:rPr>
        <w:t>3 COL1A1 protein abundance in normal oral fibroblasts</w:t>
      </w:r>
      <w:bookmarkEnd w:id="266"/>
      <w:bookmarkEnd w:id="267"/>
    </w:p>
    <w:p w14:paraId="199F478E" w14:textId="77777777" w:rsidR="0054039C" w:rsidRPr="0054039C" w:rsidRDefault="0054039C" w:rsidP="0054039C"/>
    <w:p w14:paraId="0E88C996" w14:textId="6C27CFFE" w:rsidR="0054039C" w:rsidRPr="0054039C" w:rsidRDefault="0054039C" w:rsidP="00E31505">
      <w:pPr>
        <w:spacing w:line="480" w:lineRule="auto"/>
        <w:jc w:val="both"/>
        <w:rPr>
          <w:rFonts w:ascii="Arial" w:eastAsia="Times New Roman" w:hAnsi="Arial" w:cs="Arial"/>
          <w:color w:val="595959" w:themeColor="text1" w:themeTint="A6"/>
          <w:kern w:val="24"/>
        </w:rPr>
      </w:pPr>
      <w:r w:rsidRPr="0054039C">
        <w:rPr>
          <w:rFonts w:ascii="Arial" w:eastAsia="Times New Roman" w:hAnsi="Arial" w:cs="Arial"/>
          <w:color w:val="595959" w:themeColor="text1" w:themeTint="A6"/>
          <w:kern w:val="24"/>
        </w:rPr>
        <w:t xml:space="preserve">COL1A1 protein was present in both control and TGFβ-1 treated samples up to 72 h </w:t>
      </w:r>
      <w:r w:rsidRPr="0054039C">
        <w:rPr>
          <w:rFonts w:ascii="Arial" w:eastAsia="Times New Roman" w:hAnsi="Arial" w:cs="Arial"/>
          <w:i/>
          <w:iCs/>
          <w:color w:val="595959" w:themeColor="text1" w:themeTint="A6"/>
          <w:kern w:val="24"/>
        </w:rPr>
        <w:t>in vitro</w:t>
      </w:r>
      <w:r w:rsidRPr="0054039C">
        <w:rPr>
          <w:rFonts w:ascii="Arial" w:eastAsia="Times New Roman" w:hAnsi="Arial" w:cs="Arial"/>
          <w:color w:val="595959" w:themeColor="text1" w:themeTint="A6"/>
          <w:kern w:val="24"/>
        </w:rPr>
        <w:t xml:space="preserve"> (Figure 3.1</w:t>
      </w:r>
      <w:r w:rsidR="00837F17">
        <w:rPr>
          <w:rFonts w:ascii="Arial" w:eastAsia="Times New Roman" w:hAnsi="Arial" w:cs="Arial"/>
          <w:color w:val="595959" w:themeColor="text1" w:themeTint="A6"/>
          <w:kern w:val="24"/>
        </w:rPr>
        <w:t>4</w:t>
      </w:r>
      <w:r w:rsidRPr="0054039C">
        <w:rPr>
          <w:rFonts w:ascii="Arial" w:eastAsia="Times New Roman" w:hAnsi="Arial" w:cs="Arial"/>
          <w:color w:val="595959" w:themeColor="text1" w:themeTint="A6"/>
          <w:kern w:val="24"/>
        </w:rPr>
        <w:t xml:space="preserve"> A).  Anal</w:t>
      </w:r>
      <w:r w:rsidR="00E31505">
        <w:rPr>
          <w:rFonts w:ascii="Arial" w:eastAsia="Times New Roman" w:hAnsi="Arial" w:cs="Arial"/>
          <w:color w:val="595959" w:themeColor="text1" w:themeTint="A6"/>
          <w:kern w:val="24"/>
        </w:rPr>
        <w:t>ysis of band intensity indicated</w:t>
      </w:r>
      <w:r w:rsidRPr="0054039C">
        <w:rPr>
          <w:rFonts w:ascii="Arial" w:eastAsia="Times New Roman" w:hAnsi="Arial" w:cs="Arial"/>
          <w:color w:val="595959" w:themeColor="text1" w:themeTint="A6"/>
          <w:kern w:val="24"/>
        </w:rPr>
        <w:t xml:space="preserve"> that COL1A1 significantly increased with TGFβ-1 treatment </w:t>
      </w:r>
      <w:r w:rsidR="00C66C38">
        <w:rPr>
          <w:rFonts w:ascii="Arial" w:eastAsia="Times New Roman" w:hAnsi="Arial" w:cs="Arial"/>
          <w:color w:val="595959" w:themeColor="text1" w:themeTint="A6"/>
          <w:kern w:val="24"/>
        </w:rPr>
        <w:t xml:space="preserve">at 72 h </w:t>
      </w:r>
      <w:r w:rsidR="00050660">
        <w:rPr>
          <w:rFonts w:ascii="Arial" w:eastAsia="Times New Roman" w:hAnsi="Arial" w:cs="Arial"/>
          <w:color w:val="595959" w:themeColor="text1" w:themeTint="A6"/>
          <w:kern w:val="24"/>
        </w:rPr>
        <w:t>(</w:t>
      </w:r>
      <w:r w:rsidR="00050660" w:rsidRPr="0054039C">
        <w:rPr>
          <w:rFonts w:ascii="Arial" w:eastAsia="Times New Roman" w:hAnsi="Arial" w:cs="Arial"/>
          <w:color w:val="595959" w:themeColor="text1" w:themeTint="A6"/>
          <w:kern w:val="24"/>
        </w:rPr>
        <w:t>1.66 ± 0.09-fold increase</w:t>
      </w:r>
      <w:r w:rsidR="00050660">
        <w:rPr>
          <w:rFonts w:ascii="Arial" w:eastAsia="Times New Roman" w:hAnsi="Arial" w:cs="Arial"/>
          <w:color w:val="595959" w:themeColor="text1" w:themeTint="A6"/>
          <w:kern w:val="24"/>
        </w:rPr>
        <w:t>)</w:t>
      </w:r>
      <w:r w:rsidR="00050660" w:rsidRPr="0054039C">
        <w:rPr>
          <w:rFonts w:ascii="Arial" w:eastAsia="Times New Roman" w:hAnsi="Arial" w:cs="Arial"/>
          <w:color w:val="595959" w:themeColor="text1" w:themeTint="A6"/>
          <w:kern w:val="24"/>
        </w:rPr>
        <w:t xml:space="preserve"> </w:t>
      </w:r>
      <w:r w:rsidRPr="0054039C">
        <w:rPr>
          <w:rFonts w:ascii="Arial" w:eastAsia="Times New Roman" w:hAnsi="Arial" w:cs="Arial"/>
          <w:color w:val="595959" w:themeColor="text1" w:themeTint="A6"/>
          <w:kern w:val="24"/>
        </w:rPr>
        <w:t>compared to 24 h control group</w:t>
      </w:r>
      <w:r w:rsidR="00050660">
        <w:rPr>
          <w:rFonts w:ascii="Arial" w:eastAsia="Times New Roman" w:hAnsi="Arial" w:cs="Arial"/>
          <w:color w:val="595959" w:themeColor="text1" w:themeTint="A6"/>
          <w:kern w:val="24"/>
        </w:rPr>
        <w:t>, p=</w:t>
      </w:r>
      <w:r w:rsidR="00947937">
        <w:rPr>
          <w:rFonts w:ascii="Arial" w:eastAsia="Times New Roman" w:hAnsi="Arial" w:cs="Arial"/>
          <w:color w:val="595959" w:themeColor="text1" w:themeTint="A6"/>
          <w:kern w:val="24"/>
        </w:rPr>
        <w:t>0.0064</w:t>
      </w:r>
      <w:r w:rsidRPr="0054039C">
        <w:rPr>
          <w:rFonts w:ascii="Arial" w:eastAsia="Times New Roman" w:hAnsi="Arial" w:cs="Arial"/>
          <w:color w:val="595959" w:themeColor="text1" w:themeTint="A6"/>
          <w:kern w:val="24"/>
        </w:rPr>
        <w:t xml:space="preserve"> (Figure 3.1</w:t>
      </w:r>
      <w:r w:rsidR="00744A8B">
        <w:rPr>
          <w:rFonts w:ascii="Arial" w:eastAsia="Times New Roman" w:hAnsi="Arial" w:cs="Arial"/>
          <w:color w:val="595959" w:themeColor="text1" w:themeTint="A6"/>
          <w:kern w:val="24"/>
        </w:rPr>
        <w:t>4</w:t>
      </w:r>
      <w:r w:rsidRPr="0054039C">
        <w:rPr>
          <w:rFonts w:ascii="Arial" w:eastAsia="Times New Roman" w:hAnsi="Arial" w:cs="Arial"/>
          <w:color w:val="595959" w:themeColor="text1" w:themeTint="A6"/>
          <w:kern w:val="24"/>
        </w:rPr>
        <w:t xml:space="preserve"> B). </w:t>
      </w:r>
      <w:r w:rsidR="00947937">
        <w:rPr>
          <w:rFonts w:ascii="Arial" w:eastAsia="Times New Roman" w:hAnsi="Arial" w:cs="Arial"/>
          <w:color w:val="595959" w:themeColor="text1" w:themeTint="A6"/>
          <w:kern w:val="24"/>
        </w:rPr>
        <w:t xml:space="preserve">No </w:t>
      </w:r>
      <w:r w:rsidRPr="0054039C">
        <w:rPr>
          <w:rFonts w:ascii="Arial" w:eastAsia="Times New Roman" w:hAnsi="Arial" w:cs="Arial"/>
          <w:color w:val="595959" w:themeColor="text1" w:themeTint="A6"/>
          <w:kern w:val="24"/>
        </w:rPr>
        <w:t xml:space="preserve">significant </w:t>
      </w:r>
      <w:r w:rsidR="00E31505">
        <w:rPr>
          <w:rFonts w:ascii="Arial" w:eastAsia="Times New Roman" w:hAnsi="Arial" w:cs="Arial"/>
          <w:color w:val="595959" w:themeColor="text1" w:themeTint="A6"/>
          <w:kern w:val="24"/>
        </w:rPr>
        <w:t xml:space="preserve">increase in protein abundance </w:t>
      </w:r>
      <w:r w:rsidRPr="0054039C">
        <w:rPr>
          <w:rFonts w:ascii="Arial" w:eastAsia="Times New Roman" w:hAnsi="Arial" w:cs="Arial"/>
          <w:color w:val="595959" w:themeColor="text1" w:themeTint="A6"/>
          <w:kern w:val="24"/>
        </w:rPr>
        <w:t xml:space="preserve">was observed </w:t>
      </w:r>
      <w:r w:rsidR="007C1AE9">
        <w:rPr>
          <w:rFonts w:ascii="Arial" w:eastAsia="Times New Roman" w:hAnsi="Arial" w:cs="Arial"/>
          <w:color w:val="595959" w:themeColor="text1" w:themeTint="A6"/>
          <w:kern w:val="24"/>
        </w:rPr>
        <w:t xml:space="preserve">for </w:t>
      </w:r>
      <w:r w:rsidRPr="0054039C">
        <w:rPr>
          <w:rFonts w:ascii="Arial" w:eastAsia="Times New Roman" w:hAnsi="Arial" w:cs="Arial"/>
          <w:color w:val="595959" w:themeColor="text1" w:themeTint="A6"/>
          <w:kern w:val="24"/>
        </w:rPr>
        <w:t xml:space="preserve">both 24 h and 48 h with TGFβ-1 treatment compared to 24 h control samples. </w:t>
      </w:r>
    </w:p>
    <w:p w14:paraId="30AA3F68" w14:textId="77777777" w:rsidR="0054039C" w:rsidRPr="0054039C" w:rsidRDefault="0054039C" w:rsidP="0054039C">
      <w:pPr>
        <w:spacing w:line="480" w:lineRule="auto"/>
        <w:jc w:val="both"/>
        <w:rPr>
          <w:rFonts w:ascii="Arial" w:eastAsia="Times New Roman" w:hAnsi="Arial" w:cs="Arial"/>
          <w:color w:val="595959" w:themeColor="text1" w:themeTint="A6"/>
          <w:kern w:val="24"/>
        </w:rPr>
      </w:pPr>
    </w:p>
    <w:p w14:paraId="0E4F504D" w14:textId="2BB22BEB" w:rsidR="0054039C" w:rsidRPr="0054039C" w:rsidRDefault="0054039C" w:rsidP="0054039C">
      <w:pPr>
        <w:spacing w:line="480" w:lineRule="auto"/>
        <w:jc w:val="both"/>
        <w:rPr>
          <w:rFonts w:ascii="Arial" w:eastAsia="Times New Roman" w:hAnsi="Arial" w:cs="Arial"/>
          <w:color w:val="595959" w:themeColor="text1" w:themeTint="A6"/>
          <w:kern w:val="24"/>
        </w:rPr>
      </w:pPr>
      <w:r w:rsidRPr="0054039C">
        <w:rPr>
          <w:rFonts w:ascii="Arial" w:eastAsia="Times New Roman" w:hAnsi="Arial" w:cs="Arial"/>
          <w:noProof/>
          <w:color w:val="595959" w:themeColor="text1" w:themeTint="A6"/>
          <w:kern w:val="24"/>
          <w:lang w:eastAsia="zh-CN"/>
        </w:rPr>
        <w:drawing>
          <wp:anchor distT="0" distB="0" distL="114300" distR="114300" simplePos="0" relativeHeight="251656190" behindDoc="0" locked="0" layoutInCell="1" allowOverlap="1" wp14:anchorId="12BE5099" wp14:editId="6F4F51E8">
            <wp:simplePos x="0" y="0"/>
            <wp:positionH relativeFrom="margin">
              <wp:posOffset>64202</wp:posOffset>
            </wp:positionH>
            <wp:positionV relativeFrom="paragraph">
              <wp:posOffset>99428</wp:posOffset>
            </wp:positionV>
            <wp:extent cx="3382392" cy="2352040"/>
            <wp:effectExtent l="0" t="0" r="8890" b="0"/>
            <wp:wrapNone/>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r="41004"/>
                    <a:stretch/>
                  </pic:blipFill>
                  <pic:spPr bwMode="auto">
                    <a:xfrm>
                      <a:off x="0" y="0"/>
                      <a:ext cx="3382392" cy="23520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3C85372" w14:textId="42C11F96" w:rsidR="0054039C" w:rsidRPr="0054039C" w:rsidRDefault="00652AC8" w:rsidP="0054039C">
      <w:pPr>
        <w:spacing w:line="480" w:lineRule="auto"/>
        <w:jc w:val="both"/>
        <w:rPr>
          <w:rFonts w:ascii="Arial" w:eastAsia="Times New Roman" w:hAnsi="Arial" w:cs="Arial"/>
          <w:color w:val="595959" w:themeColor="text1" w:themeTint="A6"/>
          <w:kern w:val="24"/>
        </w:rPr>
      </w:pPr>
      <w:r w:rsidRPr="00652AC8">
        <w:rPr>
          <w:noProof/>
        </w:rPr>
        <w:drawing>
          <wp:anchor distT="0" distB="0" distL="114300" distR="114300" simplePos="0" relativeHeight="251658485" behindDoc="0" locked="0" layoutInCell="1" allowOverlap="1" wp14:anchorId="26CA62B7" wp14:editId="51DD6137">
            <wp:simplePos x="0" y="0"/>
            <wp:positionH relativeFrom="margin">
              <wp:posOffset>3585778</wp:posOffset>
            </wp:positionH>
            <wp:positionV relativeFrom="paragraph">
              <wp:posOffset>90304</wp:posOffset>
            </wp:positionV>
            <wp:extent cx="2627519" cy="1723016"/>
            <wp:effectExtent l="0" t="0" r="0" b="0"/>
            <wp:wrapNone/>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627519" cy="172301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735FC1B" w14:textId="75E64FF2" w:rsidR="0054039C" w:rsidRPr="0054039C" w:rsidRDefault="0054039C" w:rsidP="0054039C">
      <w:pPr>
        <w:spacing w:line="480" w:lineRule="auto"/>
        <w:jc w:val="both"/>
        <w:rPr>
          <w:rFonts w:ascii="Arial" w:eastAsia="Times New Roman" w:hAnsi="Arial" w:cs="Arial"/>
          <w:color w:val="595959" w:themeColor="text1" w:themeTint="A6"/>
          <w:kern w:val="24"/>
        </w:rPr>
      </w:pPr>
    </w:p>
    <w:p w14:paraId="3D155A6C" w14:textId="19B84B98" w:rsidR="0054039C" w:rsidRPr="0054039C" w:rsidRDefault="004A32E2" w:rsidP="0054039C">
      <w:pPr>
        <w:spacing w:line="480" w:lineRule="auto"/>
        <w:jc w:val="both"/>
        <w:rPr>
          <w:rFonts w:ascii="Arial" w:eastAsia="Times New Roman" w:hAnsi="Arial" w:cs="Arial"/>
          <w:color w:val="595959" w:themeColor="text1" w:themeTint="A6"/>
          <w:kern w:val="24"/>
        </w:rPr>
      </w:pPr>
      <w:r w:rsidRPr="00DA314C">
        <w:rPr>
          <w:rFonts w:ascii="Arial" w:eastAsia="Times New Roman" w:hAnsi="Arial" w:cs="Arial"/>
          <w:noProof/>
          <w:color w:val="595959" w:themeColor="text1" w:themeTint="A6"/>
          <w:kern w:val="24"/>
        </w:rPr>
        <mc:AlternateContent>
          <mc:Choice Requires="wps">
            <w:drawing>
              <wp:anchor distT="0" distB="0" distL="114300" distR="114300" simplePos="0" relativeHeight="251662603" behindDoc="0" locked="0" layoutInCell="1" allowOverlap="1" wp14:anchorId="426CEB92" wp14:editId="3456A8ED">
                <wp:simplePos x="0" y="0"/>
                <wp:positionH relativeFrom="column">
                  <wp:posOffset>3095992</wp:posOffset>
                </wp:positionH>
                <wp:positionV relativeFrom="paragraph">
                  <wp:posOffset>47759</wp:posOffset>
                </wp:positionV>
                <wp:extent cx="1395663" cy="802105"/>
                <wp:effectExtent l="0" t="0" r="0" b="0"/>
                <wp:wrapNone/>
                <wp:docPr id="5573" name="TextBox 5"/>
                <wp:cNvGraphicFramePr/>
                <a:graphic xmlns:a="http://schemas.openxmlformats.org/drawingml/2006/main">
                  <a:graphicData uri="http://schemas.microsoft.com/office/word/2010/wordprocessingShape">
                    <wps:wsp>
                      <wps:cNvSpPr txBox="1"/>
                      <wps:spPr>
                        <a:xfrm>
                          <a:off x="0" y="0"/>
                          <a:ext cx="1395663" cy="802105"/>
                        </a:xfrm>
                        <a:prstGeom prst="rect">
                          <a:avLst/>
                        </a:prstGeom>
                        <a:noFill/>
                      </wps:spPr>
                      <wps:txbx>
                        <w:txbxContent>
                          <w:p w14:paraId="6123C49C" w14:textId="0B521DB1" w:rsidR="008A47AC" w:rsidRPr="00DA314C" w:rsidRDefault="008A47AC" w:rsidP="00DA314C">
                            <w:pPr>
                              <w:rPr>
                                <w:rFonts w:hAnsi="Calibri"/>
                                <w:color w:val="000000" w:themeColor="text1"/>
                                <w:kern w:val="24"/>
                                <w:sz w:val="20"/>
                                <w:szCs w:val="20"/>
                              </w:rPr>
                            </w:pPr>
                            <w:r w:rsidRPr="00DA314C">
                              <w:rPr>
                                <w:rFonts w:hAnsi="Calibri"/>
                                <w:color w:val="000000" w:themeColor="text1"/>
                                <w:kern w:val="24"/>
                                <w:sz w:val="20"/>
                                <w:szCs w:val="20"/>
                              </w:rPr>
                              <w:t>200 KDa</w:t>
                            </w:r>
                          </w:p>
                          <w:p w14:paraId="343A83DE" w14:textId="19F0910B" w:rsidR="008A47AC" w:rsidRPr="00DA314C" w:rsidRDefault="008A47AC" w:rsidP="00DA314C">
                            <w:pPr>
                              <w:rPr>
                                <w:sz w:val="20"/>
                                <w:szCs w:val="20"/>
                              </w:rPr>
                            </w:pPr>
                            <w:r w:rsidRPr="00DA314C">
                              <w:rPr>
                                <w:rFonts w:hAnsi="Calibri"/>
                                <w:color w:val="000000" w:themeColor="text1"/>
                                <w:kern w:val="24"/>
                                <w:sz w:val="20"/>
                                <w:szCs w:val="20"/>
                              </w:rPr>
                              <w:t>36 KDa</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26CEB92" id="TextBox 5" o:spid="_x0000_s1076" type="#_x0000_t202" style="position:absolute;left:0;text-align:left;margin-left:243.8pt;margin-top:3.75pt;width:109.9pt;height:63.15pt;z-index:2516626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" filled="f" stroked="f">
                <v:textbox>
                  <w:txbxContent>
                    <w:p w14:paraId="6123C49C" w14:textId="0B521DB1" w:rsidR="008A47AC" w:rsidRPr="00DA314C" w:rsidRDefault="008A47AC" w:rsidP="00DA314C">
                      <w:pPr>
                        <w:rPr>
                          <w:rFonts w:hAnsi="Calibri"/>
                          <w:color w:val="000000" w:themeColor="text1"/>
                          <w:kern w:val="24"/>
                          <w:sz w:val="20"/>
                          <w:szCs w:val="20"/>
                        </w:rPr>
                      </w:pPr>
                      <w:r w:rsidRPr="00DA314C">
                        <w:rPr>
                          <w:rFonts w:hAnsi="Calibri"/>
                          <w:color w:val="000000" w:themeColor="text1"/>
                          <w:kern w:val="24"/>
                          <w:sz w:val="20"/>
                          <w:szCs w:val="20"/>
                        </w:rPr>
                        <w:t xml:space="preserve">200 </w:t>
                      </w:r>
                      <w:proofErr w:type="spellStart"/>
                      <w:r w:rsidRPr="00DA314C">
                        <w:rPr>
                          <w:rFonts w:hAnsi="Calibri"/>
                          <w:color w:val="000000" w:themeColor="text1"/>
                          <w:kern w:val="24"/>
                          <w:sz w:val="20"/>
                          <w:szCs w:val="20"/>
                        </w:rPr>
                        <w:t>KDa</w:t>
                      </w:r>
                      <w:proofErr w:type="spellEnd"/>
                    </w:p>
                    <w:p w14:paraId="343A83DE" w14:textId="19F0910B" w:rsidR="008A47AC" w:rsidRPr="00DA314C" w:rsidRDefault="008A47AC" w:rsidP="00DA314C">
                      <w:pPr>
                        <w:rPr>
                          <w:sz w:val="20"/>
                          <w:szCs w:val="20"/>
                        </w:rPr>
                      </w:pPr>
                      <w:r w:rsidRPr="00DA314C">
                        <w:rPr>
                          <w:rFonts w:hAnsi="Calibri"/>
                          <w:color w:val="000000" w:themeColor="text1"/>
                          <w:kern w:val="24"/>
                          <w:sz w:val="20"/>
                          <w:szCs w:val="20"/>
                        </w:rPr>
                        <w:t xml:space="preserve">36 </w:t>
                      </w:r>
                      <w:proofErr w:type="spellStart"/>
                      <w:r w:rsidRPr="00DA314C">
                        <w:rPr>
                          <w:rFonts w:hAnsi="Calibri"/>
                          <w:color w:val="000000" w:themeColor="text1"/>
                          <w:kern w:val="24"/>
                          <w:sz w:val="20"/>
                          <w:szCs w:val="20"/>
                        </w:rPr>
                        <w:t>KDa</w:t>
                      </w:r>
                      <w:proofErr w:type="spellEnd"/>
                    </w:p>
                  </w:txbxContent>
                </v:textbox>
              </v:shape>
            </w:pict>
          </mc:Fallback>
        </mc:AlternateContent>
      </w:r>
    </w:p>
    <w:p w14:paraId="773AA711" w14:textId="12D6DEFF" w:rsidR="0054039C" w:rsidRPr="0054039C" w:rsidRDefault="0054039C" w:rsidP="0054039C">
      <w:pPr>
        <w:spacing w:line="480" w:lineRule="auto"/>
        <w:jc w:val="both"/>
        <w:rPr>
          <w:rFonts w:ascii="Arial" w:eastAsia="Times New Roman" w:hAnsi="Arial" w:cs="Arial"/>
          <w:color w:val="595959" w:themeColor="text1" w:themeTint="A6"/>
          <w:kern w:val="24"/>
        </w:rPr>
      </w:pPr>
    </w:p>
    <w:p w14:paraId="20281C1B" w14:textId="0F3C5C94" w:rsidR="0054039C" w:rsidRPr="0054039C" w:rsidRDefault="0054039C" w:rsidP="0054039C">
      <w:pPr>
        <w:spacing w:line="480" w:lineRule="auto"/>
        <w:jc w:val="both"/>
        <w:rPr>
          <w:rFonts w:ascii="Arial" w:eastAsia="Times New Roman" w:hAnsi="Arial" w:cs="Arial"/>
          <w:color w:val="595959" w:themeColor="text1" w:themeTint="A6"/>
          <w:kern w:val="24"/>
        </w:rPr>
      </w:pPr>
    </w:p>
    <w:p w14:paraId="3DCB050F" w14:textId="77777777" w:rsidR="0054039C" w:rsidRPr="0054039C" w:rsidRDefault="0054039C" w:rsidP="0054039C">
      <w:pPr>
        <w:spacing w:line="480" w:lineRule="auto"/>
        <w:jc w:val="both"/>
        <w:rPr>
          <w:rFonts w:ascii="Arial" w:eastAsia="Times New Roman" w:hAnsi="Arial" w:cs="Arial"/>
          <w:color w:val="595959" w:themeColor="text1" w:themeTint="A6"/>
          <w:kern w:val="24"/>
        </w:rPr>
      </w:pPr>
    </w:p>
    <w:p w14:paraId="308DF4B4" w14:textId="77777777" w:rsidR="0054039C" w:rsidRPr="0054039C" w:rsidRDefault="0054039C" w:rsidP="0054039C">
      <w:pPr>
        <w:spacing w:line="480" w:lineRule="auto"/>
        <w:jc w:val="both"/>
        <w:rPr>
          <w:rFonts w:ascii="Arial" w:eastAsia="Times New Roman" w:hAnsi="Arial" w:cs="Arial"/>
          <w:color w:val="595959" w:themeColor="text1" w:themeTint="A6"/>
          <w:kern w:val="24"/>
        </w:rPr>
      </w:pPr>
    </w:p>
    <w:p w14:paraId="50F17894" w14:textId="77777777" w:rsidR="0054039C" w:rsidRPr="0054039C" w:rsidRDefault="0054039C" w:rsidP="0054039C">
      <w:pPr>
        <w:spacing w:line="480" w:lineRule="auto"/>
        <w:jc w:val="both"/>
        <w:rPr>
          <w:rFonts w:ascii="Arial" w:eastAsia="Times New Roman" w:hAnsi="Arial" w:cs="Arial"/>
          <w:color w:val="595959" w:themeColor="text1" w:themeTint="A6"/>
          <w:kern w:val="24"/>
        </w:rPr>
      </w:pPr>
      <w:r w:rsidRPr="0054039C">
        <w:rPr>
          <w:rFonts w:ascii="Arial" w:hAnsi="Arial" w:cs="Arial"/>
          <w:noProof/>
          <w:color w:val="595959" w:themeColor="text1" w:themeTint="A6"/>
          <w:sz w:val="24"/>
          <w:szCs w:val="24"/>
          <w:lang w:eastAsia="zh-CN"/>
        </w:rPr>
        <mc:AlternateContent>
          <mc:Choice Requires="wps">
            <w:drawing>
              <wp:anchor distT="0" distB="0" distL="114300" distR="114300" simplePos="0" relativeHeight="251658283" behindDoc="0" locked="0" layoutInCell="1" allowOverlap="1" wp14:anchorId="2AB68EDD" wp14:editId="0894ABCE">
                <wp:simplePos x="0" y="0"/>
                <wp:positionH relativeFrom="margin">
                  <wp:align>right</wp:align>
                </wp:positionH>
                <wp:positionV relativeFrom="paragraph">
                  <wp:posOffset>144781</wp:posOffset>
                </wp:positionV>
                <wp:extent cx="5734050" cy="1485900"/>
                <wp:effectExtent l="0" t="0" r="0" b="0"/>
                <wp:wrapNone/>
                <wp:docPr id="15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1485900"/>
                        </a:xfrm>
                        <a:prstGeom prst="rect">
                          <a:avLst/>
                        </a:prstGeom>
                        <a:solidFill>
                          <a:srgbClr val="FFFFFF"/>
                        </a:solidFill>
                        <a:ln w="9525">
                          <a:noFill/>
                          <a:miter lim="800000"/>
                          <a:headEnd/>
                          <a:tailEnd/>
                        </a:ln>
                      </wps:spPr>
                      <wps:txbx>
                        <w:txbxContent>
                          <w:p w14:paraId="47007994" w14:textId="44DCB2B7" w:rsidR="008A47AC" w:rsidRDefault="008A47AC" w:rsidP="0054039C">
                            <w:pPr>
                              <w:pStyle w:val="NormalWeb"/>
                              <w:spacing w:after="200"/>
                              <w:jc w:val="both"/>
                              <w:rPr>
                                <w:rFonts w:ascii="Arial Narrow" w:eastAsia="SimSun" w:hAnsi="Arial Narrow" w:cs="Arial"/>
                                <w:b/>
                                <w:bCs/>
                                <w:color w:val="595959"/>
                                <w:kern w:val="24"/>
                                <w:sz w:val="22"/>
                                <w:szCs w:val="22"/>
                              </w:rPr>
                            </w:pPr>
                            <w:r>
                              <w:rPr>
                                <w:rFonts w:ascii="Arial Narrow" w:eastAsia="SimSun" w:hAnsi="Arial Narrow" w:cs="Arial"/>
                                <w:b/>
                                <w:bCs/>
                                <w:color w:val="595959"/>
                                <w:kern w:val="24"/>
                                <w:sz w:val="22"/>
                                <w:szCs w:val="22"/>
                              </w:rPr>
                              <w:t xml:space="preserve">Figure 3.14 Immunoblotting for COL1A1 abundance in NOF with and without TGFβ-1 stimulation </w:t>
                            </w:r>
                          </w:p>
                          <w:p w14:paraId="78450358" w14:textId="77777777" w:rsidR="008A47AC" w:rsidRPr="00A6564F" w:rsidRDefault="008A47AC" w:rsidP="0054039C">
                            <w:pPr>
                              <w:pStyle w:val="NormalWeb"/>
                              <w:spacing w:after="200" w:line="276" w:lineRule="auto"/>
                              <w:jc w:val="both"/>
                              <w:rPr>
                                <w:rFonts w:ascii="Arial Narrow" w:eastAsia="SimSun" w:hAnsi="Arial Narrow" w:cs="Arial"/>
                                <w:color w:val="595959"/>
                                <w:kern w:val="24"/>
                                <w:sz w:val="22"/>
                              </w:rPr>
                            </w:pPr>
                            <w:r>
                              <w:rPr>
                                <w:rFonts w:ascii="Arial Narrow" w:eastAsia="SimSun" w:hAnsi="Arial Narrow" w:cs="Arial"/>
                                <w:color w:val="595959"/>
                                <w:kern w:val="24"/>
                                <w:sz w:val="22"/>
                              </w:rPr>
                              <w:t xml:space="preserve">NOF 2D monolayers were treated with </w:t>
                            </w:r>
                            <w:r w:rsidRPr="00944EBD">
                              <w:rPr>
                                <w:rFonts w:ascii="Arial Narrow" w:eastAsia="SimSun" w:hAnsi="Arial Narrow" w:cs="Arial"/>
                                <w:color w:val="595959"/>
                                <w:kern w:val="24"/>
                                <w:sz w:val="22"/>
                              </w:rPr>
                              <w:t xml:space="preserve">TGFβ-1 </w:t>
                            </w:r>
                            <w:r>
                              <w:rPr>
                                <w:rFonts w:ascii="Arial Narrow" w:eastAsia="SimSun" w:hAnsi="Arial Narrow" w:cs="Arial"/>
                                <w:color w:val="595959"/>
                                <w:kern w:val="24"/>
                                <w:sz w:val="22"/>
                              </w:rPr>
                              <w:t xml:space="preserve">for up to 72 h with COL1A1 protein levels determined using immunoblotting (A). Densitometry of the resultant bands were measured using ImageJ and the intensity measured relative to GAPDH controls (B).  Data is expressed as relative fold change, with mean ± SD, N=3, n=2, * denotes p &lt;0.05, *** p &lt;0.001 and **** p &lt;0.0001 analysed by Kruskal-Wallis test with Dunn’s multiple comparison test.  </w:t>
                            </w:r>
                          </w:p>
                          <w:p w14:paraId="0A9E4C58" w14:textId="77777777" w:rsidR="008A47AC" w:rsidRPr="005567BA" w:rsidRDefault="008A47AC" w:rsidP="0054039C">
                            <w:pPr>
                              <w:pStyle w:val="NormalWeb"/>
                              <w:spacing w:after="200" w:line="276" w:lineRule="auto"/>
                              <w:jc w:val="both"/>
                              <w:rPr>
                                <w:rFonts w:ascii="Arial Narrow" w:eastAsia="SimSun" w:hAnsi="Arial Narrow" w:cs="Arial"/>
                                <w:color w:val="595959"/>
                                <w:kern w:val="24"/>
                                <w:sz w:val="22"/>
                                <w:szCs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B68EDD" id="_x0000_s1077" type="#_x0000_t202" style="position:absolute;left:0;text-align:left;margin-left:400.3pt;margin-top:11.4pt;width:451.5pt;height:117pt;z-index:251658283;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" stroked="f">
                <v:textbox>
                  <w:txbxContent>
                    <w:p w14:paraId="47007994" w14:textId="44DCB2B7" w:rsidR="008A47AC" w:rsidRDefault="008A47AC" w:rsidP="0054039C">
                      <w:pPr>
                        <w:pStyle w:val="NormalWeb"/>
                        <w:spacing w:after="200"/>
                        <w:jc w:val="both"/>
                        <w:rPr>
                          <w:rFonts w:ascii="Arial Narrow" w:eastAsia="SimSun" w:hAnsi="Arial Narrow" w:cs="Arial"/>
                          <w:b/>
                          <w:bCs/>
                          <w:color w:val="595959"/>
                          <w:kern w:val="24"/>
                          <w:sz w:val="22"/>
                          <w:szCs w:val="22"/>
                        </w:rPr>
                      </w:pPr>
                      <w:r>
                        <w:rPr>
                          <w:rFonts w:ascii="Arial Narrow" w:eastAsia="SimSun" w:hAnsi="Arial Narrow" w:cs="Arial"/>
                          <w:b/>
                          <w:bCs/>
                          <w:color w:val="595959"/>
                          <w:kern w:val="24"/>
                          <w:sz w:val="22"/>
                          <w:szCs w:val="22"/>
                        </w:rPr>
                        <w:t xml:space="preserve">Figure 3.14 Immunoblotting for COL1A1 abundance in NOF with and without TGFβ-1 stimulation </w:t>
                      </w:r>
                    </w:p>
                    <w:p w14:paraId="78450358" w14:textId="77777777" w:rsidR="008A47AC" w:rsidRPr="00A6564F" w:rsidRDefault="008A47AC" w:rsidP="0054039C">
                      <w:pPr>
                        <w:pStyle w:val="NormalWeb"/>
                        <w:spacing w:after="200" w:line="276" w:lineRule="auto"/>
                        <w:jc w:val="both"/>
                        <w:rPr>
                          <w:rFonts w:ascii="Arial Narrow" w:eastAsia="SimSun" w:hAnsi="Arial Narrow" w:cs="Arial"/>
                          <w:color w:val="595959"/>
                          <w:kern w:val="24"/>
                          <w:sz w:val="22"/>
                        </w:rPr>
                      </w:pPr>
                      <w:r>
                        <w:rPr>
                          <w:rFonts w:ascii="Arial Narrow" w:eastAsia="SimSun" w:hAnsi="Arial Narrow" w:cs="Arial"/>
                          <w:color w:val="595959"/>
                          <w:kern w:val="24"/>
                          <w:sz w:val="22"/>
                        </w:rPr>
                        <w:t xml:space="preserve">NOF 2D monolayers were treated with </w:t>
                      </w:r>
                      <w:r w:rsidRPr="00944EBD">
                        <w:rPr>
                          <w:rFonts w:ascii="Arial Narrow" w:eastAsia="SimSun" w:hAnsi="Arial Narrow" w:cs="Arial"/>
                          <w:color w:val="595959"/>
                          <w:kern w:val="24"/>
                          <w:sz w:val="22"/>
                        </w:rPr>
                        <w:t xml:space="preserve">TGFβ-1 </w:t>
                      </w:r>
                      <w:r>
                        <w:rPr>
                          <w:rFonts w:ascii="Arial Narrow" w:eastAsia="SimSun" w:hAnsi="Arial Narrow" w:cs="Arial"/>
                          <w:color w:val="595959"/>
                          <w:kern w:val="24"/>
                          <w:sz w:val="22"/>
                        </w:rPr>
                        <w:t xml:space="preserve">for up to 72 h with COL1A1 protein levels determined using immunoblotting (A). Densitometry of the resultant bands were measured using ImageJ and the intensity measured relative to GAPDH controls (B).  Data is expressed as relative fold change, with mean ± SD, N=3, n=2, * denotes p &lt;0.05, *** p &lt;0.001 and **** p &lt;0.0001 analysed by Kruskal-Wallis test with Dunn’s multiple comparison test.  </w:t>
                      </w:r>
                    </w:p>
                    <w:p w14:paraId="0A9E4C58" w14:textId="77777777" w:rsidR="008A47AC" w:rsidRPr="005567BA" w:rsidRDefault="008A47AC" w:rsidP="0054039C">
                      <w:pPr>
                        <w:pStyle w:val="NormalWeb"/>
                        <w:spacing w:after="200" w:line="276" w:lineRule="auto"/>
                        <w:jc w:val="both"/>
                        <w:rPr>
                          <w:rFonts w:ascii="Arial Narrow" w:eastAsia="SimSun" w:hAnsi="Arial Narrow" w:cs="Arial"/>
                          <w:color w:val="595959"/>
                          <w:kern w:val="24"/>
                          <w:sz w:val="22"/>
                          <w:szCs w:val="22"/>
                        </w:rPr>
                      </w:pPr>
                    </w:p>
                  </w:txbxContent>
                </v:textbox>
                <w10:wrap anchorx="margin"/>
              </v:shape>
            </w:pict>
          </mc:Fallback>
        </mc:AlternateContent>
      </w:r>
    </w:p>
    <w:p w14:paraId="5AABA1C7" w14:textId="77777777" w:rsidR="0054039C" w:rsidRPr="0054039C" w:rsidRDefault="0054039C" w:rsidP="0054039C">
      <w:pPr>
        <w:spacing w:line="480" w:lineRule="auto"/>
        <w:jc w:val="both"/>
        <w:rPr>
          <w:rFonts w:ascii="Arial" w:eastAsia="Times New Roman" w:hAnsi="Arial" w:cs="Arial"/>
          <w:color w:val="595959" w:themeColor="text1" w:themeTint="A6"/>
          <w:kern w:val="24"/>
        </w:rPr>
      </w:pPr>
    </w:p>
    <w:p w14:paraId="056A2B3C" w14:textId="77777777" w:rsidR="0054039C" w:rsidRPr="0054039C" w:rsidRDefault="0054039C" w:rsidP="0054039C">
      <w:pPr>
        <w:spacing w:line="480" w:lineRule="auto"/>
        <w:jc w:val="both"/>
        <w:rPr>
          <w:rFonts w:ascii="Arial" w:eastAsia="Times New Roman" w:hAnsi="Arial" w:cs="Arial"/>
          <w:color w:val="595959" w:themeColor="text1" w:themeTint="A6"/>
          <w:kern w:val="24"/>
        </w:rPr>
      </w:pPr>
    </w:p>
    <w:p w14:paraId="55094B67" w14:textId="77777777" w:rsidR="0054039C" w:rsidRPr="0054039C" w:rsidRDefault="0054039C" w:rsidP="0054039C">
      <w:pPr>
        <w:spacing w:line="480" w:lineRule="auto"/>
        <w:jc w:val="both"/>
        <w:rPr>
          <w:rFonts w:ascii="Arial" w:eastAsia="Times New Roman" w:hAnsi="Arial" w:cs="Arial"/>
          <w:color w:val="595959" w:themeColor="text1" w:themeTint="A6"/>
          <w:kern w:val="24"/>
        </w:rPr>
      </w:pPr>
    </w:p>
    <w:p w14:paraId="609E8782" w14:textId="7C8BE436" w:rsidR="0054039C" w:rsidRDefault="0054039C" w:rsidP="0054039C">
      <w:pPr>
        <w:spacing w:line="480" w:lineRule="auto"/>
        <w:jc w:val="both"/>
        <w:rPr>
          <w:rFonts w:ascii="Arial" w:eastAsia="Times New Roman" w:hAnsi="Arial" w:cs="Arial"/>
          <w:color w:val="595959" w:themeColor="text1" w:themeTint="A6"/>
          <w:kern w:val="24"/>
        </w:rPr>
      </w:pPr>
    </w:p>
    <w:p w14:paraId="1DBEEBE6" w14:textId="77777777" w:rsidR="00AE54EE" w:rsidRDefault="00AE54EE" w:rsidP="0054039C">
      <w:pPr>
        <w:spacing w:line="480" w:lineRule="auto"/>
        <w:jc w:val="both"/>
        <w:rPr>
          <w:rFonts w:ascii="Arial" w:eastAsia="Times New Roman" w:hAnsi="Arial" w:cs="Arial"/>
          <w:color w:val="595959" w:themeColor="text1" w:themeTint="A6"/>
          <w:kern w:val="24"/>
        </w:rPr>
      </w:pPr>
    </w:p>
    <w:p w14:paraId="144AD5D2" w14:textId="77777777" w:rsidR="00FA5349" w:rsidRPr="0054039C" w:rsidRDefault="00FA5349" w:rsidP="0054039C">
      <w:pPr>
        <w:spacing w:line="480" w:lineRule="auto"/>
        <w:jc w:val="both"/>
        <w:rPr>
          <w:rFonts w:ascii="Arial" w:eastAsia="Times New Roman" w:hAnsi="Arial" w:cs="Arial"/>
          <w:color w:val="595959" w:themeColor="text1" w:themeTint="A6"/>
          <w:kern w:val="24"/>
        </w:rPr>
      </w:pPr>
    </w:p>
    <w:p w14:paraId="3CC15EF1" w14:textId="77777777" w:rsidR="0054039C" w:rsidRPr="0054039C" w:rsidRDefault="0054039C" w:rsidP="0054039C">
      <w:pPr>
        <w:keepNext/>
        <w:keepLines/>
        <w:spacing w:before="40" w:after="0"/>
        <w:outlineLvl w:val="4"/>
        <w:rPr>
          <w:rFonts w:ascii="Arial" w:eastAsia="Times New Roman" w:hAnsi="Arial" w:cs="Arial"/>
          <w:color w:val="595959" w:themeColor="text1" w:themeTint="A6"/>
          <w:kern w:val="24"/>
        </w:rPr>
      </w:pPr>
      <w:bookmarkStart w:id="268" w:name="_Toc7107256"/>
      <w:bookmarkStart w:id="269" w:name="_Toc34208361"/>
      <w:r w:rsidRPr="0054039C">
        <w:rPr>
          <w:rFonts w:ascii="Arial" w:eastAsia="Times New Roman" w:hAnsi="Arial" w:cs="Arial"/>
          <w:color w:val="595959" w:themeColor="text1" w:themeTint="A6"/>
          <w:kern w:val="24"/>
        </w:rPr>
        <w:lastRenderedPageBreak/>
        <w:t>3.3.1.4.1.4 VCAN protein abundance in normal oral fibroblasts</w:t>
      </w:r>
      <w:bookmarkEnd w:id="268"/>
      <w:bookmarkEnd w:id="269"/>
    </w:p>
    <w:p w14:paraId="61641FC9" w14:textId="77777777" w:rsidR="0054039C" w:rsidRPr="0054039C" w:rsidRDefault="0054039C" w:rsidP="0054039C"/>
    <w:p w14:paraId="592452DC" w14:textId="58B703D1" w:rsidR="0054039C" w:rsidRPr="0054039C" w:rsidRDefault="0054039C" w:rsidP="00E31505">
      <w:pPr>
        <w:spacing w:line="480" w:lineRule="auto"/>
        <w:jc w:val="both"/>
        <w:rPr>
          <w:rFonts w:ascii="Arial" w:eastAsia="Times New Roman" w:hAnsi="Arial" w:cs="Arial"/>
          <w:color w:val="595959" w:themeColor="text1" w:themeTint="A6"/>
          <w:kern w:val="24"/>
        </w:rPr>
      </w:pPr>
      <w:r w:rsidRPr="0054039C">
        <w:rPr>
          <w:rFonts w:ascii="Arial" w:eastAsia="Times New Roman" w:hAnsi="Arial" w:cs="Arial"/>
          <w:color w:val="595959" w:themeColor="text1" w:themeTint="A6"/>
          <w:kern w:val="24"/>
        </w:rPr>
        <w:t xml:space="preserve">VCAN protein was </w:t>
      </w:r>
      <w:r w:rsidR="00DA2C36">
        <w:rPr>
          <w:rFonts w:ascii="Arial" w:eastAsia="Times New Roman" w:hAnsi="Arial" w:cs="Arial"/>
          <w:color w:val="595959" w:themeColor="text1" w:themeTint="A6"/>
          <w:kern w:val="24"/>
        </w:rPr>
        <w:t xml:space="preserve">observable </w:t>
      </w:r>
      <w:r w:rsidRPr="0054039C">
        <w:rPr>
          <w:rFonts w:ascii="Arial" w:eastAsia="Times New Roman" w:hAnsi="Arial" w:cs="Arial"/>
          <w:color w:val="595959" w:themeColor="text1" w:themeTint="A6"/>
          <w:kern w:val="24"/>
        </w:rPr>
        <w:t xml:space="preserve">in all TGFβ-1 treated samples </w:t>
      </w:r>
      <w:r w:rsidR="00E31505">
        <w:rPr>
          <w:rFonts w:ascii="Arial" w:eastAsia="Times New Roman" w:hAnsi="Arial" w:cs="Arial"/>
          <w:color w:val="595959" w:themeColor="text1" w:themeTint="A6"/>
          <w:kern w:val="24"/>
        </w:rPr>
        <w:t xml:space="preserve">compared to vehicle controls </w:t>
      </w:r>
      <w:r w:rsidRPr="0054039C">
        <w:rPr>
          <w:rFonts w:ascii="Arial" w:eastAsia="Times New Roman" w:hAnsi="Arial" w:cs="Arial"/>
          <w:color w:val="595959" w:themeColor="text1" w:themeTint="A6"/>
          <w:kern w:val="24"/>
        </w:rPr>
        <w:t>(Figure 3.</w:t>
      </w:r>
      <w:r w:rsidR="00744A8B">
        <w:rPr>
          <w:rFonts w:ascii="Arial" w:eastAsia="Times New Roman" w:hAnsi="Arial" w:cs="Arial"/>
          <w:color w:val="595959" w:themeColor="text1" w:themeTint="A6"/>
          <w:kern w:val="24"/>
        </w:rPr>
        <w:t>15</w:t>
      </w:r>
      <w:r w:rsidRPr="0054039C">
        <w:rPr>
          <w:rFonts w:ascii="Arial" w:eastAsia="Times New Roman" w:hAnsi="Arial" w:cs="Arial"/>
          <w:color w:val="595959" w:themeColor="text1" w:themeTint="A6"/>
          <w:kern w:val="24"/>
        </w:rPr>
        <w:t xml:space="preserve">). </w:t>
      </w:r>
      <w:r w:rsidR="00E31505">
        <w:rPr>
          <w:rFonts w:ascii="Arial" w:eastAsia="Times New Roman" w:hAnsi="Arial" w:cs="Arial"/>
          <w:color w:val="595959" w:themeColor="text1" w:themeTint="A6"/>
          <w:kern w:val="24"/>
        </w:rPr>
        <w:t>Multiple bands</w:t>
      </w:r>
      <w:r w:rsidR="00DA2C36">
        <w:rPr>
          <w:rFonts w:ascii="Arial" w:eastAsia="Times New Roman" w:hAnsi="Arial" w:cs="Arial"/>
          <w:color w:val="595959" w:themeColor="text1" w:themeTint="A6"/>
          <w:kern w:val="24"/>
        </w:rPr>
        <w:t xml:space="preserve"> </w:t>
      </w:r>
      <w:r w:rsidR="00E31505">
        <w:rPr>
          <w:rFonts w:ascii="Arial" w:eastAsia="Times New Roman" w:hAnsi="Arial" w:cs="Arial"/>
          <w:bCs/>
          <w:color w:val="595959" w:themeColor="text1" w:themeTint="A6"/>
        </w:rPr>
        <w:t>present on the</w:t>
      </w:r>
      <w:r w:rsidRPr="0054039C">
        <w:rPr>
          <w:rFonts w:ascii="Arial" w:eastAsia="Times New Roman" w:hAnsi="Arial" w:cs="Arial"/>
          <w:bCs/>
          <w:color w:val="595959" w:themeColor="text1" w:themeTint="A6"/>
        </w:rPr>
        <w:t xml:space="preserve"> im</w:t>
      </w:r>
      <w:r w:rsidR="00E31505">
        <w:rPr>
          <w:rFonts w:ascii="Arial" w:eastAsia="Times New Roman" w:hAnsi="Arial" w:cs="Arial"/>
          <w:bCs/>
          <w:color w:val="595959" w:themeColor="text1" w:themeTint="A6"/>
        </w:rPr>
        <w:t>munoblots is characteristic of variable glycosylation but has been</w:t>
      </w:r>
      <w:r w:rsidR="00847BA3">
        <w:rPr>
          <w:rFonts w:ascii="Arial" w:eastAsia="Times New Roman" w:hAnsi="Arial" w:cs="Arial"/>
          <w:bCs/>
          <w:color w:val="595959" w:themeColor="text1" w:themeTint="A6"/>
        </w:rPr>
        <w:t xml:space="preserve"> previously</w:t>
      </w:r>
      <w:r w:rsidR="00E31505">
        <w:rPr>
          <w:rFonts w:ascii="Arial" w:eastAsia="Times New Roman" w:hAnsi="Arial" w:cs="Arial"/>
          <w:bCs/>
          <w:color w:val="595959" w:themeColor="text1" w:themeTint="A6"/>
        </w:rPr>
        <w:t xml:space="preserve"> </w:t>
      </w:r>
      <w:r w:rsidR="007657B0">
        <w:rPr>
          <w:rFonts w:ascii="Arial" w:eastAsia="Times New Roman" w:hAnsi="Arial" w:cs="Arial"/>
          <w:bCs/>
          <w:color w:val="595959" w:themeColor="text1" w:themeTint="A6"/>
        </w:rPr>
        <w:t xml:space="preserve">observed </w:t>
      </w:r>
      <w:r w:rsidR="00E31505">
        <w:rPr>
          <w:rFonts w:ascii="Arial" w:eastAsia="Times New Roman" w:hAnsi="Arial" w:cs="Arial"/>
          <w:bCs/>
          <w:color w:val="595959" w:themeColor="text1" w:themeTint="A6"/>
        </w:rPr>
        <w:t>in VCAN immunoblots</w:t>
      </w:r>
      <w:r w:rsidR="00DA2C36">
        <w:rPr>
          <w:rFonts w:ascii="Arial" w:eastAsia="Times New Roman" w:hAnsi="Arial" w:cs="Arial"/>
          <w:bCs/>
          <w:color w:val="595959" w:themeColor="text1" w:themeTint="A6"/>
        </w:rPr>
        <w:t xml:space="preserve"> using the </w:t>
      </w:r>
      <w:r w:rsidR="007657B0">
        <w:rPr>
          <w:rFonts w:ascii="Arial" w:eastAsia="Times New Roman" w:hAnsi="Arial" w:cs="Arial"/>
          <w:bCs/>
          <w:color w:val="595959" w:themeColor="text1" w:themeTint="A6"/>
        </w:rPr>
        <w:t>methodology</w:t>
      </w:r>
      <w:r w:rsidR="00E31505">
        <w:rPr>
          <w:rFonts w:ascii="Arial" w:eastAsia="Times New Roman" w:hAnsi="Arial" w:cs="Arial"/>
          <w:bCs/>
          <w:color w:val="595959" w:themeColor="text1" w:themeTint="A6"/>
        </w:rPr>
        <w:t xml:space="preserve"> (Melling </w:t>
      </w:r>
      <w:r w:rsidR="00E31505" w:rsidRPr="00E31505">
        <w:rPr>
          <w:rFonts w:ascii="Arial" w:eastAsia="Times New Roman" w:hAnsi="Arial" w:cs="Arial"/>
          <w:bCs/>
          <w:i/>
          <w:iCs/>
          <w:color w:val="595959" w:themeColor="text1" w:themeTint="A6"/>
        </w:rPr>
        <w:t>et al.,</w:t>
      </w:r>
      <w:r w:rsidR="00E31505">
        <w:rPr>
          <w:rFonts w:ascii="Arial" w:eastAsia="Times New Roman" w:hAnsi="Arial" w:cs="Arial"/>
          <w:bCs/>
          <w:color w:val="595959" w:themeColor="text1" w:themeTint="A6"/>
        </w:rPr>
        <w:t xml:space="preserve"> 2016)</w:t>
      </w:r>
      <w:r w:rsidRPr="0054039C">
        <w:rPr>
          <w:rFonts w:ascii="Arial" w:eastAsia="Times New Roman" w:hAnsi="Arial" w:cs="Arial"/>
          <w:bCs/>
          <w:color w:val="595959" w:themeColor="text1" w:themeTint="A6"/>
        </w:rPr>
        <w:t xml:space="preserve"> (Figure 3.</w:t>
      </w:r>
      <w:r w:rsidR="00744A8B">
        <w:rPr>
          <w:rFonts w:ascii="Arial" w:eastAsia="Times New Roman" w:hAnsi="Arial" w:cs="Arial"/>
          <w:bCs/>
          <w:color w:val="595959" w:themeColor="text1" w:themeTint="A6"/>
        </w:rPr>
        <w:t>15</w:t>
      </w:r>
      <w:r w:rsidRPr="0054039C">
        <w:rPr>
          <w:rFonts w:ascii="Arial" w:eastAsia="Times New Roman" w:hAnsi="Arial" w:cs="Arial"/>
          <w:bCs/>
          <w:color w:val="595959" w:themeColor="text1" w:themeTint="A6"/>
        </w:rPr>
        <w:t xml:space="preserve"> A). </w:t>
      </w:r>
      <w:r w:rsidRPr="0054039C">
        <w:rPr>
          <w:rFonts w:ascii="Arial" w:eastAsia="Times New Roman" w:hAnsi="Arial" w:cs="Arial"/>
          <w:color w:val="595959" w:themeColor="text1" w:themeTint="A6"/>
          <w:kern w:val="24"/>
        </w:rPr>
        <w:t>The relative density of VCAN abundance increased with treatment of TGFβ-1 in a time-dependent fashion (Figure 3.</w:t>
      </w:r>
      <w:r w:rsidR="00744A8B">
        <w:rPr>
          <w:rFonts w:ascii="Arial" w:eastAsia="Times New Roman" w:hAnsi="Arial" w:cs="Arial"/>
          <w:color w:val="595959" w:themeColor="text1" w:themeTint="A6"/>
          <w:kern w:val="24"/>
        </w:rPr>
        <w:t>15</w:t>
      </w:r>
      <w:r w:rsidR="00E31505">
        <w:rPr>
          <w:rFonts w:ascii="Arial" w:eastAsia="Times New Roman" w:hAnsi="Arial" w:cs="Arial"/>
          <w:color w:val="595959" w:themeColor="text1" w:themeTint="A6"/>
          <w:kern w:val="24"/>
        </w:rPr>
        <w:t xml:space="preserve"> B). No significant difference</w:t>
      </w:r>
      <w:r w:rsidRPr="0054039C">
        <w:rPr>
          <w:rFonts w:ascii="Arial" w:eastAsia="Times New Roman" w:hAnsi="Arial" w:cs="Arial"/>
          <w:color w:val="595959" w:themeColor="text1" w:themeTint="A6"/>
          <w:kern w:val="24"/>
        </w:rPr>
        <w:t xml:space="preserve"> was observe</w:t>
      </w:r>
      <w:r w:rsidR="00E31505">
        <w:rPr>
          <w:rFonts w:ascii="Arial" w:eastAsia="Times New Roman" w:hAnsi="Arial" w:cs="Arial"/>
          <w:color w:val="595959" w:themeColor="text1" w:themeTint="A6"/>
          <w:kern w:val="24"/>
        </w:rPr>
        <w:t>d at 24 h with TGFβ-1 treatment</w:t>
      </w:r>
      <w:r w:rsidRPr="0054039C">
        <w:rPr>
          <w:rFonts w:ascii="Arial" w:eastAsia="Times New Roman" w:hAnsi="Arial" w:cs="Arial"/>
          <w:color w:val="595959" w:themeColor="text1" w:themeTint="A6"/>
          <w:kern w:val="24"/>
        </w:rPr>
        <w:t>. At both the 48 h and 72 h, TGFβ-1 treatment significantly increased</w:t>
      </w:r>
      <w:r w:rsidR="00E31505">
        <w:rPr>
          <w:rFonts w:ascii="Arial" w:eastAsia="Times New Roman" w:hAnsi="Arial" w:cs="Arial"/>
          <w:color w:val="595959" w:themeColor="text1" w:themeTint="A6"/>
          <w:kern w:val="24"/>
        </w:rPr>
        <w:t xml:space="preserve"> VCAN abundance</w:t>
      </w:r>
      <w:r w:rsidRPr="0054039C">
        <w:rPr>
          <w:rFonts w:ascii="Arial" w:eastAsia="Times New Roman" w:hAnsi="Arial" w:cs="Arial"/>
          <w:color w:val="595959" w:themeColor="text1" w:themeTint="A6"/>
          <w:kern w:val="24"/>
        </w:rPr>
        <w:t xml:space="preserve">, with a mean increase of 5.00 ± 0.55 (p &lt;0.0001) at 48 h and a greater increase at 72 h, with a mean of 8.55 ± 1.03 (p &lt;0.0001) compared to 24 h control samples. </w:t>
      </w:r>
    </w:p>
    <w:p w14:paraId="618BB0E4" w14:textId="317536E9" w:rsidR="0054039C" w:rsidRPr="0054039C" w:rsidRDefault="004C1281" w:rsidP="0054039C">
      <w:pPr>
        <w:spacing w:line="360" w:lineRule="auto"/>
        <w:ind w:firstLine="720"/>
        <w:jc w:val="both"/>
        <w:rPr>
          <w:rFonts w:ascii="Arial" w:eastAsia="Times New Roman" w:hAnsi="Arial" w:cs="Arial"/>
          <w:color w:val="595959" w:themeColor="text1" w:themeTint="A6"/>
          <w:kern w:val="24"/>
          <w:sz w:val="24"/>
          <w:szCs w:val="24"/>
        </w:rPr>
      </w:pPr>
      <w:r>
        <w:rPr>
          <w:rFonts w:ascii="Arial" w:eastAsia="Times New Roman" w:hAnsi="Arial" w:cs="Arial"/>
          <w:noProof/>
          <w:color w:val="595959" w:themeColor="text1" w:themeTint="A6"/>
          <w:kern w:val="24"/>
          <w:sz w:val="24"/>
          <w:szCs w:val="24"/>
        </w:rPr>
        <w:drawing>
          <wp:anchor distT="0" distB="0" distL="114300" distR="114300" simplePos="0" relativeHeight="251663627" behindDoc="0" locked="0" layoutInCell="1" allowOverlap="1" wp14:anchorId="660E95FD" wp14:editId="78C851C5">
            <wp:simplePos x="0" y="0"/>
            <wp:positionH relativeFrom="margin">
              <wp:align>left</wp:align>
            </wp:positionH>
            <wp:positionV relativeFrom="paragraph">
              <wp:posOffset>4813</wp:posOffset>
            </wp:positionV>
            <wp:extent cx="5998845" cy="2761615"/>
            <wp:effectExtent l="0" t="0" r="0" b="0"/>
            <wp:wrapNone/>
            <wp:docPr id="5575" name="Picture 5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98845" cy="2761615"/>
                    </a:xfrm>
                    <a:prstGeom prst="rect">
                      <a:avLst/>
                    </a:prstGeom>
                    <a:noFill/>
                  </pic:spPr>
                </pic:pic>
              </a:graphicData>
            </a:graphic>
          </wp:anchor>
        </w:drawing>
      </w:r>
    </w:p>
    <w:p w14:paraId="470DF50B" w14:textId="045E51CF" w:rsidR="0054039C" w:rsidRPr="0054039C" w:rsidRDefault="0054039C" w:rsidP="0054039C">
      <w:pPr>
        <w:spacing w:line="360" w:lineRule="auto"/>
        <w:ind w:firstLine="720"/>
        <w:jc w:val="both"/>
        <w:rPr>
          <w:rFonts w:ascii="Arial" w:eastAsia="Times New Roman" w:hAnsi="Arial" w:cs="Arial"/>
          <w:color w:val="595959" w:themeColor="text1" w:themeTint="A6"/>
          <w:kern w:val="24"/>
          <w:sz w:val="24"/>
          <w:szCs w:val="24"/>
        </w:rPr>
      </w:pPr>
    </w:p>
    <w:p w14:paraId="7D7E7525" w14:textId="77777777" w:rsidR="0054039C" w:rsidRPr="0054039C" w:rsidRDefault="0054039C" w:rsidP="0054039C">
      <w:pPr>
        <w:spacing w:line="360" w:lineRule="auto"/>
        <w:ind w:firstLine="720"/>
        <w:jc w:val="both"/>
        <w:rPr>
          <w:rFonts w:ascii="Arial" w:eastAsia="Times New Roman" w:hAnsi="Arial" w:cs="Arial"/>
          <w:color w:val="595959" w:themeColor="text1" w:themeTint="A6"/>
          <w:sz w:val="24"/>
          <w:szCs w:val="24"/>
        </w:rPr>
      </w:pPr>
    </w:p>
    <w:p w14:paraId="7760F796" w14:textId="77777777" w:rsidR="0054039C" w:rsidRPr="0054039C" w:rsidRDefault="0054039C" w:rsidP="0054039C">
      <w:pPr>
        <w:spacing w:line="360" w:lineRule="auto"/>
        <w:ind w:firstLine="720"/>
        <w:jc w:val="both"/>
        <w:rPr>
          <w:rFonts w:ascii="Arial" w:eastAsia="Times New Roman" w:hAnsi="Arial" w:cs="Arial"/>
          <w:color w:val="595959" w:themeColor="text1" w:themeTint="A6"/>
          <w:sz w:val="24"/>
          <w:szCs w:val="24"/>
        </w:rPr>
      </w:pPr>
    </w:p>
    <w:p w14:paraId="5E072C1A" w14:textId="77777777" w:rsidR="0054039C" w:rsidRPr="0054039C" w:rsidRDefault="0054039C" w:rsidP="0054039C">
      <w:pPr>
        <w:spacing w:line="360" w:lineRule="auto"/>
        <w:ind w:firstLine="720"/>
        <w:jc w:val="both"/>
        <w:rPr>
          <w:rFonts w:ascii="Arial" w:eastAsia="Times New Roman" w:hAnsi="Arial" w:cs="Arial"/>
          <w:color w:val="595959" w:themeColor="text1" w:themeTint="A6"/>
          <w:sz w:val="24"/>
          <w:szCs w:val="24"/>
        </w:rPr>
      </w:pPr>
    </w:p>
    <w:p w14:paraId="5433CFF7" w14:textId="77777777" w:rsidR="0054039C" w:rsidRPr="0054039C" w:rsidRDefault="0054039C" w:rsidP="0054039C">
      <w:pPr>
        <w:spacing w:line="360" w:lineRule="auto"/>
        <w:ind w:firstLine="720"/>
        <w:jc w:val="both"/>
        <w:rPr>
          <w:rFonts w:ascii="Arial" w:eastAsia="Times New Roman" w:hAnsi="Arial" w:cs="Arial"/>
          <w:color w:val="595959" w:themeColor="text1" w:themeTint="A6"/>
          <w:sz w:val="24"/>
          <w:szCs w:val="24"/>
        </w:rPr>
      </w:pPr>
    </w:p>
    <w:p w14:paraId="62BE0D7F" w14:textId="77777777" w:rsidR="0054039C" w:rsidRPr="0054039C" w:rsidRDefault="0054039C" w:rsidP="0054039C">
      <w:pPr>
        <w:spacing w:line="360" w:lineRule="auto"/>
        <w:ind w:firstLine="720"/>
        <w:jc w:val="both"/>
        <w:rPr>
          <w:rFonts w:ascii="Arial" w:eastAsia="Times New Roman" w:hAnsi="Arial" w:cs="Arial"/>
          <w:color w:val="595959" w:themeColor="text1" w:themeTint="A6"/>
          <w:sz w:val="24"/>
          <w:szCs w:val="24"/>
        </w:rPr>
      </w:pPr>
    </w:p>
    <w:p w14:paraId="3018A804" w14:textId="77777777" w:rsidR="0054039C" w:rsidRPr="0054039C" w:rsidRDefault="0054039C" w:rsidP="0054039C">
      <w:pPr>
        <w:spacing w:line="360" w:lineRule="auto"/>
        <w:ind w:firstLine="720"/>
        <w:jc w:val="both"/>
        <w:rPr>
          <w:rFonts w:ascii="Arial" w:eastAsia="Times New Roman" w:hAnsi="Arial" w:cs="Arial"/>
          <w:color w:val="595959" w:themeColor="text1" w:themeTint="A6"/>
          <w:sz w:val="24"/>
          <w:szCs w:val="24"/>
        </w:rPr>
      </w:pPr>
    </w:p>
    <w:p w14:paraId="3CF263FD" w14:textId="77777777" w:rsidR="0054039C" w:rsidRPr="0054039C" w:rsidRDefault="0054039C" w:rsidP="0054039C">
      <w:pPr>
        <w:spacing w:line="360" w:lineRule="auto"/>
        <w:ind w:firstLine="720"/>
        <w:jc w:val="both"/>
        <w:rPr>
          <w:rFonts w:ascii="Arial" w:eastAsia="Times New Roman" w:hAnsi="Arial" w:cs="Arial"/>
          <w:color w:val="595959" w:themeColor="text1" w:themeTint="A6"/>
          <w:sz w:val="24"/>
          <w:szCs w:val="24"/>
        </w:rPr>
      </w:pPr>
    </w:p>
    <w:p w14:paraId="39F2C624" w14:textId="4B68555D" w:rsidR="0054039C" w:rsidRPr="0054039C" w:rsidRDefault="0054039C" w:rsidP="0054039C">
      <w:pPr>
        <w:spacing w:line="360" w:lineRule="auto"/>
        <w:ind w:firstLine="720"/>
        <w:jc w:val="both"/>
        <w:rPr>
          <w:rFonts w:ascii="Arial" w:eastAsia="Times New Roman" w:hAnsi="Arial" w:cs="Arial"/>
          <w:color w:val="595959" w:themeColor="text1" w:themeTint="A6"/>
          <w:sz w:val="24"/>
          <w:szCs w:val="24"/>
        </w:rPr>
      </w:pPr>
    </w:p>
    <w:p w14:paraId="31A815C4" w14:textId="7C9FB2DD" w:rsidR="0054039C" w:rsidRPr="0054039C" w:rsidRDefault="00E31505" w:rsidP="0054039C">
      <w:pPr>
        <w:spacing w:line="360" w:lineRule="auto"/>
        <w:ind w:firstLine="720"/>
        <w:jc w:val="both"/>
        <w:rPr>
          <w:rFonts w:ascii="Arial" w:eastAsia="Times New Roman" w:hAnsi="Arial" w:cs="Arial"/>
          <w:color w:val="595959" w:themeColor="text1" w:themeTint="A6"/>
          <w:sz w:val="24"/>
          <w:szCs w:val="24"/>
        </w:rPr>
      </w:pPr>
      <w:r w:rsidRPr="0054039C">
        <w:rPr>
          <w:rFonts w:ascii="Arial" w:hAnsi="Arial" w:cs="Arial"/>
          <w:noProof/>
          <w:color w:val="595959" w:themeColor="text1" w:themeTint="A6"/>
          <w:sz w:val="24"/>
          <w:szCs w:val="24"/>
          <w:lang w:eastAsia="zh-CN"/>
        </w:rPr>
        <mc:AlternateContent>
          <mc:Choice Requires="wps">
            <w:drawing>
              <wp:anchor distT="0" distB="0" distL="114300" distR="114300" simplePos="0" relativeHeight="251658284" behindDoc="0" locked="0" layoutInCell="1" allowOverlap="1" wp14:anchorId="5389BADA" wp14:editId="0519612C">
                <wp:simplePos x="0" y="0"/>
                <wp:positionH relativeFrom="margin">
                  <wp:align>right</wp:align>
                </wp:positionH>
                <wp:positionV relativeFrom="paragraph">
                  <wp:posOffset>7013</wp:posOffset>
                </wp:positionV>
                <wp:extent cx="5732476" cy="1266825"/>
                <wp:effectExtent l="0" t="0" r="1905" b="9525"/>
                <wp:wrapNone/>
                <wp:docPr id="15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2476" cy="1266825"/>
                        </a:xfrm>
                        <a:prstGeom prst="rect">
                          <a:avLst/>
                        </a:prstGeom>
                        <a:solidFill>
                          <a:srgbClr val="FFFFFF"/>
                        </a:solidFill>
                        <a:ln w="9525">
                          <a:noFill/>
                          <a:miter lim="800000"/>
                          <a:headEnd/>
                          <a:tailEnd/>
                        </a:ln>
                      </wps:spPr>
                      <wps:txbx>
                        <w:txbxContent>
                          <w:p w14:paraId="357474E1" w14:textId="24CABD07" w:rsidR="008A47AC" w:rsidRDefault="008A47AC" w:rsidP="0054039C">
                            <w:pPr>
                              <w:pStyle w:val="NormalWeb"/>
                              <w:spacing w:after="200"/>
                              <w:jc w:val="both"/>
                              <w:rPr>
                                <w:rFonts w:ascii="Arial Narrow" w:eastAsia="SimSun" w:hAnsi="Arial Narrow" w:cs="Arial"/>
                                <w:b/>
                                <w:bCs/>
                                <w:color w:val="595959"/>
                                <w:kern w:val="24"/>
                                <w:sz w:val="22"/>
                                <w:szCs w:val="22"/>
                              </w:rPr>
                            </w:pPr>
                            <w:r>
                              <w:rPr>
                                <w:rFonts w:ascii="Arial Narrow" w:eastAsia="SimSun" w:hAnsi="Arial Narrow" w:cs="Arial"/>
                                <w:b/>
                                <w:bCs/>
                                <w:color w:val="595959"/>
                                <w:kern w:val="24"/>
                                <w:sz w:val="22"/>
                                <w:szCs w:val="22"/>
                              </w:rPr>
                              <w:t xml:space="preserve">Figure 3.15 Immunoblotting for VCAN abundance in NOF with and without TGFβ-1 stimulation </w:t>
                            </w:r>
                          </w:p>
                          <w:p w14:paraId="4FB49D9A" w14:textId="77777777" w:rsidR="008A47AC" w:rsidRPr="00A6564F" w:rsidRDefault="008A47AC" w:rsidP="0054039C">
                            <w:pPr>
                              <w:pStyle w:val="NormalWeb"/>
                              <w:spacing w:after="200" w:line="276" w:lineRule="auto"/>
                              <w:jc w:val="both"/>
                              <w:rPr>
                                <w:rFonts w:ascii="Arial Narrow" w:eastAsia="SimSun" w:hAnsi="Arial Narrow" w:cs="Arial"/>
                                <w:color w:val="595959"/>
                                <w:kern w:val="24"/>
                                <w:sz w:val="22"/>
                              </w:rPr>
                            </w:pPr>
                            <w:r>
                              <w:rPr>
                                <w:rFonts w:ascii="Arial Narrow" w:eastAsia="SimSun" w:hAnsi="Arial Narrow" w:cs="Arial"/>
                                <w:color w:val="595959"/>
                                <w:kern w:val="24"/>
                                <w:sz w:val="22"/>
                              </w:rPr>
                              <w:t xml:space="preserve">NOF 2D monolayers were treated with </w:t>
                            </w:r>
                            <w:r w:rsidRPr="00944EBD">
                              <w:rPr>
                                <w:rFonts w:ascii="Arial Narrow" w:eastAsia="SimSun" w:hAnsi="Arial Narrow" w:cs="Arial"/>
                                <w:color w:val="595959"/>
                                <w:kern w:val="24"/>
                                <w:sz w:val="22"/>
                              </w:rPr>
                              <w:t xml:space="preserve">TGFβ-1 </w:t>
                            </w:r>
                            <w:r>
                              <w:rPr>
                                <w:rFonts w:ascii="Arial Narrow" w:eastAsia="SimSun" w:hAnsi="Arial Narrow" w:cs="Arial"/>
                                <w:color w:val="595959"/>
                                <w:kern w:val="24"/>
                                <w:sz w:val="22"/>
                              </w:rPr>
                              <w:t xml:space="preserve">for up to 72 h with VCAN protein levels determined using immunoblotting (A). Densitometry of the resultant bands were measured using ImageJ and the intensity measured relative to GAPDH controls (B).  Data is expressed as relative fold change, with mean ± SD, N=3, n=2, **** denotes p &lt;0.0001 analysed by Kruskal-Wallis test with Dunn’s multiple comparison test.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89BADA" id="_x0000_s1078" type="#_x0000_t202" style="position:absolute;left:0;text-align:left;margin-left:400.2pt;margin-top:.55pt;width:451.4pt;height:99.75pt;z-index:2516582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" stroked="f">
                <v:textbox>
                  <w:txbxContent>
                    <w:p w14:paraId="357474E1" w14:textId="24CABD07" w:rsidR="008A47AC" w:rsidRDefault="008A47AC" w:rsidP="0054039C">
                      <w:pPr>
                        <w:pStyle w:val="NormalWeb"/>
                        <w:spacing w:after="200"/>
                        <w:jc w:val="both"/>
                        <w:rPr>
                          <w:rFonts w:ascii="Arial Narrow" w:eastAsia="SimSun" w:hAnsi="Arial Narrow" w:cs="Arial"/>
                          <w:b/>
                          <w:bCs/>
                          <w:color w:val="595959"/>
                          <w:kern w:val="24"/>
                          <w:sz w:val="22"/>
                          <w:szCs w:val="22"/>
                        </w:rPr>
                      </w:pPr>
                      <w:r>
                        <w:rPr>
                          <w:rFonts w:ascii="Arial Narrow" w:eastAsia="SimSun" w:hAnsi="Arial Narrow" w:cs="Arial"/>
                          <w:b/>
                          <w:bCs/>
                          <w:color w:val="595959"/>
                          <w:kern w:val="24"/>
                          <w:sz w:val="22"/>
                          <w:szCs w:val="22"/>
                        </w:rPr>
                        <w:t xml:space="preserve">Figure 3.15 Immunoblotting for VCAN abundance in NOF with and without TGFβ-1 stimulation </w:t>
                      </w:r>
                    </w:p>
                    <w:p w14:paraId="4FB49D9A" w14:textId="77777777" w:rsidR="008A47AC" w:rsidRPr="00A6564F" w:rsidRDefault="008A47AC" w:rsidP="0054039C">
                      <w:pPr>
                        <w:pStyle w:val="NormalWeb"/>
                        <w:spacing w:after="200" w:line="276" w:lineRule="auto"/>
                        <w:jc w:val="both"/>
                        <w:rPr>
                          <w:rFonts w:ascii="Arial Narrow" w:eastAsia="SimSun" w:hAnsi="Arial Narrow" w:cs="Arial"/>
                          <w:color w:val="595959"/>
                          <w:kern w:val="24"/>
                          <w:sz w:val="22"/>
                        </w:rPr>
                      </w:pPr>
                      <w:r>
                        <w:rPr>
                          <w:rFonts w:ascii="Arial Narrow" w:eastAsia="SimSun" w:hAnsi="Arial Narrow" w:cs="Arial"/>
                          <w:color w:val="595959"/>
                          <w:kern w:val="24"/>
                          <w:sz w:val="22"/>
                        </w:rPr>
                        <w:t xml:space="preserve">NOF 2D monolayers were treated with </w:t>
                      </w:r>
                      <w:r w:rsidRPr="00944EBD">
                        <w:rPr>
                          <w:rFonts w:ascii="Arial Narrow" w:eastAsia="SimSun" w:hAnsi="Arial Narrow" w:cs="Arial"/>
                          <w:color w:val="595959"/>
                          <w:kern w:val="24"/>
                          <w:sz w:val="22"/>
                        </w:rPr>
                        <w:t xml:space="preserve">TGFβ-1 </w:t>
                      </w:r>
                      <w:r>
                        <w:rPr>
                          <w:rFonts w:ascii="Arial Narrow" w:eastAsia="SimSun" w:hAnsi="Arial Narrow" w:cs="Arial"/>
                          <w:color w:val="595959"/>
                          <w:kern w:val="24"/>
                          <w:sz w:val="22"/>
                        </w:rPr>
                        <w:t xml:space="preserve">for up to 72 h with VCAN protein levels determined using immunoblotting (A). Densitometry of the resultant bands were measured using ImageJ and the intensity measured relative to GAPDH controls (B).  Data is expressed as relative fold change, with mean ± SD, N=3, n=2, **** denotes p &lt;0.0001 analysed by Kruskal-Wallis test with Dunn’s multiple comparison test.  </w:t>
                      </w:r>
                    </w:p>
                  </w:txbxContent>
                </v:textbox>
                <w10:wrap anchorx="margin"/>
              </v:shape>
            </w:pict>
          </mc:Fallback>
        </mc:AlternateContent>
      </w:r>
    </w:p>
    <w:p w14:paraId="1857CD02" w14:textId="77777777" w:rsidR="0054039C" w:rsidRPr="0054039C" w:rsidRDefault="0054039C" w:rsidP="0054039C">
      <w:pPr>
        <w:spacing w:line="360" w:lineRule="auto"/>
        <w:ind w:firstLine="720"/>
        <w:jc w:val="both"/>
        <w:rPr>
          <w:rFonts w:ascii="Arial" w:eastAsia="Times New Roman" w:hAnsi="Arial" w:cs="Arial"/>
          <w:color w:val="595959" w:themeColor="text1" w:themeTint="A6"/>
          <w:sz w:val="24"/>
          <w:szCs w:val="24"/>
        </w:rPr>
      </w:pPr>
    </w:p>
    <w:p w14:paraId="7B60802B" w14:textId="77777777" w:rsidR="0054039C" w:rsidRPr="0054039C" w:rsidRDefault="0054039C" w:rsidP="0054039C">
      <w:pPr>
        <w:spacing w:line="360" w:lineRule="auto"/>
        <w:ind w:firstLine="720"/>
        <w:jc w:val="both"/>
        <w:rPr>
          <w:rFonts w:ascii="Arial" w:eastAsia="Times New Roman" w:hAnsi="Arial" w:cs="Arial"/>
          <w:color w:val="595959" w:themeColor="text1" w:themeTint="A6"/>
          <w:sz w:val="24"/>
          <w:szCs w:val="24"/>
        </w:rPr>
      </w:pPr>
    </w:p>
    <w:p w14:paraId="4021E589" w14:textId="77777777" w:rsidR="0054039C" w:rsidRPr="0054039C" w:rsidRDefault="0054039C" w:rsidP="0054039C">
      <w:pPr>
        <w:keepNext/>
        <w:keepLines/>
        <w:spacing w:before="40" w:after="0"/>
        <w:outlineLvl w:val="3"/>
        <w:rPr>
          <w:rFonts w:ascii="Arial" w:eastAsia="Times New Roman" w:hAnsi="Arial" w:cs="Arial"/>
          <w:bCs/>
          <w:i/>
          <w:iCs/>
          <w:color w:val="595959" w:themeColor="text1" w:themeTint="A6"/>
        </w:rPr>
      </w:pPr>
      <w:bookmarkStart w:id="270" w:name="_Toc7107257"/>
    </w:p>
    <w:p w14:paraId="6F6F929B" w14:textId="77777777" w:rsidR="0054039C" w:rsidRPr="0054039C" w:rsidRDefault="0054039C" w:rsidP="0054039C"/>
    <w:p w14:paraId="26583C58" w14:textId="77777777" w:rsidR="0054039C" w:rsidRPr="0054039C" w:rsidRDefault="0054039C" w:rsidP="0054039C"/>
    <w:p w14:paraId="220FD583" w14:textId="77777777" w:rsidR="0054039C" w:rsidRPr="0054039C" w:rsidRDefault="0054039C" w:rsidP="0054039C">
      <w:pPr>
        <w:keepNext/>
        <w:keepLines/>
        <w:spacing w:before="40" w:after="0"/>
        <w:outlineLvl w:val="3"/>
        <w:rPr>
          <w:rFonts w:ascii="Arial" w:eastAsia="Times New Roman" w:hAnsi="Arial" w:cs="Arial"/>
          <w:bCs/>
          <w:i/>
          <w:iCs/>
          <w:color w:val="595959" w:themeColor="text1" w:themeTint="A6"/>
        </w:rPr>
      </w:pPr>
      <w:bookmarkStart w:id="271" w:name="_Toc34208362"/>
      <w:r w:rsidRPr="0054039C">
        <w:rPr>
          <w:rFonts w:ascii="Arial" w:eastAsia="Times New Roman" w:hAnsi="Arial" w:cs="Arial"/>
          <w:bCs/>
          <w:i/>
          <w:iCs/>
          <w:color w:val="595959" w:themeColor="text1" w:themeTint="A6"/>
        </w:rPr>
        <w:lastRenderedPageBreak/>
        <w:t>3.3.1.4.2 Long-term protein abundance in normal oral fibroblasts</w:t>
      </w:r>
      <w:bookmarkEnd w:id="270"/>
      <w:bookmarkEnd w:id="271"/>
    </w:p>
    <w:p w14:paraId="547EB863" w14:textId="77777777" w:rsidR="0054039C" w:rsidRPr="0054039C" w:rsidRDefault="0054039C" w:rsidP="0054039C"/>
    <w:p w14:paraId="1C7497D7" w14:textId="15C77334" w:rsidR="0054039C" w:rsidRPr="0054039C" w:rsidRDefault="0054039C" w:rsidP="00E31505">
      <w:pPr>
        <w:spacing w:line="480" w:lineRule="auto"/>
        <w:jc w:val="both"/>
        <w:rPr>
          <w:rFonts w:ascii="Arial" w:eastAsia="Times New Roman" w:hAnsi="Arial" w:cs="Arial"/>
          <w:bCs/>
          <w:color w:val="595959" w:themeColor="text1" w:themeTint="A6"/>
        </w:rPr>
      </w:pPr>
      <w:r w:rsidRPr="0054039C">
        <w:rPr>
          <w:rFonts w:ascii="Arial" w:eastAsia="Times New Roman" w:hAnsi="Arial" w:cs="Arial"/>
          <w:bCs/>
          <w:color w:val="595959" w:themeColor="text1" w:themeTint="A6"/>
        </w:rPr>
        <w:t xml:space="preserve">NOF were treated with exogenous TGFβ-1 long-term (24 h-72 h + 14 days) </w:t>
      </w:r>
      <w:r w:rsidR="00E31505">
        <w:rPr>
          <w:rFonts w:ascii="Arial" w:eastAsia="Times New Roman" w:hAnsi="Arial" w:cs="Arial"/>
          <w:bCs/>
          <w:color w:val="595959" w:themeColor="text1" w:themeTint="A6"/>
        </w:rPr>
        <w:t xml:space="preserve">as described in section 2.2.5.1 </w:t>
      </w:r>
      <w:r w:rsidRPr="0054039C">
        <w:rPr>
          <w:rFonts w:ascii="Arial" w:eastAsia="Times New Roman" w:hAnsi="Arial" w:cs="Arial"/>
          <w:bCs/>
          <w:color w:val="595959" w:themeColor="text1" w:themeTint="A6"/>
        </w:rPr>
        <w:t>and αSMA, FN1-EDA, COL1A1 and VCAN abundance</w:t>
      </w:r>
      <w:r w:rsidR="00E31505" w:rsidRPr="00E31505">
        <w:rPr>
          <w:rFonts w:ascii="Arial" w:eastAsia="Times New Roman" w:hAnsi="Arial" w:cs="Arial"/>
          <w:bCs/>
          <w:color w:val="595959" w:themeColor="text1" w:themeTint="A6"/>
        </w:rPr>
        <w:t xml:space="preserve"> </w:t>
      </w:r>
      <w:r w:rsidR="00E31505" w:rsidRPr="0054039C">
        <w:rPr>
          <w:rFonts w:ascii="Arial" w:eastAsia="Times New Roman" w:hAnsi="Arial" w:cs="Arial"/>
          <w:bCs/>
          <w:color w:val="595959" w:themeColor="text1" w:themeTint="A6"/>
        </w:rPr>
        <w:t>investigated by immunoblotting</w:t>
      </w:r>
      <w:r w:rsidRPr="0054039C">
        <w:rPr>
          <w:rFonts w:ascii="Arial" w:eastAsia="Times New Roman" w:hAnsi="Arial" w:cs="Arial"/>
          <w:bCs/>
          <w:color w:val="595959" w:themeColor="text1" w:themeTint="A6"/>
        </w:rPr>
        <w:t xml:space="preserve"> (Figures 3.</w:t>
      </w:r>
      <w:r w:rsidR="00744A8B">
        <w:rPr>
          <w:rFonts w:ascii="Arial" w:eastAsia="Times New Roman" w:hAnsi="Arial" w:cs="Arial"/>
          <w:bCs/>
          <w:color w:val="595959" w:themeColor="text1" w:themeTint="A6"/>
        </w:rPr>
        <w:t>16</w:t>
      </w:r>
      <w:r w:rsidRPr="0054039C">
        <w:rPr>
          <w:rFonts w:ascii="Arial" w:eastAsia="Times New Roman" w:hAnsi="Arial" w:cs="Arial"/>
          <w:bCs/>
          <w:color w:val="595959" w:themeColor="text1" w:themeTint="A6"/>
        </w:rPr>
        <w:t>-3.</w:t>
      </w:r>
      <w:r w:rsidR="00831F2C">
        <w:rPr>
          <w:rFonts w:ascii="Arial" w:eastAsia="Times New Roman" w:hAnsi="Arial" w:cs="Arial"/>
          <w:bCs/>
          <w:color w:val="595959" w:themeColor="text1" w:themeTint="A6"/>
        </w:rPr>
        <w:t>19</w:t>
      </w:r>
      <w:r w:rsidRPr="0054039C">
        <w:rPr>
          <w:rFonts w:ascii="Arial" w:eastAsia="Times New Roman" w:hAnsi="Arial" w:cs="Arial"/>
          <w:bCs/>
          <w:color w:val="595959" w:themeColor="text1" w:themeTint="A6"/>
        </w:rPr>
        <w:t>).</w:t>
      </w:r>
    </w:p>
    <w:p w14:paraId="3FF1DFD5" w14:textId="77777777" w:rsidR="0054039C" w:rsidRPr="0054039C" w:rsidRDefault="0054039C" w:rsidP="0054039C">
      <w:pPr>
        <w:keepNext/>
        <w:keepLines/>
        <w:spacing w:before="40" w:after="0"/>
        <w:outlineLvl w:val="4"/>
        <w:rPr>
          <w:rFonts w:ascii="Arial" w:eastAsia="Times New Roman" w:hAnsi="Arial" w:cs="Arial"/>
          <w:color w:val="595959" w:themeColor="text1" w:themeTint="A6"/>
          <w:kern w:val="24"/>
        </w:rPr>
      </w:pPr>
      <w:bookmarkStart w:id="272" w:name="_Toc7107258"/>
      <w:bookmarkStart w:id="273" w:name="_Toc34208363"/>
      <w:r w:rsidRPr="0054039C">
        <w:rPr>
          <w:rFonts w:ascii="Arial" w:eastAsia="Times New Roman" w:hAnsi="Arial" w:cs="Arial"/>
          <w:bCs/>
          <w:color w:val="595959" w:themeColor="text1" w:themeTint="A6"/>
        </w:rPr>
        <w:t xml:space="preserve">3.3.1.4.2.1 </w:t>
      </w:r>
      <w:r w:rsidRPr="0054039C">
        <w:rPr>
          <w:rFonts w:ascii="Arial" w:eastAsia="Times New Roman" w:hAnsi="Arial" w:cs="Arial"/>
          <w:color w:val="595959" w:themeColor="text1" w:themeTint="A6"/>
          <w:kern w:val="24"/>
        </w:rPr>
        <w:t>αSMA protein abundance in normal oral fibroblasts</w:t>
      </w:r>
      <w:bookmarkEnd w:id="272"/>
      <w:bookmarkEnd w:id="273"/>
    </w:p>
    <w:p w14:paraId="3D24C838" w14:textId="77777777" w:rsidR="0054039C" w:rsidRPr="0054039C" w:rsidRDefault="0054039C" w:rsidP="0054039C"/>
    <w:p w14:paraId="4721DE04" w14:textId="4455ACDD" w:rsidR="0054039C" w:rsidRPr="0054039C" w:rsidRDefault="0054039C" w:rsidP="00E31505">
      <w:pPr>
        <w:spacing w:line="480" w:lineRule="auto"/>
        <w:jc w:val="both"/>
        <w:rPr>
          <w:rFonts w:ascii="Arial" w:eastAsia="Times New Roman" w:hAnsi="Arial" w:cs="Arial"/>
          <w:bCs/>
          <w:color w:val="595959" w:themeColor="text1" w:themeTint="A6"/>
        </w:rPr>
      </w:pPr>
      <w:r w:rsidRPr="0054039C">
        <w:rPr>
          <w:rFonts w:ascii="Arial" w:eastAsia="Times New Roman" w:hAnsi="Arial" w:cs="Arial"/>
          <w:bCs/>
          <w:color w:val="595959" w:themeColor="text1" w:themeTint="A6"/>
        </w:rPr>
        <w:t xml:space="preserve">Long-term treatment with TGFβ-1 increased the abundance of αSMA in all NOF populations up to 72 h + 14 days </w:t>
      </w:r>
      <w:r w:rsidRPr="0054039C">
        <w:rPr>
          <w:rFonts w:ascii="Arial" w:eastAsia="Times New Roman" w:hAnsi="Arial" w:cs="Arial"/>
          <w:bCs/>
          <w:i/>
          <w:color w:val="595959" w:themeColor="text1" w:themeTint="A6"/>
        </w:rPr>
        <w:t xml:space="preserve">in vitro </w:t>
      </w:r>
      <w:r w:rsidRPr="0054039C">
        <w:rPr>
          <w:rFonts w:ascii="Arial" w:eastAsia="Times New Roman" w:hAnsi="Arial" w:cs="Arial"/>
          <w:bCs/>
          <w:color w:val="595959" w:themeColor="text1" w:themeTint="A6"/>
        </w:rPr>
        <w:t>(Figure 3.</w:t>
      </w:r>
      <w:r w:rsidR="00B668F8">
        <w:rPr>
          <w:rFonts w:ascii="Arial" w:eastAsia="Times New Roman" w:hAnsi="Arial" w:cs="Arial"/>
          <w:bCs/>
          <w:color w:val="595959" w:themeColor="text1" w:themeTint="A6"/>
        </w:rPr>
        <w:t>16</w:t>
      </w:r>
      <w:r w:rsidRPr="0054039C">
        <w:rPr>
          <w:rFonts w:ascii="Arial" w:eastAsia="Times New Roman" w:hAnsi="Arial" w:cs="Arial"/>
          <w:bCs/>
          <w:color w:val="595959" w:themeColor="text1" w:themeTint="A6"/>
        </w:rPr>
        <w:t xml:space="preserve"> A + B). Densitometric analysis of immunoblots indicated that αSMA abundance was significantly increased at 48 h + 14 days with TGFβ-1 treatment with a mean increase in intensity of 15.97 ± 2.18, p &lt;0.0001. Both 24 h- and 72 h + 14 days TGFβ-1 treated NOF showed increased relative intensity of αSMA with mean increases of 10.05 ± 2.10 and 13.48 ± 1.25, respectively (p &lt;0.0001). Vehicle control treated samples showed a time-dependent increase in αSMA abundance, at 72 h + 14 days a significant increase in αSMA abundance was observed with a 5.98 ± 0.36-fold increase compared to 24 + 14-day control samples, p=0.0029.</w:t>
      </w:r>
    </w:p>
    <w:p w14:paraId="794F18D7" w14:textId="03A28B8A" w:rsidR="0054039C" w:rsidRPr="0054039C" w:rsidRDefault="00030428" w:rsidP="0054039C">
      <w:pPr>
        <w:spacing w:line="480" w:lineRule="auto"/>
        <w:jc w:val="both"/>
        <w:rPr>
          <w:rFonts w:ascii="Arial" w:eastAsia="Times New Roman" w:hAnsi="Arial" w:cs="Arial"/>
          <w:bCs/>
          <w:color w:val="595959" w:themeColor="text1" w:themeTint="A6"/>
        </w:rPr>
      </w:pPr>
      <w:r>
        <w:rPr>
          <w:rFonts w:ascii="Arial" w:eastAsia="Times New Roman" w:hAnsi="Arial" w:cs="Arial"/>
          <w:bCs/>
          <w:noProof/>
          <w:color w:val="595959" w:themeColor="text1" w:themeTint="A6"/>
        </w:rPr>
        <w:drawing>
          <wp:anchor distT="0" distB="0" distL="114300" distR="114300" simplePos="0" relativeHeight="251664651" behindDoc="0" locked="0" layoutInCell="1" allowOverlap="1" wp14:anchorId="5CF96E2A" wp14:editId="4AE3691F">
            <wp:simplePos x="0" y="0"/>
            <wp:positionH relativeFrom="column">
              <wp:posOffset>0</wp:posOffset>
            </wp:positionH>
            <wp:positionV relativeFrom="paragraph">
              <wp:posOffset>-3442</wp:posOffset>
            </wp:positionV>
            <wp:extent cx="6218555" cy="2731135"/>
            <wp:effectExtent l="0" t="0" r="0" b="0"/>
            <wp:wrapNone/>
            <wp:docPr id="5578" name="Picture 5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218555" cy="2731135"/>
                    </a:xfrm>
                    <a:prstGeom prst="rect">
                      <a:avLst/>
                    </a:prstGeom>
                    <a:noFill/>
                  </pic:spPr>
                </pic:pic>
              </a:graphicData>
            </a:graphic>
          </wp:anchor>
        </w:drawing>
      </w:r>
    </w:p>
    <w:p w14:paraId="6A78E4B1" w14:textId="77777777" w:rsidR="0054039C" w:rsidRPr="0054039C" w:rsidRDefault="0054039C" w:rsidP="0054039C">
      <w:pPr>
        <w:spacing w:line="480" w:lineRule="auto"/>
        <w:jc w:val="both"/>
        <w:rPr>
          <w:rFonts w:ascii="Arial" w:eastAsia="Times New Roman" w:hAnsi="Arial" w:cs="Arial"/>
          <w:bCs/>
          <w:color w:val="595959" w:themeColor="text1" w:themeTint="A6"/>
        </w:rPr>
      </w:pPr>
    </w:p>
    <w:p w14:paraId="3AEA4C6B" w14:textId="77777777" w:rsidR="0054039C" w:rsidRPr="0054039C" w:rsidRDefault="0054039C" w:rsidP="0054039C">
      <w:pPr>
        <w:spacing w:line="480" w:lineRule="auto"/>
        <w:jc w:val="both"/>
        <w:rPr>
          <w:rFonts w:ascii="Arial" w:eastAsia="Times New Roman" w:hAnsi="Arial" w:cs="Arial"/>
          <w:bCs/>
          <w:color w:val="595959" w:themeColor="text1" w:themeTint="A6"/>
        </w:rPr>
      </w:pPr>
    </w:p>
    <w:p w14:paraId="498270D9" w14:textId="263F2AD6" w:rsidR="0054039C" w:rsidRPr="0054039C" w:rsidRDefault="0054039C" w:rsidP="0054039C">
      <w:pPr>
        <w:spacing w:line="480" w:lineRule="auto"/>
        <w:jc w:val="both"/>
        <w:rPr>
          <w:rFonts w:ascii="Arial" w:eastAsia="Times New Roman" w:hAnsi="Arial" w:cs="Arial"/>
          <w:bCs/>
          <w:color w:val="595959" w:themeColor="text1" w:themeTint="A6"/>
        </w:rPr>
      </w:pPr>
    </w:p>
    <w:p w14:paraId="2C3015B7" w14:textId="63D0FC83" w:rsidR="0054039C" w:rsidRPr="0054039C" w:rsidRDefault="0054039C" w:rsidP="0054039C">
      <w:pPr>
        <w:spacing w:line="480" w:lineRule="auto"/>
        <w:jc w:val="both"/>
        <w:rPr>
          <w:rFonts w:ascii="Arial" w:eastAsia="Times New Roman" w:hAnsi="Arial" w:cs="Arial"/>
          <w:bCs/>
          <w:color w:val="595959" w:themeColor="text1" w:themeTint="A6"/>
        </w:rPr>
      </w:pPr>
    </w:p>
    <w:p w14:paraId="4BBDE200" w14:textId="43030FCC" w:rsidR="0054039C" w:rsidRPr="0054039C" w:rsidRDefault="0054039C" w:rsidP="0054039C">
      <w:pPr>
        <w:spacing w:line="480" w:lineRule="auto"/>
        <w:jc w:val="both"/>
        <w:rPr>
          <w:rFonts w:ascii="Arial" w:eastAsia="Times New Roman" w:hAnsi="Arial" w:cs="Arial"/>
          <w:bCs/>
          <w:color w:val="595959" w:themeColor="text1" w:themeTint="A6"/>
        </w:rPr>
      </w:pPr>
    </w:p>
    <w:p w14:paraId="4E93EFA4" w14:textId="6781D5BB" w:rsidR="0054039C" w:rsidRPr="0054039C" w:rsidRDefault="00DA2C36" w:rsidP="0054039C">
      <w:pPr>
        <w:spacing w:line="480" w:lineRule="auto"/>
        <w:jc w:val="both"/>
        <w:rPr>
          <w:rFonts w:ascii="Arial" w:eastAsia="Times New Roman" w:hAnsi="Arial" w:cs="Arial"/>
          <w:bCs/>
          <w:color w:val="595959" w:themeColor="text1" w:themeTint="A6"/>
        </w:rPr>
      </w:pPr>
      <w:r w:rsidRPr="0054039C">
        <w:rPr>
          <w:rFonts w:ascii="Arial" w:hAnsi="Arial" w:cs="Arial"/>
          <w:noProof/>
          <w:color w:val="595959" w:themeColor="text1" w:themeTint="A6"/>
          <w:sz w:val="24"/>
          <w:szCs w:val="24"/>
          <w:lang w:eastAsia="zh-CN"/>
        </w:rPr>
        <mc:AlternateContent>
          <mc:Choice Requires="wps">
            <w:drawing>
              <wp:anchor distT="0" distB="0" distL="114300" distR="114300" simplePos="0" relativeHeight="251658290" behindDoc="0" locked="0" layoutInCell="1" allowOverlap="1" wp14:anchorId="0158F11A" wp14:editId="67ED09A5">
                <wp:simplePos x="0" y="0"/>
                <wp:positionH relativeFrom="margin">
                  <wp:posOffset>-1270</wp:posOffset>
                </wp:positionH>
                <wp:positionV relativeFrom="paragraph">
                  <wp:posOffset>160806</wp:posOffset>
                </wp:positionV>
                <wp:extent cx="5734050" cy="1171575"/>
                <wp:effectExtent l="0" t="0" r="0" b="9525"/>
                <wp:wrapNone/>
                <wp:docPr id="20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1171575"/>
                        </a:xfrm>
                        <a:prstGeom prst="rect">
                          <a:avLst/>
                        </a:prstGeom>
                        <a:solidFill>
                          <a:srgbClr val="FFFFFF"/>
                        </a:solidFill>
                        <a:ln w="9525">
                          <a:noFill/>
                          <a:miter lim="800000"/>
                          <a:headEnd/>
                          <a:tailEnd/>
                        </a:ln>
                      </wps:spPr>
                      <wps:txbx>
                        <w:txbxContent>
                          <w:p w14:paraId="5A2D0510" w14:textId="20A98C9F" w:rsidR="008A47AC" w:rsidRDefault="008A47AC" w:rsidP="0054039C">
                            <w:pPr>
                              <w:pStyle w:val="NormalWeb"/>
                              <w:spacing w:after="200"/>
                              <w:jc w:val="both"/>
                              <w:rPr>
                                <w:rFonts w:ascii="Arial Narrow" w:eastAsia="SimSun" w:hAnsi="Arial Narrow" w:cs="Arial"/>
                                <w:b/>
                                <w:bCs/>
                                <w:color w:val="595959"/>
                                <w:kern w:val="24"/>
                                <w:sz w:val="22"/>
                                <w:szCs w:val="22"/>
                              </w:rPr>
                            </w:pPr>
                            <w:r>
                              <w:rPr>
                                <w:rFonts w:ascii="Arial Narrow" w:eastAsia="SimSun" w:hAnsi="Arial Narrow" w:cs="Arial"/>
                                <w:b/>
                                <w:bCs/>
                                <w:color w:val="595959"/>
                                <w:kern w:val="24"/>
                                <w:sz w:val="22"/>
                                <w:szCs w:val="22"/>
                              </w:rPr>
                              <w:t xml:space="preserve">Figure 3.16 Immunoblotting for αSMA abundance in NOF with and without TGFβ-1 stimulation </w:t>
                            </w:r>
                          </w:p>
                          <w:p w14:paraId="0C28269C" w14:textId="77777777" w:rsidR="008A47AC" w:rsidRPr="00A6564F" w:rsidRDefault="008A47AC" w:rsidP="0054039C">
                            <w:pPr>
                              <w:pStyle w:val="NormalWeb"/>
                              <w:spacing w:after="200" w:line="276" w:lineRule="auto"/>
                              <w:jc w:val="both"/>
                              <w:rPr>
                                <w:rFonts w:ascii="Arial Narrow" w:eastAsia="SimSun" w:hAnsi="Arial Narrow" w:cs="Arial"/>
                                <w:color w:val="595959"/>
                                <w:kern w:val="24"/>
                                <w:sz w:val="22"/>
                              </w:rPr>
                            </w:pPr>
                            <w:r>
                              <w:rPr>
                                <w:rFonts w:ascii="Arial Narrow" w:eastAsia="SimSun" w:hAnsi="Arial Narrow" w:cs="Arial"/>
                                <w:color w:val="595959"/>
                                <w:kern w:val="24"/>
                                <w:sz w:val="22"/>
                              </w:rPr>
                              <w:t xml:space="preserve">NOF 2D monolayers were treated with </w:t>
                            </w:r>
                            <w:r w:rsidRPr="00944EBD">
                              <w:rPr>
                                <w:rFonts w:ascii="Arial Narrow" w:eastAsia="SimSun" w:hAnsi="Arial Narrow" w:cs="Arial"/>
                                <w:color w:val="595959"/>
                                <w:kern w:val="24"/>
                                <w:sz w:val="22"/>
                              </w:rPr>
                              <w:t xml:space="preserve">TGFβ-1 </w:t>
                            </w:r>
                            <w:r>
                              <w:rPr>
                                <w:rFonts w:ascii="Arial Narrow" w:eastAsia="SimSun" w:hAnsi="Arial Narrow" w:cs="Arial"/>
                                <w:color w:val="595959"/>
                                <w:kern w:val="24"/>
                                <w:sz w:val="22"/>
                              </w:rPr>
                              <w:t xml:space="preserve">for up to 72 h + 14 days with αSMA protein levels determined using immunoblotting (A). Densitometry of the resultant bands were measured using ImageJ and the intensity measured relative to GAPDH controls (B).  Data is expressed as relative fold change, with mean ± SD, N=3, n=2, **** denotes p &lt;0.0001 analysed by Kruskal-Wallis test with Dunn’s multiple comparison test.  </w:t>
                            </w:r>
                          </w:p>
                          <w:p w14:paraId="7B5DE272" w14:textId="77777777" w:rsidR="008A47AC" w:rsidRPr="005567BA" w:rsidRDefault="008A47AC" w:rsidP="0054039C">
                            <w:pPr>
                              <w:pStyle w:val="NormalWeb"/>
                              <w:spacing w:after="200"/>
                              <w:jc w:val="both"/>
                              <w:rPr>
                                <w:rFonts w:ascii="Arial Narrow" w:eastAsia="SimSun" w:hAnsi="Arial Narrow" w:cs="Arial"/>
                                <w:color w:val="595959"/>
                                <w:kern w:val="24"/>
                                <w:sz w:val="22"/>
                                <w:szCs w:val="22"/>
                              </w:rPr>
                            </w:pPr>
                          </w:p>
                          <w:p w14:paraId="5BC51CF5" w14:textId="77777777" w:rsidR="008A47AC" w:rsidRPr="005567BA" w:rsidRDefault="008A47AC" w:rsidP="0054039C">
                            <w:pPr>
                              <w:pStyle w:val="NormalWeb"/>
                              <w:spacing w:after="200" w:line="276" w:lineRule="auto"/>
                              <w:jc w:val="both"/>
                              <w:rPr>
                                <w:rFonts w:ascii="Arial Narrow" w:eastAsia="SimSun" w:hAnsi="Arial Narrow" w:cs="Arial"/>
                                <w:color w:val="595959"/>
                                <w:kern w:val="24"/>
                                <w:sz w:val="22"/>
                                <w:szCs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58F11A" id="_x0000_s1079" type="#_x0000_t202" style="position:absolute;left:0;text-align:left;margin-left:-.1pt;margin-top:12.65pt;width:451.5pt;height:92.25pt;z-index:25165829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" stroked="f">
                <v:textbox>
                  <w:txbxContent>
                    <w:p w14:paraId="5A2D0510" w14:textId="20A98C9F" w:rsidR="008A47AC" w:rsidRDefault="008A47AC" w:rsidP="0054039C">
                      <w:pPr>
                        <w:pStyle w:val="NormalWeb"/>
                        <w:spacing w:after="200"/>
                        <w:jc w:val="both"/>
                        <w:rPr>
                          <w:rFonts w:ascii="Arial Narrow" w:eastAsia="SimSun" w:hAnsi="Arial Narrow" w:cs="Arial"/>
                          <w:b/>
                          <w:bCs/>
                          <w:color w:val="595959"/>
                          <w:kern w:val="24"/>
                          <w:sz w:val="22"/>
                          <w:szCs w:val="22"/>
                        </w:rPr>
                      </w:pPr>
                      <w:r>
                        <w:rPr>
                          <w:rFonts w:ascii="Arial Narrow" w:eastAsia="SimSun" w:hAnsi="Arial Narrow" w:cs="Arial"/>
                          <w:b/>
                          <w:bCs/>
                          <w:color w:val="595959"/>
                          <w:kern w:val="24"/>
                          <w:sz w:val="22"/>
                          <w:szCs w:val="22"/>
                        </w:rPr>
                        <w:t xml:space="preserve">Figure 3.16 Immunoblotting for αSMA abundance in NOF with and without TGFβ-1 stimulation </w:t>
                      </w:r>
                    </w:p>
                    <w:p w14:paraId="0C28269C" w14:textId="77777777" w:rsidR="008A47AC" w:rsidRPr="00A6564F" w:rsidRDefault="008A47AC" w:rsidP="0054039C">
                      <w:pPr>
                        <w:pStyle w:val="NormalWeb"/>
                        <w:spacing w:after="200" w:line="276" w:lineRule="auto"/>
                        <w:jc w:val="both"/>
                        <w:rPr>
                          <w:rFonts w:ascii="Arial Narrow" w:eastAsia="SimSun" w:hAnsi="Arial Narrow" w:cs="Arial"/>
                          <w:color w:val="595959"/>
                          <w:kern w:val="24"/>
                          <w:sz w:val="22"/>
                        </w:rPr>
                      </w:pPr>
                      <w:r>
                        <w:rPr>
                          <w:rFonts w:ascii="Arial Narrow" w:eastAsia="SimSun" w:hAnsi="Arial Narrow" w:cs="Arial"/>
                          <w:color w:val="595959"/>
                          <w:kern w:val="24"/>
                          <w:sz w:val="22"/>
                        </w:rPr>
                        <w:t xml:space="preserve">NOF 2D monolayers were treated with </w:t>
                      </w:r>
                      <w:r w:rsidRPr="00944EBD">
                        <w:rPr>
                          <w:rFonts w:ascii="Arial Narrow" w:eastAsia="SimSun" w:hAnsi="Arial Narrow" w:cs="Arial"/>
                          <w:color w:val="595959"/>
                          <w:kern w:val="24"/>
                          <w:sz w:val="22"/>
                        </w:rPr>
                        <w:t xml:space="preserve">TGFβ-1 </w:t>
                      </w:r>
                      <w:r>
                        <w:rPr>
                          <w:rFonts w:ascii="Arial Narrow" w:eastAsia="SimSun" w:hAnsi="Arial Narrow" w:cs="Arial"/>
                          <w:color w:val="595959"/>
                          <w:kern w:val="24"/>
                          <w:sz w:val="22"/>
                        </w:rPr>
                        <w:t xml:space="preserve">for up to 72 h + 14 days with αSMA protein levels determined using immunoblotting (A). Densitometry of the resultant bands were measured using ImageJ and the intensity measured relative to GAPDH controls (B).  Data is expressed as relative fold change, with mean ± SD, N=3, n=2, **** denotes p &lt;0.0001 analysed by Kruskal-Wallis test with Dunn’s multiple comparison test.  </w:t>
                      </w:r>
                    </w:p>
                    <w:p w14:paraId="7B5DE272" w14:textId="77777777" w:rsidR="008A47AC" w:rsidRPr="005567BA" w:rsidRDefault="008A47AC" w:rsidP="0054039C">
                      <w:pPr>
                        <w:pStyle w:val="NormalWeb"/>
                        <w:spacing w:after="200"/>
                        <w:jc w:val="both"/>
                        <w:rPr>
                          <w:rFonts w:ascii="Arial Narrow" w:eastAsia="SimSun" w:hAnsi="Arial Narrow" w:cs="Arial"/>
                          <w:color w:val="595959"/>
                          <w:kern w:val="24"/>
                          <w:sz w:val="22"/>
                          <w:szCs w:val="22"/>
                        </w:rPr>
                      </w:pPr>
                    </w:p>
                    <w:p w14:paraId="5BC51CF5" w14:textId="77777777" w:rsidR="008A47AC" w:rsidRPr="005567BA" w:rsidRDefault="008A47AC" w:rsidP="0054039C">
                      <w:pPr>
                        <w:pStyle w:val="NormalWeb"/>
                        <w:spacing w:after="200" w:line="276" w:lineRule="auto"/>
                        <w:jc w:val="both"/>
                        <w:rPr>
                          <w:rFonts w:ascii="Arial Narrow" w:eastAsia="SimSun" w:hAnsi="Arial Narrow" w:cs="Arial"/>
                          <w:color w:val="595959"/>
                          <w:kern w:val="24"/>
                          <w:sz w:val="22"/>
                          <w:szCs w:val="22"/>
                        </w:rPr>
                      </w:pPr>
                    </w:p>
                  </w:txbxContent>
                </v:textbox>
                <w10:wrap anchorx="margin"/>
              </v:shape>
            </w:pict>
          </mc:Fallback>
        </mc:AlternateContent>
      </w:r>
    </w:p>
    <w:p w14:paraId="1C5D5806" w14:textId="3F9F39C2" w:rsidR="0054039C" w:rsidRDefault="0054039C" w:rsidP="0054039C">
      <w:pPr>
        <w:spacing w:line="480" w:lineRule="auto"/>
        <w:jc w:val="both"/>
        <w:rPr>
          <w:rFonts w:ascii="Arial" w:eastAsia="Times New Roman" w:hAnsi="Arial" w:cs="Arial"/>
          <w:bCs/>
          <w:color w:val="595959" w:themeColor="text1" w:themeTint="A6"/>
        </w:rPr>
      </w:pPr>
    </w:p>
    <w:p w14:paraId="402A3178" w14:textId="2DB88C2E" w:rsidR="00E31505" w:rsidRPr="0054039C" w:rsidRDefault="00E31505" w:rsidP="0054039C">
      <w:pPr>
        <w:spacing w:line="480" w:lineRule="auto"/>
        <w:jc w:val="both"/>
        <w:rPr>
          <w:rFonts w:ascii="Arial" w:eastAsia="Times New Roman" w:hAnsi="Arial" w:cs="Arial"/>
          <w:bCs/>
          <w:color w:val="595959" w:themeColor="text1" w:themeTint="A6"/>
        </w:rPr>
      </w:pPr>
    </w:p>
    <w:p w14:paraId="440691CE" w14:textId="77777777" w:rsidR="0054039C" w:rsidRPr="0054039C" w:rsidRDefault="0054039C" w:rsidP="0054039C">
      <w:pPr>
        <w:keepNext/>
        <w:keepLines/>
        <w:spacing w:before="40" w:after="0"/>
        <w:outlineLvl w:val="4"/>
        <w:rPr>
          <w:rFonts w:ascii="Arial" w:eastAsia="Times New Roman" w:hAnsi="Arial" w:cs="Arial"/>
          <w:color w:val="595959" w:themeColor="text1" w:themeTint="A6"/>
          <w:kern w:val="24"/>
        </w:rPr>
      </w:pPr>
      <w:bookmarkStart w:id="274" w:name="_Toc7107259"/>
      <w:bookmarkStart w:id="275" w:name="_Toc34208364"/>
      <w:r w:rsidRPr="0054039C">
        <w:rPr>
          <w:rFonts w:ascii="Arial" w:eastAsia="Times New Roman" w:hAnsi="Arial" w:cs="Arial"/>
          <w:bCs/>
          <w:color w:val="595959" w:themeColor="text1" w:themeTint="A6"/>
        </w:rPr>
        <w:lastRenderedPageBreak/>
        <w:t xml:space="preserve">3.3.1.4.2.2 </w:t>
      </w:r>
      <w:r w:rsidRPr="0054039C">
        <w:rPr>
          <w:rFonts w:ascii="Arial" w:eastAsia="Times New Roman" w:hAnsi="Arial" w:cs="Arial"/>
          <w:color w:val="595959" w:themeColor="text1" w:themeTint="A6"/>
          <w:kern w:val="24"/>
        </w:rPr>
        <w:t>FN1-EDA protein abundance in normal oral fibroblasts</w:t>
      </w:r>
      <w:bookmarkEnd w:id="274"/>
      <w:bookmarkEnd w:id="275"/>
    </w:p>
    <w:p w14:paraId="4B146B72" w14:textId="77777777" w:rsidR="0054039C" w:rsidRPr="0054039C" w:rsidRDefault="0054039C" w:rsidP="0054039C"/>
    <w:p w14:paraId="696AC58F" w14:textId="0D63B68D" w:rsidR="0054039C" w:rsidRPr="0054039C" w:rsidRDefault="0054039C" w:rsidP="00F303E8">
      <w:pPr>
        <w:spacing w:line="480" w:lineRule="auto"/>
        <w:jc w:val="both"/>
        <w:rPr>
          <w:rFonts w:ascii="Arial" w:eastAsia="Times New Roman" w:hAnsi="Arial" w:cs="Arial"/>
          <w:color w:val="595959" w:themeColor="text1" w:themeTint="A6"/>
          <w:kern w:val="24"/>
        </w:rPr>
      </w:pPr>
      <w:r w:rsidRPr="0054039C">
        <w:rPr>
          <w:rFonts w:ascii="Arial" w:eastAsia="Times New Roman" w:hAnsi="Arial" w:cs="Arial"/>
          <w:color w:val="595959" w:themeColor="text1" w:themeTint="A6"/>
          <w:kern w:val="24"/>
        </w:rPr>
        <w:t>FN1-EDA protein was detectable long-term in all vehicle con</w:t>
      </w:r>
      <w:r w:rsidR="00F303E8">
        <w:rPr>
          <w:rFonts w:ascii="Arial" w:eastAsia="Times New Roman" w:hAnsi="Arial" w:cs="Arial"/>
          <w:color w:val="595959" w:themeColor="text1" w:themeTint="A6"/>
          <w:kern w:val="24"/>
        </w:rPr>
        <w:t xml:space="preserve">trol and TGFβ-1 treated samples </w:t>
      </w:r>
      <w:r w:rsidRPr="0054039C">
        <w:rPr>
          <w:rFonts w:ascii="Arial" w:eastAsia="Times New Roman" w:hAnsi="Arial" w:cs="Arial"/>
          <w:color w:val="595959" w:themeColor="text1" w:themeTint="A6"/>
          <w:kern w:val="24"/>
        </w:rPr>
        <w:t>(Figure 3.</w:t>
      </w:r>
      <w:r w:rsidR="002B0435">
        <w:rPr>
          <w:rFonts w:ascii="Arial" w:eastAsia="Times New Roman" w:hAnsi="Arial" w:cs="Arial"/>
          <w:color w:val="595959" w:themeColor="text1" w:themeTint="A6"/>
          <w:kern w:val="24"/>
        </w:rPr>
        <w:t>17</w:t>
      </w:r>
      <w:r w:rsidRPr="0054039C">
        <w:rPr>
          <w:rFonts w:ascii="Arial" w:eastAsia="Times New Roman" w:hAnsi="Arial" w:cs="Arial"/>
          <w:color w:val="595959" w:themeColor="text1" w:themeTint="A6"/>
          <w:kern w:val="24"/>
        </w:rPr>
        <w:t xml:space="preserve"> A). TGF</w:t>
      </w:r>
      <w:bookmarkStart w:id="276" w:name="OLE_LINK11"/>
      <w:r w:rsidRPr="0054039C">
        <w:rPr>
          <w:rFonts w:ascii="Arial" w:eastAsia="Times New Roman" w:hAnsi="Arial" w:cs="Arial"/>
          <w:color w:val="595959" w:themeColor="text1" w:themeTint="A6"/>
          <w:kern w:val="24"/>
        </w:rPr>
        <w:t xml:space="preserve">β-1 treatment significantly </w:t>
      </w:r>
      <w:bookmarkEnd w:id="276"/>
      <w:r w:rsidRPr="0054039C">
        <w:rPr>
          <w:rFonts w:ascii="Arial" w:eastAsia="Times New Roman" w:hAnsi="Arial" w:cs="Arial"/>
          <w:color w:val="595959" w:themeColor="text1" w:themeTint="A6"/>
          <w:kern w:val="24"/>
        </w:rPr>
        <w:t>increased FN1-EDA abundance in NOF (Figure 3.</w:t>
      </w:r>
      <w:r w:rsidR="002B0435">
        <w:rPr>
          <w:rFonts w:ascii="Arial" w:eastAsia="Times New Roman" w:hAnsi="Arial" w:cs="Arial"/>
          <w:color w:val="595959" w:themeColor="text1" w:themeTint="A6"/>
          <w:kern w:val="24"/>
        </w:rPr>
        <w:t>17</w:t>
      </w:r>
      <w:r w:rsidRPr="0054039C">
        <w:rPr>
          <w:rFonts w:ascii="Arial" w:eastAsia="Times New Roman" w:hAnsi="Arial" w:cs="Arial"/>
          <w:color w:val="595959" w:themeColor="text1" w:themeTint="A6"/>
          <w:kern w:val="24"/>
        </w:rPr>
        <w:t xml:space="preserve"> A+B). At 24 h + 14 days, TGFβ-1 treatment induced a 65.24 ± 11.24-fold increase in intensity over 24 h + 14-day control, (p &lt;0.0001). At 48 h + 14 days TGFβ-1 treatment increased with a mean of 33.25 ± 3.73, p=0.0002. 72 h + 14 days TGFβ-1 treatment produced the greatest increase of 123.80 ± 9.22, p &lt;0.0001 compared to 24 h + 14-day control samples. </w:t>
      </w:r>
    </w:p>
    <w:p w14:paraId="4029F44A" w14:textId="77777777" w:rsidR="0054039C" w:rsidRPr="0054039C" w:rsidRDefault="0054039C" w:rsidP="0054039C">
      <w:pPr>
        <w:spacing w:line="480" w:lineRule="auto"/>
        <w:jc w:val="both"/>
        <w:rPr>
          <w:rFonts w:ascii="Arial" w:eastAsia="Times New Roman" w:hAnsi="Arial" w:cs="Arial"/>
          <w:bCs/>
          <w:color w:val="595959" w:themeColor="text1" w:themeTint="A6"/>
        </w:rPr>
      </w:pPr>
    </w:p>
    <w:p w14:paraId="248D7F98" w14:textId="32EBB313" w:rsidR="0054039C" w:rsidRPr="0054039C" w:rsidRDefault="00CB7D48" w:rsidP="0054039C">
      <w:pPr>
        <w:spacing w:line="480" w:lineRule="auto"/>
        <w:jc w:val="both"/>
        <w:rPr>
          <w:rFonts w:ascii="Arial" w:eastAsia="Times New Roman" w:hAnsi="Arial" w:cs="Arial"/>
          <w:bCs/>
          <w:color w:val="595959" w:themeColor="text1" w:themeTint="A6"/>
        </w:rPr>
      </w:pPr>
      <w:r>
        <w:rPr>
          <w:rFonts w:ascii="Arial" w:eastAsia="Times New Roman" w:hAnsi="Arial" w:cs="Arial"/>
          <w:bCs/>
          <w:noProof/>
          <w:color w:val="595959" w:themeColor="text1" w:themeTint="A6"/>
        </w:rPr>
        <w:drawing>
          <wp:anchor distT="0" distB="0" distL="114300" distR="114300" simplePos="0" relativeHeight="251665675" behindDoc="0" locked="0" layoutInCell="1" allowOverlap="1" wp14:anchorId="0C3716C1" wp14:editId="5E0B728F">
            <wp:simplePos x="0" y="0"/>
            <wp:positionH relativeFrom="column">
              <wp:posOffset>0</wp:posOffset>
            </wp:positionH>
            <wp:positionV relativeFrom="paragraph">
              <wp:posOffset>167</wp:posOffset>
            </wp:positionV>
            <wp:extent cx="6200140" cy="2780030"/>
            <wp:effectExtent l="0" t="0" r="0" b="0"/>
            <wp:wrapNone/>
            <wp:docPr id="5579" name="Picture 5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200140" cy="2780030"/>
                    </a:xfrm>
                    <a:prstGeom prst="rect">
                      <a:avLst/>
                    </a:prstGeom>
                    <a:noFill/>
                  </pic:spPr>
                </pic:pic>
              </a:graphicData>
            </a:graphic>
          </wp:anchor>
        </w:drawing>
      </w:r>
    </w:p>
    <w:p w14:paraId="6364B359" w14:textId="77777777" w:rsidR="0054039C" w:rsidRPr="0054039C" w:rsidRDefault="0054039C" w:rsidP="0054039C">
      <w:pPr>
        <w:spacing w:line="480" w:lineRule="auto"/>
        <w:jc w:val="both"/>
        <w:rPr>
          <w:rFonts w:ascii="Arial" w:eastAsia="Times New Roman" w:hAnsi="Arial" w:cs="Arial"/>
          <w:bCs/>
          <w:color w:val="595959" w:themeColor="text1" w:themeTint="A6"/>
        </w:rPr>
      </w:pPr>
    </w:p>
    <w:p w14:paraId="294141F6" w14:textId="77777777" w:rsidR="0054039C" w:rsidRPr="0054039C" w:rsidRDefault="0054039C" w:rsidP="0054039C">
      <w:pPr>
        <w:spacing w:line="480" w:lineRule="auto"/>
        <w:jc w:val="both"/>
        <w:rPr>
          <w:rFonts w:ascii="Arial" w:eastAsia="Times New Roman" w:hAnsi="Arial" w:cs="Arial"/>
          <w:bCs/>
          <w:color w:val="595959" w:themeColor="text1" w:themeTint="A6"/>
        </w:rPr>
      </w:pPr>
    </w:p>
    <w:p w14:paraId="478C5208" w14:textId="77777777" w:rsidR="0054039C" w:rsidRPr="0054039C" w:rsidRDefault="0054039C" w:rsidP="0054039C">
      <w:pPr>
        <w:spacing w:line="480" w:lineRule="auto"/>
        <w:jc w:val="both"/>
        <w:rPr>
          <w:rFonts w:ascii="Arial" w:eastAsia="Times New Roman" w:hAnsi="Arial" w:cs="Arial"/>
          <w:bCs/>
          <w:color w:val="595959" w:themeColor="text1" w:themeTint="A6"/>
        </w:rPr>
      </w:pPr>
    </w:p>
    <w:p w14:paraId="6D33EAAC" w14:textId="77777777" w:rsidR="0054039C" w:rsidRPr="0054039C" w:rsidRDefault="0054039C" w:rsidP="0054039C">
      <w:pPr>
        <w:spacing w:line="480" w:lineRule="auto"/>
        <w:jc w:val="both"/>
        <w:rPr>
          <w:rFonts w:ascii="Arial" w:eastAsia="Times New Roman" w:hAnsi="Arial" w:cs="Arial"/>
          <w:bCs/>
          <w:color w:val="595959" w:themeColor="text1" w:themeTint="A6"/>
        </w:rPr>
      </w:pPr>
    </w:p>
    <w:p w14:paraId="7BBECCA8" w14:textId="77777777" w:rsidR="0054039C" w:rsidRPr="0054039C" w:rsidRDefault="0054039C" w:rsidP="0054039C">
      <w:pPr>
        <w:spacing w:line="480" w:lineRule="auto"/>
        <w:jc w:val="both"/>
        <w:rPr>
          <w:rFonts w:ascii="Arial" w:eastAsia="Times New Roman" w:hAnsi="Arial" w:cs="Arial"/>
          <w:bCs/>
          <w:color w:val="595959" w:themeColor="text1" w:themeTint="A6"/>
        </w:rPr>
      </w:pPr>
    </w:p>
    <w:p w14:paraId="61BE32C1" w14:textId="77777777" w:rsidR="0054039C" w:rsidRPr="0054039C" w:rsidRDefault="0054039C" w:rsidP="0054039C">
      <w:pPr>
        <w:spacing w:line="480" w:lineRule="auto"/>
        <w:jc w:val="both"/>
        <w:rPr>
          <w:rFonts w:ascii="Arial" w:eastAsia="Times New Roman" w:hAnsi="Arial" w:cs="Arial"/>
          <w:bCs/>
          <w:color w:val="595959" w:themeColor="text1" w:themeTint="A6"/>
        </w:rPr>
      </w:pPr>
    </w:p>
    <w:p w14:paraId="58ADFB57" w14:textId="77777777" w:rsidR="0054039C" w:rsidRPr="0054039C" w:rsidRDefault="0054039C" w:rsidP="0054039C">
      <w:pPr>
        <w:spacing w:line="480" w:lineRule="auto"/>
        <w:jc w:val="both"/>
        <w:rPr>
          <w:rFonts w:ascii="Arial" w:eastAsia="Times New Roman" w:hAnsi="Arial" w:cs="Arial"/>
          <w:bCs/>
          <w:color w:val="595959" w:themeColor="text1" w:themeTint="A6"/>
        </w:rPr>
      </w:pPr>
    </w:p>
    <w:p w14:paraId="259021A8" w14:textId="77777777" w:rsidR="0054039C" w:rsidRPr="0054039C" w:rsidRDefault="0054039C" w:rsidP="0054039C">
      <w:pPr>
        <w:spacing w:line="480" w:lineRule="auto"/>
        <w:jc w:val="both"/>
        <w:rPr>
          <w:rFonts w:ascii="Arial" w:eastAsia="Times New Roman" w:hAnsi="Arial" w:cs="Arial"/>
          <w:bCs/>
          <w:color w:val="595959" w:themeColor="text1" w:themeTint="A6"/>
        </w:rPr>
      </w:pPr>
      <w:r w:rsidRPr="0054039C">
        <w:rPr>
          <w:rFonts w:ascii="Arial" w:hAnsi="Arial" w:cs="Arial"/>
          <w:noProof/>
          <w:color w:val="595959" w:themeColor="text1" w:themeTint="A6"/>
          <w:sz w:val="24"/>
          <w:szCs w:val="24"/>
          <w:lang w:eastAsia="zh-CN"/>
        </w:rPr>
        <mc:AlternateContent>
          <mc:Choice Requires="wps">
            <w:drawing>
              <wp:anchor distT="0" distB="0" distL="114300" distR="114300" simplePos="0" relativeHeight="251658292" behindDoc="0" locked="0" layoutInCell="1" allowOverlap="1" wp14:anchorId="4AC8BAA9" wp14:editId="5E32E1FF">
                <wp:simplePos x="0" y="0"/>
                <wp:positionH relativeFrom="margin">
                  <wp:align>right</wp:align>
                </wp:positionH>
                <wp:positionV relativeFrom="paragraph">
                  <wp:posOffset>11429</wp:posOffset>
                </wp:positionV>
                <wp:extent cx="5724525" cy="1323975"/>
                <wp:effectExtent l="0" t="0" r="9525" b="9525"/>
                <wp:wrapNone/>
                <wp:docPr id="15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1323975"/>
                        </a:xfrm>
                        <a:prstGeom prst="rect">
                          <a:avLst/>
                        </a:prstGeom>
                        <a:solidFill>
                          <a:srgbClr val="FFFFFF"/>
                        </a:solidFill>
                        <a:ln w="9525">
                          <a:noFill/>
                          <a:miter lim="800000"/>
                          <a:headEnd/>
                          <a:tailEnd/>
                        </a:ln>
                      </wps:spPr>
                      <wps:txbx>
                        <w:txbxContent>
                          <w:p w14:paraId="523956E5" w14:textId="58A5EE0F" w:rsidR="008A47AC" w:rsidRDefault="008A47AC" w:rsidP="0054039C">
                            <w:pPr>
                              <w:pStyle w:val="NormalWeb"/>
                              <w:spacing w:after="200"/>
                              <w:jc w:val="both"/>
                              <w:rPr>
                                <w:rFonts w:ascii="Arial Narrow" w:eastAsia="SimSun" w:hAnsi="Arial Narrow" w:cs="Arial"/>
                                <w:b/>
                                <w:bCs/>
                                <w:color w:val="595959"/>
                                <w:kern w:val="24"/>
                                <w:sz w:val="22"/>
                                <w:szCs w:val="22"/>
                              </w:rPr>
                            </w:pPr>
                            <w:r>
                              <w:rPr>
                                <w:rFonts w:ascii="Arial Narrow" w:eastAsia="SimSun" w:hAnsi="Arial Narrow" w:cs="Arial"/>
                                <w:b/>
                                <w:bCs/>
                                <w:color w:val="595959"/>
                                <w:kern w:val="24"/>
                                <w:sz w:val="22"/>
                                <w:szCs w:val="22"/>
                              </w:rPr>
                              <w:t xml:space="preserve">Figure 3.17 Immunoblotting for FN1-EDA abundance in NOF with and without TGFβ-1 stimulation </w:t>
                            </w:r>
                          </w:p>
                          <w:p w14:paraId="7CC76AFA" w14:textId="77777777" w:rsidR="008A47AC" w:rsidRPr="00550043" w:rsidRDefault="008A47AC" w:rsidP="0054039C">
                            <w:pPr>
                              <w:pStyle w:val="NormalWeb"/>
                              <w:spacing w:after="200" w:line="276" w:lineRule="auto"/>
                              <w:jc w:val="both"/>
                              <w:rPr>
                                <w:rFonts w:ascii="Arial Narrow" w:eastAsia="SimSun" w:hAnsi="Arial Narrow" w:cs="Arial"/>
                                <w:color w:val="595959"/>
                                <w:kern w:val="24"/>
                                <w:sz w:val="22"/>
                              </w:rPr>
                            </w:pPr>
                            <w:r>
                              <w:rPr>
                                <w:rFonts w:ascii="Arial Narrow" w:eastAsia="SimSun" w:hAnsi="Arial Narrow" w:cs="Arial"/>
                                <w:color w:val="595959"/>
                                <w:kern w:val="24"/>
                                <w:sz w:val="22"/>
                              </w:rPr>
                              <w:t xml:space="preserve">NOF 2D monolayers were treated with </w:t>
                            </w:r>
                            <w:r w:rsidRPr="00944EBD">
                              <w:rPr>
                                <w:rFonts w:ascii="Arial Narrow" w:eastAsia="SimSun" w:hAnsi="Arial Narrow" w:cs="Arial"/>
                                <w:color w:val="595959"/>
                                <w:kern w:val="24"/>
                                <w:sz w:val="22"/>
                              </w:rPr>
                              <w:t xml:space="preserve">TGFβ-1 </w:t>
                            </w:r>
                            <w:r>
                              <w:rPr>
                                <w:rFonts w:ascii="Arial Narrow" w:eastAsia="SimSun" w:hAnsi="Arial Narrow" w:cs="Arial"/>
                                <w:color w:val="595959"/>
                                <w:kern w:val="24"/>
                                <w:sz w:val="22"/>
                              </w:rPr>
                              <w:t xml:space="preserve">for up to 72 h + 14 days with FN1-EDA protein levels determined using immunoblotting (A). Densitometry of the resultant bands were measured using ImageJ and the intensity measured relative to GAPDH controls (B).  Data is expressed as relative fold change, with mean ± SD, N=3, n=2, *** denotes p &lt;0.001 and **** p &lt;0.0001 analysed by Kruskal-Wallis test with Dunn’s multiple comparison test.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C8BAA9" id="_x0000_s1080" type="#_x0000_t202" style="position:absolute;left:0;text-align:left;margin-left:399.55pt;margin-top:.9pt;width:450.75pt;height:104.25pt;z-index:2516582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" stroked="f">
                <v:textbox>
                  <w:txbxContent>
                    <w:p w14:paraId="523956E5" w14:textId="58A5EE0F" w:rsidR="008A47AC" w:rsidRDefault="008A47AC" w:rsidP="0054039C">
                      <w:pPr>
                        <w:pStyle w:val="NormalWeb"/>
                        <w:spacing w:after="200"/>
                        <w:jc w:val="both"/>
                        <w:rPr>
                          <w:rFonts w:ascii="Arial Narrow" w:eastAsia="SimSun" w:hAnsi="Arial Narrow" w:cs="Arial"/>
                          <w:b/>
                          <w:bCs/>
                          <w:color w:val="595959"/>
                          <w:kern w:val="24"/>
                          <w:sz w:val="22"/>
                          <w:szCs w:val="22"/>
                        </w:rPr>
                      </w:pPr>
                      <w:r>
                        <w:rPr>
                          <w:rFonts w:ascii="Arial Narrow" w:eastAsia="SimSun" w:hAnsi="Arial Narrow" w:cs="Arial"/>
                          <w:b/>
                          <w:bCs/>
                          <w:color w:val="595959"/>
                          <w:kern w:val="24"/>
                          <w:sz w:val="22"/>
                          <w:szCs w:val="22"/>
                        </w:rPr>
                        <w:t xml:space="preserve">Figure 3.17 Immunoblotting for FN1-EDA abundance in NOF with and without TGFβ-1 stimulation </w:t>
                      </w:r>
                    </w:p>
                    <w:p w14:paraId="7CC76AFA" w14:textId="77777777" w:rsidR="008A47AC" w:rsidRPr="00550043" w:rsidRDefault="008A47AC" w:rsidP="0054039C">
                      <w:pPr>
                        <w:pStyle w:val="NormalWeb"/>
                        <w:spacing w:after="200" w:line="276" w:lineRule="auto"/>
                        <w:jc w:val="both"/>
                        <w:rPr>
                          <w:rFonts w:ascii="Arial Narrow" w:eastAsia="SimSun" w:hAnsi="Arial Narrow" w:cs="Arial"/>
                          <w:color w:val="595959"/>
                          <w:kern w:val="24"/>
                          <w:sz w:val="22"/>
                        </w:rPr>
                      </w:pPr>
                      <w:r>
                        <w:rPr>
                          <w:rFonts w:ascii="Arial Narrow" w:eastAsia="SimSun" w:hAnsi="Arial Narrow" w:cs="Arial"/>
                          <w:color w:val="595959"/>
                          <w:kern w:val="24"/>
                          <w:sz w:val="22"/>
                        </w:rPr>
                        <w:t xml:space="preserve">NOF 2D monolayers were treated with </w:t>
                      </w:r>
                      <w:r w:rsidRPr="00944EBD">
                        <w:rPr>
                          <w:rFonts w:ascii="Arial Narrow" w:eastAsia="SimSun" w:hAnsi="Arial Narrow" w:cs="Arial"/>
                          <w:color w:val="595959"/>
                          <w:kern w:val="24"/>
                          <w:sz w:val="22"/>
                        </w:rPr>
                        <w:t xml:space="preserve">TGFβ-1 </w:t>
                      </w:r>
                      <w:r>
                        <w:rPr>
                          <w:rFonts w:ascii="Arial Narrow" w:eastAsia="SimSun" w:hAnsi="Arial Narrow" w:cs="Arial"/>
                          <w:color w:val="595959"/>
                          <w:kern w:val="24"/>
                          <w:sz w:val="22"/>
                        </w:rPr>
                        <w:t xml:space="preserve">for up to 72 h + 14 days with FN1-EDA protein levels determined using immunoblotting (A). Densitometry of the resultant bands were measured using ImageJ and the intensity measured relative to GAPDH controls (B).  Data is expressed as relative fold change, with mean ± SD, N=3, n=2, *** denotes p &lt;0.001 and **** p &lt;0.0001 analysed by Kruskal-Wallis test with Dunn’s multiple comparison test.  </w:t>
                      </w:r>
                    </w:p>
                  </w:txbxContent>
                </v:textbox>
                <w10:wrap anchorx="margin"/>
              </v:shape>
            </w:pict>
          </mc:Fallback>
        </mc:AlternateContent>
      </w:r>
    </w:p>
    <w:p w14:paraId="2567F6D6" w14:textId="77777777" w:rsidR="0054039C" w:rsidRPr="0054039C" w:rsidRDefault="0054039C" w:rsidP="0054039C">
      <w:pPr>
        <w:spacing w:line="480" w:lineRule="auto"/>
        <w:jc w:val="both"/>
        <w:rPr>
          <w:rFonts w:ascii="Arial" w:eastAsia="Times New Roman" w:hAnsi="Arial" w:cs="Arial"/>
          <w:bCs/>
          <w:color w:val="595959" w:themeColor="text1" w:themeTint="A6"/>
        </w:rPr>
      </w:pPr>
    </w:p>
    <w:p w14:paraId="20752A30" w14:textId="77777777" w:rsidR="0054039C" w:rsidRPr="0054039C" w:rsidRDefault="0054039C" w:rsidP="0054039C">
      <w:pPr>
        <w:spacing w:line="480" w:lineRule="auto"/>
        <w:jc w:val="both"/>
        <w:rPr>
          <w:rFonts w:ascii="Arial" w:eastAsia="Times New Roman" w:hAnsi="Arial" w:cs="Arial"/>
          <w:bCs/>
          <w:color w:val="595959" w:themeColor="text1" w:themeTint="A6"/>
        </w:rPr>
      </w:pPr>
    </w:p>
    <w:p w14:paraId="49E040FD" w14:textId="77777777" w:rsidR="0054039C" w:rsidRPr="0054039C" w:rsidRDefault="0054039C" w:rsidP="0054039C">
      <w:pPr>
        <w:spacing w:line="480" w:lineRule="auto"/>
        <w:jc w:val="both"/>
        <w:rPr>
          <w:rFonts w:ascii="Arial" w:eastAsia="Times New Roman" w:hAnsi="Arial" w:cs="Arial"/>
          <w:color w:val="595959" w:themeColor="text1" w:themeTint="A6"/>
          <w:szCs w:val="24"/>
        </w:rPr>
      </w:pPr>
    </w:p>
    <w:p w14:paraId="3B2A03AD" w14:textId="77777777" w:rsidR="0054039C" w:rsidRPr="0054039C" w:rsidRDefault="0054039C" w:rsidP="0054039C">
      <w:pPr>
        <w:spacing w:line="480" w:lineRule="auto"/>
        <w:jc w:val="both"/>
        <w:rPr>
          <w:rFonts w:ascii="Arial" w:eastAsia="Times New Roman" w:hAnsi="Arial" w:cs="Arial"/>
          <w:color w:val="595959" w:themeColor="text1" w:themeTint="A6"/>
          <w:szCs w:val="24"/>
        </w:rPr>
      </w:pPr>
    </w:p>
    <w:p w14:paraId="55DBCE8D" w14:textId="77777777" w:rsidR="0054039C" w:rsidRPr="0054039C" w:rsidRDefault="0054039C" w:rsidP="0054039C">
      <w:pPr>
        <w:spacing w:line="480" w:lineRule="auto"/>
        <w:jc w:val="both"/>
        <w:rPr>
          <w:rFonts w:ascii="Arial" w:eastAsia="Times New Roman" w:hAnsi="Arial" w:cs="Arial"/>
          <w:color w:val="595959" w:themeColor="text1" w:themeTint="A6"/>
          <w:szCs w:val="24"/>
        </w:rPr>
      </w:pPr>
    </w:p>
    <w:p w14:paraId="6C8FD4BB" w14:textId="77777777" w:rsidR="0054039C" w:rsidRPr="0054039C" w:rsidRDefault="0054039C" w:rsidP="0054039C">
      <w:pPr>
        <w:keepNext/>
        <w:keepLines/>
        <w:spacing w:before="40" w:after="0"/>
        <w:outlineLvl w:val="4"/>
        <w:rPr>
          <w:rFonts w:ascii="Arial" w:eastAsia="Times New Roman" w:hAnsi="Arial" w:cs="Arial"/>
          <w:color w:val="595959" w:themeColor="text1" w:themeTint="A6"/>
          <w:kern w:val="24"/>
        </w:rPr>
      </w:pPr>
      <w:bookmarkStart w:id="277" w:name="_Toc7107260"/>
      <w:bookmarkStart w:id="278" w:name="_Toc34208365"/>
      <w:r w:rsidRPr="0054039C">
        <w:rPr>
          <w:rFonts w:ascii="Arial" w:eastAsia="Times New Roman" w:hAnsi="Arial" w:cs="Arial"/>
          <w:bCs/>
          <w:color w:val="595959" w:themeColor="text1" w:themeTint="A6"/>
        </w:rPr>
        <w:lastRenderedPageBreak/>
        <w:t xml:space="preserve">3.3.1.4.2.3 </w:t>
      </w:r>
      <w:r w:rsidRPr="0054039C">
        <w:rPr>
          <w:rFonts w:ascii="Arial" w:eastAsia="Times New Roman" w:hAnsi="Arial" w:cs="Arial"/>
          <w:color w:val="595959" w:themeColor="text1" w:themeTint="A6"/>
          <w:kern w:val="24"/>
        </w:rPr>
        <w:t>COL1A1 protein abundance in normal oral fibroblasts</w:t>
      </w:r>
      <w:bookmarkEnd w:id="277"/>
      <w:bookmarkEnd w:id="278"/>
    </w:p>
    <w:p w14:paraId="4E30085B" w14:textId="77777777" w:rsidR="00F303E8" w:rsidRDefault="00F303E8" w:rsidP="0054039C">
      <w:pPr>
        <w:spacing w:line="480" w:lineRule="auto"/>
        <w:jc w:val="both"/>
        <w:rPr>
          <w:rFonts w:ascii="Arial" w:eastAsia="Times New Roman" w:hAnsi="Arial" w:cs="Arial"/>
          <w:color w:val="595959" w:themeColor="text1" w:themeTint="A6"/>
          <w:kern w:val="24"/>
        </w:rPr>
      </w:pPr>
    </w:p>
    <w:p w14:paraId="2682C728" w14:textId="27B3D1E7" w:rsidR="0054039C" w:rsidRPr="0054039C" w:rsidRDefault="0054039C" w:rsidP="00F303E8">
      <w:pPr>
        <w:spacing w:line="480" w:lineRule="auto"/>
        <w:jc w:val="both"/>
        <w:rPr>
          <w:rFonts w:ascii="Arial" w:eastAsia="Times New Roman" w:hAnsi="Arial" w:cs="Arial"/>
          <w:color w:val="595959" w:themeColor="text1" w:themeTint="A6"/>
          <w:kern w:val="24"/>
        </w:rPr>
      </w:pPr>
      <w:r w:rsidRPr="0054039C">
        <w:rPr>
          <w:rFonts w:ascii="Arial" w:eastAsia="Times New Roman" w:hAnsi="Arial" w:cs="Arial"/>
          <w:color w:val="595959" w:themeColor="text1" w:themeTint="A6"/>
          <w:kern w:val="24"/>
        </w:rPr>
        <w:t>COL1A1 was present in all samples long-term with and without TGFβ-1 treatment (Figure 3.</w:t>
      </w:r>
      <w:r w:rsidR="002B0435">
        <w:rPr>
          <w:rFonts w:ascii="Arial" w:eastAsia="Times New Roman" w:hAnsi="Arial" w:cs="Arial"/>
          <w:color w:val="595959" w:themeColor="text1" w:themeTint="A6"/>
          <w:kern w:val="24"/>
        </w:rPr>
        <w:t>18</w:t>
      </w:r>
      <w:r w:rsidRPr="0054039C">
        <w:rPr>
          <w:rFonts w:ascii="Arial" w:eastAsia="Times New Roman" w:hAnsi="Arial" w:cs="Arial"/>
          <w:color w:val="595959" w:themeColor="text1" w:themeTint="A6"/>
          <w:kern w:val="24"/>
        </w:rPr>
        <w:t xml:space="preserve"> A). A time-dependent increase was observed for both controls and TGFβ-1 treated NOF (Figure 3.</w:t>
      </w:r>
      <w:r w:rsidR="002B0435">
        <w:rPr>
          <w:rFonts w:ascii="Arial" w:eastAsia="Times New Roman" w:hAnsi="Arial" w:cs="Arial"/>
          <w:color w:val="595959" w:themeColor="text1" w:themeTint="A6"/>
          <w:kern w:val="24"/>
        </w:rPr>
        <w:t>18</w:t>
      </w:r>
      <w:r w:rsidRPr="0054039C">
        <w:rPr>
          <w:rFonts w:ascii="Arial" w:eastAsia="Times New Roman" w:hAnsi="Arial" w:cs="Arial"/>
          <w:color w:val="595959" w:themeColor="text1" w:themeTint="A6"/>
          <w:kern w:val="24"/>
        </w:rPr>
        <w:t xml:space="preserve"> B). At 72 h + 14 days, controls and TGFβ-1 treated NOF significantly increased COL1A1 abundance. COL1A1 increased 2.09 ± 0.01-fold, p &lt;0.0001 in 72 h + 14 days control and increased 2.78 ± 0.20-fold, p &lt;0.0001 in 72 h + 14 days TGFβ-1 treated NOF.  </w:t>
      </w:r>
    </w:p>
    <w:p w14:paraId="021F0AB9" w14:textId="77777777" w:rsidR="0054039C" w:rsidRPr="0054039C" w:rsidRDefault="0054039C" w:rsidP="0054039C">
      <w:pPr>
        <w:spacing w:line="480" w:lineRule="auto"/>
        <w:jc w:val="both"/>
        <w:rPr>
          <w:rFonts w:ascii="Arial" w:eastAsia="Times New Roman" w:hAnsi="Arial" w:cs="Arial"/>
          <w:color w:val="595959" w:themeColor="text1" w:themeTint="A6"/>
          <w:kern w:val="24"/>
        </w:rPr>
      </w:pPr>
    </w:p>
    <w:p w14:paraId="7BEB0FBA" w14:textId="08D7B015" w:rsidR="0054039C" w:rsidRPr="0054039C" w:rsidRDefault="00941B45" w:rsidP="0054039C">
      <w:pPr>
        <w:spacing w:line="480" w:lineRule="auto"/>
        <w:jc w:val="both"/>
        <w:rPr>
          <w:rFonts w:ascii="Arial" w:eastAsia="Times New Roman" w:hAnsi="Arial" w:cs="Arial"/>
          <w:color w:val="595959" w:themeColor="text1" w:themeTint="A6"/>
          <w:kern w:val="24"/>
        </w:rPr>
      </w:pPr>
      <w:r>
        <w:rPr>
          <w:rFonts w:ascii="Arial" w:eastAsia="Times New Roman" w:hAnsi="Arial" w:cs="Arial"/>
          <w:noProof/>
          <w:color w:val="595959" w:themeColor="text1" w:themeTint="A6"/>
          <w:kern w:val="24"/>
        </w:rPr>
        <w:drawing>
          <wp:anchor distT="0" distB="0" distL="114300" distR="114300" simplePos="0" relativeHeight="251666699" behindDoc="0" locked="0" layoutInCell="1" allowOverlap="1" wp14:anchorId="67A4FBF9" wp14:editId="77F1FA3D">
            <wp:simplePos x="0" y="0"/>
            <wp:positionH relativeFrom="column">
              <wp:posOffset>0</wp:posOffset>
            </wp:positionH>
            <wp:positionV relativeFrom="paragraph">
              <wp:posOffset>-167</wp:posOffset>
            </wp:positionV>
            <wp:extent cx="6322060" cy="3011805"/>
            <wp:effectExtent l="0" t="0" r="0" b="0"/>
            <wp:wrapNone/>
            <wp:docPr id="5580" name="Picture 5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322060" cy="3011805"/>
                    </a:xfrm>
                    <a:prstGeom prst="rect">
                      <a:avLst/>
                    </a:prstGeom>
                    <a:noFill/>
                  </pic:spPr>
                </pic:pic>
              </a:graphicData>
            </a:graphic>
          </wp:anchor>
        </w:drawing>
      </w:r>
    </w:p>
    <w:p w14:paraId="03C75F71" w14:textId="77777777" w:rsidR="0054039C" w:rsidRPr="0054039C" w:rsidRDefault="0054039C" w:rsidP="0054039C">
      <w:pPr>
        <w:spacing w:line="480" w:lineRule="auto"/>
        <w:jc w:val="both"/>
        <w:rPr>
          <w:rFonts w:ascii="Arial" w:eastAsia="Times New Roman" w:hAnsi="Arial" w:cs="Arial"/>
          <w:color w:val="595959" w:themeColor="text1" w:themeTint="A6"/>
          <w:kern w:val="24"/>
        </w:rPr>
      </w:pPr>
    </w:p>
    <w:p w14:paraId="12A528D4" w14:textId="77777777" w:rsidR="0054039C" w:rsidRPr="0054039C" w:rsidRDefault="0054039C" w:rsidP="0054039C">
      <w:pPr>
        <w:spacing w:line="480" w:lineRule="auto"/>
        <w:jc w:val="both"/>
        <w:rPr>
          <w:rFonts w:ascii="Arial" w:eastAsia="Times New Roman" w:hAnsi="Arial" w:cs="Arial"/>
          <w:color w:val="595959" w:themeColor="text1" w:themeTint="A6"/>
          <w:kern w:val="24"/>
        </w:rPr>
      </w:pPr>
    </w:p>
    <w:p w14:paraId="651BF806" w14:textId="77777777" w:rsidR="0054039C" w:rsidRPr="0054039C" w:rsidRDefault="0054039C" w:rsidP="0054039C">
      <w:pPr>
        <w:spacing w:line="480" w:lineRule="auto"/>
        <w:jc w:val="both"/>
        <w:rPr>
          <w:rFonts w:ascii="Arial" w:eastAsia="Times New Roman" w:hAnsi="Arial" w:cs="Arial"/>
          <w:color w:val="595959" w:themeColor="text1" w:themeTint="A6"/>
          <w:kern w:val="24"/>
        </w:rPr>
      </w:pPr>
    </w:p>
    <w:p w14:paraId="7D06E20E" w14:textId="77777777" w:rsidR="0054039C" w:rsidRPr="0054039C" w:rsidRDefault="0054039C" w:rsidP="0054039C">
      <w:pPr>
        <w:spacing w:line="480" w:lineRule="auto"/>
        <w:jc w:val="both"/>
        <w:rPr>
          <w:rFonts w:ascii="Arial" w:eastAsia="Times New Roman" w:hAnsi="Arial" w:cs="Arial"/>
          <w:color w:val="595959" w:themeColor="text1" w:themeTint="A6"/>
          <w:kern w:val="24"/>
        </w:rPr>
      </w:pPr>
    </w:p>
    <w:p w14:paraId="0C1B3829" w14:textId="77777777" w:rsidR="0054039C" w:rsidRPr="0054039C" w:rsidRDefault="0054039C" w:rsidP="0054039C">
      <w:pPr>
        <w:spacing w:line="480" w:lineRule="auto"/>
        <w:jc w:val="both"/>
        <w:rPr>
          <w:rFonts w:ascii="Arial" w:eastAsia="Times New Roman" w:hAnsi="Arial" w:cs="Arial"/>
          <w:color w:val="595959" w:themeColor="text1" w:themeTint="A6"/>
          <w:kern w:val="24"/>
        </w:rPr>
      </w:pPr>
    </w:p>
    <w:p w14:paraId="0B464727" w14:textId="77777777" w:rsidR="0054039C" w:rsidRPr="0054039C" w:rsidRDefault="0054039C" w:rsidP="0054039C">
      <w:pPr>
        <w:spacing w:line="480" w:lineRule="auto"/>
        <w:jc w:val="both"/>
        <w:rPr>
          <w:rFonts w:ascii="Arial" w:eastAsia="Times New Roman" w:hAnsi="Arial" w:cs="Arial"/>
          <w:color w:val="595959" w:themeColor="text1" w:themeTint="A6"/>
          <w:kern w:val="24"/>
        </w:rPr>
      </w:pPr>
    </w:p>
    <w:p w14:paraId="222456DF" w14:textId="77777777" w:rsidR="0054039C" w:rsidRPr="0054039C" w:rsidRDefault="0054039C" w:rsidP="0054039C">
      <w:pPr>
        <w:spacing w:line="480" w:lineRule="auto"/>
        <w:jc w:val="both"/>
        <w:rPr>
          <w:rFonts w:ascii="Arial" w:eastAsia="Times New Roman" w:hAnsi="Arial" w:cs="Arial"/>
          <w:color w:val="595959" w:themeColor="text1" w:themeTint="A6"/>
          <w:kern w:val="24"/>
        </w:rPr>
      </w:pPr>
    </w:p>
    <w:p w14:paraId="67256939" w14:textId="77777777" w:rsidR="0054039C" w:rsidRPr="0054039C" w:rsidRDefault="0054039C" w:rsidP="0054039C">
      <w:pPr>
        <w:spacing w:line="480" w:lineRule="auto"/>
        <w:jc w:val="both"/>
        <w:rPr>
          <w:rFonts w:ascii="Arial" w:eastAsia="Times New Roman" w:hAnsi="Arial" w:cs="Arial"/>
          <w:color w:val="595959" w:themeColor="text1" w:themeTint="A6"/>
          <w:kern w:val="24"/>
        </w:rPr>
      </w:pPr>
      <w:r w:rsidRPr="0054039C">
        <w:rPr>
          <w:rFonts w:ascii="Arial" w:hAnsi="Arial" w:cs="Arial"/>
          <w:noProof/>
          <w:color w:val="595959" w:themeColor="text1" w:themeTint="A6"/>
          <w:sz w:val="24"/>
          <w:szCs w:val="24"/>
          <w:lang w:eastAsia="zh-CN"/>
        </w:rPr>
        <mc:AlternateContent>
          <mc:Choice Requires="wps">
            <w:drawing>
              <wp:anchor distT="0" distB="0" distL="114300" distR="114300" simplePos="0" relativeHeight="251658293" behindDoc="0" locked="0" layoutInCell="1" allowOverlap="1" wp14:anchorId="74CF5964" wp14:editId="76DF0A32">
                <wp:simplePos x="0" y="0"/>
                <wp:positionH relativeFrom="margin">
                  <wp:align>right</wp:align>
                </wp:positionH>
                <wp:positionV relativeFrom="paragraph">
                  <wp:posOffset>203366</wp:posOffset>
                </wp:positionV>
                <wp:extent cx="5730875" cy="1248354"/>
                <wp:effectExtent l="0" t="0" r="3175" b="9525"/>
                <wp:wrapNone/>
                <wp:docPr id="15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0875" cy="1248354"/>
                        </a:xfrm>
                        <a:prstGeom prst="rect">
                          <a:avLst/>
                        </a:prstGeom>
                        <a:solidFill>
                          <a:srgbClr val="FFFFFF"/>
                        </a:solidFill>
                        <a:ln w="9525">
                          <a:noFill/>
                          <a:miter lim="800000"/>
                          <a:headEnd/>
                          <a:tailEnd/>
                        </a:ln>
                      </wps:spPr>
                      <wps:txbx>
                        <w:txbxContent>
                          <w:p w14:paraId="3F0FAD50" w14:textId="2E8BA4C4" w:rsidR="008A47AC" w:rsidRDefault="008A47AC" w:rsidP="0054039C">
                            <w:pPr>
                              <w:pStyle w:val="NormalWeb"/>
                              <w:spacing w:after="200"/>
                              <w:jc w:val="both"/>
                              <w:rPr>
                                <w:rFonts w:ascii="Arial Narrow" w:eastAsia="SimSun" w:hAnsi="Arial Narrow" w:cs="Arial"/>
                                <w:b/>
                                <w:bCs/>
                                <w:color w:val="595959"/>
                                <w:kern w:val="24"/>
                                <w:sz w:val="22"/>
                                <w:szCs w:val="22"/>
                              </w:rPr>
                            </w:pPr>
                            <w:r>
                              <w:rPr>
                                <w:rFonts w:ascii="Arial Narrow" w:eastAsia="SimSun" w:hAnsi="Arial Narrow" w:cs="Arial"/>
                                <w:b/>
                                <w:bCs/>
                                <w:color w:val="595959"/>
                                <w:kern w:val="24"/>
                                <w:sz w:val="22"/>
                                <w:szCs w:val="22"/>
                              </w:rPr>
                              <w:t xml:space="preserve">Figure 3.18 Immunoblotting for COL1A1 abundance in NOF with and without TGFβ-1 stimulation </w:t>
                            </w:r>
                          </w:p>
                          <w:p w14:paraId="5778AE07" w14:textId="77777777" w:rsidR="008A47AC" w:rsidRPr="00A6564F" w:rsidRDefault="008A47AC" w:rsidP="0054039C">
                            <w:pPr>
                              <w:pStyle w:val="NormalWeb"/>
                              <w:spacing w:after="200" w:line="276" w:lineRule="auto"/>
                              <w:jc w:val="both"/>
                              <w:rPr>
                                <w:rFonts w:ascii="Arial Narrow" w:eastAsia="SimSun" w:hAnsi="Arial Narrow" w:cs="Arial"/>
                                <w:color w:val="595959"/>
                                <w:kern w:val="24"/>
                                <w:sz w:val="22"/>
                              </w:rPr>
                            </w:pPr>
                            <w:r>
                              <w:rPr>
                                <w:rFonts w:ascii="Arial Narrow" w:eastAsia="SimSun" w:hAnsi="Arial Narrow" w:cs="Arial"/>
                                <w:color w:val="595959"/>
                                <w:kern w:val="24"/>
                                <w:sz w:val="22"/>
                              </w:rPr>
                              <w:t xml:space="preserve">NOF 2D monolayers were treated with </w:t>
                            </w:r>
                            <w:r w:rsidRPr="00944EBD">
                              <w:rPr>
                                <w:rFonts w:ascii="Arial Narrow" w:eastAsia="SimSun" w:hAnsi="Arial Narrow" w:cs="Arial"/>
                                <w:color w:val="595959"/>
                                <w:kern w:val="24"/>
                                <w:sz w:val="22"/>
                              </w:rPr>
                              <w:t xml:space="preserve">TGFβ-1 </w:t>
                            </w:r>
                            <w:r>
                              <w:rPr>
                                <w:rFonts w:ascii="Arial Narrow" w:eastAsia="SimSun" w:hAnsi="Arial Narrow" w:cs="Arial"/>
                                <w:color w:val="595959"/>
                                <w:kern w:val="24"/>
                                <w:sz w:val="22"/>
                              </w:rPr>
                              <w:t xml:space="preserve">for up to 72 h + 14 days with COL1A1 protein levels determined using immunoblotting (A). Densitometry of the resultant bands were measured using ImageJ and the intensity measured relative to GAPDH controls (B).  Data is expressed as relative fold change, with mean ± SD, N=3, n=2, **** denotes p &lt;0.0001 analysed by Kruskal-Wallis test with Dunn’s multiple comparison test.  </w:t>
                            </w:r>
                          </w:p>
                          <w:p w14:paraId="18ECDCFB" w14:textId="2D14FEDB" w:rsidR="008A47AC" w:rsidRPr="005567BA" w:rsidRDefault="008A47AC" w:rsidP="0054039C">
                            <w:pPr>
                              <w:pStyle w:val="NormalWeb"/>
                              <w:spacing w:after="200" w:line="276" w:lineRule="auto"/>
                              <w:jc w:val="both"/>
                              <w:rPr>
                                <w:rFonts w:ascii="Arial Narrow" w:eastAsia="SimSun" w:hAnsi="Arial Narrow" w:cs="Arial"/>
                                <w:color w:val="595959"/>
                                <w:kern w:val="24"/>
                                <w:sz w:val="22"/>
                                <w:szCs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CF5964" id="_x0000_s1081" type="#_x0000_t202" style="position:absolute;left:0;text-align:left;margin-left:400.05pt;margin-top:16pt;width:451.25pt;height:98.3pt;z-index:251658293;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" stroked="f">
                <v:textbox>
                  <w:txbxContent>
                    <w:p w14:paraId="3F0FAD50" w14:textId="2E8BA4C4" w:rsidR="008A47AC" w:rsidRDefault="008A47AC" w:rsidP="0054039C">
                      <w:pPr>
                        <w:pStyle w:val="NormalWeb"/>
                        <w:spacing w:after="200"/>
                        <w:jc w:val="both"/>
                        <w:rPr>
                          <w:rFonts w:ascii="Arial Narrow" w:eastAsia="SimSun" w:hAnsi="Arial Narrow" w:cs="Arial"/>
                          <w:b/>
                          <w:bCs/>
                          <w:color w:val="595959"/>
                          <w:kern w:val="24"/>
                          <w:sz w:val="22"/>
                          <w:szCs w:val="22"/>
                        </w:rPr>
                      </w:pPr>
                      <w:r>
                        <w:rPr>
                          <w:rFonts w:ascii="Arial Narrow" w:eastAsia="SimSun" w:hAnsi="Arial Narrow" w:cs="Arial"/>
                          <w:b/>
                          <w:bCs/>
                          <w:color w:val="595959"/>
                          <w:kern w:val="24"/>
                          <w:sz w:val="22"/>
                          <w:szCs w:val="22"/>
                        </w:rPr>
                        <w:t xml:space="preserve">Figure 3.18 Immunoblotting for COL1A1 abundance in NOF with and without TGFβ-1 stimulation </w:t>
                      </w:r>
                    </w:p>
                    <w:p w14:paraId="5778AE07" w14:textId="77777777" w:rsidR="008A47AC" w:rsidRPr="00A6564F" w:rsidRDefault="008A47AC" w:rsidP="0054039C">
                      <w:pPr>
                        <w:pStyle w:val="NormalWeb"/>
                        <w:spacing w:after="200" w:line="276" w:lineRule="auto"/>
                        <w:jc w:val="both"/>
                        <w:rPr>
                          <w:rFonts w:ascii="Arial Narrow" w:eastAsia="SimSun" w:hAnsi="Arial Narrow" w:cs="Arial"/>
                          <w:color w:val="595959"/>
                          <w:kern w:val="24"/>
                          <w:sz w:val="22"/>
                        </w:rPr>
                      </w:pPr>
                      <w:r>
                        <w:rPr>
                          <w:rFonts w:ascii="Arial Narrow" w:eastAsia="SimSun" w:hAnsi="Arial Narrow" w:cs="Arial"/>
                          <w:color w:val="595959"/>
                          <w:kern w:val="24"/>
                          <w:sz w:val="22"/>
                        </w:rPr>
                        <w:t xml:space="preserve">NOF 2D monolayers were treated with </w:t>
                      </w:r>
                      <w:r w:rsidRPr="00944EBD">
                        <w:rPr>
                          <w:rFonts w:ascii="Arial Narrow" w:eastAsia="SimSun" w:hAnsi="Arial Narrow" w:cs="Arial"/>
                          <w:color w:val="595959"/>
                          <w:kern w:val="24"/>
                          <w:sz w:val="22"/>
                        </w:rPr>
                        <w:t xml:space="preserve">TGFβ-1 </w:t>
                      </w:r>
                      <w:r>
                        <w:rPr>
                          <w:rFonts w:ascii="Arial Narrow" w:eastAsia="SimSun" w:hAnsi="Arial Narrow" w:cs="Arial"/>
                          <w:color w:val="595959"/>
                          <w:kern w:val="24"/>
                          <w:sz w:val="22"/>
                        </w:rPr>
                        <w:t xml:space="preserve">for up to 72 h + 14 days with COL1A1 protein levels determined using immunoblotting (A). Densitometry of the resultant bands were measured using ImageJ and the intensity measured relative to GAPDH controls (B).  Data is expressed as relative fold change, with mean ± SD, N=3, n=2, **** denotes p &lt;0.0001 analysed by Kruskal-Wallis test with Dunn’s multiple comparison test.  </w:t>
                      </w:r>
                    </w:p>
                    <w:p w14:paraId="18ECDCFB" w14:textId="2D14FEDB" w:rsidR="008A47AC" w:rsidRPr="005567BA" w:rsidRDefault="008A47AC" w:rsidP="0054039C">
                      <w:pPr>
                        <w:pStyle w:val="NormalWeb"/>
                        <w:spacing w:after="200" w:line="276" w:lineRule="auto"/>
                        <w:jc w:val="both"/>
                        <w:rPr>
                          <w:rFonts w:ascii="Arial Narrow" w:eastAsia="SimSun" w:hAnsi="Arial Narrow" w:cs="Arial"/>
                          <w:color w:val="595959"/>
                          <w:kern w:val="24"/>
                          <w:sz w:val="22"/>
                          <w:szCs w:val="22"/>
                        </w:rPr>
                      </w:pPr>
                    </w:p>
                  </w:txbxContent>
                </v:textbox>
                <w10:wrap anchorx="margin"/>
              </v:shape>
            </w:pict>
          </mc:Fallback>
        </mc:AlternateContent>
      </w:r>
    </w:p>
    <w:p w14:paraId="2142A319" w14:textId="77777777" w:rsidR="0054039C" w:rsidRPr="0054039C" w:rsidRDefault="0054039C" w:rsidP="0054039C">
      <w:pPr>
        <w:spacing w:line="480" w:lineRule="auto"/>
        <w:jc w:val="both"/>
        <w:rPr>
          <w:rFonts w:ascii="Arial" w:eastAsia="Times New Roman" w:hAnsi="Arial" w:cs="Arial"/>
          <w:color w:val="595959" w:themeColor="text1" w:themeTint="A6"/>
          <w:kern w:val="24"/>
        </w:rPr>
      </w:pPr>
    </w:p>
    <w:p w14:paraId="1477C56F" w14:textId="77777777" w:rsidR="0054039C" w:rsidRPr="0054039C" w:rsidRDefault="0054039C" w:rsidP="0054039C">
      <w:pPr>
        <w:spacing w:line="480" w:lineRule="auto"/>
        <w:jc w:val="both"/>
        <w:rPr>
          <w:rFonts w:ascii="Arial" w:eastAsia="Times New Roman" w:hAnsi="Arial" w:cs="Arial"/>
          <w:color w:val="595959" w:themeColor="text1" w:themeTint="A6"/>
          <w:kern w:val="24"/>
        </w:rPr>
      </w:pPr>
    </w:p>
    <w:p w14:paraId="51DDF483" w14:textId="77777777" w:rsidR="0054039C" w:rsidRPr="0054039C" w:rsidRDefault="0054039C" w:rsidP="0054039C">
      <w:pPr>
        <w:spacing w:line="480" w:lineRule="auto"/>
        <w:jc w:val="both"/>
        <w:rPr>
          <w:rFonts w:ascii="Arial" w:eastAsia="Times New Roman" w:hAnsi="Arial" w:cs="Arial"/>
          <w:color w:val="595959" w:themeColor="text1" w:themeTint="A6"/>
          <w:kern w:val="24"/>
        </w:rPr>
      </w:pPr>
    </w:p>
    <w:p w14:paraId="4AFA207A" w14:textId="77777777" w:rsidR="0054039C" w:rsidRPr="0054039C" w:rsidRDefault="0054039C" w:rsidP="0054039C">
      <w:pPr>
        <w:spacing w:line="480" w:lineRule="auto"/>
        <w:jc w:val="both"/>
        <w:rPr>
          <w:rFonts w:ascii="Arial" w:eastAsia="Times New Roman" w:hAnsi="Arial" w:cs="Arial"/>
          <w:color w:val="595959" w:themeColor="text1" w:themeTint="A6"/>
          <w:kern w:val="24"/>
        </w:rPr>
      </w:pPr>
    </w:p>
    <w:p w14:paraId="78BCCED2" w14:textId="77777777" w:rsidR="0054039C" w:rsidRPr="0054039C" w:rsidRDefault="0054039C" w:rsidP="0054039C">
      <w:pPr>
        <w:spacing w:line="480" w:lineRule="auto"/>
        <w:jc w:val="both"/>
        <w:rPr>
          <w:rFonts w:ascii="Arial" w:eastAsia="Times New Roman" w:hAnsi="Arial" w:cs="Arial"/>
          <w:color w:val="595959" w:themeColor="text1" w:themeTint="A6"/>
          <w:kern w:val="24"/>
        </w:rPr>
      </w:pPr>
    </w:p>
    <w:p w14:paraId="7E573AB5" w14:textId="77777777" w:rsidR="0054039C" w:rsidRPr="0054039C" w:rsidRDefault="0054039C" w:rsidP="0054039C">
      <w:pPr>
        <w:keepNext/>
        <w:keepLines/>
        <w:spacing w:before="40" w:after="0"/>
        <w:outlineLvl w:val="4"/>
        <w:rPr>
          <w:rFonts w:ascii="Arial" w:eastAsia="Times New Roman" w:hAnsi="Arial" w:cs="Arial"/>
          <w:color w:val="595959" w:themeColor="text1" w:themeTint="A6"/>
          <w:kern w:val="24"/>
        </w:rPr>
      </w:pPr>
      <w:bookmarkStart w:id="279" w:name="_Toc7107261"/>
      <w:bookmarkStart w:id="280" w:name="_Toc34208366"/>
      <w:r w:rsidRPr="0054039C">
        <w:rPr>
          <w:rFonts w:ascii="Arial" w:eastAsia="Times New Roman" w:hAnsi="Arial" w:cs="Arial"/>
          <w:bCs/>
          <w:color w:val="595959" w:themeColor="text1" w:themeTint="A6"/>
        </w:rPr>
        <w:lastRenderedPageBreak/>
        <w:t xml:space="preserve">3.3.1.4.2.4 </w:t>
      </w:r>
      <w:r w:rsidRPr="0054039C">
        <w:rPr>
          <w:rFonts w:ascii="Arial" w:eastAsia="Times New Roman" w:hAnsi="Arial" w:cs="Arial"/>
          <w:color w:val="595959" w:themeColor="text1" w:themeTint="A6"/>
          <w:kern w:val="24"/>
        </w:rPr>
        <w:t>VCAN protein abundance in normal oral fibroblasts</w:t>
      </w:r>
      <w:bookmarkEnd w:id="279"/>
      <w:bookmarkEnd w:id="280"/>
    </w:p>
    <w:p w14:paraId="73742BA9" w14:textId="77777777" w:rsidR="0054039C" w:rsidRPr="0054039C" w:rsidRDefault="0054039C" w:rsidP="0054039C"/>
    <w:p w14:paraId="4ABBE09D" w14:textId="372A7B93" w:rsidR="0054039C" w:rsidRPr="0054039C" w:rsidRDefault="0054039C" w:rsidP="0054039C">
      <w:pPr>
        <w:spacing w:line="480" w:lineRule="auto"/>
        <w:jc w:val="both"/>
        <w:rPr>
          <w:rFonts w:ascii="Arial" w:eastAsia="Times New Roman" w:hAnsi="Arial" w:cs="Arial"/>
          <w:color w:val="595959" w:themeColor="text1" w:themeTint="A6"/>
          <w:kern w:val="24"/>
        </w:rPr>
      </w:pPr>
      <w:r w:rsidRPr="0054039C">
        <w:rPr>
          <w:rFonts w:ascii="Arial" w:eastAsia="Times New Roman" w:hAnsi="Arial" w:cs="Arial"/>
          <w:color w:val="595959" w:themeColor="text1" w:themeTint="A6"/>
          <w:kern w:val="24"/>
        </w:rPr>
        <w:t>VCAN protein was present in all NOF samples with and without TGFβ-1 treatment (Figure 3.</w:t>
      </w:r>
      <w:r w:rsidR="00D37314">
        <w:rPr>
          <w:rFonts w:ascii="Arial" w:eastAsia="Times New Roman" w:hAnsi="Arial" w:cs="Arial"/>
          <w:color w:val="595959" w:themeColor="text1" w:themeTint="A6"/>
          <w:kern w:val="24"/>
        </w:rPr>
        <w:t>19</w:t>
      </w:r>
      <w:r w:rsidRPr="0054039C">
        <w:rPr>
          <w:rFonts w:ascii="Arial" w:eastAsia="Times New Roman" w:hAnsi="Arial" w:cs="Arial"/>
          <w:color w:val="595959" w:themeColor="text1" w:themeTint="A6"/>
          <w:kern w:val="24"/>
        </w:rPr>
        <w:t xml:space="preserve"> A). A significant increase in VCAN was observed at 48 h + 14 days with TGFβ-1 treatment of 2.06 ± 0.25, p &lt;0.0001 compared to 24 + 14-day control. The 48 h + 14 days control samples also showed a significant increase, with a 1.57 ± 0.07-fold change, p=0.0038. A significant </w:t>
      </w:r>
      <w:r w:rsidR="002B4304">
        <w:rPr>
          <w:rFonts w:ascii="Arial" w:eastAsia="Times New Roman" w:hAnsi="Arial" w:cs="Arial"/>
          <w:color w:val="595959" w:themeColor="text1" w:themeTint="A6"/>
          <w:kern w:val="24"/>
        </w:rPr>
        <w:t xml:space="preserve">~1.5-fold </w:t>
      </w:r>
      <w:r w:rsidRPr="0054039C">
        <w:rPr>
          <w:rFonts w:ascii="Arial" w:eastAsia="Times New Roman" w:hAnsi="Arial" w:cs="Arial"/>
          <w:color w:val="595959" w:themeColor="text1" w:themeTint="A6"/>
          <w:kern w:val="24"/>
        </w:rPr>
        <w:t>decrease</w:t>
      </w:r>
      <w:r w:rsidR="002B4304">
        <w:rPr>
          <w:rFonts w:ascii="Arial" w:eastAsia="Times New Roman" w:hAnsi="Arial" w:cs="Arial"/>
          <w:color w:val="595959" w:themeColor="text1" w:themeTint="A6"/>
          <w:kern w:val="24"/>
        </w:rPr>
        <w:t>, with a mean of</w:t>
      </w:r>
      <w:r w:rsidRPr="0054039C">
        <w:rPr>
          <w:rFonts w:ascii="Arial" w:eastAsia="Times New Roman" w:hAnsi="Arial" w:cs="Arial"/>
          <w:color w:val="595959" w:themeColor="text1" w:themeTint="A6"/>
          <w:kern w:val="24"/>
        </w:rPr>
        <w:t xml:space="preserve"> 0.</w:t>
      </w:r>
      <w:r w:rsidR="002B4304">
        <w:rPr>
          <w:rFonts w:ascii="Arial" w:eastAsia="Times New Roman" w:hAnsi="Arial" w:cs="Arial"/>
          <w:color w:val="595959" w:themeColor="text1" w:themeTint="A6"/>
          <w:kern w:val="24"/>
        </w:rPr>
        <w:t>6</w:t>
      </w:r>
      <w:r w:rsidRPr="0054039C">
        <w:rPr>
          <w:rFonts w:ascii="Arial" w:eastAsia="Times New Roman" w:hAnsi="Arial" w:cs="Arial"/>
          <w:color w:val="595959" w:themeColor="text1" w:themeTint="A6"/>
          <w:kern w:val="24"/>
        </w:rPr>
        <w:t xml:space="preserve">0 ±0.22, p=0.0369 in VCAN abundance was observed at 72 h + 14 days in TGFβ-1 treated samples compared to 24 h+ 14-day control. </w:t>
      </w:r>
    </w:p>
    <w:p w14:paraId="24A4C85E" w14:textId="6CBEC60E" w:rsidR="0054039C" w:rsidRPr="0054039C" w:rsidRDefault="001C482A" w:rsidP="0054039C">
      <w:pPr>
        <w:spacing w:line="480" w:lineRule="auto"/>
        <w:jc w:val="both"/>
        <w:rPr>
          <w:rFonts w:ascii="Arial" w:eastAsia="Times New Roman" w:hAnsi="Arial" w:cs="Arial"/>
          <w:color w:val="595959" w:themeColor="text1" w:themeTint="A6"/>
          <w:kern w:val="24"/>
        </w:rPr>
      </w:pPr>
      <w:r>
        <w:rPr>
          <w:rFonts w:ascii="Arial" w:eastAsia="Times New Roman" w:hAnsi="Arial" w:cs="Arial"/>
          <w:noProof/>
          <w:color w:val="595959" w:themeColor="text1" w:themeTint="A6"/>
          <w:kern w:val="24"/>
        </w:rPr>
        <w:drawing>
          <wp:anchor distT="0" distB="0" distL="114300" distR="114300" simplePos="0" relativeHeight="251667723" behindDoc="0" locked="0" layoutInCell="1" allowOverlap="1" wp14:anchorId="2FFAFF36" wp14:editId="12645885">
            <wp:simplePos x="0" y="0"/>
            <wp:positionH relativeFrom="column">
              <wp:posOffset>0</wp:posOffset>
            </wp:positionH>
            <wp:positionV relativeFrom="paragraph">
              <wp:posOffset>-2039</wp:posOffset>
            </wp:positionV>
            <wp:extent cx="6261100" cy="2773680"/>
            <wp:effectExtent l="0" t="0" r="0" b="0"/>
            <wp:wrapNone/>
            <wp:docPr id="5581" name="Picture 5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261100" cy="2773680"/>
                    </a:xfrm>
                    <a:prstGeom prst="rect">
                      <a:avLst/>
                    </a:prstGeom>
                    <a:noFill/>
                  </pic:spPr>
                </pic:pic>
              </a:graphicData>
            </a:graphic>
          </wp:anchor>
        </w:drawing>
      </w:r>
    </w:p>
    <w:p w14:paraId="60A7961D" w14:textId="77777777" w:rsidR="0054039C" w:rsidRPr="0054039C" w:rsidRDefault="0054039C" w:rsidP="0054039C">
      <w:pPr>
        <w:spacing w:line="480" w:lineRule="auto"/>
        <w:jc w:val="both"/>
        <w:rPr>
          <w:rFonts w:ascii="Arial" w:eastAsia="Times New Roman" w:hAnsi="Arial" w:cs="Arial"/>
          <w:color w:val="595959" w:themeColor="text1" w:themeTint="A6"/>
          <w:kern w:val="24"/>
        </w:rPr>
      </w:pPr>
    </w:p>
    <w:p w14:paraId="1836B9D1" w14:textId="77777777" w:rsidR="0054039C" w:rsidRPr="0054039C" w:rsidRDefault="0054039C" w:rsidP="0054039C">
      <w:pPr>
        <w:spacing w:line="480" w:lineRule="auto"/>
        <w:jc w:val="both"/>
        <w:rPr>
          <w:rFonts w:ascii="Arial" w:eastAsia="Times New Roman" w:hAnsi="Arial" w:cs="Arial"/>
          <w:color w:val="595959" w:themeColor="text1" w:themeTint="A6"/>
          <w:kern w:val="24"/>
        </w:rPr>
      </w:pPr>
    </w:p>
    <w:p w14:paraId="06835441" w14:textId="77777777" w:rsidR="0054039C" w:rsidRPr="0054039C" w:rsidRDefault="0054039C" w:rsidP="0054039C">
      <w:pPr>
        <w:spacing w:line="480" w:lineRule="auto"/>
        <w:jc w:val="both"/>
        <w:rPr>
          <w:rFonts w:ascii="Arial" w:eastAsia="Times New Roman" w:hAnsi="Arial" w:cs="Arial"/>
          <w:color w:val="595959" w:themeColor="text1" w:themeTint="A6"/>
          <w:kern w:val="24"/>
        </w:rPr>
      </w:pPr>
    </w:p>
    <w:p w14:paraId="77440678" w14:textId="77777777" w:rsidR="0054039C" w:rsidRPr="0054039C" w:rsidRDefault="0054039C" w:rsidP="0054039C">
      <w:pPr>
        <w:spacing w:line="480" w:lineRule="auto"/>
        <w:jc w:val="both"/>
        <w:rPr>
          <w:rFonts w:ascii="Arial" w:eastAsia="Times New Roman" w:hAnsi="Arial" w:cs="Arial"/>
          <w:color w:val="595959" w:themeColor="text1" w:themeTint="A6"/>
          <w:kern w:val="24"/>
        </w:rPr>
      </w:pPr>
    </w:p>
    <w:p w14:paraId="07B92707" w14:textId="77777777" w:rsidR="0054039C" w:rsidRPr="0054039C" w:rsidRDefault="0054039C" w:rsidP="0054039C">
      <w:pPr>
        <w:spacing w:line="480" w:lineRule="auto"/>
        <w:jc w:val="both"/>
        <w:rPr>
          <w:rFonts w:ascii="Arial" w:eastAsia="Times New Roman" w:hAnsi="Arial" w:cs="Arial"/>
          <w:color w:val="595959" w:themeColor="text1" w:themeTint="A6"/>
          <w:kern w:val="24"/>
        </w:rPr>
      </w:pPr>
    </w:p>
    <w:p w14:paraId="651AEDB7" w14:textId="77777777" w:rsidR="0054039C" w:rsidRPr="0054039C" w:rsidRDefault="0054039C" w:rsidP="0054039C">
      <w:pPr>
        <w:spacing w:line="480" w:lineRule="auto"/>
        <w:jc w:val="both"/>
        <w:rPr>
          <w:rFonts w:ascii="Arial" w:eastAsia="Times New Roman" w:hAnsi="Arial" w:cs="Arial"/>
          <w:color w:val="595959" w:themeColor="text1" w:themeTint="A6"/>
          <w:kern w:val="24"/>
        </w:rPr>
      </w:pPr>
    </w:p>
    <w:p w14:paraId="551E6BD5" w14:textId="77777777" w:rsidR="0054039C" w:rsidRPr="0054039C" w:rsidRDefault="0054039C" w:rsidP="0054039C">
      <w:pPr>
        <w:spacing w:line="480" w:lineRule="auto"/>
        <w:jc w:val="both"/>
        <w:rPr>
          <w:rFonts w:ascii="Arial" w:eastAsia="Times New Roman" w:hAnsi="Arial" w:cs="Arial"/>
          <w:color w:val="595959" w:themeColor="text1" w:themeTint="A6"/>
          <w:kern w:val="24"/>
        </w:rPr>
      </w:pPr>
    </w:p>
    <w:p w14:paraId="0B1BA8DE" w14:textId="77777777" w:rsidR="0054039C" w:rsidRPr="0054039C" w:rsidRDefault="0054039C" w:rsidP="0054039C">
      <w:pPr>
        <w:spacing w:line="480" w:lineRule="auto"/>
        <w:jc w:val="both"/>
        <w:rPr>
          <w:rFonts w:ascii="Arial" w:eastAsia="Times New Roman" w:hAnsi="Arial" w:cs="Arial"/>
          <w:color w:val="595959" w:themeColor="text1" w:themeTint="A6"/>
          <w:kern w:val="24"/>
        </w:rPr>
      </w:pPr>
      <w:r w:rsidRPr="0054039C">
        <w:rPr>
          <w:rFonts w:ascii="Arial" w:hAnsi="Arial" w:cs="Arial"/>
          <w:noProof/>
          <w:color w:val="595959" w:themeColor="text1" w:themeTint="A6"/>
          <w:sz w:val="24"/>
          <w:szCs w:val="24"/>
          <w:lang w:eastAsia="zh-CN"/>
        </w:rPr>
        <mc:AlternateContent>
          <mc:Choice Requires="wps">
            <w:drawing>
              <wp:anchor distT="0" distB="0" distL="114300" distR="114300" simplePos="0" relativeHeight="251658294" behindDoc="0" locked="0" layoutInCell="1" allowOverlap="1" wp14:anchorId="6BF8329A" wp14:editId="6FEFDCD8">
                <wp:simplePos x="0" y="0"/>
                <wp:positionH relativeFrom="margin">
                  <wp:align>right</wp:align>
                </wp:positionH>
                <wp:positionV relativeFrom="paragraph">
                  <wp:posOffset>5715</wp:posOffset>
                </wp:positionV>
                <wp:extent cx="5734050" cy="1409700"/>
                <wp:effectExtent l="0" t="0" r="0" b="0"/>
                <wp:wrapNone/>
                <wp:docPr id="15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1409700"/>
                        </a:xfrm>
                        <a:prstGeom prst="rect">
                          <a:avLst/>
                        </a:prstGeom>
                        <a:solidFill>
                          <a:srgbClr val="FFFFFF"/>
                        </a:solidFill>
                        <a:ln w="9525">
                          <a:noFill/>
                          <a:miter lim="800000"/>
                          <a:headEnd/>
                          <a:tailEnd/>
                        </a:ln>
                      </wps:spPr>
                      <wps:txbx>
                        <w:txbxContent>
                          <w:p w14:paraId="0B4CD311" w14:textId="0DDD855F" w:rsidR="008A47AC" w:rsidRDefault="008A47AC" w:rsidP="0054039C">
                            <w:pPr>
                              <w:pStyle w:val="NormalWeb"/>
                              <w:spacing w:after="200"/>
                              <w:jc w:val="both"/>
                              <w:rPr>
                                <w:rFonts w:ascii="Arial Narrow" w:eastAsia="SimSun" w:hAnsi="Arial Narrow" w:cs="Arial"/>
                                <w:b/>
                                <w:bCs/>
                                <w:color w:val="595959"/>
                                <w:kern w:val="24"/>
                                <w:sz w:val="22"/>
                                <w:szCs w:val="22"/>
                              </w:rPr>
                            </w:pPr>
                            <w:r>
                              <w:rPr>
                                <w:rFonts w:ascii="Arial Narrow" w:eastAsia="SimSun" w:hAnsi="Arial Narrow" w:cs="Arial"/>
                                <w:b/>
                                <w:bCs/>
                                <w:color w:val="595959"/>
                                <w:kern w:val="24"/>
                                <w:sz w:val="22"/>
                                <w:szCs w:val="22"/>
                              </w:rPr>
                              <w:t xml:space="preserve">Figure 3.19 Immunoblotting for VCAN abundance in NOF with and without TGFβ-1 stimulation </w:t>
                            </w:r>
                          </w:p>
                          <w:p w14:paraId="1D49E934" w14:textId="77777777" w:rsidR="008A47AC" w:rsidRPr="00A6564F" w:rsidRDefault="008A47AC" w:rsidP="0054039C">
                            <w:pPr>
                              <w:pStyle w:val="NormalWeb"/>
                              <w:spacing w:after="200" w:line="276" w:lineRule="auto"/>
                              <w:jc w:val="both"/>
                              <w:rPr>
                                <w:rFonts w:ascii="Arial Narrow" w:eastAsia="SimSun" w:hAnsi="Arial Narrow" w:cs="Arial"/>
                                <w:color w:val="595959"/>
                                <w:kern w:val="24"/>
                                <w:sz w:val="22"/>
                              </w:rPr>
                            </w:pPr>
                            <w:r>
                              <w:rPr>
                                <w:rFonts w:ascii="Arial Narrow" w:eastAsia="SimSun" w:hAnsi="Arial Narrow" w:cs="Arial"/>
                                <w:color w:val="595959"/>
                                <w:kern w:val="24"/>
                                <w:sz w:val="22"/>
                              </w:rPr>
                              <w:t xml:space="preserve">NOF 2D monolayers were treated with </w:t>
                            </w:r>
                            <w:r w:rsidRPr="00944EBD">
                              <w:rPr>
                                <w:rFonts w:ascii="Arial Narrow" w:eastAsia="SimSun" w:hAnsi="Arial Narrow" w:cs="Arial"/>
                                <w:color w:val="595959"/>
                                <w:kern w:val="24"/>
                                <w:sz w:val="22"/>
                              </w:rPr>
                              <w:t xml:space="preserve">TGFβ-1 </w:t>
                            </w:r>
                            <w:r>
                              <w:rPr>
                                <w:rFonts w:ascii="Arial Narrow" w:eastAsia="SimSun" w:hAnsi="Arial Narrow" w:cs="Arial"/>
                                <w:color w:val="595959"/>
                                <w:kern w:val="24"/>
                                <w:sz w:val="22"/>
                              </w:rPr>
                              <w:t xml:space="preserve">for up to 72 h + 14 days with αSMA protein levels determined using immunoblotting (A). Densitometry of the resultant bands were measured using ImageJ and the intensity measured relative to GAPDH controls (B).  Data is expressed as relative fold change, with mean ± SD, N=3, n=3, * denotes p &lt;0.05, ** p &lt;0.01 and **** p &lt;0.0001 analysed by Kruskal-Wallis test with Dunn’s multiple comparison test.  </w:t>
                            </w:r>
                          </w:p>
                          <w:p w14:paraId="378421F2" w14:textId="77777777" w:rsidR="008A47AC" w:rsidRPr="005567BA" w:rsidRDefault="008A47AC" w:rsidP="0054039C">
                            <w:pPr>
                              <w:pStyle w:val="NormalWeb"/>
                              <w:spacing w:after="200" w:line="276" w:lineRule="auto"/>
                              <w:jc w:val="both"/>
                              <w:rPr>
                                <w:rFonts w:ascii="Arial Narrow" w:eastAsia="SimSun" w:hAnsi="Arial Narrow" w:cs="Arial"/>
                                <w:color w:val="595959"/>
                                <w:kern w:val="24"/>
                                <w:sz w:val="22"/>
                                <w:szCs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F8329A" id="_x0000_s1082" type="#_x0000_t202" style="position:absolute;left:0;text-align:left;margin-left:400.3pt;margin-top:.45pt;width:451.5pt;height:111pt;z-index:25165829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" stroked="f">
                <v:textbox>
                  <w:txbxContent>
                    <w:p w14:paraId="0B4CD311" w14:textId="0DDD855F" w:rsidR="008A47AC" w:rsidRDefault="008A47AC" w:rsidP="0054039C">
                      <w:pPr>
                        <w:pStyle w:val="NormalWeb"/>
                        <w:spacing w:after="200"/>
                        <w:jc w:val="both"/>
                        <w:rPr>
                          <w:rFonts w:ascii="Arial Narrow" w:eastAsia="SimSun" w:hAnsi="Arial Narrow" w:cs="Arial"/>
                          <w:b/>
                          <w:bCs/>
                          <w:color w:val="595959"/>
                          <w:kern w:val="24"/>
                          <w:sz w:val="22"/>
                          <w:szCs w:val="22"/>
                        </w:rPr>
                      </w:pPr>
                      <w:r>
                        <w:rPr>
                          <w:rFonts w:ascii="Arial Narrow" w:eastAsia="SimSun" w:hAnsi="Arial Narrow" w:cs="Arial"/>
                          <w:b/>
                          <w:bCs/>
                          <w:color w:val="595959"/>
                          <w:kern w:val="24"/>
                          <w:sz w:val="22"/>
                          <w:szCs w:val="22"/>
                        </w:rPr>
                        <w:t xml:space="preserve">Figure 3.19 Immunoblotting for VCAN abundance in NOF with and without TGFβ-1 stimulation </w:t>
                      </w:r>
                    </w:p>
                    <w:p w14:paraId="1D49E934" w14:textId="77777777" w:rsidR="008A47AC" w:rsidRPr="00A6564F" w:rsidRDefault="008A47AC" w:rsidP="0054039C">
                      <w:pPr>
                        <w:pStyle w:val="NormalWeb"/>
                        <w:spacing w:after="200" w:line="276" w:lineRule="auto"/>
                        <w:jc w:val="both"/>
                        <w:rPr>
                          <w:rFonts w:ascii="Arial Narrow" w:eastAsia="SimSun" w:hAnsi="Arial Narrow" w:cs="Arial"/>
                          <w:color w:val="595959"/>
                          <w:kern w:val="24"/>
                          <w:sz w:val="22"/>
                        </w:rPr>
                      </w:pPr>
                      <w:r>
                        <w:rPr>
                          <w:rFonts w:ascii="Arial Narrow" w:eastAsia="SimSun" w:hAnsi="Arial Narrow" w:cs="Arial"/>
                          <w:color w:val="595959"/>
                          <w:kern w:val="24"/>
                          <w:sz w:val="22"/>
                        </w:rPr>
                        <w:t xml:space="preserve">NOF 2D monolayers were treated with </w:t>
                      </w:r>
                      <w:r w:rsidRPr="00944EBD">
                        <w:rPr>
                          <w:rFonts w:ascii="Arial Narrow" w:eastAsia="SimSun" w:hAnsi="Arial Narrow" w:cs="Arial"/>
                          <w:color w:val="595959"/>
                          <w:kern w:val="24"/>
                          <w:sz w:val="22"/>
                        </w:rPr>
                        <w:t xml:space="preserve">TGFβ-1 </w:t>
                      </w:r>
                      <w:r>
                        <w:rPr>
                          <w:rFonts w:ascii="Arial Narrow" w:eastAsia="SimSun" w:hAnsi="Arial Narrow" w:cs="Arial"/>
                          <w:color w:val="595959"/>
                          <w:kern w:val="24"/>
                          <w:sz w:val="22"/>
                        </w:rPr>
                        <w:t xml:space="preserve">for up to 72 h + 14 days with αSMA protein levels determined using immunoblotting (A). Densitometry of the resultant bands were measured using ImageJ and the intensity measured relative to GAPDH controls (B).  Data is expressed as relative fold change, with mean ± SD, N=3, n=3, * denotes p &lt;0.05, ** p &lt;0.01 and **** p &lt;0.0001 analysed by Kruskal-Wallis test with Dunn’s multiple comparison test.  </w:t>
                      </w:r>
                    </w:p>
                    <w:p w14:paraId="378421F2" w14:textId="77777777" w:rsidR="008A47AC" w:rsidRPr="005567BA" w:rsidRDefault="008A47AC" w:rsidP="0054039C">
                      <w:pPr>
                        <w:pStyle w:val="NormalWeb"/>
                        <w:spacing w:after="200" w:line="276" w:lineRule="auto"/>
                        <w:jc w:val="both"/>
                        <w:rPr>
                          <w:rFonts w:ascii="Arial Narrow" w:eastAsia="SimSun" w:hAnsi="Arial Narrow" w:cs="Arial"/>
                          <w:color w:val="595959"/>
                          <w:kern w:val="24"/>
                          <w:sz w:val="22"/>
                          <w:szCs w:val="22"/>
                        </w:rPr>
                      </w:pPr>
                    </w:p>
                  </w:txbxContent>
                </v:textbox>
                <w10:wrap anchorx="margin"/>
              </v:shape>
            </w:pict>
          </mc:Fallback>
        </mc:AlternateContent>
      </w:r>
    </w:p>
    <w:p w14:paraId="3F2A01FF" w14:textId="77777777" w:rsidR="0054039C" w:rsidRPr="0054039C" w:rsidRDefault="0054039C" w:rsidP="0054039C">
      <w:pPr>
        <w:spacing w:line="480" w:lineRule="auto"/>
        <w:jc w:val="both"/>
        <w:rPr>
          <w:rFonts w:ascii="Arial" w:eastAsia="Times New Roman" w:hAnsi="Arial" w:cs="Arial"/>
          <w:color w:val="595959" w:themeColor="text1" w:themeTint="A6"/>
          <w:kern w:val="24"/>
        </w:rPr>
      </w:pPr>
    </w:p>
    <w:p w14:paraId="499B7A10" w14:textId="77777777" w:rsidR="0054039C" w:rsidRPr="0054039C" w:rsidRDefault="0054039C" w:rsidP="0054039C">
      <w:pPr>
        <w:spacing w:line="480" w:lineRule="auto"/>
        <w:jc w:val="both"/>
        <w:rPr>
          <w:rFonts w:ascii="Arial" w:eastAsia="Times New Roman" w:hAnsi="Arial" w:cs="Arial"/>
          <w:color w:val="595959" w:themeColor="text1" w:themeTint="A6"/>
          <w:kern w:val="24"/>
        </w:rPr>
      </w:pPr>
    </w:p>
    <w:p w14:paraId="6CA69D43" w14:textId="77777777" w:rsidR="0054039C" w:rsidRPr="0054039C" w:rsidRDefault="0054039C" w:rsidP="0054039C">
      <w:pPr>
        <w:spacing w:line="480" w:lineRule="auto"/>
        <w:jc w:val="both"/>
        <w:rPr>
          <w:rFonts w:ascii="Arial" w:eastAsia="Times New Roman" w:hAnsi="Arial" w:cs="Arial"/>
          <w:color w:val="595959" w:themeColor="text1" w:themeTint="A6"/>
          <w:kern w:val="24"/>
        </w:rPr>
      </w:pPr>
    </w:p>
    <w:p w14:paraId="4EEC114B" w14:textId="77777777" w:rsidR="0054039C" w:rsidRPr="0054039C" w:rsidRDefault="0054039C" w:rsidP="0054039C">
      <w:pPr>
        <w:spacing w:line="480" w:lineRule="auto"/>
        <w:jc w:val="both"/>
        <w:rPr>
          <w:rFonts w:ascii="Arial" w:eastAsia="Times New Roman" w:hAnsi="Arial" w:cs="Arial"/>
          <w:color w:val="595959" w:themeColor="text1" w:themeTint="A6"/>
          <w:kern w:val="24"/>
        </w:rPr>
      </w:pPr>
    </w:p>
    <w:p w14:paraId="5160511F" w14:textId="77777777" w:rsidR="0054039C" w:rsidRPr="0054039C" w:rsidRDefault="0054039C" w:rsidP="0054039C">
      <w:pPr>
        <w:spacing w:line="480" w:lineRule="auto"/>
        <w:jc w:val="both"/>
        <w:rPr>
          <w:rFonts w:ascii="Arial" w:eastAsia="Times New Roman" w:hAnsi="Arial" w:cs="Arial"/>
          <w:bCs/>
          <w:color w:val="595959" w:themeColor="text1" w:themeTint="A6"/>
        </w:rPr>
      </w:pPr>
    </w:p>
    <w:p w14:paraId="7714FB29" w14:textId="77777777" w:rsidR="0054039C" w:rsidRPr="0054039C" w:rsidRDefault="0054039C" w:rsidP="0054039C">
      <w:pPr>
        <w:spacing w:line="480" w:lineRule="auto"/>
        <w:jc w:val="both"/>
        <w:rPr>
          <w:rFonts w:ascii="Arial" w:eastAsia="Times New Roman" w:hAnsi="Arial" w:cs="Arial"/>
          <w:bCs/>
          <w:color w:val="595959" w:themeColor="text1" w:themeTint="A6"/>
        </w:rPr>
      </w:pPr>
    </w:p>
    <w:p w14:paraId="7AF4391F" w14:textId="77777777" w:rsidR="0054039C" w:rsidRPr="0054039C" w:rsidRDefault="0054039C" w:rsidP="0054039C">
      <w:pPr>
        <w:keepNext/>
        <w:keepLines/>
        <w:spacing w:before="40" w:after="0"/>
        <w:outlineLvl w:val="2"/>
        <w:rPr>
          <w:rFonts w:ascii="Arial" w:eastAsia="Times New Roman" w:hAnsi="Arial" w:cs="Arial"/>
          <w:bCs/>
          <w:color w:val="595959" w:themeColor="text1" w:themeTint="A6"/>
          <w:sz w:val="24"/>
          <w:szCs w:val="24"/>
        </w:rPr>
      </w:pPr>
      <w:bookmarkStart w:id="281" w:name="_Toc7107262"/>
      <w:bookmarkStart w:id="282" w:name="_Toc34208367"/>
      <w:r w:rsidRPr="0054039C">
        <w:rPr>
          <w:rFonts w:ascii="Arial" w:eastAsia="Times New Roman" w:hAnsi="Arial" w:cs="Arial"/>
          <w:color w:val="595959" w:themeColor="text1" w:themeTint="A6"/>
          <w:sz w:val="24"/>
          <w:szCs w:val="24"/>
        </w:rPr>
        <w:lastRenderedPageBreak/>
        <w:t xml:space="preserve">3.3.2 Molecular analysis of </w:t>
      </w:r>
      <w:r w:rsidRPr="0054039C">
        <w:rPr>
          <w:rFonts w:ascii="Arial" w:eastAsia="Times New Roman" w:hAnsi="Arial" w:cs="Arial"/>
          <w:bCs/>
          <w:color w:val="595959" w:themeColor="text1" w:themeTint="A6"/>
          <w:sz w:val="24"/>
          <w:szCs w:val="24"/>
        </w:rPr>
        <w:t>cancer-associated fibroblasts</w:t>
      </w:r>
      <w:bookmarkEnd w:id="281"/>
      <w:bookmarkEnd w:id="282"/>
    </w:p>
    <w:p w14:paraId="06404364" w14:textId="77777777" w:rsidR="0054039C" w:rsidRPr="0054039C" w:rsidRDefault="0054039C" w:rsidP="0054039C"/>
    <w:p w14:paraId="6A6600CF" w14:textId="1379F626" w:rsidR="0054039C" w:rsidRPr="0054039C" w:rsidRDefault="0054039C" w:rsidP="00F303E8">
      <w:pPr>
        <w:autoSpaceDE w:val="0"/>
        <w:autoSpaceDN w:val="0"/>
        <w:adjustRightInd w:val="0"/>
        <w:spacing w:after="0" w:line="480" w:lineRule="auto"/>
        <w:jc w:val="both"/>
        <w:rPr>
          <w:rFonts w:ascii="Arial" w:eastAsia="Times New Roman" w:hAnsi="Arial" w:cs="Arial"/>
          <w:bCs/>
          <w:color w:val="595959" w:themeColor="text1" w:themeTint="A6"/>
          <w:szCs w:val="24"/>
        </w:rPr>
      </w:pPr>
      <w:r w:rsidRPr="0054039C">
        <w:rPr>
          <w:rFonts w:ascii="Arial" w:eastAsia="Times New Roman" w:hAnsi="Arial" w:cs="Arial"/>
          <w:bCs/>
          <w:color w:val="595959" w:themeColor="text1" w:themeTint="A6"/>
          <w:szCs w:val="24"/>
        </w:rPr>
        <w:t xml:space="preserve">To </w:t>
      </w:r>
      <w:r w:rsidR="00F303E8">
        <w:rPr>
          <w:rFonts w:ascii="Arial" w:eastAsia="Times New Roman" w:hAnsi="Arial" w:cs="Arial"/>
          <w:bCs/>
          <w:color w:val="595959" w:themeColor="text1" w:themeTint="A6"/>
          <w:szCs w:val="24"/>
        </w:rPr>
        <w:t xml:space="preserve">compare </w:t>
      </w:r>
      <w:r w:rsidRPr="0054039C">
        <w:rPr>
          <w:rFonts w:ascii="Arial" w:eastAsia="Times New Roman" w:hAnsi="Arial" w:cs="Arial"/>
          <w:bCs/>
          <w:color w:val="595959" w:themeColor="text1" w:themeTint="A6"/>
          <w:szCs w:val="24"/>
        </w:rPr>
        <w:t>CAF responses to ex</w:t>
      </w:r>
      <w:r w:rsidR="00F303E8">
        <w:rPr>
          <w:rFonts w:ascii="Arial" w:eastAsia="Times New Roman" w:hAnsi="Arial" w:cs="Arial"/>
          <w:bCs/>
          <w:color w:val="595959" w:themeColor="text1" w:themeTint="A6"/>
          <w:szCs w:val="24"/>
        </w:rPr>
        <w:t xml:space="preserve">ogenous application of TGFβ-1 to NOF, three </w:t>
      </w:r>
      <w:r w:rsidR="00107557">
        <w:rPr>
          <w:rFonts w:ascii="Arial" w:eastAsia="Times New Roman" w:hAnsi="Arial" w:cs="Arial"/>
          <w:bCs/>
          <w:color w:val="595959" w:themeColor="text1" w:themeTint="A6"/>
          <w:szCs w:val="24"/>
        </w:rPr>
        <w:t xml:space="preserve">primary </w:t>
      </w:r>
      <w:r w:rsidRPr="0054039C">
        <w:rPr>
          <w:rFonts w:ascii="Arial" w:eastAsia="Times New Roman" w:hAnsi="Arial" w:cs="Arial"/>
          <w:bCs/>
          <w:color w:val="595959" w:themeColor="text1" w:themeTint="A6"/>
          <w:szCs w:val="24"/>
        </w:rPr>
        <w:t>CAF</w:t>
      </w:r>
      <w:r w:rsidR="00F303E8">
        <w:rPr>
          <w:rFonts w:ascii="Arial" w:eastAsia="Times New Roman" w:hAnsi="Arial" w:cs="Arial"/>
          <w:bCs/>
          <w:color w:val="595959" w:themeColor="text1" w:themeTint="A6"/>
          <w:szCs w:val="24"/>
        </w:rPr>
        <w:t xml:space="preserve"> cultures</w:t>
      </w:r>
      <w:r w:rsidRPr="0054039C">
        <w:rPr>
          <w:rFonts w:ascii="Arial" w:eastAsia="Times New Roman" w:hAnsi="Arial" w:cs="Arial"/>
          <w:bCs/>
          <w:color w:val="595959" w:themeColor="text1" w:themeTint="A6"/>
          <w:szCs w:val="24"/>
        </w:rPr>
        <w:t xml:space="preserve"> </w:t>
      </w:r>
      <w:r w:rsidR="00F303E8">
        <w:rPr>
          <w:rFonts w:ascii="Arial" w:eastAsia="Times New Roman" w:hAnsi="Arial" w:cs="Arial"/>
          <w:bCs/>
          <w:color w:val="595959" w:themeColor="text1" w:themeTint="A6"/>
          <w:szCs w:val="24"/>
        </w:rPr>
        <w:t xml:space="preserve">were </w:t>
      </w:r>
      <w:r w:rsidRPr="0054039C">
        <w:rPr>
          <w:rFonts w:ascii="Arial" w:eastAsia="Times New Roman" w:hAnsi="Arial" w:cs="Arial"/>
          <w:bCs/>
          <w:color w:val="595959" w:themeColor="text1" w:themeTint="A6"/>
          <w:szCs w:val="24"/>
        </w:rPr>
        <w:t>isolated from patients with OSCC as described in section 2.2.3.1. As for NOF, patient CAF were analysed for their matrix secreting phenotypes and ability to maintain these phenotypes long-term</w:t>
      </w:r>
      <w:r w:rsidRPr="0054039C">
        <w:rPr>
          <w:rFonts w:ascii="Arial" w:eastAsia="Times New Roman" w:hAnsi="Arial" w:cs="Arial"/>
          <w:bCs/>
          <w:i/>
          <w:color w:val="595959" w:themeColor="text1" w:themeTint="A6"/>
          <w:szCs w:val="24"/>
        </w:rPr>
        <w:t xml:space="preserve"> in vitro</w:t>
      </w:r>
      <w:r w:rsidRPr="0054039C">
        <w:rPr>
          <w:rFonts w:ascii="Arial" w:eastAsia="Times New Roman" w:hAnsi="Arial" w:cs="Arial"/>
          <w:bCs/>
          <w:color w:val="595959" w:themeColor="text1" w:themeTint="A6"/>
          <w:szCs w:val="24"/>
        </w:rPr>
        <w:t xml:space="preserve">. </w:t>
      </w:r>
    </w:p>
    <w:p w14:paraId="6639E8DA" w14:textId="77777777" w:rsidR="0054039C" w:rsidRPr="0054039C" w:rsidRDefault="0054039C" w:rsidP="0054039C">
      <w:pPr>
        <w:autoSpaceDE w:val="0"/>
        <w:autoSpaceDN w:val="0"/>
        <w:adjustRightInd w:val="0"/>
        <w:spacing w:after="0" w:line="480" w:lineRule="auto"/>
        <w:jc w:val="both"/>
        <w:rPr>
          <w:rFonts w:ascii="Arial" w:eastAsia="Times New Roman" w:hAnsi="Arial" w:cs="Arial"/>
          <w:bCs/>
          <w:color w:val="595959" w:themeColor="text1" w:themeTint="A6"/>
          <w:szCs w:val="24"/>
        </w:rPr>
      </w:pPr>
    </w:p>
    <w:p w14:paraId="56A6E35D" w14:textId="44B772BC" w:rsidR="0054039C" w:rsidRPr="0054039C" w:rsidRDefault="0054039C" w:rsidP="0054039C">
      <w:pPr>
        <w:keepNext/>
        <w:keepLines/>
        <w:spacing w:before="40" w:after="0"/>
        <w:outlineLvl w:val="3"/>
        <w:rPr>
          <w:rFonts w:ascii="Arial" w:eastAsia="Times New Roman" w:hAnsi="Arial" w:cs="Arial"/>
          <w:bCs/>
          <w:i/>
          <w:iCs/>
          <w:color w:val="595959" w:themeColor="text1" w:themeTint="A6"/>
          <w:szCs w:val="24"/>
        </w:rPr>
      </w:pPr>
      <w:bookmarkStart w:id="283" w:name="_Toc7107263"/>
      <w:bookmarkStart w:id="284" w:name="_Toc34208368"/>
      <w:r w:rsidRPr="0054039C">
        <w:rPr>
          <w:rFonts w:ascii="Arial" w:eastAsia="Times New Roman" w:hAnsi="Arial" w:cs="Arial"/>
          <w:bCs/>
          <w:i/>
          <w:iCs/>
          <w:color w:val="595959" w:themeColor="text1" w:themeTint="A6"/>
          <w:szCs w:val="24"/>
        </w:rPr>
        <w:t xml:space="preserve">3.3.2.1 RT-qPCR analysis of </w:t>
      </w:r>
      <w:r w:rsidR="002B4304">
        <w:rPr>
          <w:rFonts w:ascii="Arial" w:eastAsia="Times New Roman" w:hAnsi="Arial" w:cs="Arial"/>
          <w:bCs/>
          <w:i/>
          <w:iCs/>
          <w:color w:val="595959" w:themeColor="text1" w:themeTint="A6"/>
          <w:szCs w:val="24"/>
        </w:rPr>
        <w:t xml:space="preserve">myofibroblast and </w:t>
      </w:r>
      <w:r w:rsidRPr="0054039C">
        <w:rPr>
          <w:rFonts w:ascii="Arial" w:eastAsia="Times New Roman" w:hAnsi="Arial" w:cs="Arial"/>
          <w:bCs/>
          <w:i/>
          <w:iCs/>
          <w:color w:val="595959" w:themeColor="text1" w:themeTint="A6"/>
          <w:szCs w:val="24"/>
        </w:rPr>
        <w:t>ECM markers short-term in CAF</w:t>
      </w:r>
      <w:bookmarkEnd w:id="283"/>
      <w:bookmarkEnd w:id="284"/>
    </w:p>
    <w:p w14:paraId="5B6D3D67" w14:textId="77777777" w:rsidR="0054039C" w:rsidRPr="0054039C" w:rsidRDefault="0054039C" w:rsidP="0054039C"/>
    <w:p w14:paraId="08D9715D" w14:textId="35BE2973" w:rsidR="0054039C" w:rsidRPr="0054039C" w:rsidRDefault="0054039C" w:rsidP="00F303E8">
      <w:pPr>
        <w:autoSpaceDE w:val="0"/>
        <w:autoSpaceDN w:val="0"/>
        <w:adjustRightInd w:val="0"/>
        <w:spacing w:after="0" w:line="480" w:lineRule="auto"/>
        <w:jc w:val="both"/>
        <w:rPr>
          <w:rFonts w:ascii="Arial" w:eastAsia="Times New Roman" w:hAnsi="Arial" w:cs="Arial"/>
          <w:bCs/>
          <w:color w:val="595959" w:themeColor="text1" w:themeTint="A6"/>
          <w:szCs w:val="24"/>
        </w:rPr>
      </w:pPr>
      <w:r w:rsidRPr="0054039C">
        <w:rPr>
          <w:rFonts w:ascii="Arial" w:eastAsia="Times New Roman" w:hAnsi="Arial" w:cs="Arial"/>
          <w:bCs/>
          <w:color w:val="595959" w:themeColor="text1" w:themeTint="A6"/>
          <w:szCs w:val="24"/>
        </w:rPr>
        <w:t>The short-term (24 h-72 h) response</w:t>
      </w:r>
      <w:r w:rsidR="00F303E8">
        <w:rPr>
          <w:rFonts w:ascii="Arial" w:eastAsia="Times New Roman" w:hAnsi="Arial" w:cs="Arial"/>
          <w:bCs/>
          <w:color w:val="595959" w:themeColor="text1" w:themeTint="A6"/>
          <w:szCs w:val="24"/>
        </w:rPr>
        <w:t>s of</w:t>
      </w:r>
      <w:r w:rsidRPr="0054039C">
        <w:rPr>
          <w:rFonts w:ascii="Arial" w:eastAsia="Times New Roman" w:hAnsi="Arial" w:cs="Arial"/>
          <w:bCs/>
          <w:color w:val="595959" w:themeColor="text1" w:themeTint="A6"/>
          <w:szCs w:val="24"/>
        </w:rPr>
        <w:t xml:space="preserve"> CAF </w:t>
      </w:r>
      <w:r w:rsidR="00F303E8">
        <w:rPr>
          <w:rFonts w:ascii="Arial" w:eastAsia="Times New Roman" w:hAnsi="Arial" w:cs="Arial"/>
          <w:bCs/>
          <w:color w:val="595959" w:themeColor="text1" w:themeTint="A6"/>
          <w:szCs w:val="24"/>
        </w:rPr>
        <w:t xml:space="preserve">to </w:t>
      </w:r>
      <w:r w:rsidRPr="0054039C">
        <w:rPr>
          <w:rFonts w:ascii="Arial" w:eastAsia="Times New Roman" w:hAnsi="Arial" w:cs="Arial"/>
          <w:bCs/>
          <w:color w:val="595959" w:themeColor="text1" w:themeTint="A6"/>
          <w:szCs w:val="24"/>
        </w:rPr>
        <w:t>5 ng/mL TGFβ-1 treatm</w:t>
      </w:r>
      <w:r w:rsidR="00F303E8">
        <w:rPr>
          <w:rFonts w:ascii="Arial" w:eastAsia="Times New Roman" w:hAnsi="Arial" w:cs="Arial"/>
          <w:bCs/>
          <w:color w:val="595959" w:themeColor="text1" w:themeTint="A6"/>
          <w:szCs w:val="24"/>
        </w:rPr>
        <w:t xml:space="preserve">ent was assessed by RT-qPCR by analysing </w:t>
      </w:r>
      <w:r w:rsidRPr="0054039C">
        <w:rPr>
          <w:rFonts w:ascii="Arial" w:eastAsia="Times New Roman" w:hAnsi="Arial" w:cs="Arial"/>
          <w:bCs/>
          <w:color w:val="595959" w:themeColor="text1" w:themeTint="A6"/>
          <w:szCs w:val="24"/>
        </w:rPr>
        <w:t>the expression of the target transcripts; αSMA, FN1-EDA, COL1A1, VCAN and TNC (Figures 3.2</w:t>
      </w:r>
      <w:r w:rsidR="00C94831">
        <w:rPr>
          <w:rFonts w:ascii="Arial" w:eastAsia="Times New Roman" w:hAnsi="Arial" w:cs="Arial"/>
          <w:bCs/>
          <w:color w:val="595959" w:themeColor="text1" w:themeTint="A6"/>
          <w:szCs w:val="24"/>
        </w:rPr>
        <w:t>0</w:t>
      </w:r>
      <w:r w:rsidRPr="0054039C">
        <w:rPr>
          <w:rFonts w:ascii="Arial" w:eastAsia="Times New Roman" w:hAnsi="Arial" w:cs="Arial"/>
          <w:bCs/>
          <w:color w:val="595959" w:themeColor="text1" w:themeTint="A6"/>
          <w:szCs w:val="24"/>
        </w:rPr>
        <w:t>- 3.2</w:t>
      </w:r>
      <w:r w:rsidR="00C94831">
        <w:rPr>
          <w:rFonts w:ascii="Arial" w:eastAsia="Times New Roman" w:hAnsi="Arial" w:cs="Arial"/>
          <w:bCs/>
          <w:color w:val="595959" w:themeColor="text1" w:themeTint="A6"/>
          <w:szCs w:val="24"/>
        </w:rPr>
        <w:t>4</w:t>
      </w:r>
      <w:r w:rsidRPr="0054039C">
        <w:rPr>
          <w:rFonts w:ascii="Arial" w:eastAsia="Times New Roman" w:hAnsi="Arial" w:cs="Arial"/>
          <w:bCs/>
          <w:color w:val="595959" w:themeColor="text1" w:themeTint="A6"/>
          <w:szCs w:val="24"/>
        </w:rPr>
        <w:t>).</w:t>
      </w:r>
    </w:p>
    <w:p w14:paraId="18DEA134" w14:textId="77777777" w:rsidR="0054039C" w:rsidRPr="0054039C" w:rsidRDefault="0054039C" w:rsidP="0054039C">
      <w:pPr>
        <w:autoSpaceDE w:val="0"/>
        <w:autoSpaceDN w:val="0"/>
        <w:adjustRightInd w:val="0"/>
        <w:spacing w:after="0" w:line="480" w:lineRule="auto"/>
        <w:jc w:val="both"/>
        <w:rPr>
          <w:rFonts w:ascii="Arial" w:eastAsia="Times New Roman" w:hAnsi="Arial" w:cs="Arial"/>
          <w:bCs/>
          <w:color w:val="595959" w:themeColor="text1" w:themeTint="A6"/>
          <w:szCs w:val="24"/>
        </w:rPr>
      </w:pPr>
    </w:p>
    <w:p w14:paraId="53312C71" w14:textId="77777777" w:rsidR="0009309A" w:rsidRDefault="0009309A" w:rsidP="003546DB">
      <w:pPr>
        <w:pStyle w:val="NormalWeb"/>
        <w:spacing w:after="200"/>
        <w:jc w:val="both"/>
      </w:pPr>
    </w:p>
    <w:p w14:paraId="082FC536" w14:textId="77777777" w:rsidR="003546DB" w:rsidRDefault="003546DB" w:rsidP="003546DB">
      <w:pPr>
        <w:pStyle w:val="NormalWeb"/>
        <w:spacing w:after="200"/>
        <w:jc w:val="both"/>
      </w:pPr>
    </w:p>
    <w:p w14:paraId="761E0631" w14:textId="598CFA02" w:rsidR="006039E8" w:rsidRDefault="006039E8" w:rsidP="0045447D">
      <w:pPr>
        <w:pStyle w:val="NormalWeb"/>
        <w:spacing w:after="200"/>
        <w:jc w:val="both"/>
      </w:pPr>
    </w:p>
    <w:p w14:paraId="76DD7A27" w14:textId="77777777" w:rsidR="00FC3D5E" w:rsidRDefault="00FC3D5E" w:rsidP="00FC3D5E">
      <w:pPr>
        <w:pStyle w:val="NormalWeb"/>
        <w:spacing w:after="200"/>
        <w:jc w:val="both"/>
      </w:pPr>
    </w:p>
    <w:p w14:paraId="3FBA732C" w14:textId="5230DE1B" w:rsidR="00FC3D5E" w:rsidRDefault="00FC3D5E" w:rsidP="00FC3D5E">
      <w:pPr>
        <w:pStyle w:val="NormalWeb"/>
        <w:spacing w:after="200"/>
        <w:jc w:val="both"/>
      </w:pPr>
    </w:p>
    <w:p w14:paraId="1F07FA07" w14:textId="77777777" w:rsidR="00FC3D5E" w:rsidRDefault="00FC3D5E" w:rsidP="003A535A">
      <w:pPr>
        <w:pStyle w:val="NormalWeb"/>
        <w:spacing w:after="200"/>
        <w:jc w:val="both"/>
        <w:rPr>
          <w:rFonts w:ascii="Arial Narrow" w:eastAsia="SimSun" w:hAnsi="Arial Narrow" w:cs="Arial"/>
          <w:b/>
          <w:bCs/>
          <w:color w:val="595959"/>
          <w:kern w:val="24"/>
          <w:sz w:val="22"/>
          <w:szCs w:val="22"/>
        </w:rPr>
      </w:pPr>
    </w:p>
    <w:p w14:paraId="158990FB" w14:textId="77777777" w:rsidR="003A535A" w:rsidRDefault="003A535A" w:rsidP="0090364B">
      <w:pPr>
        <w:pStyle w:val="NormalWeb"/>
        <w:spacing w:after="200"/>
        <w:jc w:val="both"/>
        <w:rPr>
          <w:rFonts w:ascii="Arial Narrow" w:eastAsia="SimSun" w:hAnsi="Arial Narrow" w:cs="Arial"/>
          <w:b/>
          <w:bCs/>
          <w:color w:val="595959"/>
          <w:kern w:val="24"/>
          <w:sz w:val="22"/>
          <w:szCs w:val="22"/>
        </w:rPr>
      </w:pPr>
    </w:p>
    <w:p w14:paraId="2652FCD9" w14:textId="77777777" w:rsidR="0090364B" w:rsidRDefault="0090364B" w:rsidP="0090364B">
      <w:pPr>
        <w:pStyle w:val="NormalWeb"/>
        <w:spacing w:after="200"/>
        <w:jc w:val="both"/>
        <w:rPr>
          <w:rFonts w:ascii="Arial Narrow" w:eastAsia="SimSun" w:hAnsi="Arial Narrow" w:cs="Arial"/>
          <w:b/>
          <w:bCs/>
          <w:color w:val="595959"/>
          <w:kern w:val="24"/>
          <w:sz w:val="22"/>
          <w:szCs w:val="22"/>
        </w:rPr>
      </w:pPr>
    </w:p>
    <w:p w14:paraId="2FDB0602" w14:textId="77777777" w:rsidR="0054039C" w:rsidRPr="0054039C" w:rsidRDefault="0054039C" w:rsidP="0054039C">
      <w:pPr>
        <w:autoSpaceDE w:val="0"/>
        <w:autoSpaceDN w:val="0"/>
        <w:adjustRightInd w:val="0"/>
        <w:spacing w:after="0" w:line="480" w:lineRule="auto"/>
        <w:jc w:val="both"/>
        <w:rPr>
          <w:rFonts w:ascii="Arial" w:eastAsia="Times New Roman" w:hAnsi="Arial" w:cs="Arial"/>
          <w:bCs/>
          <w:color w:val="595959" w:themeColor="text1" w:themeTint="A6"/>
          <w:szCs w:val="24"/>
        </w:rPr>
      </w:pPr>
    </w:p>
    <w:p w14:paraId="00824476" w14:textId="77777777" w:rsidR="0054039C" w:rsidRPr="0054039C" w:rsidRDefault="0054039C" w:rsidP="0054039C">
      <w:pPr>
        <w:autoSpaceDE w:val="0"/>
        <w:autoSpaceDN w:val="0"/>
        <w:adjustRightInd w:val="0"/>
        <w:spacing w:after="0" w:line="480" w:lineRule="auto"/>
        <w:jc w:val="both"/>
        <w:rPr>
          <w:rFonts w:ascii="Arial" w:eastAsia="Times New Roman" w:hAnsi="Arial" w:cs="Arial"/>
          <w:bCs/>
          <w:color w:val="595959" w:themeColor="text1" w:themeTint="A6"/>
          <w:szCs w:val="24"/>
        </w:rPr>
      </w:pPr>
    </w:p>
    <w:p w14:paraId="20890C28" w14:textId="77777777" w:rsidR="0054039C" w:rsidRPr="0054039C" w:rsidRDefault="0054039C" w:rsidP="0054039C">
      <w:pPr>
        <w:autoSpaceDE w:val="0"/>
        <w:autoSpaceDN w:val="0"/>
        <w:adjustRightInd w:val="0"/>
        <w:spacing w:after="0" w:line="480" w:lineRule="auto"/>
        <w:jc w:val="both"/>
        <w:rPr>
          <w:rFonts w:ascii="Arial" w:eastAsia="Times New Roman" w:hAnsi="Arial" w:cs="Arial"/>
          <w:bCs/>
          <w:color w:val="595959" w:themeColor="text1" w:themeTint="A6"/>
          <w:szCs w:val="24"/>
        </w:rPr>
      </w:pPr>
    </w:p>
    <w:p w14:paraId="44A4113B" w14:textId="77777777" w:rsidR="0054039C" w:rsidRPr="0054039C" w:rsidRDefault="0054039C" w:rsidP="0054039C">
      <w:pPr>
        <w:autoSpaceDE w:val="0"/>
        <w:autoSpaceDN w:val="0"/>
        <w:adjustRightInd w:val="0"/>
        <w:spacing w:after="0" w:line="480" w:lineRule="auto"/>
        <w:jc w:val="both"/>
        <w:rPr>
          <w:rFonts w:ascii="Arial" w:eastAsia="Times New Roman" w:hAnsi="Arial" w:cs="Arial"/>
          <w:bCs/>
          <w:color w:val="595959" w:themeColor="text1" w:themeTint="A6"/>
          <w:szCs w:val="24"/>
        </w:rPr>
      </w:pPr>
    </w:p>
    <w:p w14:paraId="5E883089" w14:textId="3AD1D7CB" w:rsidR="0054039C" w:rsidRDefault="0054039C" w:rsidP="0054039C">
      <w:pPr>
        <w:autoSpaceDE w:val="0"/>
        <w:autoSpaceDN w:val="0"/>
        <w:adjustRightInd w:val="0"/>
        <w:spacing w:after="0" w:line="480" w:lineRule="auto"/>
        <w:jc w:val="both"/>
        <w:rPr>
          <w:rFonts w:ascii="Arial" w:eastAsia="Times New Roman" w:hAnsi="Arial" w:cs="Arial"/>
          <w:bCs/>
          <w:color w:val="595959" w:themeColor="text1" w:themeTint="A6"/>
          <w:szCs w:val="24"/>
        </w:rPr>
      </w:pPr>
    </w:p>
    <w:p w14:paraId="1F5061B6" w14:textId="77777777" w:rsidR="00CC3BF2" w:rsidRDefault="00CC3BF2" w:rsidP="0054039C">
      <w:pPr>
        <w:autoSpaceDE w:val="0"/>
        <w:autoSpaceDN w:val="0"/>
        <w:adjustRightInd w:val="0"/>
        <w:spacing w:after="0" w:line="480" w:lineRule="auto"/>
        <w:jc w:val="both"/>
        <w:rPr>
          <w:rFonts w:ascii="Arial" w:eastAsia="Times New Roman" w:hAnsi="Arial" w:cs="Arial"/>
          <w:bCs/>
          <w:color w:val="595959" w:themeColor="text1" w:themeTint="A6"/>
          <w:szCs w:val="24"/>
        </w:rPr>
      </w:pPr>
    </w:p>
    <w:p w14:paraId="2400FFC9" w14:textId="77777777" w:rsidR="00F303E8" w:rsidRPr="0054039C" w:rsidRDefault="00F303E8" w:rsidP="0054039C">
      <w:pPr>
        <w:autoSpaceDE w:val="0"/>
        <w:autoSpaceDN w:val="0"/>
        <w:adjustRightInd w:val="0"/>
        <w:spacing w:after="0" w:line="480" w:lineRule="auto"/>
        <w:jc w:val="both"/>
        <w:rPr>
          <w:rFonts w:ascii="Arial" w:eastAsia="Times New Roman" w:hAnsi="Arial" w:cs="Arial"/>
          <w:bCs/>
          <w:color w:val="595959" w:themeColor="text1" w:themeTint="A6"/>
          <w:szCs w:val="24"/>
        </w:rPr>
      </w:pPr>
    </w:p>
    <w:p w14:paraId="29BAE0BF" w14:textId="77777777" w:rsidR="0054039C" w:rsidRPr="0054039C" w:rsidRDefault="0054039C" w:rsidP="0054039C">
      <w:pPr>
        <w:keepNext/>
        <w:keepLines/>
        <w:spacing w:before="40" w:after="0"/>
        <w:outlineLvl w:val="4"/>
        <w:rPr>
          <w:rFonts w:ascii="Arial" w:eastAsia="Times New Roman" w:hAnsi="Arial" w:cs="Arial"/>
          <w:bCs/>
          <w:color w:val="595959" w:themeColor="text1" w:themeTint="A6"/>
          <w:szCs w:val="24"/>
        </w:rPr>
      </w:pPr>
      <w:bookmarkStart w:id="285" w:name="_Toc7107264"/>
      <w:bookmarkStart w:id="286" w:name="_Toc34208369"/>
      <w:r w:rsidRPr="0054039C">
        <w:rPr>
          <w:rFonts w:ascii="Arial" w:eastAsia="Times New Roman" w:hAnsi="Arial" w:cs="Arial"/>
          <w:bCs/>
          <w:color w:val="595959" w:themeColor="text1" w:themeTint="A6"/>
          <w:szCs w:val="24"/>
        </w:rPr>
        <w:lastRenderedPageBreak/>
        <w:t>3.3.2.1.1 αSMA expression by RT-qPCR</w:t>
      </w:r>
      <w:bookmarkEnd w:id="285"/>
      <w:bookmarkEnd w:id="286"/>
      <w:r w:rsidRPr="0054039C">
        <w:rPr>
          <w:rFonts w:ascii="Arial" w:eastAsia="Times New Roman" w:hAnsi="Arial" w:cs="Arial"/>
          <w:bCs/>
          <w:color w:val="595959" w:themeColor="text1" w:themeTint="A6"/>
          <w:szCs w:val="24"/>
        </w:rPr>
        <w:t xml:space="preserve"> </w:t>
      </w:r>
    </w:p>
    <w:p w14:paraId="014CC539" w14:textId="77777777" w:rsidR="0054039C" w:rsidRPr="0054039C" w:rsidRDefault="0054039C" w:rsidP="0054039C"/>
    <w:p w14:paraId="7936DA45" w14:textId="25DA5521" w:rsidR="0054039C" w:rsidRPr="0054039C" w:rsidRDefault="0054039C" w:rsidP="00AD4019">
      <w:pPr>
        <w:autoSpaceDE w:val="0"/>
        <w:autoSpaceDN w:val="0"/>
        <w:adjustRightInd w:val="0"/>
        <w:spacing w:after="0" w:line="480" w:lineRule="auto"/>
        <w:jc w:val="both"/>
        <w:rPr>
          <w:rFonts w:ascii="Arial" w:eastAsia="Times New Roman" w:hAnsi="Arial" w:cs="Arial"/>
          <w:bCs/>
          <w:color w:val="595959" w:themeColor="text1" w:themeTint="A6"/>
          <w:szCs w:val="24"/>
        </w:rPr>
      </w:pPr>
      <w:r w:rsidRPr="0054039C">
        <w:rPr>
          <w:rFonts w:ascii="Arial" w:eastAsia="Times New Roman" w:hAnsi="Arial" w:cs="Arial"/>
          <w:bCs/>
          <w:color w:val="595959" w:themeColor="text1" w:themeTint="A6"/>
          <w:szCs w:val="24"/>
        </w:rPr>
        <w:t>The αSMA transcript was expressed in all samples investigated and high basal level expressions indicated that αSMA is associated with CAF phenotype regardless of TGFβ-1 supplementation (Figure 3.2</w:t>
      </w:r>
      <w:r w:rsidR="00831F2C">
        <w:rPr>
          <w:rFonts w:ascii="Arial" w:eastAsia="Times New Roman" w:hAnsi="Arial" w:cs="Arial"/>
          <w:bCs/>
          <w:color w:val="595959" w:themeColor="text1" w:themeTint="A6"/>
          <w:szCs w:val="24"/>
        </w:rPr>
        <w:t>0</w:t>
      </w:r>
      <w:r w:rsidRPr="0054039C">
        <w:rPr>
          <w:rFonts w:ascii="Arial" w:eastAsia="Times New Roman" w:hAnsi="Arial" w:cs="Arial"/>
          <w:bCs/>
          <w:color w:val="595959" w:themeColor="text1" w:themeTint="A6"/>
          <w:szCs w:val="24"/>
        </w:rPr>
        <w:t>). The addition of 5 ng/mL of TGFβ-1 to CAF samples, increased the relative expression of the αSMA transcript</w:t>
      </w:r>
      <w:r w:rsidR="00AD4019">
        <w:rPr>
          <w:rFonts w:ascii="Arial" w:eastAsia="Times New Roman" w:hAnsi="Arial" w:cs="Arial"/>
          <w:bCs/>
          <w:color w:val="595959" w:themeColor="text1" w:themeTint="A6"/>
          <w:szCs w:val="24"/>
        </w:rPr>
        <w:t xml:space="preserve"> at 48 h </w:t>
      </w:r>
      <w:r w:rsidR="00AD4019" w:rsidRPr="0054039C">
        <w:rPr>
          <w:rFonts w:ascii="Arial" w:eastAsia="Times New Roman" w:hAnsi="Arial" w:cs="Arial"/>
          <w:bCs/>
          <w:color w:val="595959" w:themeColor="text1" w:themeTint="A6"/>
          <w:szCs w:val="24"/>
        </w:rPr>
        <w:t>with a fold increase of 22.25 ± 25.50, p=0.002 com</w:t>
      </w:r>
      <w:r w:rsidR="00AD4019">
        <w:rPr>
          <w:rFonts w:ascii="Arial" w:eastAsia="Times New Roman" w:hAnsi="Arial" w:cs="Arial"/>
          <w:bCs/>
          <w:color w:val="595959" w:themeColor="text1" w:themeTint="A6"/>
          <w:szCs w:val="24"/>
        </w:rPr>
        <w:t>pared to 24 h control samples</w:t>
      </w:r>
      <w:r w:rsidR="002B4304">
        <w:rPr>
          <w:rFonts w:ascii="Arial" w:eastAsia="Times New Roman" w:hAnsi="Arial" w:cs="Arial"/>
          <w:bCs/>
          <w:color w:val="595959" w:themeColor="text1" w:themeTint="A6"/>
          <w:szCs w:val="24"/>
        </w:rPr>
        <w:t>.</w:t>
      </w:r>
    </w:p>
    <w:p w14:paraId="48607C9B" w14:textId="674070DB" w:rsidR="0054039C" w:rsidRPr="0054039C" w:rsidRDefault="0054039C" w:rsidP="0054039C">
      <w:pPr>
        <w:autoSpaceDE w:val="0"/>
        <w:autoSpaceDN w:val="0"/>
        <w:adjustRightInd w:val="0"/>
        <w:spacing w:after="0" w:line="480" w:lineRule="auto"/>
        <w:jc w:val="both"/>
        <w:rPr>
          <w:rFonts w:ascii="Arial" w:eastAsia="Times New Roman" w:hAnsi="Arial" w:cs="Arial"/>
          <w:bCs/>
          <w:color w:val="595959" w:themeColor="text1" w:themeTint="A6"/>
          <w:szCs w:val="24"/>
        </w:rPr>
      </w:pPr>
    </w:p>
    <w:p w14:paraId="38992F22" w14:textId="74D01B29" w:rsidR="0054039C" w:rsidRPr="0054039C" w:rsidRDefault="00275122" w:rsidP="0054039C">
      <w:pPr>
        <w:autoSpaceDE w:val="0"/>
        <w:autoSpaceDN w:val="0"/>
        <w:adjustRightInd w:val="0"/>
        <w:spacing w:after="0" w:line="480" w:lineRule="auto"/>
        <w:jc w:val="both"/>
        <w:rPr>
          <w:rFonts w:ascii="Arial" w:eastAsia="Times New Roman" w:hAnsi="Arial" w:cs="Arial"/>
          <w:bCs/>
          <w:color w:val="595959" w:themeColor="text1" w:themeTint="A6"/>
          <w:szCs w:val="24"/>
        </w:rPr>
      </w:pPr>
      <w:r>
        <w:rPr>
          <w:rFonts w:ascii="Arial" w:eastAsia="Times New Roman" w:hAnsi="Arial" w:cs="Arial"/>
          <w:bCs/>
          <w:noProof/>
          <w:color w:val="595959" w:themeColor="text1" w:themeTint="A6"/>
          <w:szCs w:val="24"/>
        </w:rPr>
        <w:drawing>
          <wp:anchor distT="0" distB="0" distL="114300" distR="114300" simplePos="0" relativeHeight="251658486" behindDoc="0" locked="0" layoutInCell="1" allowOverlap="1" wp14:anchorId="7935F5E6" wp14:editId="6EAEEC4D">
            <wp:simplePos x="0" y="0"/>
            <wp:positionH relativeFrom="margin">
              <wp:align>center</wp:align>
            </wp:positionH>
            <wp:positionV relativeFrom="paragraph">
              <wp:posOffset>292735</wp:posOffset>
            </wp:positionV>
            <wp:extent cx="3780155" cy="2682240"/>
            <wp:effectExtent l="0" t="0" r="0" b="0"/>
            <wp:wrapNone/>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780155" cy="2682240"/>
                    </a:xfrm>
                    <a:prstGeom prst="rect">
                      <a:avLst/>
                    </a:prstGeom>
                    <a:noFill/>
                  </pic:spPr>
                </pic:pic>
              </a:graphicData>
            </a:graphic>
          </wp:anchor>
        </w:drawing>
      </w:r>
    </w:p>
    <w:p w14:paraId="67B2099C" w14:textId="7A06E019" w:rsidR="0054039C" w:rsidRPr="0054039C" w:rsidRDefault="0054039C" w:rsidP="0054039C">
      <w:pPr>
        <w:autoSpaceDE w:val="0"/>
        <w:autoSpaceDN w:val="0"/>
        <w:adjustRightInd w:val="0"/>
        <w:spacing w:after="0" w:line="480" w:lineRule="auto"/>
        <w:jc w:val="both"/>
        <w:rPr>
          <w:rFonts w:ascii="Arial" w:eastAsia="Times New Roman" w:hAnsi="Arial" w:cs="Arial"/>
          <w:bCs/>
          <w:color w:val="595959" w:themeColor="text1" w:themeTint="A6"/>
          <w:szCs w:val="24"/>
        </w:rPr>
      </w:pPr>
    </w:p>
    <w:p w14:paraId="342792D8"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 w:val="24"/>
          <w:szCs w:val="24"/>
        </w:rPr>
      </w:pPr>
    </w:p>
    <w:p w14:paraId="6D3934E5"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 w:val="24"/>
          <w:szCs w:val="24"/>
        </w:rPr>
      </w:pPr>
    </w:p>
    <w:p w14:paraId="46AF1985"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 w:val="24"/>
          <w:szCs w:val="24"/>
        </w:rPr>
      </w:pPr>
    </w:p>
    <w:p w14:paraId="4672E58C"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 w:val="24"/>
          <w:szCs w:val="24"/>
        </w:rPr>
      </w:pPr>
    </w:p>
    <w:p w14:paraId="40DD0AB8"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 w:val="24"/>
          <w:szCs w:val="24"/>
        </w:rPr>
      </w:pPr>
    </w:p>
    <w:p w14:paraId="7AF10D08"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 w:val="24"/>
          <w:szCs w:val="24"/>
        </w:rPr>
      </w:pPr>
    </w:p>
    <w:p w14:paraId="0C8DE418"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 w:val="24"/>
          <w:szCs w:val="24"/>
        </w:rPr>
      </w:pPr>
    </w:p>
    <w:p w14:paraId="3A742DAF"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 w:val="24"/>
          <w:szCs w:val="24"/>
        </w:rPr>
      </w:pPr>
    </w:p>
    <w:p w14:paraId="1609588F"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 w:val="24"/>
          <w:szCs w:val="24"/>
        </w:rPr>
      </w:pPr>
    </w:p>
    <w:p w14:paraId="7F973273"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 w:val="24"/>
          <w:szCs w:val="24"/>
        </w:rPr>
      </w:pPr>
    </w:p>
    <w:p w14:paraId="66775113" w14:textId="7EEA8C38"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 w:val="24"/>
          <w:szCs w:val="24"/>
        </w:rPr>
      </w:pPr>
    </w:p>
    <w:p w14:paraId="0A6E23F1" w14:textId="071236CF" w:rsidR="0054039C" w:rsidRPr="0054039C" w:rsidRDefault="00AD4019" w:rsidP="0054039C">
      <w:pPr>
        <w:autoSpaceDE w:val="0"/>
        <w:autoSpaceDN w:val="0"/>
        <w:adjustRightInd w:val="0"/>
        <w:spacing w:after="0" w:line="360" w:lineRule="auto"/>
        <w:jc w:val="both"/>
        <w:rPr>
          <w:rFonts w:ascii="Arial" w:eastAsia="Times New Roman" w:hAnsi="Arial" w:cs="Arial"/>
          <w:bCs/>
          <w:color w:val="595959" w:themeColor="text1" w:themeTint="A6"/>
          <w:sz w:val="24"/>
          <w:szCs w:val="24"/>
        </w:rPr>
      </w:pPr>
      <w:r w:rsidRPr="0054039C">
        <w:rPr>
          <w:rFonts w:ascii="Arial" w:hAnsi="Arial" w:cs="Arial"/>
          <w:noProof/>
          <w:color w:val="595959" w:themeColor="text1" w:themeTint="A6"/>
          <w:sz w:val="24"/>
          <w:szCs w:val="24"/>
          <w:lang w:eastAsia="zh-CN"/>
        </w:rPr>
        <mc:AlternateContent>
          <mc:Choice Requires="wps">
            <w:drawing>
              <wp:anchor distT="0" distB="0" distL="114300" distR="114300" simplePos="0" relativeHeight="251658295" behindDoc="0" locked="0" layoutInCell="1" allowOverlap="1" wp14:anchorId="588E75B7" wp14:editId="50DFF67A">
                <wp:simplePos x="0" y="0"/>
                <wp:positionH relativeFrom="margin">
                  <wp:align>right</wp:align>
                </wp:positionH>
                <wp:positionV relativeFrom="paragraph">
                  <wp:posOffset>158750</wp:posOffset>
                </wp:positionV>
                <wp:extent cx="5734050" cy="1304014"/>
                <wp:effectExtent l="0" t="0" r="0" b="0"/>
                <wp:wrapNone/>
                <wp:docPr id="15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1304014"/>
                        </a:xfrm>
                        <a:prstGeom prst="rect">
                          <a:avLst/>
                        </a:prstGeom>
                        <a:solidFill>
                          <a:srgbClr val="FFFFFF"/>
                        </a:solidFill>
                        <a:ln w="9525">
                          <a:noFill/>
                          <a:miter lim="800000"/>
                          <a:headEnd/>
                          <a:tailEnd/>
                        </a:ln>
                      </wps:spPr>
                      <wps:txbx>
                        <w:txbxContent>
                          <w:p w14:paraId="0498DBC3" w14:textId="1D4073D3" w:rsidR="008A47AC" w:rsidRDefault="008A47AC" w:rsidP="0054039C">
                            <w:pPr>
                              <w:pStyle w:val="NormalWeb"/>
                              <w:spacing w:after="200"/>
                              <w:jc w:val="both"/>
                            </w:pPr>
                            <w:r>
                              <w:rPr>
                                <w:rFonts w:ascii="Arial Narrow" w:eastAsia="SimSun" w:hAnsi="Arial Narrow" w:cs="Arial"/>
                                <w:b/>
                                <w:bCs/>
                                <w:color w:val="595959"/>
                                <w:kern w:val="24"/>
                                <w:sz w:val="22"/>
                                <w:szCs w:val="22"/>
                              </w:rPr>
                              <w:t xml:space="preserve">Figure 3.20 Short-term expression data for the myofibroblast </w:t>
                            </w:r>
                            <w:r w:rsidRPr="00C75A86">
                              <w:rPr>
                                <w:rFonts w:ascii="Arial Narrow" w:eastAsia="SimSun" w:hAnsi="Arial Narrow" w:cs="Arial"/>
                                <w:b/>
                                <w:bCs/>
                                <w:color w:val="595959"/>
                                <w:kern w:val="24"/>
                                <w:sz w:val="22"/>
                                <w:szCs w:val="22"/>
                              </w:rPr>
                              <w:t xml:space="preserve">marker </w:t>
                            </w:r>
                            <w:r w:rsidRPr="00C75A86">
                              <w:rPr>
                                <w:rFonts w:ascii="Arial Narrow" w:eastAsia="SimSun" w:hAnsi="Arial Narrow" w:cs="Arial"/>
                                <w:b/>
                                <w:color w:val="595959"/>
                                <w:kern w:val="24"/>
                                <w:sz w:val="22"/>
                                <w:szCs w:val="22"/>
                              </w:rPr>
                              <w:t>αSMA</w:t>
                            </w:r>
                            <w:r>
                              <w:rPr>
                                <w:rFonts w:ascii="Arial Narrow" w:eastAsia="SimSun" w:hAnsi="Arial Narrow" w:cs="Arial"/>
                                <w:b/>
                                <w:color w:val="595959"/>
                                <w:kern w:val="24"/>
                                <w:sz w:val="22"/>
                                <w:szCs w:val="22"/>
                              </w:rPr>
                              <w:t xml:space="preserve"> in CAF </w:t>
                            </w:r>
                            <w:r>
                              <w:rPr>
                                <w:rFonts w:ascii="Arial Narrow" w:eastAsia="SimSun" w:hAnsi="Arial Narrow" w:cs="Arial"/>
                                <w:b/>
                                <w:bCs/>
                                <w:color w:val="595959"/>
                                <w:kern w:val="24"/>
                                <w:sz w:val="22"/>
                                <w:szCs w:val="22"/>
                              </w:rPr>
                              <w:t>with and without TGFβ-1 stimulation</w:t>
                            </w:r>
                            <w:r>
                              <w:rPr>
                                <w:rFonts w:ascii="Arial Narrow" w:eastAsia="SimSun" w:hAnsi="Arial Narrow" w:cs="Arial"/>
                                <w:b/>
                                <w:color w:val="595959"/>
                                <w:kern w:val="24"/>
                                <w:sz w:val="22"/>
                                <w:szCs w:val="22"/>
                              </w:rPr>
                              <w:t xml:space="preserve"> </w:t>
                            </w:r>
                            <w:r>
                              <w:rPr>
                                <w:rFonts w:ascii="Arial Narrow" w:eastAsia="SimSun" w:hAnsi="Arial Narrow" w:cs="Arial"/>
                                <w:b/>
                                <w:bCs/>
                                <w:color w:val="595959"/>
                                <w:kern w:val="24"/>
                                <w:sz w:val="22"/>
                                <w:szCs w:val="22"/>
                              </w:rPr>
                              <w:t xml:space="preserve"> </w:t>
                            </w:r>
                          </w:p>
                          <w:p w14:paraId="77336895" w14:textId="357B5BFD" w:rsidR="008A47AC" w:rsidRPr="00C61619" w:rsidRDefault="008A47AC" w:rsidP="0054039C">
                            <w:pPr>
                              <w:pStyle w:val="NormalWeb"/>
                              <w:spacing w:after="200" w:line="276" w:lineRule="auto"/>
                              <w:jc w:val="both"/>
                              <w:rPr>
                                <w:rFonts w:ascii="Arial Narrow" w:eastAsia="SimSun" w:hAnsi="Arial Narrow" w:cs="Arial"/>
                                <w:color w:val="595959"/>
                                <w:kern w:val="24"/>
                                <w:sz w:val="22"/>
                                <w:szCs w:val="22"/>
                              </w:rPr>
                            </w:pPr>
                            <w:r>
                              <w:rPr>
                                <w:rFonts w:ascii="Arial Narrow" w:eastAsia="SimSun" w:hAnsi="Arial Narrow" w:cs="Arial"/>
                                <w:color w:val="595959"/>
                                <w:kern w:val="24"/>
                                <w:sz w:val="22"/>
                              </w:rPr>
                              <w:t xml:space="preserve">CAF 2D monolayers were treated </w:t>
                            </w:r>
                            <w:r>
                              <w:rPr>
                                <w:rFonts w:ascii="Arial Narrow" w:eastAsia="SimSun" w:hAnsi="Arial Narrow" w:cs="Arial"/>
                                <w:color w:val="595959"/>
                                <w:kern w:val="24"/>
                                <w:sz w:val="22"/>
                                <w:szCs w:val="22"/>
                              </w:rPr>
                              <w:t xml:space="preserve">with 5 ng/mL TGFβ-1 up to 72 h </w:t>
                            </w:r>
                            <w:r>
                              <w:rPr>
                                <w:rFonts w:ascii="Arial Narrow" w:eastAsia="SimSun" w:hAnsi="Arial Narrow" w:cs="Arial"/>
                                <w:color w:val="595959"/>
                                <w:kern w:val="24"/>
                                <w:sz w:val="22"/>
                              </w:rPr>
                              <w:t xml:space="preserve">and the gene expression for </w:t>
                            </w:r>
                            <w:r w:rsidRPr="00944EBD">
                              <w:rPr>
                                <w:rFonts w:ascii="Arial Narrow" w:eastAsia="SimSun" w:hAnsi="Arial Narrow" w:cs="Arial"/>
                                <w:color w:val="595959"/>
                                <w:kern w:val="24"/>
                                <w:sz w:val="22"/>
                              </w:rPr>
                              <w:t>aSMA</w:t>
                            </w:r>
                            <w:r>
                              <w:rPr>
                                <w:rFonts w:ascii="Arial Narrow" w:eastAsia="SimSun" w:hAnsi="Arial Narrow" w:cs="Arial"/>
                                <w:color w:val="595959"/>
                                <w:kern w:val="24"/>
                                <w:sz w:val="22"/>
                              </w:rPr>
                              <w:t xml:space="preserve"> determined by qPCR. Data is expressed as fold change relative to housekeeping gene U6, with mean ± SD. ** denotes p &lt;0.01 </w:t>
                            </w:r>
                            <w:r>
                              <w:rPr>
                                <w:rFonts w:ascii="Arial Narrow" w:eastAsia="SimSun" w:hAnsi="Arial Narrow" w:cs="Arial"/>
                                <w:color w:val="595959"/>
                                <w:kern w:val="24"/>
                                <w:sz w:val="22"/>
                                <w:szCs w:val="22"/>
                              </w:rPr>
                              <w:t>analysed by ordinary one-way ANOVA with Dunnett’s multiple comparison. (N=3, n=3).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8E75B7" id="_x0000_s1083" type="#_x0000_t202" style="position:absolute;left:0;text-align:left;margin-left:400.3pt;margin-top:12.5pt;width:451.5pt;height:102.7pt;z-index:251658295;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" stroked="f">
                <v:textbox>
                  <w:txbxContent>
                    <w:p w14:paraId="0498DBC3" w14:textId="1D4073D3" w:rsidR="008A47AC" w:rsidRDefault="008A47AC" w:rsidP="0054039C">
                      <w:pPr>
                        <w:pStyle w:val="NormalWeb"/>
                        <w:spacing w:after="200"/>
                        <w:jc w:val="both"/>
                      </w:pPr>
                      <w:r>
                        <w:rPr>
                          <w:rFonts w:ascii="Arial Narrow" w:eastAsia="SimSun" w:hAnsi="Arial Narrow" w:cs="Arial"/>
                          <w:b/>
                          <w:bCs/>
                          <w:color w:val="595959"/>
                          <w:kern w:val="24"/>
                          <w:sz w:val="22"/>
                          <w:szCs w:val="22"/>
                        </w:rPr>
                        <w:t xml:space="preserve">Figure 3.20 Short-term expression data for the myofibroblast </w:t>
                      </w:r>
                      <w:r w:rsidRPr="00C75A86">
                        <w:rPr>
                          <w:rFonts w:ascii="Arial Narrow" w:eastAsia="SimSun" w:hAnsi="Arial Narrow" w:cs="Arial"/>
                          <w:b/>
                          <w:bCs/>
                          <w:color w:val="595959"/>
                          <w:kern w:val="24"/>
                          <w:sz w:val="22"/>
                          <w:szCs w:val="22"/>
                        </w:rPr>
                        <w:t xml:space="preserve">marker </w:t>
                      </w:r>
                      <w:r w:rsidRPr="00C75A86">
                        <w:rPr>
                          <w:rFonts w:ascii="Arial Narrow" w:eastAsia="SimSun" w:hAnsi="Arial Narrow" w:cs="Arial"/>
                          <w:b/>
                          <w:color w:val="595959"/>
                          <w:kern w:val="24"/>
                          <w:sz w:val="22"/>
                          <w:szCs w:val="22"/>
                        </w:rPr>
                        <w:t>αSMA</w:t>
                      </w:r>
                      <w:r>
                        <w:rPr>
                          <w:rFonts w:ascii="Arial Narrow" w:eastAsia="SimSun" w:hAnsi="Arial Narrow" w:cs="Arial"/>
                          <w:b/>
                          <w:color w:val="595959"/>
                          <w:kern w:val="24"/>
                          <w:sz w:val="22"/>
                          <w:szCs w:val="22"/>
                        </w:rPr>
                        <w:t xml:space="preserve"> in CAF </w:t>
                      </w:r>
                      <w:r>
                        <w:rPr>
                          <w:rFonts w:ascii="Arial Narrow" w:eastAsia="SimSun" w:hAnsi="Arial Narrow" w:cs="Arial"/>
                          <w:b/>
                          <w:bCs/>
                          <w:color w:val="595959"/>
                          <w:kern w:val="24"/>
                          <w:sz w:val="22"/>
                          <w:szCs w:val="22"/>
                        </w:rPr>
                        <w:t>with and without TGFβ-1 stimulation</w:t>
                      </w:r>
                      <w:r>
                        <w:rPr>
                          <w:rFonts w:ascii="Arial Narrow" w:eastAsia="SimSun" w:hAnsi="Arial Narrow" w:cs="Arial"/>
                          <w:b/>
                          <w:color w:val="595959"/>
                          <w:kern w:val="24"/>
                          <w:sz w:val="22"/>
                          <w:szCs w:val="22"/>
                        </w:rPr>
                        <w:t xml:space="preserve"> </w:t>
                      </w:r>
                      <w:r>
                        <w:rPr>
                          <w:rFonts w:ascii="Arial Narrow" w:eastAsia="SimSun" w:hAnsi="Arial Narrow" w:cs="Arial"/>
                          <w:b/>
                          <w:bCs/>
                          <w:color w:val="595959"/>
                          <w:kern w:val="24"/>
                          <w:sz w:val="22"/>
                          <w:szCs w:val="22"/>
                        </w:rPr>
                        <w:t xml:space="preserve"> </w:t>
                      </w:r>
                    </w:p>
                    <w:p w14:paraId="77336895" w14:textId="357B5BFD" w:rsidR="008A47AC" w:rsidRPr="00C61619" w:rsidRDefault="008A47AC" w:rsidP="0054039C">
                      <w:pPr>
                        <w:pStyle w:val="NormalWeb"/>
                        <w:spacing w:after="200" w:line="276" w:lineRule="auto"/>
                        <w:jc w:val="both"/>
                        <w:rPr>
                          <w:rFonts w:ascii="Arial Narrow" w:eastAsia="SimSun" w:hAnsi="Arial Narrow" w:cs="Arial"/>
                          <w:color w:val="595959"/>
                          <w:kern w:val="24"/>
                          <w:sz w:val="22"/>
                          <w:szCs w:val="22"/>
                        </w:rPr>
                      </w:pPr>
                      <w:r>
                        <w:rPr>
                          <w:rFonts w:ascii="Arial Narrow" w:eastAsia="SimSun" w:hAnsi="Arial Narrow" w:cs="Arial"/>
                          <w:color w:val="595959"/>
                          <w:kern w:val="24"/>
                          <w:sz w:val="22"/>
                        </w:rPr>
                        <w:t xml:space="preserve">CAF 2D monolayers were treated </w:t>
                      </w:r>
                      <w:r>
                        <w:rPr>
                          <w:rFonts w:ascii="Arial Narrow" w:eastAsia="SimSun" w:hAnsi="Arial Narrow" w:cs="Arial"/>
                          <w:color w:val="595959"/>
                          <w:kern w:val="24"/>
                          <w:sz w:val="22"/>
                          <w:szCs w:val="22"/>
                        </w:rPr>
                        <w:t xml:space="preserve">with 5 ng/mL TGFβ-1 up to 72 h </w:t>
                      </w:r>
                      <w:r>
                        <w:rPr>
                          <w:rFonts w:ascii="Arial Narrow" w:eastAsia="SimSun" w:hAnsi="Arial Narrow" w:cs="Arial"/>
                          <w:color w:val="595959"/>
                          <w:kern w:val="24"/>
                          <w:sz w:val="22"/>
                        </w:rPr>
                        <w:t xml:space="preserve">and the gene expression for </w:t>
                      </w:r>
                      <w:proofErr w:type="spellStart"/>
                      <w:r w:rsidRPr="00944EBD">
                        <w:rPr>
                          <w:rFonts w:ascii="Arial Narrow" w:eastAsia="SimSun" w:hAnsi="Arial Narrow" w:cs="Arial"/>
                          <w:color w:val="595959"/>
                          <w:kern w:val="24"/>
                          <w:sz w:val="22"/>
                        </w:rPr>
                        <w:t>aSMA</w:t>
                      </w:r>
                      <w:proofErr w:type="spellEnd"/>
                      <w:r>
                        <w:rPr>
                          <w:rFonts w:ascii="Arial Narrow" w:eastAsia="SimSun" w:hAnsi="Arial Narrow" w:cs="Arial"/>
                          <w:color w:val="595959"/>
                          <w:kern w:val="24"/>
                          <w:sz w:val="22"/>
                        </w:rPr>
                        <w:t xml:space="preserve"> determined by qPCR. Data is expressed as fold change relative to housekeeping gene U6, with mean ± SD. ** denotes p &lt;0.01 </w:t>
                      </w:r>
                      <w:r>
                        <w:rPr>
                          <w:rFonts w:ascii="Arial Narrow" w:eastAsia="SimSun" w:hAnsi="Arial Narrow" w:cs="Arial"/>
                          <w:color w:val="595959"/>
                          <w:kern w:val="24"/>
                          <w:sz w:val="22"/>
                          <w:szCs w:val="22"/>
                        </w:rPr>
                        <w:t>analysed by ordinary one-way ANOVA with Dunnett’s multiple comparison. (N=3, n=3).</w:t>
                      </w:r>
                    </w:p>
                  </w:txbxContent>
                </v:textbox>
                <w10:wrap anchorx="margin"/>
              </v:shape>
            </w:pict>
          </mc:Fallback>
        </mc:AlternateContent>
      </w:r>
    </w:p>
    <w:p w14:paraId="3E658674"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 w:val="24"/>
          <w:szCs w:val="24"/>
        </w:rPr>
      </w:pPr>
    </w:p>
    <w:p w14:paraId="57E3E8EE"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 w:val="24"/>
          <w:szCs w:val="24"/>
        </w:rPr>
      </w:pPr>
    </w:p>
    <w:p w14:paraId="5D6BD5AA"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 w:val="24"/>
          <w:szCs w:val="24"/>
        </w:rPr>
      </w:pPr>
    </w:p>
    <w:p w14:paraId="0CF0C77B"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 w:val="24"/>
          <w:szCs w:val="24"/>
        </w:rPr>
      </w:pPr>
    </w:p>
    <w:p w14:paraId="0C2182AB"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 w:val="24"/>
          <w:szCs w:val="24"/>
        </w:rPr>
      </w:pPr>
    </w:p>
    <w:p w14:paraId="7C9E8A72" w14:textId="7970C64A" w:rsid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 w:val="24"/>
          <w:szCs w:val="24"/>
        </w:rPr>
      </w:pPr>
    </w:p>
    <w:p w14:paraId="7673F400" w14:textId="59648C39" w:rsidR="00AD4019" w:rsidRDefault="00AD4019" w:rsidP="0054039C">
      <w:pPr>
        <w:autoSpaceDE w:val="0"/>
        <w:autoSpaceDN w:val="0"/>
        <w:adjustRightInd w:val="0"/>
        <w:spacing w:after="0" w:line="360" w:lineRule="auto"/>
        <w:jc w:val="both"/>
        <w:rPr>
          <w:rFonts w:ascii="Arial" w:eastAsia="Times New Roman" w:hAnsi="Arial" w:cs="Arial"/>
          <w:bCs/>
          <w:color w:val="595959" w:themeColor="text1" w:themeTint="A6"/>
          <w:sz w:val="24"/>
          <w:szCs w:val="24"/>
        </w:rPr>
      </w:pPr>
    </w:p>
    <w:p w14:paraId="01645A07" w14:textId="1662BAED" w:rsidR="00AD4019" w:rsidRDefault="00AD4019" w:rsidP="0054039C">
      <w:pPr>
        <w:autoSpaceDE w:val="0"/>
        <w:autoSpaceDN w:val="0"/>
        <w:adjustRightInd w:val="0"/>
        <w:spacing w:after="0" w:line="360" w:lineRule="auto"/>
        <w:jc w:val="both"/>
        <w:rPr>
          <w:rFonts w:ascii="Arial" w:eastAsia="Times New Roman" w:hAnsi="Arial" w:cs="Arial"/>
          <w:bCs/>
          <w:color w:val="595959" w:themeColor="text1" w:themeTint="A6"/>
          <w:sz w:val="24"/>
          <w:szCs w:val="24"/>
        </w:rPr>
      </w:pPr>
    </w:p>
    <w:p w14:paraId="64A9DCC1" w14:textId="77777777" w:rsidR="002B4304" w:rsidRPr="0054039C" w:rsidRDefault="002B4304" w:rsidP="0054039C">
      <w:pPr>
        <w:autoSpaceDE w:val="0"/>
        <w:autoSpaceDN w:val="0"/>
        <w:adjustRightInd w:val="0"/>
        <w:spacing w:after="0" w:line="360" w:lineRule="auto"/>
        <w:jc w:val="both"/>
        <w:rPr>
          <w:rFonts w:ascii="Arial" w:eastAsia="Times New Roman" w:hAnsi="Arial" w:cs="Arial"/>
          <w:bCs/>
          <w:color w:val="595959" w:themeColor="text1" w:themeTint="A6"/>
          <w:sz w:val="24"/>
          <w:szCs w:val="24"/>
        </w:rPr>
      </w:pPr>
    </w:p>
    <w:p w14:paraId="69323DAF" w14:textId="77777777" w:rsidR="0054039C" w:rsidRPr="0054039C" w:rsidRDefault="0054039C" w:rsidP="0054039C">
      <w:pPr>
        <w:keepNext/>
        <w:keepLines/>
        <w:spacing w:before="40" w:after="0"/>
        <w:outlineLvl w:val="4"/>
        <w:rPr>
          <w:rFonts w:ascii="Arial" w:eastAsia="Times New Roman" w:hAnsi="Arial" w:cs="Arial"/>
          <w:bCs/>
          <w:color w:val="595959" w:themeColor="text1" w:themeTint="A6"/>
          <w:szCs w:val="24"/>
        </w:rPr>
      </w:pPr>
      <w:bookmarkStart w:id="287" w:name="_Toc7107265"/>
      <w:bookmarkStart w:id="288" w:name="_Toc34208370"/>
      <w:r w:rsidRPr="0054039C">
        <w:rPr>
          <w:rFonts w:ascii="Arial" w:eastAsia="Times New Roman" w:hAnsi="Arial" w:cs="Arial"/>
          <w:bCs/>
          <w:color w:val="595959" w:themeColor="text1" w:themeTint="A6"/>
          <w:szCs w:val="24"/>
        </w:rPr>
        <w:lastRenderedPageBreak/>
        <w:t>3.3.2.1.2 FN1-EDA expression by RT-qPCR</w:t>
      </w:r>
      <w:bookmarkEnd w:id="287"/>
      <w:bookmarkEnd w:id="288"/>
    </w:p>
    <w:p w14:paraId="47754F98" w14:textId="77777777" w:rsidR="0054039C" w:rsidRPr="0054039C" w:rsidRDefault="0054039C" w:rsidP="0054039C">
      <w:pPr>
        <w:autoSpaceDE w:val="0"/>
        <w:autoSpaceDN w:val="0"/>
        <w:adjustRightInd w:val="0"/>
        <w:spacing w:after="0" w:line="480" w:lineRule="auto"/>
        <w:jc w:val="both"/>
        <w:rPr>
          <w:rFonts w:ascii="Arial" w:eastAsia="Times New Roman" w:hAnsi="Arial" w:cs="Arial"/>
          <w:bCs/>
          <w:color w:val="595959" w:themeColor="text1" w:themeTint="A6"/>
          <w:szCs w:val="24"/>
        </w:rPr>
      </w:pPr>
    </w:p>
    <w:p w14:paraId="7A7B5F12" w14:textId="65277E66" w:rsidR="0054039C" w:rsidRPr="0054039C" w:rsidRDefault="0054039C" w:rsidP="005E26F2">
      <w:pPr>
        <w:autoSpaceDE w:val="0"/>
        <w:autoSpaceDN w:val="0"/>
        <w:adjustRightInd w:val="0"/>
        <w:spacing w:after="0" w:line="480" w:lineRule="auto"/>
        <w:jc w:val="both"/>
        <w:rPr>
          <w:rFonts w:ascii="Arial" w:eastAsia="Times New Roman" w:hAnsi="Arial" w:cs="Arial"/>
          <w:bCs/>
          <w:color w:val="595959" w:themeColor="text1" w:themeTint="A6"/>
          <w:szCs w:val="24"/>
        </w:rPr>
      </w:pPr>
      <w:r w:rsidRPr="0054039C">
        <w:rPr>
          <w:rFonts w:ascii="Arial" w:eastAsia="Times New Roman" w:hAnsi="Arial" w:cs="Arial"/>
          <w:bCs/>
          <w:color w:val="595959" w:themeColor="text1" w:themeTint="A6"/>
          <w:szCs w:val="24"/>
        </w:rPr>
        <w:t xml:space="preserve">FN1-EDA expression levels were analysed short-term in CAF populations </w:t>
      </w:r>
      <w:r w:rsidR="00AD4019">
        <w:rPr>
          <w:rFonts w:ascii="Arial" w:eastAsia="Times New Roman" w:hAnsi="Arial" w:cs="Arial"/>
          <w:bCs/>
          <w:color w:val="595959" w:themeColor="text1" w:themeTint="A6"/>
          <w:szCs w:val="24"/>
        </w:rPr>
        <w:t xml:space="preserve">in the presence and absence of </w:t>
      </w:r>
      <w:r w:rsidRPr="0054039C">
        <w:rPr>
          <w:rFonts w:ascii="Arial" w:eastAsia="Times New Roman" w:hAnsi="Arial" w:cs="Arial"/>
          <w:bCs/>
          <w:color w:val="595959" w:themeColor="text1" w:themeTint="A6"/>
          <w:szCs w:val="24"/>
        </w:rPr>
        <w:t>TGFβ-1 (Figure 3.2</w:t>
      </w:r>
      <w:r w:rsidR="00831F2C">
        <w:rPr>
          <w:rFonts w:ascii="Arial" w:eastAsia="Times New Roman" w:hAnsi="Arial" w:cs="Arial"/>
          <w:bCs/>
          <w:color w:val="595959" w:themeColor="text1" w:themeTint="A6"/>
          <w:szCs w:val="24"/>
        </w:rPr>
        <w:t>1</w:t>
      </w:r>
      <w:r w:rsidRPr="0054039C">
        <w:rPr>
          <w:rFonts w:ascii="Arial" w:eastAsia="Times New Roman" w:hAnsi="Arial" w:cs="Arial"/>
          <w:bCs/>
          <w:color w:val="595959" w:themeColor="text1" w:themeTint="A6"/>
          <w:szCs w:val="24"/>
        </w:rPr>
        <w:t>). No significant differences in FN1-EDA expression were observed at 24 h and 72 h in response to TGFβ-1. A significant increase in FN1-EDA was observed at 48 h with TGFβ-1 treatment, with a fold-increase of 20.06 ± 21.20, p=0.0006</w:t>
      </w:r>
      <w:r w:rsidR="002B4304">
        <w:rPr>
          <w:rFonts w:ascii="Arial" w:eastAsia="Times New Roman" w:hAnsi="Arial" w:cs="Arial"/>
          <w:bCs/>
          <w:color w:val="595959" w:themeColor="text1" w:themeTint="A6"/>
          <w:szCs w:val="24"/>
        </w:rPr>
        <w:t xml:space="preserve"> compared to 24 h control samples.</w:t>
      </w:r>
    </w:p>
    <w:p w14:paraId="69FB221C"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62586DA7" w14:textId="0EBCE36E"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75738591" w14:textId="08783586"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6BD80D13" w14:textId="14DAB532"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5A7A866A" w14:textId="4BA96AAA" w:rsidR="0054039C" w:rsidRPr="0054039C" w:rsidRDefault="005B3ED8"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r>
        <w:rPr>
          <w:rFonts w:ascii="Arial" w:eastAsia="Times New Roman" w:hAnsi="Arial" w:cs="Arial"/>
          <w:bCs/>
          <w:noProof/>
          <w:color w:val="595959" w:themeColor="text1" w:themeTint="A6"/>
          <w:szCs w:val="24"/>
        </w:rPr>
        <w:drawing>
          <wp:anchor distT="0" distB="0" distL="114300" distR="114300" simplePos="0" relativeHeight="251658487" behindDoc="0" locked="0" layoutInCell="1" allowOverlap="1" wp14:anchorId="545F20A3" wp14:editId="3D6DE82E">
            <wp:simplePos x="0" y="0"/>
            <wp:positionH relativeFrom="margin">
              <wp:align>center</wp:align>
            </wp:positionH>
            <wp:positionV relativeFrom="paragraph">
              <wp:posOffset>46355</wp:posOffset>
            </wp:positionV>
            <wp:extent cx="3822700" cy="2646045"/>
            <wp:effectExtent l="0" t="0" r="0" b="0"/>
            <wp:wrapNone/>
            <wp:docPr id="1592" name="Picture 1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822700" cy="2646045"/>
                    </a:xfrm>
                    <a:prstGeom prst="rect">
                      <a:avLst/>
                    </a:prstGeom>
                    <a:noFill/>
                  </pic:spPr>
                </pic:pic>
              </a:graphicData>
            </a:graphic>
          </wp:anchor>
        </w:drawing>
      </w:r>
    </w:p>
    <w:p w14:paraId="29837BBB" w14:textId="6ACCBE32"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342E8C00"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78BDB862"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21578662"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35CB1DF7"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4C4967B1"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371BDEC6"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433E13DE"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3F8CFF7E"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1F32686E"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6BDD0DC3" w14:textId="7B4BCBB1"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1A65EED3" w14:textId="25D239F7" w:rsidR="0054039C" w:rsidRPr="0054039C" w:rsidRDefault="005E26F2"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r w:rsidRPr="0054039C">
        <w:rPr>
          <w:rFonts w:ascii="Arial" w:hAnsi="Arial" w:cs="Arial"/>
          <w:noProof/>
          <w:color w:val="595959" w:themeColor="text1" w:themeTint="A6"/>
          <w:sz w:val="24"/>
          <w:szCs w:val="24"/>
          <w:lang w:eastAsia="zh-CN"/>
        </w:rPr>
        <mc:AlternateContent>
          <mc:Choice Requires="wps">
            <w:drawing>
              <wp:anchor distT="0" distB="0" distL="114300" distR="114300" simplePos="0" relativeHeight="251658296" behindDoc="0" locked="0" layoutInCell="1" allowOverlap="1" wp14:anchorId="6A6258CA" wp14:editId="79D8748D">
                <wp:simplePos x="0" y="0"/>
                <wp:positionH relativeFrom="margin">
                  <wp:align>right</wp:align>
                </wp:positionH>
                <wp:positionV relativeFrom="paragraph">
                  <wp:posOffset>126033</wp:posOffset>
                </wp:positionV>
                <wp:extent cx="5734050" cy="1190625"/>
                <wp:effectExtent l="0" t="0" r="0" b="9525"/>
                <wp:wrapNone/>
                <wp:docPr id="20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1190625"/>
                        </a:xfrm>
                        <a:prstGeom prst="rect">
                          <a:avLst/>
                        </a:prstGeom>
                        <a:solidFill>
                          <a:srgbClr val="FFFFFF"/>
                        </a:solidFill>
                        <a:ln w="9525">
                          <a:noFill/>
                          <a:miter lim="800000"/>
                          <a:headEnd/>
                          <a:tailEnd/>
                        </a:ln>
                      </wps:spPr>
                      <wps:txbx>
                        <w:txbxContent>
                          <w:p w14:paraId="54F6C3CE" w14:textId="6AF7F4B5" w:rsidR="008A47AC" w:rsidRDefault="008A47AC" w:rsidP="0054039C">
                            <w:pPr>
                              <w:pStyle w:val="NormalWeb"/>
                              <w:spacing w:after="200"/>
                              <w:jc w:val="both"/>
                            </w:pPr>
                            <w:r>
                              <w:rPr>
                                <w:rFonts w:ascii="Arial Narrow" w:eastAsia="SimSun" w:hAnsi="Arial Narrow" w:cs="Arial"/>
                                <w:b/>
                                <w:bCs/>
                                <w:color w:val="595959"/>
                                <w:kern w:val="24"/>
                                <w:sz w:val="22"/>
                                <w:szCs w:val="22"/>
                              </w:rPr>
                              <w:t xml:space="preserve">Figure 3.21 Short-term expression data for the myofibroblast </w:t>
                            </w:r>
                            <w:r w:rsidRPr="00C75A86">
                              <w:rPr>
                                <w:rFonts w:ascii="Arial Narrow" w:eastAsia="SimSun" w:hAnsi="Arial Narrow" w:cs="Arial"/>
                                <w:b/>
                                <w:bCs/>
                                <w:color w:val="595959"/>
                                <w:kern w:val="24"/>
                                <w:sz w:val="22"/>
                                <w:szCs w:val="22"/>
                              </w:rPr>
                              <w:t xml:space="preserve">marker </w:t>
                            </w:r>
                            <w:r>
                              <w:rPr>
                                <w:rFonts w:ascii="Arial Narrow" w:eastAsia="SimSun" w:hAnsi="Arial Narrow" w:cs="Arial"/>
                                <w:b/>
                                <w:color w:val="595959"/>
                                <w:kern w:val="24"/>
                                <w:sz w:val="22"/>
                                <w:szCs w:val="22"/>
                              </w:rPr>
                              <w:t xml:space="preserve">FN1-EDA in CAF </w:t>
                            </w:r>
                            <w:r>
                              <w:rPr>
                                <w:rFonts w:ascii="Arial Narrow" w:eastAsia="SimSun" w:hAnsi="Arial Narrow" w:cs="Arial"/>
                                <w:b/>
                                <w:bCs/>
                                <w:color w:val="595959"/>
                                <w:kern w:val="24"/>
                                <w:sz w:val="22"/>
                                <w:szCs w:val="22"/>
                              </w:rPr>
                              <w:t>with and without TGFβ-1 stimulation</w:t>
                            </w:r>
                            <w:r>
                              <w:rPr>
                                <w:rFonts w:ascii="Arial Narrow" w:eastAsia="SimSun" w:hAnsi="Arial Narrow" w:cs="Arial"/>
                                <w:b/>
                                <w:color w:val="595959"/>
                                <w:kern w:val="24"/>
                                <w:sz w:val="22"/>
                                <w:szCs w:val="22"/>
                              </w:rPr>
                              <w:t xml:space="preserve"> </w:t>
                            </w:r>
                            <w:r>
                              <w:rPr>
                                <w:rFonts w:ascii="Arial Narrow" w:eastAsia="SimSun" w:hAnsi="Arial Narrow" w:cs="Arial"/>
                                <w:b/>
                                <w:bCs/>
                                <w:color w:val="595959"/>
                                <w:kern w:val="24"/>
                                <w:sz w:val="22"/>
                                <w:szCs w:val="22"/>
                              </w:rPr>
                              <w:t xml:space="preserve"> </w:t>
                            </w:r>
                          </w:p>
                          <w:p w14:paraId="19C2997E" w14:textId="14C969FD" w:rsidR="008A47AC" w:rsidRPr="00C61619" w:rsidRDefault="008A47AC" w:rsidP="0054039C">
                            <w:pPr>
                              <w:pStyle w:val="NormalWeb"/>
                              <w:spacing w:after="200" w:line="276" w:lineRule="auto"/>
                              <w:jc w:val="both"/>
                              <w:rPr>
                                <w:rFonts w:ascii="Arial Narrow" w:eastAsia="SimSun" w:hAnsi="Arial Narrow" w:cs="Arial"/>
                                <w:color w:val="595959"/>
                                <w:kern w:val="24"/>
                                <w:sz w:val="22"/>
                                <w:szCs w:val="22"/>
                              </w:rPr>
                            </w:pPr>
                            <w:r>
                              <w:rPr>
                                <w:rFonts w:ascii="Arial Narrow" w:eastAsia="SimSun" w:hAnsi="Arial Narrow" w:cs="Arial"/>
                                <w:color w:val="595959"/>
                                <w:kern w:val="24"/>
                                <w:sz w:val="22"/>
                              </w:rPr>
                              <w:t xml:space="preserve">CAF 2D monolayers were treated </w:t>
                            </w:r>
                            <w:r>
                              <w:rPr>
                                <w:rFonts w:ascii="Arial Narrow" w:eastAsia="SimSun" w:hAnsi="Arial Narrow" w:cs="Arial"/>
                                <w:color w:val="595959"/>
                                <w:kern w:val="24"/>
                                <w:sz w:val="22"/>
                                <w:szCs w:val="22"/>
                              </w:rPr>
                              <w:t xml:space="preserve">with 5 ng/mL TGFβ-1 up to 72 h </w:t>
                            </w:r>
                            <w:r>
                              <w:rPr>
                                <w:rFonts w:ascii="Arial Narrow" w:eastAsia="SimSun" w:hAnsi="Arial Narrow" w:cs="Arial"/>
                                <w:color w:val="595959"/>
                                <w:kern w:val="24"/>
                                <w:sz w:val="22"/>
                              </w:rPr>
                              <w:t xml:space="preserve">and the gene expression for FN1-EDA determined by qPCR. Data is expressed as fold change relative to housekeeping gene U6, with mean ± SD. *** denotes p &lt;0.001 </w:t>
                            </w:r>
                            <w:r>
                              <w:rPr>
                                <w:rFonts w:ascii="Arial Narrow" w:eastAsia="SimSun" w:hAnsi="Arial Narrow" w:cs="Arial"/>
                                <w:color w:val="595959"/>
                                <w:kern w:val="24"/>
                                <w:sz w:val="22"/>
                                <w:szCs w:val="22"/>
                              </w:rPr>
                              <w:t>analysed by ordinary one-way ANOVA with Dunnett’s multiple comparison. (N=3, n=3).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6258CA" id="_x0000_s1084" type="#_x0000_t202" style="position:absolute;left:0;text-align:left;margin-left:400.3pt;margin-top:9.9pt;width:451.5pt;height:93.75pt;z-index:2516582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" stroked="f">
                <v:textbox>
                  <w:txbxContent>
                    <w:p w14:paraId="54F6C3CE" w14:textId="6AF7F4B5" w:rsidR="008A47AC" w:rsidRDefault="008A47AC" w:rsidP="0054039C">
                      <w:pPr>
                        <w:pStyle w:val="NormalWeb"/>
                        <w:spacing w:after="200"/>
                        <w:jc w:val="both"/>
                      </w:pPr>
                      <w:r>
                        <w:rPr>
                          <w:rFonts w:ascii="Arial Narrow" w:eastAsia="SimSun" w:hAnsi="Arial Narrow" w:cs="Arial"/>
                          <w:b/>
                          <w:bCs/>
                          <w:color w:val="595959"/>
                          <w:kern w:val="24"/>
                          <w:sz w:val="22"/>
                          <w:szCs w:val="22"/>
                        </w:rPr>
                        <w:t xml:space="preserve">Figure 3.21 Short-term expression data for the myofibroblast </w:t>
                      </w:r>
                      <w:r w:rsidRPr="00C75A86">
                        <w:rPr>
                          <w:rFonts w:ascii="Arial Narrow" w:eastAsia="SimSun" w:hAnsi="Arial Narrow" w:cs="Arial"/>
                          <w:b/>
                          <w:bCs/>
                          <w:color w:val="595959"/>
                          <w:kern w:val="24"/>
                          <w:sz w:val="22"/>
                          <w:szCs w:val="22"/>
                        </w:rPr>
                        <w:t xml:space="preserve">marker </w:t>
                      </w:r>
                      <w:r>
                        <w:rPr>
                          <w:rFonts w:ascii="Arial Narrow" w:eastAsia="SimSun" w:hAnsi="Arial Narrow" w:cs="Arial"/>
                          <w:b/>
                          <w:color w:val="595959"/>
                          <w:kern w:val="24"/>
                          <w:sz w:val="22"/>
                          <w:szCs w:val="22"/>
                        </w:rPr>
                        <w:t xml:space="preserve">FN1-EDA in CAF </w:t>
                      </w:r>
                      <w:r>
                        <w:rPr>
                          <w:rFonts w:ascii="Arial Narrow" w:eastAsia="SimSun" w:hAnsi="Arial Narrow" w:cs="Arial"/>
                          <w:b/>
                          <w:bCs/>
                          <w:color w:val="595959"/>
                          <w:kern w:val="24"/>
                          <w:sz w:val="22"/>
                          <w:szCs w:val="22"/>
                        </w:rPr>
                        <w:t>with and without TGFβ-1 stimulation</w:t>
                      </w:r>
                      <w:r>
                        <w:rPr>
                          <w:rFonts w:ascii="Arial Narrow" w:eastAsia="SimSun" w:hAnsi="Arial Narrow" w:cs="Arial"/>
                          <w:b/>
                          <w:color w:val="595959"/>
                          <w:kern w:val="24"/>
                          <w:sz w:val="22"/>
                          <w:szCs w:val="22"/>
                        </w:rPr>
                        <w:t xml:space="preserve"> </w:t>
                      </w:r>
                      <w:r>
                        <w:rPr>
                          <w:rFonts w:ascii="Arial Narrow" w:eastAsia="SimSun" w:hAnsi="Arial Narrow" w:cs="Arial"/>
                          <w:b/>
                          <w:bCs/>
                          <w:color w:val="595959"/>
                          <w:kern w:val="24"/>
                          <w:sz w:val="22"/>
                          <w:szCs w:val="22"/>
                        </w:rPr>
                        <w:t xml:space="preserve"> </w:t>
                      </w:r>
                    </w:p>
                    <w:p w14:paraId="19C2997E" w14:textId="14C969FD" w:rsidR="008A47AC" w:rsidRPr="00C61619" w:rsidRDefault="008A47AC" w:rsidP="0054039C">
                      <w:pPr>
                        <w:pStyle w:val="NormalWeb"/>
                        <w:spacing w:after="200" w:line="276" w:lineRule="auto"/>
                        <w:jc w:val="both"/>
                        <w:rPr>
                          <w:rFonts w:ascii="Arial Narrow" w:eastAsia="SimSun" w:hAnsi="Arial Narrow" w:cs="Arial"/>
                          <w:color w:val="595959"/>
                          <w:kern w:val="24"/>
                          <w:sz w:val="22"/>
                          <w:szCs w:val="22"/>
                        </w:rPr>
                      </w:pPr>
                      <w:r>
                        <w:rPr>
                          <w:rFonts w:ascii="Arial Narrow" w:eastAsia="SimSun" w:hAnsi="Arial Narrow" w:cs="Arial"/>
                          <w:color w:val="595959"/>
                          <w:kern w:val="24"/>
                          <w:sz w:val="22"/>
                        </w:rPr>
                        <w:t xml:space="preserve">CAF 2D monolayers were treated </w:t>
                      </w:r>
                      <w:r>
                        <w:rPr>
                          <w:rFonts w:ascii="Arial Narrow" w:eastAsia="SimSun" w:hAnsi="Arial Narrow" w:cs="Arial"/>
                          <w:color w:val="595959"/>
                          <w:kern w:val="24"/>
                          <w:sz w:val="22"/>
                          <w:szCs w:val="22"/>
                        </w:rPr>
                        <w:t xml:space="preserve">with 5 ng/mL TGFβ-1 up to 72 h </w:t>
                      </w:r>
                      <w:r>
                        <w:rPr>
                          <w:rFonts w:ascii="Arial Narrow" w:eastAsia="SimSun" w:hAnsi="Arial Narrow" w:cs="Arial"/>
                          <w:color w:val="595959"/>
                          <w:kern w:val="24"/>
                          <w:sz w:val="22"/>
                        </w:rPr>
                        <w:t xml:space="preserve">and the gene expression for FN1-EDA determined by qPCR. Data is expressed as fold change relative to housekeeping gene U6, with mean ± SD. *** denotes p &lt;0.001 </w:t>
                      </w:r>
                      <w:r>
                        <w:rPr>
                          <w:rFonts w:ascii="Arial Narrow" w:eastAsia="SimSun" w:hAnsi="Arial Narrow" w:cs="Arial"/>
                          <w:color w:val="595959"/>
                          <w:kern w:val="24"/>
                          <w:sz w:val="22"/>
                          <w:szCs w:val="22"/>
                        </w:rPr>
                        <w:t>analysed by ordinary one-way ANOVA with Dunnett’s multiple comparison. (N=3, n=3).</w:t>
                      </w:r>
                    </w:p>
                  </w:txbxContent>
                </v:textbox>
                <w10:wrap anchorx="margin"/>
              </v:shape>
            </w:pict>
          </mc:Fallback>
        </mc:AlternateContent>
      </w:r>
    </w:p>
    <w:p w14:paraId="5387C73A"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1AF2ED37"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74831518"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63CD29CF"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50C9E036"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6BAB54AD"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26DC619E"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6F99AC1C"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756C9379" w14:textId="20F4266D" w:rsid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5172DA4B" w14:textId="77777777" w:rsidR="005E26F2" w:rsidRPr="0054039C" w:rsidRDefault="005E26F2"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616278F9"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19C7D794" w14:textId="77777777" w:rsidR="0054039C" w:rsidRPr="0054039C" w:rsidRDefault="0054039C" w:rsidP="0054039C">
      <w:pPr>
        <w:keepNext/>
        <w:keepLines/>
        <w:spacing w:before="40" w:after="0"/>
        <w:outlineLvl w:val="4"/>
        <w:rPr>
          <w:rFonts w:ascii="Arial" w:eastAsia="Times New Roman" w:hAnsi="Arial" w:cs="Arial"/>
          <w:bCs/>
          <w:color w:val="595959" w:themeColor="text1" w:themeTint="A6"/>
          <w:szCs w:val="24"/>
        </w:rPr>
      </w:pPr>
      <w:bookmarkStart w:id="289" w:name="_Toc7107266"/>
      <w:bookmarkStart w:id="290" w:name="_Toc34208371"/>
      <w:r w:rsidRPr="0054039C">
        <w:rPr>
          <w:rFonts w:ascii="Arial" w:eastAsia="Times New Roman" w:hAnsi="Arial" w:cs="Arial"/>
          <w:bCs/>
          <w:color w:val="595959" w:themeColor="text1" w:themeTint="A6"/>
          <w:szCs w:val="24"/>
        </w:rPr>
        <w:lastRenderedPageBreak/>
        <w:t>3.3.2.1.3 COL1A1 expression by RT-qPCR</w:t>
      </w:r>
      <w:bookmarkEnd w:id="289"/>
      <w:bookmarkEnd w:id="290"/>
    </w:p>
    <w:p w14:paraId="22A60A8E"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56EFAF7E" w14:textId="78F82A3B" w:rsidR="0054039C" w:rsidRPr="0054039C" w:rsidRDefault="0054039C" w:rsidP="005E26F2">
      <w:pPr>
        <w:autoSpaceDE w:val="0"/>
        <w:autoSpaceDN w:val="0"/>
        <w:adjustRightInd w:val="0"/>
        <w:spacing w:after="0" w:line="480" w:lineRule="auto"/>
        <w:jc w:val="both"/>
        <w:rPr>
          <w:rFonts w:ascii="Arial" w:eastAsia="Times New Roman" w:hAnsi="Arial" w:cs="Arial"/>
          <w:bCs/>
          <w:color w:val="595959" w:themeColor="text1" w:themeTint="A6"/>
          <w:szCs w:val="24"/>
        </w:rPr>
      </w:pPr>
      <w:r w:rsidRPr="0054039C">
        <w:rPr>
          <w:rFonts w:ascii="Arial" w:eastAsia="Times New Roman" w:hAnsi="Arial" w:cs="Arial"/>
          <w:bCs/>
          <w:color w:val="595959" w:themeColor="text1" w:themeTint="A6"/>
          <w:szCs w:val="24"/>
        </w:rPr>
        <w:t xml:space="preserve">With the addition of TGFβ-1 </w:t>
      </w:r>
      <w:r w:rsidR="005E26F2">
        <w:rPr>
          <w:rFonts w:ascii="Arial" w:eastAsia="Times New Roman" w:hAnsi="Arial" w:cs="Arial"/>
          <w:bCs/>
          <w:color w:val="595959" w:themeColor="text1" w:themeTint="A6"/>
          <w:szCs w:val="24"/>
        </w:rPr>
        <w:t>a</w:t>
      </w:r>
      <w:r w:rsidR="005E26F2" w:rsidRPr="0054039C">
        <w:rPr>
          <w:rFonts w:ascii="Arial" w:eastAsia="Times New Roman" w:hAnsi="Arial" w:cs="Arial"/>
          <w:bCs/>
          <w:color w:val="595959" w:themeColor="text1" w:themeTint="A6"/>
          <w:szCs w:val="24"/>
        </w:rPr>
        <w:t xml:space="preserve"> significant increase</w:t>
      </w:r>
      <w:r w:rsidR="005E26F2">
        <w:rPr>
          <w:rFonts w:ascii="Arial" w:eastAsia="Times New Roman" w:hAnsi="Arial" w:cs="Arial"/>
          <w:bCs/>
          <w:color w:val="595959" w:themeColor="text1" w:themeTint="A6"/>
          <w:szCs w:val="24"/>
        </w:rPr>
        <w:t xml:space="preserve"> in COL1A1 transcript expression</w:t>
      </w:r>
      <w:r w:rsidR="005E26F2" w:rsidRPr="0054039C">
        <w:rPr>
          <w:rFonts w:ascii="Arial" w:eastAsia="Times New Roman" w:hAnsi="Arial" w:cs="Arial"/>
          <w:bCs/>
          <w:color w:val="595959" w:themeColor="text1" w:themeTint="A6"/>
          <w:szCs w:val="24"/>
        </w:rPr>
        <w:t xml:space="preserve"> was detected at 48 h with a 6.36 ± 7.88-fold increase, p=0.0115</w:t>
      </w:r>
      <w:r w:rsidR="00E249A2">
        <w:rPr>
          <w:rFonts w:ascii="Arial" w:eastAsia="Times New Roman" w:hAnsi="Arial" w:cs="Arial"/>
          <w:bCs/>
          <w:color w:val="595959" w:themeColor="text1" w:themeTint="A6"/>
          <w:szCs w:val="24"/>
        </w:rPr>
        <w:t xml:space="preserve"> (Figure 3.22)</w:t>
      </w:r>
      <w:r w:rsidR="005E26F2" w:rsidRPr="0054039C">
        <w:rPr>
          <w:rFonts w:ascii="Arial" w:eastAsia="Times New Roman" w:hAnsi="Arial" w:cs="Arial"/>
          <w:bCs/>
          <w:color w:val="595959" w:themeColor="text1" w:themeTint="A6"/>
          <w:szCs w:val="24"/>
        </w:rPr>
        <w:t xml:space="preserve">. </w:t>
      </w:r>
      <w:r w:rsidR="005E26F2">
        <w:rPr>
          <w:rFonts w:ascii="Arial" w:eastAsia="Times New Roman" w:hAnsi="Arial" w:cs="Arial"/>
          <w:bCs/>
          <w:color w:val="595959" w:themeColor="text1" w:themeTint="A6"/>
          <w:szCs w:val="24"/>
        </w:rPr>
        <w:t>N</w:t>
      </w:r>
      <w:r w:rsidRPr="0054039C">
        <w:rPr>
          <w:rFonts w:ascii="Arial" w:eastAsia="Times New Roman" w:hAnsi="Arial" w:cs="Arial"/>
          <w:bCs/>
          <w:color w:val="595959" w:themeColor="text1" w:themeTint="A6"/>
          <w:szCs w:val="24"/>
        </w:rPr>
        <w:t xml:space="preserve">o significant differences were observed </w:t>
      </w:r>
      <w:r w:rsidR="005E26F2">
        <w:rPr>
          <w:rFonts w:ascii="Arial" w:eastAsia="Times New Roman" w:hAnsi="Arial" w:cs="Arial"/>
          <w:bCs/>
          <w:color w:val="595959" w:themeColor="text1" w:themeTint="A6"/>
          <w:szCs w:val="24"/>
        </w:rPr>
        <w:t xml:space="preserve">at </w:t>
      </w:r>
      <w:r w:rsidRPr="0054039C">
        <w:rPr>
          <w:rFonts w:ascii="Arial" w:eastAsia="Times New Roman" w:hAnsi="Arial" w:cs="Arial"/>
          <w:bCs/>
          <w:color w:val="595959" w:themeColor="text1" w:themeTint="A6"/>
          <w:szCs w:val="24"/>
        </w:rPr>
        <w:t xml:space="preserve">24 h </w:t>
      </w:r>
      <w:r w:rsidR="005E26F2">
        <w:rPr>
          <w:rFonts w:ascii="Arial" w:eastAsia="Times New Roman" w:hAnsi="Arial" w:cs="Arial"/>
          <w:bCs/>
          <w:color w:val="595959" w:themeColor="text1" w:themeTint="A6"/>
          <w:szCs w:val="24"/>
        </w:rPr>
        <w:t xml:space="preserve">and 72 h with </w:t>
      </w:r>
      <w:r w:rsidRPr="0054039C">
        <w:rPr>
          <w:rFonts w:ascii="Arial" w:eastAsia="Times New Roman" w:hAnsi="Arial" w:cs="Arial"/>
          <w:bCs/>
          <w:color w:val="595959" w:themeColor="text1" w:themeTint="A6"/>
          <w:szCs w:val="24"/>
        </w:rPr>
        <w:t xml:space="preserve">TGFβ-1 </w:t>
      </w:r>
      <w:r w:rsidR="005E26F2">
        <w:rPr>
          <w:rFonts w:ascii="Arial" w:eastAsia="Times New Roman" w:hAnsi="Arial" w:cs="Arial"/>
          <w:bCs/>
          <w:color w:val="595959" w:themeColor="text1" w:themeTint="A6"/>
          <w:szCs w:val="24"/>
        </w:rPr>
        <w:t xml:space="preserve">treatment. </w:t>
      </w:r>
    </w:p>
    <w:p w14:paraId="442C60AC"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75856F89"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1B14DECC" w14:textId="4164A86D"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0AB3EDB0" w14:textId="39E54566"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33B2278B" w14:textId="7F05D332" w:rsidR="0054039C" w:rsidRPr="0054039C" w:rsidRDefault="00F71205"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r>
        <w:rPr>
          <w:rFonts w:ascii="Arial" w:eastAsia="Times New Roman" w:hAnsi="Arial" w:cs="Arial"/>
          <w:bCs/>
          <w:noProof/>
          <w:color w:val="595959" w:themeColor="text1" w:themeTint="A6"/>
          <w:szCs w:val="24"/>
        </w:rPr>
        <w:drawing>
          <wp:anchor distT="0" distB="0" distL="114300" distR="114300" simplePos="0" relativeHeight="251658488" behindDoc="0" locked="0" layoutInCell="1" allowOverlap="1" wp14:anchorId="7B3E9C58" wp14:editId="1D841D5A">
            <wp:simplePos x="0" y="0"/>
            <wp:positionH relativeFrom="margin">
              <wp:align>center</wp:align>
            </wp:positionH>
            <wp:positionV relativeFrom="paragraph">
              <wp:posOffset>7620</wp:posOffset>
            </wp:positionV>
            <wp:extent cx="3810635" cy="2646045"/>
            <wp:effectExtent l="0" t="0" r="0" b="0"/>
            <wp:wrapNone/>
            <wp:docPr id="1593" name="Picture 1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810635" cy="2646045"/>
                    </a:xfrm>
                    <a:prstGeom prst="rect">
                      <a:avLst/>
                    </a:prstGeom>
                    <a:noFill/>
                  </pic:spPr>
                </pic:pic>
              </a:graphicData>
            </a:graphic>
          </wp:anchor>
        </w:drawing>
      </w:r>
    </w:p>
    <w:p w14:paraId="54A3D896" w14:textId="60BAF2EA"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2CB8CB35"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48588C7E"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08128842"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4A01EE38"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471CB48F"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3347A01A"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5DD5CA3A"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6DBC0988"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61C686EA"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1832970D"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67D9919B" w14:textId="0252049D"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20B3D6E1" w14:textId="1F87AAEB" w:rsidR="0054039C" w:rsidRPr="0054039C" w:rsidRDefault="005E26F2"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r w:rsidRPr="0054039C">
        <w:rPr>
          <w:rFonts w:ascii="Arial" w:hAnsi="Arial" w:cs="Arial"/>
          <w:noProof/>
          <w:color w:val="595959" w:themeColor="text1" w:themeTint="A6"/>
          <w:sz w:val="24"/>
          <w:szCs w:val="24"/>
          <w:lang w:eastAsia="zh-CN"/>
        </w:rPr>
        <mc:AlternateContent>
          <mc:Choice Requires="wps">
            <w:drawing>
              <wp:anchor distT="0" distB="0" distL="114300" distR="114300" simplePos="0" relativeHeight="251658297" behindDoc="0" locked="0" layoutInCell="1" allowOverlap="1" wp14:anchorId="73E507B4" wp14:editId="0A7C29BB">
                <wp:simplePos x="0" y="0"/>
                <wp:positionH relativeFrom="margin">
                  <wp:posOffset>-10491</wp:posOffset>
                </wp:positionH>
                <wp:positionV relativeFrom="paragraph">
                  <wp:posOffset>218716</wp:posOffset>
                </wp:positionV>
                <wp:extent cx="5734050" cy="1343025"/>
                <wp:effectExtent l="0" t="0" r="0" b="9525"/>
                <wp:wrapNone/>
                <wp:docPr id="20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1343025"/>
                        </a:xfrm>
                        <a:prstGeom prst="rect">
                          <a:avLst/>
                        </a:prstGeom>
                        <a:solidFill>
                          <a:srgbClr val="FFFFFF"/>
                        </a:solidFill>
                        <a:ln w="9525">
                          <a:noFill/>
                          <a:miter lim="800000"/>
                          <a:headEnd/>
                          <a:tailEnd/>
                        </a:ln>
                      </wps:spPr>
                      <wps:txbx>
                        <w:txbxContent>
                          <w:p w14:paraId="34C54462" w14:textId="002999B1" w:rsidR="008A47AC" w:rsidRDefault="008A47AC" w:rsidP="0054039C">
                            <w:pPr>
                              <w:pStyle w:val="NormalWeb"/>
                              <w:spacing w:after="200"/>
                              <w:jc w:val="both"/>
                            </w:pPr>
                            <w:r>
                              <w:rPr>
                                <w:rFonts w:ascii="Arial Narrow" w:eastAsia="SimSun" w:hAnsi="Arial Narrow" w:cs="Arial"/>
                                <w:b/>
                                <w:bCs/>
                                <w:color w:val="595959"/>
                                <w:kern w:val="24"/>
                                <w:sz w:val="22"/>
                                <w:szCs w:val="22"/>
                              </w:rPr>
                              <w:t xml:space="preserve">Figure 3.22 Short-term expression data for the myofibroblast </w:t>
                            </w:r>
                            <w:r w:rsidRPr="00C75A86">
                              <w:rPr>
                                <w:rFonts w:ascii="Arial Narrow" w:eastAsia="SimSun" w:hAnsi="Arial Narrow" w:cs="Arial"/>
                                <w:b/>
                                <w:bCs/>
                                <w:color w:val="595959"/>
                                <w:kern w:val="24"/>
                                <w:sz w:val="22"/>
                                <w:szCs w:val="22"/>
                              </w:rPr>
                              <w:t xml:space="preserve">marker </w:t>
                            </w:r>
                            <w:r>
                              <w:rPr>
                                <w:rFonts w:ascii="Arial Narrow" w:eastAsia="SimSun" w:hAnsi="Arial Narrow" w:cs="Arial"/>
                                <w:b/>
                                <w:color w:val="595959"/>
                                <w:kern w:val="24"/>
                                <w:sz w:val="22"/>
                                <w:szCs w:val="22"/>
                              </w:rPr>
                              <w:t xml:space="preserve">COL1A1 in CAF </w:t>
                            </w:r>
                            <w:r>
                              <w:rPr>
                                <w:rFonts w:ascii="Arial Narrow" w:eastAsia="SimSun" w:hAnsi="Arial Narrow" w:cs="Arial"/>
                                <w:b/>
                                <w:bCs/>
                                <w:color w:val="595959"/>
                                <w:kern w:val="24"/>
                                <w:sz w:val="22"/>
                                <w:szCs w:val="22"/>
                              </w:rPr>
                              <w:t>with and without TGFβ-1 stimulation</w:t>
                            </w:r>
                            <w:r>
                              <w:rPr>
                                <w:rFonts w:ascii="Arial Narrow" w:eastAsia="SimSun" w:hAnsi="Arial Narrow" w:cs="Arial"/>
                                <w:b/>
                                <w:color w:val="595959"/>
                                <w:kern w:val="24"/>
                                <w:sz w:val="22"/>
                                <w:szCs w:val="22"/>
                              </w:rPr>
                              <w:t xml:space="preserve"> </w:t>
                            </w:r>
                            <w:r>
                              <w:rPr>
                                <w:rFonts w:ascii="Arial Narrow" w:eastAsia="SimSun" w:hAnsi="Arial Narrow" w:cs="Arial"/>
                                <w:b/>
                                <w:bCs/>
                                <w:color w:val="595959"/>
                                <w:kern w:val="24"/>
                                <w:sz w:val="22"/>
                                <w:szCs w:val="22"/>
                              </w:rPr>
                              <w:t xml:space="preserve"> </w:t>
                            </w:r>
                          </w:p>
                          <w:p w14:paraId="0EDD3C8B" w14:textId="1DA8F616" w:rsidR="008A47AC" w:rsidRPr="00C61619" w:rsidRDefault="008A47AC" w:rsidP="0054039C">
                            <w:pPr>
                              <w:pStyle w:val="NormalWeb"/>
                              <w:spacing w:after="200" w:line="276" w:lineRule="auto"/>
                              <w:jc w:val="both"/>
                              <w:rPr>
                                <w:rFonts w:ascii="Arial Narrow" w:eastAsia="SimSun" w:hAnsi="Arial Narrow" w:cs="Arial"/>
                                <w:color w:val="595959"/>
                                <w:kern w:val="24"/>
                                <w:sz w:val="22"/>
                                <w:szCs w:val="22"/>
                              </w:rPr>
                            </w:pPr>
                            <w:r>
                              <w:rPr>
                                <w:rFonts w:ascii="Arial Narrow" w:eastAsia="SimSun" w:hAnsi="Arial Narrow" w:cs="Arial"/>
                                <w:color w:val="595959"/>
                                <w:kern w:val="24"/>
                                <w:sz w:val="22"/>
                              </w:rPr>
                              <w:t xml:space="preserve">CAF 2D monolayers were treated </w:t>
                            </w:r>
                            <w:r>
                              <w:rPr>
                                <w:rFonts w:ascii="Arial Narrow" w:eastAsia="SimSun" w:hAnsi="Arial Narrow" w:cs="Arial"/>
                                <w:color w:val="595959"/>
                                <w:kern w:val="24"/>
                                <w:sz w:val="22"/>
                                <w:szCs w:val="22"/>
                              </w:rPr>
                              <w:t xml:space="preserve">with 5 ng/mL TGFβ-1 up to 72 h </w:t>
                            </w:r>
                            <w:r>
                              <w:rPr>
                                <w:rFonts w:ascii="Arial Narrow" w:eastAsia="SimSun" w:hAnsi="Arial Narrow" w:cs="Arial"/>
                                <w:color w:val="595959"/>
                                <w:kern w:val="24"/>
                                <w:sz w:val="22"/>
                              </w:rPr>
                              <w:t xml:space="preserve">and the gene expression for COL1A1 determined by qPCR. Data is expressed as fold change relative to housekeeping gene U6, with mean ± SD. * denotes p &lt;0.05 </w:t>
                            </w:r>
                            <w:r>
                              <w:rPr>
                                <w:rFonts w:ascii="Arial Narrow" w:eastAsia="SimSun" w:hAnsi="Arial Narrow" w:cs="Arial"/>
                                <w:color w:val="595959"/>
                                <w:kern w:val="24"/>
                                <w:sz w:val="22"/>
                                <w:szCs w:val="22"/>
                              </w:rPr>
                              <w:t>analysed by ordinary one-way ANOVA with Dunnett’s multiple comparison. (N=3, n=3).</w:t>
                            </w:r>
                          </w:p>
                          <w:p w14:paraId="58686B46" w14:textId="77777777" w:rsidR="008A47AC" w:rsidRPr="00C61619" w:rsidRDefault="008A47AC" w:rsidP="0054039C">
                            <w:pPr>
                              <w:pStyle w:val="NormalWeb"/>
                              <w:spacing w:after="200"/>
                              <w:jc w:val="both"/>
                              <w:rPr>
                                <w:rFonts w:ascii="Arial Narrow" w:eastAsia="SimSun" w:hAnsi="Arial Narrow" w:cs="Arial"/>
                                <w:color w:val="595959"/>
                                <w:kern w:val="24"/>
                                <w:sz w:val="22"/>
                                <w:szCs w:val="22"/>
                              </w:rPr>
                            </w:pPr>
                            <w:r>
                              <w:rPr>
                                <w:rFonts w:ascii="Arial Narrow" w:eastAsia="SimSun" w:hAnsi="Arial Narrow" w:cs="Arial"/>
                                <w:b/>
                                <w:bCs/>
                                <w:color w:val="595959"/>
                                <w:kern w:val="24"/>
                                <w:sz w:val="22"/>
                                <w:szCs w:val="22"/>
                              </w:rPr>
                              <w:t xml:space="preserve"> </w:t>
                            </w:r>
                          </w:p>
                          <w:p w14:paraId="38E840E9" w14:textId="77777777" w:rsidR="008A47AC" w:rsidRPr="00C61619" w:rsidRDefault="008A47AC" w:rsidP="0054039C">
                            <w:pPr>
                              <w:pStyle w:val="NormalWeb"/>
                              <w:spacing w:after="200" w:line="276" w:lineRule="auto"/>
                              <w:jc w:val="both"/>
                              <w:rPr>
                                <w:rFonts w:ascii="Arial Narrow" w:eastAsia="SimSun" w:hAnsi="Arial Narrow" w:cs="Arial"/>
                                <w:color w:val="595959"/>
                                <w:kern w:val="24"/>
                                <w:sz w:val="22"/>
                                <w:szCs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E507B4" id="_x0000_s1085" type="#_x0000_t202" style="position:absolute;left:0;text-align:left;margin-left:-.85pt;margin-top:17.2pt;width:451.5pt;height:105.75pt;z-index:25165829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" stroked="f">
                <v:textbox>
                  <w:txbxContent>
                    <w:p w14:paraId="34C54462" w14:textId="002999B1" w:rsidR="008A47AC" w:rsidRDefault="008A47AC" w:rsidP="0054039C">
                      <w:pPr>
                        <w:pStyle w:val="NormalWeb"/>
                        <w:spacing w:after="200"/>
                        <w:jc w:val="both"/>
                      </w:pPr>
                      <w:r>
                        <w:rPr>
                          <w:rFonts w:ascii="Arial Narrow" w:eastAsia="SimSun" w:hAnsi="Arial Narrow" w:cs="Arial"/>
                          <w:b/>
                          <w:bCs/>
                          <w:color w:val="595959"/>
                          <w:kern w:val="24"/>
                          <w:sz w:val="22"/>
                          <w:szCs w:val="22"/>
                        </w:rPr>
                        <w:t xml:space="preserve">Figure 3.22 Short-term expression data for the myofibroblast </w:t>
                      </w:r>
                      <w:r w:rsidRPr="00C75A86">
                        <w:rPr>
                          <w:rFonts w:ascii="Arial Narrow" w:eastAsia="SimSun" w:hAnsi="Arial Narrow" w:cs="Arial"/>
                          <w:b/>
                          <w:bCs/>
                          <w:color w:val="595959"/>
                          <w:kern w:val="24"/>
                          <w:sz w:val="22"/>
                          <w:szCs w:val="22"/>
                        </w:rPr>
                        <w:t xml:space="preserve">marker </w:t>
                      </w:r>
                      <w:r>
                        <w:rPr>
                          <w:rFonts w:ascii="Arial Narrow" w:eastAsia="SimSun" w:hAnsi="Arial Narrow" w:cs="Arial"/>
                          <w:b/>
                          <w:color w:val="595959"/>
                          <w:kern w:val="24"/>
                          <w:sz w:val="22"/>
                          <w:szCs w:val="22"/>
                        </w:rPr>
                        <w:t xml:space="preserve">COL1A1 in CAF </w:t>
                      </w:r>
                      <w:r>
                        <w:rPr>
                          <w:rFonts w:ascii="Arial Narrow" w:eastAsia="SimSun" w:hAnsi="Arial Narrow" w:cs="Arial"/>
                          <w:b/>
                          <w:bCs/>
                          <w:color w:val="595959"/>
                          <w:kern w:val="24"/>
                          <w:sz w:val="22"/>
                          <w:szCs w:val="22"/>
                        </w:rPr>
                        <w:t>with and without TGFβ-1 stimulation</w:t>
                      </w:r>
                      <w:r>
                        <w:rPr>
                          <w:rFonts w:ascii="Arial Narrow" w:eastAsia="SimSun" w:hAnsi="Arial Narrow" w:cs="Arial"/>
                          <w:b/>
                          <w:color w:val="595959"/>
                          <w:kern w:val="24"/>
                          <w:sz w:val="22"/>
                          <w:szCs w:val="22"/>
                        </w:rPr>
                        <w:t xml:space="preserve"> </w:t>
                      </w:r>
                      <w:r>
                        <w:rPr>
                          <w:rFonts w:ascii="Arial Narrow" w:eastAsia="SimSun" w:hAnsi="Arial Narrow" w:cs="Arial"/>
                          <w:b/>
                          <w:bCs/>
                          <w:color w:val="595959"/>
                          <w:kern w:val="24"/>
                          <w:sz w:val="22"/>
                          <w:szCs w:val="22"/>
                        </w:rPr>
                        <w:t xml:space="preserve"> </w:t>
                      </w:r>
                    </w:p>
                    <w:p w14:paraId="0EDD3C8B" w14:textId="1DA8F616" w:rsidR="008A47AC" w:rsidRPr="00C61619" w:rsidRDefault="008A47AC" w:rsidP="0054039C">
                      <w:pPr>
                        <w:pStyle w:val="NormalWeb"/>
                        <w:spacing w:after="200" w:line="276" w:lineRule="auto"/>
                        <w:jc w:val="both"/>
                        <w:rPr>
                          <w:rFonts w:ascii="Arial Narrow" w:eastAsia="SimSun" w:hAnsi="Arial Narrow" w:cs="Arial"/>
                          <w:color w:val="595959"/>
                          <w:kern w:val="24"/>
                          <w:sz w:val="22"/>
                          <w:szCs w:val="22"/>
                        </w:rPr>
                      </w:pPr>
                      <w:r>
                        <w:rPr>
                          <w:rFonts w:ascii="Arial Narrow" w:eastAsia="SimSun" w:hAnsi="Arial Narrow" w:cs="Arial"/>
                          <w:color w:val="595959"/>
                          <w:kern w:val="24"/>
                          <w:sz w:val="22"/>
                        </w:rPr>
                        <w:t xml:space="preserve">CAF 2D monolayers were treated </w:t>
                      </w:r>
                      <w:r>
                        <w:rPr>
                          <w:rFonts w:ascii="Arial Narrow" w:eastAsia="SimSun" w:hAnsi="Arial Narrow" w:cs="Arial"/>
                          <w:color w:val="595959"/>
                          <w:kern w:val="24"/>
                          <w:sz w:val="22"/>
                          <w:szCs w:val="22"/>
                        </w:rPr>
                        <w:t xml:space="preserve">with 5 ng/mL TGFβ-1 up to 72 h </w:t>
                      </w:r>
                      <w:r>
                        <w:rPr>
                          <w:rFonts w:ascii="Arial Narrow" w:eastAsia="SimSun" w:hAnsi="Arial Narrow" w:cs="Arial"/>
                          <w:color w:val="595959"/>
                          <w:kern w:val="24"/>
                          <w:sz w:val="22"/>
                        </w:rPr>
                        <w:t xml:space="preserve">and the gene expression for COL1A1 determined by qPCR. Data is expressed as fold change relative to housekeeping gene U6, with mean ± SD. * denotes p &lt;0.05 </w:t>
                      </w:r>
                      <w:r>
                        <w:rPr>
                          <w:rFonts w:ascii="Arial Narrow" w:eastAsia="SimSun" w:hAnsi="Arial Narrow" w:cs="Arial"/>
                          <w:color w:val="595959"/>
                          <w:kern w:val="24"/>
                          <w:sz w:val="22"/>
                          <w:szCs w:val="22"/>
                        </w:rPr>
                        <w:t>analysed by ordinary one-way ANOVA with Dunnett’s multiple comparison. (N=3, n=3).</w:t>
                      </w:r>
                    </w:p>
                    <w:p w14:paraId="58686B46" w14:textId="77777777" w:rsidR="008A47AC" w:rsidRPr="00C61619" w:rsidRDefault="008A47AC" w:rsidP="0054039C">
                      <w:pPr>
                        <w:pStyle w:val="NormalWeb"/>
                        <w:spacing w:after="200"/>
                        <w:jc w:val="both"/>
                        <w:rPr>
                          <w:rFonts w:ascii="Arial Narrow" w:eastAsia="SimSun" w:hAnsi="Arial Narrow" w:cs="Arial"/>
                          <w:color w:val="595959"/>
                          <w:kern w:val="24"/>
                          <w:sz w:val="22"/>
                          <w:szCs w:val="22"/>
                        </w:rPr>
                      </w:pPr>
                      <w:r>
                        <w:rPr>
                          <w:rFonts w:ascii="Arial Narrow" w:eastAsia="SimSun" w:hAnsi="Arial Narrow" w:cs="Arial"/>
                          <w:b/>
                          <w:bCs/>
                          <w:color w:val="595959"/>
                          <w:kern w:val="24"/>
                          <w:sz w:val="22"/>
                          <w:szCs w:val="22"/>
                        </w:rPr>
                        <w:t xml:space="preserve"> </w:t>
                      </w:r>
                    </w:p>
                    <w:p w14:paraId="38E840E9" w14:textId="77777777" w:rsidR="008A47AC" w:rsidRPr="00C61619" w:rsidRDefault="008A47AC" w:rsidP="0054039C">
                      <w:pPr>
                        <w:pStyle w:val="NormalWeb"/>
                        <w:spacing w:after="200" w:line="276" w:lineRule="auto"/>
                        <w:jc w:val="both"/>
                        <w:rPr>
                          <w:rFonts w:ascii="Arial Narrow" w:eastAsia="SimSun" w:hAnsi="Arial Narrow" w:cs="Arial"/>
                          <w:color w:val="595959"/>
                          <w:kern w:val="24"/>
                          <w:sz w:val="22"/>
                          <w:szCs w:val="22"/>
                        </w:rPr>
                      </w:pPr>
                    </w:p>
                  </w:txbxContent>
                </v:textbox>
                <w10:wrap anchorx="margin"/>
              </v:shape>
            </w:pict>
          </mc:Fallback>
        </mc:AlternateContent>
      </w:r>
    </w:p>
    <w:p w14:paraId="2E473AF9"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7DAE3600"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1F5A8C26"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6FBF41E1"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174F37CC"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551C45AE"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38AA035F"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6D502136" w14:textId="77777777" w:rsidR="0054039C" w:rsidRPr="0054039C" w:rsidRDefault="0054039C" w:rsidP="0054039C">
      <w:pPr>
        <w:keepNext/>
        <w:keepLines/>
        <w:spacing w:before="40" w:after="0"/>
        <w:outlineLvl w:val="4"/>
        <w:rPr>
          <w:rFonts w:ascii="Arial" w:eastAsia="Times New Roman" w:hAnsi="Arial" w:cs="Arial"/>
          <w:bCs/>
          <w:color w:val="595959" w:themeColor="text1" w:themeTint="A6"/>
          <w:szCs w:val="24"/>
        </w:rPr>
      </w:pPr>
      <w:bookmarkStart w:id="291" w:name="_Toc7107267"/>
    </w:p>
    <w:p w14:paraId="3616FC52" w14:textId="77777777" w:rsidR="0054039C" w:rsidRPr="0054039C" w:rsidRDefault="0054039C" w:rsidP="0054039C"/>
    <w:p w14:paraId="2ADA9841" w14:textId="32B4AF79" w:rsidR="0054039C" w:rsidRDefault="0054039C" w:rsidP="0054039C"/>
    <w:p w14:paraId="58BC84FB" w14:textId="77777777" w:rsidR="005E26F2" w:rsidRPr="0054039C" w:rsidRDefault="005E26F2" w:rsidP="0054039C"/>
    <w:p w14:paraId="1F0FAD83" w14:textId="77777777" w:rsidR="0054039C" w:rsidRPr="0054039C" w:rsidRDefault="0054039C" w:rsidP="0054039C"/>
    <w:p w14:paraId="37804166" w14:textId="77777777" w:rsidR="0054039C" w:rsidRPr="0054039C" w:rsidRDefault="0054039C" w:rsidP="0054039C">
      <w:pPr>
        <w:keepNext/>
        <w:keepLines/>
        <w:spacing w:before="40" w:after="0"/>
        <w:outlineLvl w:val="4"/>
        <w:rPr>
          <w:rFonts w:ascii="Arial" w:eastAsia="Times New Roman" w:hAnsi="Arial" w:cs="Arial"/>
          <w:bCs/>
          <w:color w:val="595959" w:themeColor="text1" w:themeTint="A6"/>
          <w:szCs w:val="24"/>
        </w:rPr>
      </w:pPr>
      <w:bookmarkStart w:id="292" w:name="_Toc34208372"/>
      <w:r w:rsidRPr="0054039C">
        <w:rPr>
          <w:rFonts w:ascii="Arial" w:eastAsia="Times New Roman" w:hAnsi="Arial" w:cs="Arial"/>
          <w:bCs/>
          <w:color w:val="595959" w:themeColor="text1" w:themeTint="A6"/>
          <w:szCs w:val="24"/>
        </w:rPr>
        <w:lastRenderedPageBreak/>
        <w:t>3.3.2.1.4 VCAN expression by RT-qPCR</w:t>
      </w:r>
      <w:bookmarkEnd w:id="291"/>
      <w:bookmarkEnd w:id="292"/>
    </w:p>
    <w:p w14:paraId="4E59B27B"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6220FD03" w14:textId="363E4662" w:rsidR="0054039C" w:rsidRPr="0054039C" w:rsidRDefault="0054039C" w:rsidP="0054039C">
      <w:pPr>
        <w:autoSpaceDE w:val="0"/>
        <w:autoSpaceDN w:val="0"/>
        <w:adjustRightInd w:val="0"/>
        <w:spacing w:after="0" w:line="480" w:lineRule="auto"/>
        <w:jc w:val="both"/>
        <w:rPr>
          <w:rFonts w:ascii="Arial" w:eastAsia="Times New Roman" w:hAnsi="Arial" w:cs="Arial"/>
          <w:bCs/>
          <w:color w:val="595959" w:themeColor="text1" w:themeTint="A6"/>
          <w:szCs w:val="24"/>
        </w:rPr>
      </w:pPr>
      <w:r w:rsidRPr="0054039C">
        <w:rPr>
          <w:rFonts w:ascii="Arial" w:eastAsia="Times New Roman" w:hAnsi="Arial" w:cs="Arial"/>
          <w:bCs/>
          <w:color w:val="595959" w:themeColor="text1" w:themeTint="A6"/>
          <w:szCs w:val="24"/>
        </w:rPr>
        <w:t>Short-term evaluation of VCAN transcript expression in response to T</w:t>
      </w:r>
      <w:r w:rsidR="005E26F2">
        <w:rPr>
          <w:rFonts w:ascii="Arial" w:eastAsia="Times New Roman" w:hAnsi="Arial" w:cs="Arial"/>
          <w:bCs/>
          <w:color w:val="595959" w:themeColor="text1" w:themeTint="A6"/>
          <w:szCs w:val="24"/>
        </w:rPr>
        <w:t xml:space="preserve">GFβ-1 treatment </w:t>
      </w:r>
      <w:r w:rsidR="00DB1091">
        <w:rPr>
          <w:rFonts w:ascii="Arial" w:eastAsia="Times New Roman" w:hAnsi="Arial" w:cs="Arial"/>
          <w:bCs/>
          <w:color w:val="595959" w:themeColor="text1" w:themeTint="A6"/>
          <w:szCs w:val="24"/>
        </w:rPr>
        <w:t xml:space="preserve">showed a significant </w:t>
      </w:r>
      <w:r w:rsidR="005E26F2">
        <w:rPr>
          <w:rFonts w:ascii="Arial" w:eastAsia="Times New Roman" w:hAnsi="Arial" w:cs="Arial"/>
          <w:bCs/>
          <w:color w:val="595959" w:themeColor="text1" w:themeTint="A6"/>
          <w:szCs w:val="24"/>
        </w:rPr>
        <w:t>increase</w:t>
      </w:r>
      <w:r w:rsidR="00DA3740">
        <w:rPr>
          <w:rFonts w:ascii="Arial" w:eastAsia="Times New Roman" w:hAnsi="Arial" w:cs="Arial"/>
          <w:bCs/>
          <w:color w:val="595959" w:themeColor="text1" w:themeTint="A6"/>
          <w:szCs w:val="24"/>
        </w:rPr>
        <w:t xml:space="preserve"> in expression</w:t>
      </w:r>
      <w:r w:rsidR="005E26F2">
        <w:rPr>
          <w:rFonts w:ascii="Arial" w:eastAsia="Times New Roman" w:hAnsi="Arial" w:cs="Arial"/>
          <w:bCs/>
          <w:color w:val="595959" w:themeColor="text1" w:themeTint="A6"/>
          <w:szCs w:val="24"/>
        </w:rPr>
        <w:t xml:space="preserve"> at </w:t>
      </w:r>
      <w:r w:rsidRPr="0054039C">
        <w:rPr>
          <w:rFonts w:ascii="Arial" w:eastAsia="Times New Roman" w:hAnsi="Arial" w:cs="Arial"/>
          <w:bCs/>
          <w:color w:val="595959" w:themeColor="text1" w:themeTint="A6"/>
          <w:szCs w:val="24"/>
        </w:rPr>
        <w:t>72 h (Figure 3.2</w:t>
      </w:r>
      <w:r w:rsidR="00E249A2">
        <w:rPr>
          <w:rFonts w:ascii="Arial" w:eastAsia="Times New Roman" w:hAnsi="Arial" w:cs="Arial"/>
          <w:bCs/>
          <w:color w:val="595959" w:themeColor="text1" w:themeTint="A6"/>
          <w:szCs w:val="24"/>
        </w:rPr>
        <w:t>3</w:t>
      </w:r>
      <w:r w:rsidRPr="0054039C">
        <w:rPr>
          <w:rFonts w:ascii="Arial" w:eastAsia="Times New Roman" w:hAnsi="Arial" w:cs="Arial"/>
          <w:bCs/>
          <w:color w:val="595959" w:themeColor="text1" w:themeTint="A6"/>
          <w:szCs w:val="24"/>
        </w:rPr>
        <w:t>). No significant changes were observed at 24 h and 48 h with TGFβ-1 treatment, with a mean fold-change</w:t>
      </w:r>
      <w:r w:rsidR="005E26F2">
        <w:rPr>
          <w:rFonts w:ascii="Arial" w:eastAsia="Times New Roman" w:hAnsi="Arial" w:cs="Arial"/>
          <w:bCs/>
          <w:color w:val="595959" w:themeColor="text1" w:themeTint="A6"/>
          <w:szCs w:val="24"/>
        </w:rPr>
        <w:t>s</w:t>
      </w:r>
      <w:r w:rsidRPr="0054039C">
        <w:rPr>
          <w:rFonts w:ascii="Arial" w:eastAsia="Times New Roman" w:hAnsi="Arial" w:cs="Arial"/>
          <w:bCs/>
          <w:color w:val="595959" w:themeColor="text1" w:themeTint="A6"/>
          <w:szCs w:val="24"/>
        </w:rPr>
        <w:t xml:space="preserve"> of 1.84 ± 1.04 and 1.48 ± 0.98 respectively. A significant </w:t>
      </w:r>
      <w:r w:rsidR="002B4304">
        <w:rPr>
          <w:rFonts w:ascii="Arial" w:eastAsia="Times New Roman" w:hAnsi="Arial" w:cs="Arial"/>
          <w:bCs/>
          <w:color w:val="595959" w:themeColor="text1" w:themeTint="A6"/>
          <w:szCs w:val="24"/>
        </w:rPr>
        <w:t>increase</w:t>
      </w:r>
      <w:r w:rsidRPr="0054039C">
        <w:rPr>
          <w:rFonts w:ascii="Arial" w:eastAsia="Times New Roman" w:hAnsi="Arial" w:cs="Arial"/>
          <w:bCs/>
          <w:color w:val="595959" w:themeColor="text1" w:themeTint="A6"/>
          <w:szCs w:val="24"/>
        </w:rPr>
        <w:t xml:space="preserve"> in VCAN expression was observed at 72 h with TGFβ-1 treatment with a 3.61 ± 3.32-fold </w:t>
      </w:r>
      <w:r w:rsidR="002B4304">
        <w:rPr>
          <w:rFonts w:ascii="Arial" w:eastAsia="Times New Roman" w:hAnsi="Arial" w:cs="Arial"/>
          <w:bCs/>
          <w:color w:val="595959" w:themeColor="text1" w:themeTint="A6"/>
          <w:szCs w:val="24"/>
        </w:rPr>
        <w:t>change</w:t>
      </w:r>
      <w:r w:rsidRPr="0054039C">
        <w:rPr>
          <w:rFonts w:ascii="Arial" w:eastAsia="Times New Roman" w:hAnsi="Arial" w:cs="Arial"/>
          <w:bCs/>
          <w:color w:val="595959" w:themeColor="text1" w:themeTint="A6"/>
          <w:szCs w:val="24"/>
        </w:rPr>
        <w:t xml:space="preserve">, p=0.0004, compared to 24 h control samples. </w:t>
      </w:r>
    </w:p>
    <w:p w14:paraId="26973E3F"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133BCEC8"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7878849A" w14:textId="5214C380"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4283FFC1" w14:textId="1B716AD6" w:rsidR="0054039C" w:rsidRPr="0054039C" w:rsidRDefault="00D87D83"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r>
        <w:rPr>
          <w:rFonts w:ascii="Arial" w:eastAsia="Times New Roman" w:hAnsi="Arial" w:cs="Arial"/>
          <w:bCs/>
          <w:noProof/>
          <w:color w:val="595959" w:themeColor="text1" w:themeTint="A6"/>
          <w:szCs w:val="24"/>
        </w:rPr>
        <w:drawing>
          <wp:anchor distT="0" distB="0" distL="114300" distR="114300" simplePos="0" relativeHeight="251658489" behindDoc="0" locked="0" layoutInCell="1" allowOverlap="1" wp14:anchorId="49F4BAE3" wp14:editId="691C457E">
            <wp:simplePos x="0" y="0"/>
            <wp:positionH relativeFrom="margin">
              <wp:align>center</wp:align>
            </wp:positionH>
            <wp:positionV relativeFrom="paragraph">
              <wp:posOffset>46355</wp:posOffset>
            </wp:positionV>
            <wp:extent cx="3761740" cy="2646045"/>
            <wp:effectExtent l="0" t="0" r="0" b="0"/>
            <wp:wrapNone/>
            <wp:docPr id="1594" name="Picture 1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761740" cy="2646045"/>
                    </a:xfrm>
                    <a:prstGeom prst="rect">
                      <a:avLst/>
                    </a:prstGeom>
                    <a:noFill/>
                  </pic:spPr>
                </pic:pic>
              </a:graphicData>
            </a:graphic>
          </wp:anchor>
        </w:drawing>
      </w:r>
    </w:p>
    <w:p w14:paraId="5CF77A09" w14:textId="46ADFA8A"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1D118CD4"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45546786"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52145699"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714AFA07"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6466E590"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5A81AB70"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3B9AD7A2"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3E4F2390"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7D14309D"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0A99E70E"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4D41CCD7"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705C3C41"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r w:rsidRPr="0054039C">
        <w:rPr>
          <w:rFonts w:ascii="Arial" w:hAnsi="Arial" w:cs="Arial"/>
          <w:noProof/>
          <w:color w:val="595959" w:themeColor="text1" w:themeTint="A6"/>
          <w:sz w:val="24"/>
          <w:szCs w:val="24"/>
          <w:lang w:eastAsia="zh-CN"/>
        </w:rPr>
        <mc:AlternateContent>
          <mc:Choice Requires="wps">
            <w:drawing>
              <wp:anchor distT="0" distB="0" distL="114300" distR="114300" simplePos="0" relativeHeight="251658298" behindDoc="0" locked="0" layoutInCell="1" allowOverlap="1" wp14:anchorId="19EF2EA3" wp14:editId="03F3533B">
                <wp:simplePos x="0" y="0"/>
                <wp:positionH relativeFrom="margin">
                  <wp:align>right</wp:align>
                </wp:positionH>
                <wp:positionV relativeFrom="paragraph">
                  <wp:posOffset>154306</wp:posOffset>
                </wp:positionV>
                <wp:extent cx="5724525" cy="1200150"/>
                <wp:effectExtent l="0" t="0" r="9525" b="0"/>
                <wp:wrapNone/>
                <wp:docPr id="20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1200150"/>
                        </a:xfrm>
                        <a:prstGeom prst="rect">
                          <a:avLst/>
                        </a:prstGeom>
                        <a:solidFill>
                          <a:srgbClr val="FFFFFF"/>
                        </a:solidFill>
                        <a:ln w="9525">
                          <a:noFill/>
                          <a:miter lim="800000"/>
                          <a:headEnd/>
                          <a:tailEnd/>
                        </a:ln>
                      </wps:spPr>
                      <wps:txbx>
                        <w:txbxContent>
                          <w:p w14:paraId="75C1D685" w14:textId="4A308670" w:rsidR="008A47AC" w:rsidRDefault="008A47AC" w:rsidP="0054039C">
                            <w:pPr>
                              <w:pStyle w:val="NormalWeb"/>
                              <w:spacing w:after="200"/>
                              <w:jc w:val="both"/>
                            </w:pPr>
                            <w:r>
                              <w:rPr>
                                <w:rFonts w:ascii="Arial Narrow" w:eastAsia="SimSun" w:hAnsi="Arial Narrow" w:cs="Arial"/>
                                <w:b/>
                                <w:bCs/>
                                <w:color w:val="595959"/>
                                <w:kern w:val="24"/>
                                <w:sz w:val="22"/>
                                <w:szCs w:val="22"/>
                              </w:rPr>
                              <w:t xml:space="preserve">Figure 3.23 Short-term expression data for the myofibroblast </w:t>
                            </w:r>
                            <w:r w:rsidRPr="00C75A86">
                              <w:rPr>
                                <w:rFonts w:ascii="Arial Narrow" w:eastAsia="SimSun" w:hAnsi="Arial Narrow" w:cs="Arial"/>
                                <w:b/>
                                <w:bCs/>
                                <w:color w:val="595959"/>
                                <w:kern w:val="24"/>
                                <w:sz w:val="22"/>
                                <w:szCs w:val="22"/>
                              </w:rPr>
                              <w:t xml:space="preserve">marker </w:t>
                            </w:r>
                            <w:r>
                              <w:rPr>
                                <w:rFonts w:ascii="Arial Narrow" w:eastAsia="SimSun" w:hAnsi="Arial Narrow" w:cs="Arial"/>
                                <w:b/>
                                <w:color w:val="595959"/>
                                <w:kern w:val="24"/>
                                <w:sz w:val="22"/>
                                <w:szCs w:val="22"/>
                              </w:rPr>
                              <w:t xml:space="preserve">VCAN in CAF </w:t>
                            </w:r>
                            <w:r>
                              <w:rPr>
                                <w:rFonts w:ascii="Arial Narrow" w:eastAsia="SimSun" w:hAnsi="Arial Narrow" w:cs="Arial"/>
                                <w:b/>
                                <w:bCs/>
                                <w:color w:val="595959"/>
                                <w:kern w:val="24"/>
                                <w:sz w:val="22"/>
                                <w:szCs w:val="22"/>
                              </w:rPr>
                              <w:t>with and without TGFβ-1 stimulation</w:t>
                            </w:r>
                            <w:r>
                              <w:rPr>
                                <w:rFonts w:ascii="Arial Narrow" w:eastAsia="SimSun" w:hAnsi="Arial Narrow" w:cs="Arial"/>
                                <w:b/>
                                <w:color w:val="595959"/>
                                <w:kern w:val="24"/>
                                <w:sz w:val="22"/>
                                <w:szCs w:val="22"/>
                              </w:rPr>
                              <w:t xml:space="preserve"> </w:t>
                            </w:r>
                            <w:r>
                              <w:rPr>
                                <w:rFonts w:ascii="Arial Narrow" w:eastAsia="SimSun" w:hAnsi="Arial Narrow" w:cs="Arial"/>
                                <w:b/>
                                <w:bCs/>
                                <w:color w:val="595959"/>
                                <w:kern w:val="24"/>
                                <w:sz w:val="22"/>
                                <w:szCs w:val="22"/>
                              </w:rPr>
                              <w:t xml:space="preserve"> </w:t>
                            </w:r>
                          </w:p>
                          <w:p w14:paraId="284FAFBE" w14:textId="4C5D18C8" w:rsidR="008A47AC" w:rsidRPr="00C61619" w:rsidRDefault="008A47AC" w:rsidP="0054039C">
                            <w:pPr>
                              <w:pStyle w:val="NormalWeb"/>
                              <w:spacing w:after="200" w:line="276" w:lineRule="auto"/>
                              <w:jc w:val="both"/>
                              <w:rPr>
                                <w:rFonts w:ascii="Arial Narrow" w:eastAsia="SimSun" w:hAnsi="Arial Narrow" w:cs="Arial"/>
                                <w:color w:val="595959"/>
                                <w:kern w:val="24"/>
                                <w:sz w:val="22"/>
                                <w:szCs w:val="22"/>
                              </w:rPr>
                            </w:pPr>
                            <w:r>
                              <w:rPr>
                                <w:rFonts w:ascii="Arial Narrow" w:eastAsia="SimSun" w:hAnsi="Arial Narrow" w:cs="Arial"/>
                                <w:color w:val="595959"/>
                                <w:kern w:val="24"/>
                                <w:sz w:val="22"/>
                              </w:rPr>
                              <w:t xml:space="preserve">CAF 2D monolayers were treated </w:t>
                            </w:r>
                            <w:r>
                              <w:rPr>
                                <w:rFonts w:ascii="Arial Narrow" w:eastAsia="SimSun" w:hAnsi="Arial Narrow" w:cs="Arial"/>
                                <w:color w:val="595959"/>
                                <w:kern w:val="24"/>
                                <w:sz w:val="22"/>
                                <w:szCs w:val="22"/>
                              </w:rPr>
                              <w:t xml:space="preserve">with 5 ng/mL TGFβ-1 up to 72 h </w:t>
                            </w:r>
                            <w:r>
                              <w:rPr>
                                <w:rFonts w:ascii="Arial Narrow" w:eastAsia="SimSun" w:hAnsi="Arial Narrow" w:cs="Arial"/>
                                <w:color w:val="595959"/>
                                <w:kern w:val="24"/>
                                <w:sz w:val="22"/>
                              </w:rPr>
                              <w:t xml:space="preserve">and the gene expression for VCAN determined by qPCR. Data is expressed as fold change relative to housekeeping gene U6, with mean ± SD. ** denotes p &lt;0.01 </w:t>
                            </w:r>
                            <w:r>
                              <w:rPr>
                                <w:rFonts w:ascii="Arial Narrow" w:eastAsia="SimSun" w:hAnsi="Arial Narrow" w:cs="Arial"/>
                                <w:color w:val="595959"/>
                                <w:kern w:val="24"/>
                                <w:sz w:val="22"/>
                                <w:szCs w:val="22"/>
                              </w:rPr>
                              <w:t>analysed by ordinary one-way ANOVA with Dunnett’s multiple comparison. (N=3, n=3).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EF2EA3" id="_x0000_s1086" type="#_x0000_t202" style="position:absolute;left:0;text-align:left;margin-left:399.55pt;margin-top:12.15pt;width:450.75pt;height:94.5pt;z-index:25165829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" stroked="f">
                <v:textbox>
                  <w:txbxContent>
                    <w:p w14:paraId="75C1D685" w14:textId="4A308670" w:rsidR="008A47AC" w:rsidRDefault="008A47AC" w:rsidP="0054039C">
                      <w:pPr>
                        <w:pStyle w:val="NormalWeb"/>
                        <w:spacing w:after="200"/>
                        <w:jc w:val="both"/>
                      </w:pPr>
                      <w:r>
                        <w:rPr>
                          <w:rFonts w:ascii="Arial Narrow" w:eastAsia="SimSun" w:hAnsi="Arial Narrow" w:cs="Arial"/>
                          <w:b/>
                          <w:bCs/>
                          <w:color w:val="595959"/>
                          <w:kern w:val="24"/>
                          <w:sz w:val="22"/>
                          <w:szCs w:val="22"/>
                        </w:rPr>
                        <w:t xml:space="preserve">Figure 3.23 Short-term expression data for the myofibroblast </w:t>
                      </w:r>
                      <w:r w:rsidRPr="00C75A86">
                        <w:rPr>
                          <w:rFonts w:ascii="Arial Narrow" w:eastAsia="SimSun" w:hAnsi="Arial Narrow" w:cs="Arial"/>
                          <w:b/>
                          <w:bCs/>
                          <w:color w:val="595959"/>
                          <w:kern w:val="24"/>
                          <w:sz w:val="22"/>
                          <w:szCs w:val="22"/>
                        </w:rPr>
                        <w:t xml:space="preserve">marker </w:t>
                      </w:r>
                      <w:r>
                        <w:rPr>
                          <w:rFonts w:ascii="Arial Narrow" w:eastAsia="SimSun" w:hAnsi="Arial Narrow" w:cs="Arial"/>
                          <w:b/>
                          <w:color w:val="595959"/>
                          <w:kern w:val="24"/>
                          <w:sz w:val="22"/>
                          <w:szCs w:val="22"/>
                        </w:rPr>
                        <w:t xml:space="preserve">VCAN in CAF </w:t>
                      </w:r>
                      <w:r>
                        <w:rPr>
                          <w:rFonts w:ascii="Arial Narrow" w:eastAsia="SimSun" w:hAnsi="Arial Narrow" w:cs="Arial"/>
                          <w:b/>
                          <w:bCs/>
                          <w:color w:val="595959"/>
                          <w:kern w:val="24"/>
                          <w:sz w:val="22"/>
                          <w:szCs w:val="22"/>
                        </w:rPr>
                        <w:t>with and without TGFβ-1 stimulation</w:t>
                      </w:r>
                      <w:r>
                        <w:rPr>
                          <w:rFonts w:ascii="Arial Narrow" w:eastAsia="SimSun" w:hAnsi="Arial Narrow" w:cs="Arial"/>
                          <w:b/>
                          <w:color w:val="595959"/>
                          <w:kern w:val="24"/>
                          <w:sz w:val="22"/>
                          <w:szCs w:val="22"/>
                        </w:rPr>
                        <w:t xml:space="preserve"> </w:t>
                      </w:r>
                      <w:r>
                        <w:rPr>
                          <w:rFonts w:ascii="Arial Narrow" w:eastAsia="SimSun" w:hAnsi="Arial Narrow" w:cs="Arial"/>
                          <w:b/>
                          <w:bCs/>
                          <w:color w:val="595959"/>
                          <w:kern w:val="24"/>
                          <w:sz w:val="22"/>
                          <w:szCs w:val="22"/>
                        </w:rPr>
                        <w:t xml:space="preserve"> </w:t>
                      </w:r>
                    </w:p>
                    <w:p w14:paraId="284FAFBE" w14:textId="4C5D18C8" w:rsidR="008A47AC" w:rsidRPr="00C61619" w:rsidRDefault="008A47AC" w:rsidP="0054039C">
                      <w:pPr>
                        <w:pStyle w:val="NormalWeb"/>
                        <w:spacing w:after="200" w:line="276" w:lineRule="auto"/>
                        <w:jc w:val="both"/>
                        <w:rPr>
                          <w:rFonts w:ascii="Arial Narrow" w:eastAsia="SimSun" w:hAnsi="Arial Narrow" w:cs="Arial"/>
                          <w:color w:val="595959"/>
                          <w:kern w:val="24"/>
                          <w:sz w:val="22"/>
                          <w:szCs w:val="22"/>
                        </w:rPr>
                      </w:pPr>
                      <w:r>
                        <w:rPr>
                          <w:rFonts w:ascii="Arial Narrow" w:eastAsia="SimSun" w:hAnsi="Arial Narrow" w:cs="Arial"/>
                          <w:color w:val="595959"/>
                          <w:kern w:val="24"/>
                          <w:sz w:val="22"/>
                        </w:rPr>
                        <w:t xml:space="preserve">CAF 2D monolayers were treated </w:t>
                      </w:r>
                      <w:r>
                        <w:rPr>
                          <w:rFonts w:ascii="Arial Narrow" w:eastAsia="SimSun" w:hAnsi="Arial Narrow" w:cs="Arial"/>
                          <w:color w:val="595959"/>
                          <w:kern w:val="24"/>
                          <w:sz w:val="22"/>
                          <w:szCs w:val="22"/>
                        </w:rPr>
                        <w:t xml:space="preserve">with 5 ng/mL TGFβ-1 up to 72 h </w:t>
                      </w:r>
                      <w:r>
                        <w:rPr>
                          <w:rFonts w:ascii="Arial Narrow" w:eastAsia="SimSun" w:hAnsi="Arial Narrow" w:cs="Arial"/>
                          <w:color w:val="595959"/>
                          <w:kern w:val="24"/>
                          <w:sz w:val="22"/>
                        </w:rPr>
                        <w:t xml:space="preserve">and the gene expression for VCAN determined by qPCR. Data is expressed as fold change relative to housekeeping gene U6, with mean ± SD. ** denotes p &lt;0.01 </w:t>
                      </w:r>
                      <w:r>
                        <w:rPr>
                          <w:rFonts w:ascii="Arial Narrow" w:eastAsia="SimSun" w:hAnsi="Arial Narrow" w:cs="Arial"/>
                          <w:color w:val="595959"/>
                          <w:kern w:val="24"/>
                          <w:sz w:val="22"/>
                          <w:szCs w:val="22"/>
                        </w:rPr>
                        <w:t>analysed by ordinary one-way ANOVA with Dunnett’s multiple comparison. (N=3, n=3).</w:t>
                      </w:r>
                    </w:p>
                  </w:txbxContent>
                </v:textbox>
                <w10:wrap anchorx="margin"/>
              </v:shape>
            </w:pict>
          </mc:Fallback>
        </mc:AlternateContent>
      </w:r>
    </w:p>
    <w:p w14:paraId="1D8075E3"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64374B12"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3847E7ED"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399948A3"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48847160"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1BFE59C0"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07C5E77B"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4E4E0D29"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235BAF92"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0F6B2712"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1CC68567" w14:textId="77777777" w:rsidR="0054039C" w:rsidRPr="0054039C" w:rsidRDefault="0054039C" w:rsidP="0054039C">
      <w:pPr>
        <w:keepNext/>
        <w:keepLines/>
        <w:spacing w:before="40" w:after="0"/>
        <w:outlineLvl w:val="4"/>
        <w:rPr>
          <w:rFonts w:ascii="Arial" w:eastAsia="Times New Roman" w:hAnsi="Arial" w:cs="Arial"/>
          <w:bCs/>
          <w:color w:val="595959" w:themeColor="text1" w:themeTint="A6"/>
          <w:szCs w:val="24"/>
        </w:rPr>
      </w:pPr>
      <w:bookmarkStart w:id="293" w:name="_Toc7107268"/>
      <w:bookmarkStart w:id="294" w:name="_Toc34208373"/>
      <w:r w:rsidRPr="0054039C">
        <w:rPr>
          <w:rFonts w:ascii="Arial" w:eastAsia="Times New Roman" w:hAnsi="Arial" w:cs="Arial"/>
          <w:bCs/>
          <w:color w:val="595959" w:themeColor="text1" w:themeTint="A6"/>
          <w:szCs w:val="24"/>
        </w:rPr>
        <w:lastRenderedPageBreak/>
        <w:t>3.3.2.1.5 TNC expression by RT-qPCR</w:t>
      </w:r>
      <w:bookmarkEnd w:id="293"/>
      <w:bookmarkEnd w:id="294"/>
      <w:r w:rsidRPr="0054039C">
        <w:rPr>
          <w:rFonts w:ascii="Arial" w:eastAsia="Times New Roman" w:hAnsi="Arial" w:cs="Arial"/>
          <w:bCs/>
          <w:color w:val="595959" w:themeColor="text1" w:themeTint="A6"/>
          <w:szCs w:val="24"/>
        </w:rPr>
        <w:t xml:space="preserve"> </w:t>
      </w:r>
    </w:p>
    <w:p w14:paraId="06F88C2D" w14:textId="77777777" w:rsidR="0054039C" w:rsidRPr="0054039C" w:rsidRDefault="0054039C" w:rsidP="0054039C">
      <w:pPr>
        <w:autoSpaceDE w:val="0"/>
        <w:autoSpaceDN w:val="0"/>
        <w:adjustRightInd w:val="0"/>
        <w:spacing w:after="0" w:line="480" w:lineRule="auto"/>
        <w:jc w:val="both"/>
        <w:rPr>
          <w:rFonts w:ascii="Arial" w:eastAsia="Times New Roman" w:hAnsi="Arial" w:cs="Arial"/>
          <w:bCs/>
          <w:color w:val="595959" w:themeColor="text1" w:themeTint="A6"/>
          <w:szCs w:val="24"/>
        </w:rPr>
      </w:pPr>
    </w:p>
    <w:p w14:paraId="08263FF7" w14:textId="4EE75052" w:rsidR="0054039C" w:rsidRPr="0054039C" w:rsidRDefault="0054039C" w:rsidP="005E26F2">
      <w:pPr>
        <w:autoSpaceDE w:val="0"/>
        <w:autoSpaceDN w:val="0"/>
        <w:adjustRightInd w:val="0"/>
        <w:spacing w:after="0" w:line="480" w:lineRule="auto"/>
        <w:jc w:val="both"/>
        <w:rPr>
          <w:rFonts w:ascii="Arial" w:eastAsia="Times New Roman" w:hAnsi="Arial" w:cs="Arial"/>
          <w:bCs/>
          <w:color w:val="595959" w:themeColor="text1" w:themeTint="A6"/>
          <w:szCs w:val="24"/>
        </w:rPr>
      </w:pPr>
      <w:r w:rsidRPr="0054039C">
        <w:rPr>
          <w:rFonts w:ascii="Arial" w:eastAsia="Times New Roman" w:hAnsi="Arial" w:cs="Arial"/>
          <w:bCs/>
          <w:color w:val="595959" w:themeColor="text1" w:themeTint="A6"/>
          <w:szCs w:val="24"/>
        </w:rPr>
        <w:t>Increased expression</w:t>
      </w:r>
      <w:r w:rsidR="005E26F2">
        <w:rPr>
          <w:rFonts w:ascii="Arial" w:eastAsia="Times New Roman" w:hAnsi="Arial" w:cs="Arial"/>
          <w:bCs/>
          <w:color w:val="595959" w:themeColor="text1" w:themeTint="A6"/>
          <w:szCs w:val="24"/>
        </w:rPr>
        <w:t xml:space="preserve"> of TNC</w:t>
      </w:r>
      <w:r w:rsidRPr="0054039C">
        <w:rPr>
          <w:rFonts w:ascii="Arial" w:eastAsia="Times New Roman" w:hAnsi="Arial" w:cs="Arial"/>
          <w:bCs/>
          <w:color w:val="595959" w:themeColor="text1" w:themeTint="A6"/>
          <w:szCs w:val="24"/>
        </w:rPr>
        <w:t xml:space="preserve"> was observed</w:t>
      </w:r>
      <w:r w:rsidR="005E26F2">
        <w:rPr>
          <w:rFonts w:ascii="Arial" w:eastAsia="Times New Roman" w:hAnsi="Arial" w:cs="Arial"/>
          <w:bCs/>
          <w:color w:val="595959" w:themeColor="text1" w:themeTint="A6"/>
          <w:szCs w:val="24"/>
        </w:rPr>
        <w:t xml:space="preserve"> in CAF</w:t>
      </w:r>
      <w:r w:rsidRPr="0054039C">
        <w:rPr>
          <w:rFonts w:ascii="Arial" w:eastAsia="Times New Roman" w:hAnsi="Arial" w:cs="Arial"/>
          <w:bCs/>
          <w:color w:val="595959" w:themeColor="text1" w:themeTint="A6"/>
          <w:szCs w:val="24"/>
        </w:rPr>
        <w:t xml:space="preserve"> on addition of TGFβ-1 in CAF </w:t>
      </w:r>
      <w:r w:rsidR="005E26F2">
        <w:rPr>
          <w:rFonts w:ascii="Arial" w:eastAsia="Times New Roman" w:hAnsi="Arial" w:cs="Arial"/>
          <w:bCs/>
          <w:color w:val="595959" w:themeColor="text1" w:themeTint="A6"/>
          <w:szCs w:val="24"/>
        </w:rPr>
        <w:t>at 24 h (</w:t>
      </w:r>
      <w:r w:rsidR="005E26F2" w:rsidRPr="0054039C">
        <w:rPr>
          <w:rFonts w:ascii="Arial" w:eastAsia="Times New Roman" w:hAnsi="Arial" w:cs="Arial"/>
          <w:bCs/>
          <w:color w:val="595959" w:themeColor="text1" w:themeTint="A6"/>
          <w:szCs w:val="24"/>
        </w:rPr>
        <w:t>4.62 ± 2.66-fold-change compared to vehicle control samples (p=0.0023)</w:t>
      </w:r>
      <w:r w:rsidR="005E26F2">
        <w:rPr>
          <w:rFonts w:ascii="Arial" w:eastAsia="Times New Roman" w:hAnsi="Arial" w:cs="Arial"/>
          <w:bCs/>
          <w:color w:val="595959" w:themeColor="text1" w:themeTint="A6"/>
          <w:szCs w:val="24"/>
        </w:rPr>
        <w:t>)</w:t>
      </w:r>
      <w:r w:rsidR="005E26F2" w:rsidRPr="0054039C">
        <w:rPr>
          <w:rFonts w:ascii="Arial" w:eastAsia="Times New Roman" w:hAnsi="Arial" w:cs="Arial"/>
          <w:bCs/>
          <w:color w:val="595959" w:themeColor="text1" w:themeTint="A6"/>
          <w:szCs w:val="24"/>
        </w:rPr>
        <w:t xml:space="preserve"> </w:t>
      </w:r>
      <w:r w:rsidR="005E26F2">
        <w:rPr>
          <w:rFonts w:ascii="Arial" w:eastAsia="Times New Roman" w:hAnsi="Arial" w:cs="Arial"/>
          <w:bCs/>
          <w:color w:val="595959" w:themeColor="text1" w:themeTint="A6"/>
          <w:szCs w:val="24"/>
        </w:rPr>
        <w:t xml:space="preserve">and </w:t>
      </w:r>
      <w:r w:rsidRPr="0054039C">
        <w:rPr>
          <w:rFonts w:ascii="Arial" w:eastAsia="Times New Roman" w:hAnsi="Arial" w:cs="Arial"/>
          <w:bCs/>
          <w:color w:val="595959" w:themeColor="text1" w:themeTint="A6"/>
          <w:szCs w:val="24"/>
        </w:rPr>
        <w:t xml:space="preserve">72 h </w:t>
      </w:r>
      <w:r w:rsidR="005E26F2" w:rsidRPr="0054039C">
        <w:rPr>
          <w:rFonts w:ascii="Arial" w:eastAsia="Times New Roman" w:hAnsi="Arial" w:cs="Arial"/>
          <w:bCs/>
          <w:color w:val="595959" w:themeColor="text1" w:themeTint="A6"/>
          <w:szCs w:val="24"/>
        </w:rPr>
        <w:t>5.19 ± 3.32, p=0.0004, co</w:t>
      </w:r>
      <w:r w:rsidR="005E26F2">
        <w:rPr>
          <w:rFonts w:ascii="Arial" w:eastAsia="Times New Roman" w:hAnsi="Arial" w:cs="Arial"/>
          <w:bCs/>
          <w:color w:val="595959" w:themeColor="text1" w:themeTint="A6"/>
          <w:szCs w:val="24"/>
        </w:rPr>
        <w:t>mpared to 24 h control samples</w:t>
      </w:r>
      <w:r w:rsidR="005E26F2" w:rsidRPr="0054039C">
        <w:rPr>
          <w:rFonts w:ascii="Arial" w:eastAsia="Times New Roman" w:hAnsi="Arial" w:cs="Arial"/>
          <w:bCs/>
          <w:color w:val="595959" w:themeColor="text1" w:themeTint="A6"/>
          <w:szCs w:val="24"/>
        </w:rPr>
        <w:t xml:space="preserve"> </w:t>
      </w:r>
      <w:r w:rsidR="005E26F2">
        <w:rPr>
          <w:rFonts w:ascii="Arial" w:eastAsia="Times New Roman" w:hAnsi="Arial" w:cs="Arial"/>
          <w:bCs/>
          <w:color w:val="595959" w:themeColor="text1" w:themeTint="A6"/>
          <w:szCs w:val="24"/>
        </w:rPr>
        <w:t>(Figure 3.2</w:t>
      </w:r>
      <w:r w:rsidR="004340E5">
        <w:rPr>
          <w:rFonts w:ascii="Arial" w:eastAsia="Times New Roman" w:hAnsi="Arial" w:cs="Arial"/>
          <w:bCs/>
          <w:color w:val="595959" w:themeColor="text1" w:themeTint="A6"/>
          <w:szCs w:val="24"/>
        </w:rPr>
        <w:t>4</w:t>
      </w:r>
      <w:r w:rsidR="005E26F2">
        <w:rPr>
          <w:rFonts w:ascii="Arial" w:eastAsia="Times New Roman" w:hAnsi="Arial" w:cs="Arial"/>
          <w:bCs/>
          <w:color w:val="595959" w:themeColor="text1" w:themeTint="A6"/>
          <w:szCs w:val="24"/>
        </w:rPr>
        <w:t xml:space="preserve">). </w:t>
      </w:r>
      <w:r w:rsidRPr="0054039C">
        <w:rPr>
          <w:rFonts w:ascii="Arial" w:eastAsia="Times New Roman" w:hAnsi="Arial" w:cs="Arial"/>
          <w:bCs/>
          <w:color w:val="595959" w:themeColor="text1" w:themeTint="A6"/>
          <w:szCs w:val="24"/>
        </w:rPr>
        <w:t>No significant difference was observe</w:t>
      </w:r>
      <w:r w:rsidR="005E26F2">
        <w:rPr>
          <w:rFonts w:ascii="Arial" w:eastAsia="Times New Roman" w:hAnsi="Arial" w:cs="Arial"/>
          <w:bCs/>
          <w:color w:val="595959" w:themeColor="text1" w:themeTint="A6"/>
          <w:szCs w:val="24"/>
        </w:rPr>
        <w:t>d at 48 h with TGFβ-1 treatment.</w:t>
      </w:r>
    </w:p>
    <w:p w14:paraId="3E70A140"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01E6E8C6"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127CA336" w14:textId="757E7B51"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528E19B2" w14:textId="083E3C07" w:rsidR="0054039C" w:rsidRPr="0054039C" w:rsidRDefault="00A8522E"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r>
        <w:rPr>
          <w:rFonts w:ascii="Arial" w:eastAsia="Times New Roman" w:hAnsi="Arial" w:cs="Arial"/>
          <w:bCs/>
          <w:noProof/>
          <w:color w:val="595959" w:themeColor="text1" w:themeTint="A6"/>
          <w:szCs w:val="24"/>
        </w:rPr>
        <w:drawing>
          <wp:anchor distT="0" distB="0" distL="114300" distR="114300" simplePos="0" relativeHeight="251658490" behindDoc="0" locked="0" layoutInCell="1" allowOverlap="1" wp14:anchorId="1254764F" wp14:editId="56919E00">
            <wp:simplePos x="0" y="0"/>
            <wp:positionH relativeFrom="margin">
              <wp:align>center</wp:align>
            </wp:positionH>
            <wp:positionV relativeFrom="paragraph">
              <wp:posOffset>12065</wp:posOffset>
            </wp:positionV>
            <wp:extent cx="3780155" cy="2651760"/>
            <wp:effectExtent l="0" t="0" r="0" b="0"/>
            <wp:wrapNone/>
            <wp:docPr id="1595" name="Picture 1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780155" cy="2651760"/>
                    </a:xfrm>
                    <a:prstGeom prst="rect">
                      <a:avLst/>
                    </a:prstGeom>
                    <a:noFill/>
                  </pic:spPr>
                </pic:pic>
              </a:graphicData>
            </a:graphic>
          </wp:anchor>
        </w:drawing>
      </w:r>
    </w:p>
    <w:p w14:paraId="307CB2A8"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3ADEAD93"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0BB5B261" w14:textId="77580ED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5488DBC6"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21641F09"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19076986"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4C67F792"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4B91773A"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2697C816"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27E3A991"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63ECF4A5"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14723709"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r w:rsidRPr="0054039C">
        <w:rPr>
          <w:rFonts w:ascii="Arial" w:hAnsi="Arial" w:cs="Arial"/>
          <w:noProof/>
          <w:color w:val="595959" w:themeColor="text1" w:themeTint="A6"/>
          <w:sz w:val="24"/>
          <w:szCs w:val="24"/>
          <w:lang w:eastAsia="zh-CN"/>
        </w:rPr>
        <mc:AlternateContent>
          <mc:Choice Requires="wps">
            <w:drawing>
              <wp:anchor distT="0" distB="0" distL="114300" distR="114300" simplePos="0" relativeHeight="251658299" behindDoc="0" locked="0" layoutInCell="1" allowOverlap="1" wp14:anchorId="58B95D9C" wp14:editId="4F594EBF">
                <wp:simplePos x="0" y="0"/>
                <wp:positionH relativeFrom="margin">
                  <wp:align>right</wp:align>
                </wp:positionH>
                <wp:positionV relativeFrom="paragraph">
                  <wp:posOffset>240031</wp:posOffset>
                </wp:positionV>
                <wp:extent cx="5734050" cy="1276350"/>
                <wp:effectExtent l="0" t="0" r="0" b="0"/>
                <wp:wrapNone/>
                <wp:docPr id="20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1276350"/>
                        </a:xfrm>
                        <a:prstGeom prst="rect">
                          <a:avLst/>
                        </a:prstGeom>
                        <a:solidFill>
                          <a:srgbClr val="FFFFFF"/>
                        </a:solidFill>
                        <a:ln w="9525">
                          <a:noFill/>
                          <a:miter lim="800000"/>
                          <a:headEnd/>
                          <a:tailEnd/>
                        </a:ln>
                      </wps:spPr>
                      <wps:txbx>
                        <w:txbxContent>
                          <w:p w14:paraId="24D5BB57" w14:textId="68C9F346" w:rsidR="008A47AC" w:rsidRDefault="008A47AC" w:rsidP="0054039C">
                            <w:pPr>
                              <w:pStyle w:val="NormalWeb"/>
                              <w:spacing w:after="200"/>
                              <w:jc w:val="both"/>
                            </w:pPr>
                            <w:r>
                              <w:rPr>
                                <w:rFonts w:ascii="Arial Narrow" w:eastAsia="SimSun" w:hAnsi="Arial Narrow" w:cs="Arial"/>
                                <w:b/>
                                <w:bCs/>
                                <w:color w:val="595959"/>
                                <w:kern w:val="24"/>
                                <w:sz w:val="22"/>
                                <w:szCs w:val="22"/>
                              </w:rPr>
                              <w:t xml:space="preserve">Figure 3.24 Short-term expression data for the myofibroblast </w:t>
                            </w:r>
                            <w:r w:rsidRPr="00C75A86">
                              <w:rPr>
                                <w:rFonts w:ascii="Arial Narrow" w:eastAsia="SimSun" w:hAnsi="Arial Narrow" w:cs="Arial"/>
                                <w:b/>
                                <w:bCs/>
                                <w:color w:val="595959"/>
                                <w:kern w:val="24"/>
                                <w:sz w:val="22"/>
                                <w:szCs w:val="22"/>
                              </w:rPr>
                              <w:t xml:space="preserve">marker </w:t>
                            </w:r>
                            <w:r>
                              <w:rPr>
                                <w:rFonts w:ascii="Arial Narrow" w:eastAsia="SimSun" w:hAnsi="Arial Narrow" w:cs="Arial"/>
                                <w:b/>
                                <w:color w:val="595959"/>
                                <w:kern w:val="24"/>
                                <w:sz w:val="22"/>
                                <w:szCs w:val="22"/>
                              </w:rPr>
                              <w:t xml:space="preserve">TNC in CAF </w:t>
                            </w:r>
                            <w:r>
                              <w:rPr>
                                <w:rFonts w:ascii="Arial Narrow" w:eastAsia="SimSun" w:hAnsi="Arial Narrow" w:cs="Arial"/>
                                <w:b/>
                                <w:bCs/>
                                <w:color w:val="595959"/>
                                <w:kern w:val="24"/>
                                <w:sz w:val="22"/>
                                <w:szCs w:val="22"/>
                              </w:rPr>
                              <w:t>with and without TGFβ-1 stimulation</w:t>
                            </w:r>
                            <w:r>
                              <w:rPr>
                                <w:rFonts w:ascii="Arial Narrow" w:eastAsia="SimSun" w:hAnsi="Arial Narrow" w:cs="Arial"/>
                                <w:b/>
                                <w:color w:val="595959"/>
                                <w:kern w:val="24"/>
                                <w:sz w:val="22"/>
                                <w:szCs w:val="22"/>
                              </w:rPr>
                              <w:t xml:space="preserve"> </w:t>
                            </w:r>
                            <w:r>
                              <w:rPr>
                                <w:rFonts w:ascii="Arial Narrow" w:eastAsia="SimSun" w:hAnsi="Arial Narrow" w:cs="Arial"/>
                                <w:b/>
                                <w:bCs/>
                                <w:color w:val="595959"/>
                                <w:kern w:val="24"/>
                                <w:sz w:val="22"/>
                                <w:szCs w:val="22"/>
                              </w:rPr>
                              <w:t xml:space="preserve"> </w:t>
                            </w:r>
                          </w:p>
                          <w:p w14:paraId="3680CEB3" w14:textId="51418C94" w:rsidR="008A47AC" w:rsidRPr="00C61619" w:rsidRDefault="008A47AC" w:rsidP="0054039C">
                            <w:pPr>
                              <w:pStyle w:val="NormalWeb"/>
                              <w:spacing w:after="200" w:line="276" w:lineRule="auto"/>
                              <w:jc w:val="both"/>
                              <w:rPr>
                                <w:rFonts w:ascii="Arial Narrow" w:eastAsia="SimSun" w:hAnsi="Arial Narrow" w:cs="Arial"/>
                                <w:color w:val="595959"/>
                                <w:kern w:val="24"/>
                                <w:sz w:val="22"/>
                                <w:szCs w:val="22"/>
                              </w:rPr>
                            </w:pPr>
                            <w:r>
                              <w:rPr>
                                <w:rFonts w:ascii="Arial Narrow" w:eastAsia="SimSun" w:hAnsi="Arial Narrow" w:cs="Arial"/>
                                <w:color w:val="595959"/>
                                <w:kern w:val="24"/>
                                <w:sz w:val="22"/>
                              </w:rPr>
                              <w:t xml:space="preserve">CAF 2D monolayers were treated </w:t>
                            </w:r>
                            <w:r>
                              <w:rPr>
                                <w:rFonts w:ascii="Arial Narrow" w:eastAsia="SimSun" w:hAnsi="Arial Narrow" w:cs="Arial"/>
                                <w:color w:val="595959"/>
                                <w:kern w:val="24"/>
                                <w:sz w:val="22"/>
                                <w:szCs w:val="22"/>
                              </w:rPr>
                              <w:t xml:space="preserve">with 5 ng/mL TGFβ-1 up to 72 h </w:t>
                            </w:r>
                            <w:r>
                              <w:rPr>
                                <w:rFonts w:ascii="Arial Narrow" w:eastAsia="SimSun" w:hAnsi="Arial Narrow" w:cs="Arial"/>
                                <w:color w:val="595959"/>
                                <w:kern w:val="24"/>
                                <w:sz w:val="22"/>
                              </w:rPr>
                              <w:t xml:space="preserve">and the gene expression for TNC determined by qPCR. Data is expressed as fold change relative to housekeeping gene U6, with mean ± SD. ** denotes p &lt;0.01 and *** p &lt;0.001 </w:t>
                            </w:r>
                            <w:r>
                              <w:rPr>
                                <w:rFonts w:ascii="Arial Narrow" w:eastAsia="SimSun" w:hAnsi="Arial Narrow" w:cs="Arial"/>
                                <w:color w:val="595959"/>
                                <w:kern w:val="24"/>
                                <w:sz w:val="22"/>
                                <w:szCs w:val="22"/>
                              </w:rPr>
                              <w:t>analysed by ordinary one-way ANOVA with Dunnett’s multiple comparison. (N=3, n=3).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B95D9C" id="_x0000_s1087" type="#_x0000_t202" style="position:absolute;left:0;text-align:left;margin-left:400.3pt;margin-top:18.9pt;width:451.5pt;height:100.5pt;z-index:251658299;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" stroked="f">
                <v:textbox>
                  <w:txbxContent>
                    <w:p w14:paraId="24D5BB57" w14:textId="68C9F346" w:rsidR="008A47AC" w:rsidRDefault="008A47AC" w:rsidP="0054039C">
                      <w:pPr>
                        <w:pStyle w:val="NormalWeb"/>
                        <w:spacing w:after="200"/>
                        <w:jc w:val="both"/>
                      </w:pPr>
                      <w:r>
                        <w:rPr>
                          <w:rFonts w:ascii="Arial Narrow" w:eastAsia="SimSun" w:hAnsi="Arial Narrow" w:cs="Arial"/>
                          <w:b/>
                          <w:bCs/>
                          <w:color w:val="595959"/>
                          <w:kern w:val="24"/>
                          <w:sz w:val="22"/>
                          <w:szCs w:val="22"/>
                        </w:rPr>
                        <w:t xml:space="preserve">Figure 3.24 Short-term expression data for the myofibroblast </w:t>
                      </w:r>
                      <w:r w:rsidRPr="00C75A86">
                        <w:rPr>
                          <w:rFonts w:ascii="Arial Narrow" w:eastAsia="SimSun" w:hAnsi="Arial Narrow" w:cs="Arial"/>
                          <w:b/>
                          <w:bCs/>
                          <w:color w:val="595959"/>
                          <w:kern w:val="24"/>
                          <w:sz w:val="22"/>
                          <w:szCs w:val="22"/>
                        </w:rPr>
                        <w:t xml:space="preserve">marker </w:t>
                      </w:r>
                      <w:r>
                        <w:rPr>
                          <w:rFonts w:ascii="Arial Narrow" w:eastAsia="SimSun" w:hAnsi="Arial Narrow" w:cs="Arial"/>
                          <w:b/>
                          <w:color w:val="595959"/>
                          <w:kern w:val="24"/>
                          <w:sz w:val="22"/>
                          <w:szCs w:val="22"/>
                        </w:rPr>
                        <w:t xml:space="preserve">TNC in CAF </w:t>
                      </w:r>
                      <w:r>
                        <w:rPr>
                          <w:rFonts w:ascii="Arial Narrow" w:eastAsia="SimSun" w:hAnsi="Arial Narrow" w:cs="Arial"/>
                          <w:b/>
                          <w:bCs/>
                          <w:color w:val="595959"/>
                          <w:kern w:val="24"/>
                          <w:sz w:val="22"/>
                          <w:szCs w:val="22"/>
                        </w:rPr>
                        <w:t>with and without TGFβ-1 stimulation</w:t>
                      </w:r>
                      <w:r>
                        <w:rPr>
                          <w:rFonts w:ascii="Arial Narrow" w:eastAsia="SimSun" w:hAnsi="Arial Narrow" w:cs="Arial"/>
                          <w:b/>
                          <w:color w:val="595959"/>
                          <w:kern w:val="24"/>
                          <w:sz w:val="22"/>
                          <w:szCs w:val="22"/>
                        </w:rPr>
                        <w:t xml:space="preserve"> </w:t>
                      </w:r>
                      <w:r>
                        <w:rPr>
                          <w:rFonts w:ascii="Arial Narrow" w:eastAsia="SimSun" w:hAnsi="Arial Narrow" w:cs="Arial"/>
                          <w:b/>
                          <w:bCs/>
                          <w:color w:val="595959"/>
                          <w:kern w:val="24"/>
                          <w:sz w:val="22"/>
                          <w:szCs w:val="22"/>
                        </w:rPr>
                        <w:t xml:space="preserve"> </w:t>
                      </w:r>
                    </w:p>
                    <w:p w14:paraId="3680CEB3" w14:textId="51418C94" w:rsidR="008A47AC" w:rsidRPr="00C61619" w:rsidRDefault="008A47AC" w:rsidP="0054039C">
                      <w:pPr>
                        <w:pStyle w:val="NormalWeb"/>
                        <w:spacing w:after="200" w:line="276" w:lineRule="auto"/>
                        <w:jc w:val="both"/>
                        <w:rPr>
                          <w:rFonts w:ascii="Arial Narrow" w:eastAsia="SimSun" w:hAnsi="Arial Narrow" w:cs="Arial"/>
                          <w:color w:val="595959"/>
                          <w:kern w:val="24"/>
                          <w:sz w:val="22"/>
                          <w:szCs w:val="22"/>
                        </w:rPr>
                      </w:pPr>
                      <w:r>
                        <w:rPr>
                          <w:rFonts w:ascii="Arial Narrow" w:eastAsia="SimSun" w:hAnsi="Arial Narrow" w:cs="Arial"/>
                          <w:color w:val="595959"/>
                          <w:kern w:val="24"/>
                          <w:sz w:val="22"/>
                        </w:rPr>
                        <w:t xml:space="preserve">CAF 2D monolayers were treated </w:t>
                      </w:r>
                      <w:r>
                        <w:rPr>
                          <w:rFonts w:ascii="Arial Narrow" w:eastAsia="SimSun" w:hAnsi="Arial Narrow" w:cs="Arial"/>
                          <w:color w:val="595959"/>
                          <w:kern w:val="24"/>
                          <w:sz w:val="22"/>
                          <w:szCs w:val="22"/>
                        </w:rPr>
                        <w:t xml:space="preserve">with 5 ng/mL TGFβ-1 up to 72 h </w:t>
                      </w:r>
                      <w:r>
                        <w:rPr>
                          <w:rFonts w:ascii="Arial Narrow" w:eastAsia="SimSun" w:hAnsi="Arial Narrow" w:cs="Arial"/>
                          <w:color w:val="595959"/>
                          <w:kern w:val="24"/>
                          <w:sz w:val="22"/>
                        </w:rPr>
                        <w:t xml:space="preserve">and the gene expression for TNC determined by qPCR. Data is expressed as fold change relative to housekeeping gene U6, with mean ± SD. ** denotes p &lt;0.01 and *** p &lt;0.001 </w:t>
                      </w:r>
                      <w:r>
                        <w:rPr>
                          <w:rFonts w:ascii="Arial Narrow" w:eastAsia="SimSun" w:hAnsi="Arial Narrow" w:cs="Arial"/>
                          <w:color w:val="595959"/>
                          <w:kern w:val="24"/>
                          <w:sz w:val="22"/>
                          <w:szCs w:val="22"/>
                        </w:rPr>
                        <w:t>analysed by ordinary one-way ANOVA with Dunnett’s multiple comparison. (N=3, n=3).</w:t>
                      </w:r>
                    </w:p>
                  </w:txbxContent>
                </v:textbox>
                <w10:wrap anchorx="margin"/>
              </v:shape>
            </w:pict>
          </mc:Fallback>
        </mc:AlternateContent>
      </w:r>
    </w:p>
    <w:p w14:paraId="7CB6069E"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6E28DDFF"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30D9708E"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20BFC73D"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784B25DB"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75F83353"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4DD5DF3A"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20E19973"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09C8A167"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70E4B0FA" w14:textId="17C3C4C6" w:rsid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4C60AC35" w14:textId="33BB43A6" w:rsidR="005E26F2" w:rsidRDefault="005E26F2"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321EFB57" w14:textId="77777777" w:rsidR="005E26F2" w:rsidRPr="0054039C" w:rsidRDefault="005E26F2"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10664861" w14:textId="77777777" w:rsidR="0054039C" w:rsidRPr="0054039C" w:rsidRDefault="0054039C" w:rsidP="0054039C">
      <w:pPr>
        <w:autoSpaceDE w:val="0"/>
        <w:autoSpaceDN w:val="0"/>
        <w:adjustRightInd w:val="0"/>
        <w:spacing w:after="0" w:line="480" w:lineRule="auto"/>
        <w:jc w:val="both"/>
        <w:rPr>
          <w:rFonts w:ascii="Arial" w:eastAsia="Times New Roman" w:hAnsi="Arial" w:cs="Arial"/>
          <w:bCs/>
          <w:color w:val="595959" w:themeColor="text1" w:themeTint="A6"/>
          <w:szCs w:val="24"/>
        </w:rPr>
      </w:pPr>
    </w:p>
    <w:p w14:paraId="3EF377E5" w14:textId="7D381C3C" w:rsidR="0054039C" w:rsidRDefault="0054039C" w:rsidP="000A68AE">
      <w:pPr>
        <w:pStyle w:val="Heading4"/>
        <w:rPr>
          <w:rFonts w:ascii="Arial" w:eastAsia="Times New Roman" w:hAnsi="Arial" w:cs="Arial"/>
          <w:bCs/>
          <w:color w:val="595959" w:themeColor="text1" w:themeTint="A6"/>
          <w:szCs w:val="24"/>
        </w:rPr>
      </w:pPr>
      <w:bookmarkStart w:id="295" w:name="_Toc34208374"/>
      <w:r w:rsidRPr="0054039C">
        <w:rPr>
          <w:rFonts w:ascii="Arial" w:eastAsia="Times New Roman" w:hAnsi="Arial" w:cs="Arial"/>
          <w:bCs/>
          <w:color w:val="595959" w:themeColor="text1" w:themeTint="A6"/>
          <w:szCs w:val="24"/>
        </w:rPr>
        <w:lastRenderedPageBreak/>
        <w:t xml:space="preserve">3.3.2.2 RT-qPCR analysis of </w:t>
      </w:r>
      <w:r w:rsidR="002B4304">
        <w:rPr>
          <w:rFonts w:ascii="Arial" w:eastAsia="Times New Roman" w:hAnsi="Arial" w:cs="Arial"/>
          <w:bCs/>
          <w:color w:val="595959" w:themeColor="text1" w:themeTint="A6"/>
          <w:szCs w:val="24"/>
        </w:rPr>
        <w:t xml:space="preserve">myofibroblast and </w:t>
      </w:r>
      <w:r w:rsidRPr="0054039C">
        <w:rPr>
          <w:rFonts w:ascii="Arial" w:eastAsia="Times New Roman" w:hAnsi="Arial" w:cs="Arial"/>
          <w:bCs/>
          <w:color w:val="595959" w:themeColor="text1" w:themeTint="A6"/>
          <w:szCs w:val="24"/>
        </w:rPr>
        <w:t>ECM markers long-term in CAF</w:t>
      </w:r>
      <w:bookmarkEnd w:id="295"/>
    </w:p>
    <w:p w14:paraId="6CA01B89" w14:textId="77777777" w:rsidR="00E32F9B" w:rsidRPr="0054039C" w:rsidRDefault="00E32F9B" w:rsidP="0054039C">
      <w:pPr>
        <w:autoSpaceDE w:val="0"/>
        <w:autoSpaceDN w:val="0"/>
        <w:adjustRightInd w:val="0"/>
        <w:spacing w:after="0" w:line="480" w:lineRule="auto"/>
        <w:jc w:val="both"/>
        <w:rPr>
          <w:rFonts w:ascii="Arial" w:eastAsia="Times New Roman" w:hAnsi="Arial" w:cs="Arial"/>
          <w:bCs/>
          <w:color w:val="595959" w:themeColor="text1" w:themeTint="A6"/>
          <w:szCs w:val="24"/>
        </w:rPr>
      </w:pPr>
    </w:p>
    <w:p w14:paraId="1D4B710C" w14:textId="64C3AF7B" w:rsidR="0054039C" w:rsidRPr="0054039C" w:rsidRDefault="0054039C" w:rsidP="0054039C">
      <w:pPr>
        <w:autoSpaceDE w:val="0"/>
        <w:autoSpaceDN w:val="0"/>
        <w:adjustRightInd w:val="0"/>
        <w:spacing w:after="0" w:line="480" w:lineRule="auto"/>
        <w:jc w:val="both"/>
        <w:rPr>
          <w:rFonts w:ascii="Arial" w:eastAsia="Times New Roman" w:hAnsi="Arial" w:cs="Arial"/>
          <w:bCs/>
          <w:color w:val="595959" w:themeColor="text1" w:themeTint="A6"/>
          <w:szCs w:val="24"/>
        </w:rPr>
      </w:pPr>
      <w:r w:rsidRPr="0054039C">
        <w:rPr>
          <w:rFonts w:ascii="Arial" w:eastAsia="Times New Roman" w:hAnsi="Arial" w:cs="Arial"/>
          <w:bCs/>
          <w:color w:val="595959" w:themeColor="text1" w:themeTint="A6"/>
          <w:szCs w:val="24"/>
        </w:rPr>
        <w:t>The expression of target transcripts in response to long-term treatment with and without TGFβ-</w:t>
      </w:r>
      <w:r w:rsidR="005E26F2">
        <w:rPr>
          <w:rFonts w:ascii="Arial" w:eastAsia="Times New Roman" w:hAnsi="Arial" w:cs="Arial"/>
          <w:bCs/>
          <w:color w:val="595959" w:themeColor="text1" w:themeTint="A6"/>
          <w:szCs w:val="24"/>
        </w:rPr>
        <w:t>1 treatment was assessed in CAF, using the same</w:t>
      </w:r>
      <w:r w:rsidR="002E3006" w:rsidRPr="002E3006">
        <w:rPr>
          <w:rFonts w:ascii="Arial" w:eastAsia="Times New Roman" w:hAnsi="Arial" w:cs="Arial"/>
          <w:bCs/>
          <w:color w:val="595959" w:themeColor="text1" w:themeTint="A6"/>
          <w:szCs w:val="24"/>
        </w:rPr>
        <w:t xml:space="preserve"> </w:t>
      </w:r>
      <w:r w:rsidR="002E3006" w:rsidRPr="0054039C">
        <w:rPr>
          <w:rFonts w:ascii="Arial" w:eastAsia="Times New Roman" w:hAnsi="Arial" w:cs="Arial"/>
          <w:bCs/>
          <w:color w:val="595959" w:themeColor="text1" w:themeTint="A6"/>
          <w:szCs w:val="24"/>
        </w:rPr>
        <w:t>TGFβ-</w:t>
      </w:r>
      <w:r w:rsidR="002E3006">
        <w:rPr>
          <w:rFonts w:ascii="Arial" w:eastAsia="Times New Roman" w:hAnsi="Arial" w:cs="Arial"/>
          <w:bCs/>
          <w:color w:val="595959" w:themeColor="text1" w:themeTint="A6"/>
          <w:szCs w:val="24"/>
        </w:rPr>
        <w:t>1 treatment protocol used in section 2.2.5.1</w:t>
      </w:r>
      <w:r w:rsidR="005E26F2">
        <w:rPr>
          <w:rFonts w:ascii="Arial" w:eastAsia="Times New Roman" w:hAnsi="Arial" w:cs="Arial"/>
          <w:bCs/>
          <w:color w:val="595959" w:themeColor="text1" w:themeTint="A6"/>
          <w:szCs w:val="24"/>
        </w:rPr>
        <w:t xml:space="preserve"> </w:t>
      </w:r>
      <w:r w:rsidRPr="0054039C">
        <w:rPr>
          <w:rFonts w:ascii="Arial" w:eastAsia="Times New Roman" w:hAnsi="Arial" w:cs="Arial"/>
          <w:bCs/>
          <w:color w:val="595959" w:themeColor="text1" w:themeTint="A6"/>
          <w:szCs w:val="24"/>
        </w:rPr>
        <w:t>(Figures 3.</w:t>
      </w:r>
      <w:r w:rsidR="004340E5">
        <w:rPr>
          <w:rFonts w:ascii="Arial" w:eastAsia="Times New Roman" w:hAnsi="Arial" w:cs="Arial"/>
          <w:bCs/>
          <w:color w:val="595959" w:themeColor="text1" w:themeTint="A6"/>
          <w:szCs w:val="24"/>
        </w:rPr>
        <w:t>25</w:t>
      </w:r>
      <w:r w:rsidRPr="0054039C">
        <w:rPr>
          <w:rFonts w:ascii="Arial" w:eastAsia="Times New Roman" w:hAnsi="Arial" w:cs="Arial"/>
          <w:bCs/>
          <w:color w:val="595959" w:themeColor="text1" w:themeTint="A6"/>
          <w:szCs w:val="24"/>
        </w:rPr>
        <w:t>-3.</w:t>
      </w:r>
      <w:r w:rsidR="00C54AFB">
        <w:rPr>
          <w:rFonts w:ascii="Arial" w:eastAsia="Times New Roman" w:hAnsi="Arial" w:cs="Arial"/>
          <w:bCs/>
          <w:color w:val="595959" w:themeColor="text1" w:themeTint="A6"/>
          <w:szCs w:val="24"/>
        </w:rPr>
        <w:t>29</w:t>
      </w:r>
      <w:r w:rsidRPr="0054039C">
        <w:rPr>
          <w:rFonts w:ascii="Arial" w:eastAsia="Times New Roman" w:hAnsi="Arial" w:cs="Arial"/>
          <w:bCs/>
          <w:color w:val="595959" w:themeColor="text1" w:themeTint="A6"/>
          <w:szCs w:val="24"/>
        </w:rPr>
        <w:t>).</w:t>
      </w:r>
    </w:p>
    <w:p w14:paraId="723C9F90" w14:textId="77777777" w:rsidR="0054039C" w:rsidRPr="0054039C" w:rsidRDefault="0054039C" w:rsidP="0054039C">
      <w:pPr>
        <w:autoSpaceDE w:val="0"/>
        <w:autoSpaceDN w:val="0"/>
        <w:adjustRightInd w:val="0"/>
        <w:spacing w:after="0" w:line="480" w:lineRule="auto"/>
        <w:jc w:val="both"/>
        <w:rPr>
          <w:rFonts w:ascii="Arial" w:eastAsia="Times New Roman" w:hAnsi="Arial" w:cs="Arial"/>
          <w:bCs/>
          <w:color w:val="595959" w:themeColor="text1" w:themeTint="A6"/>
          <w:szCs w:val="24"/>
        </w:rPr>
      </w:pPr>
    </w:p>
    <w:p w14:paraId="1AC25F16" w14:textId="77777777" w:rsidR="0054039C" w:rsidRPr="0054039C" w:rsidRDefault="0054039C" w:rsidP="0054039C">
      <w:pPr>
        <w:keepNext/>
        <w:keepLines/>
        <w:spacing w:before="40" w:after="0"/>
        <w:outlineLvl w:val="4"/>
        <w:rPr>
          <w:rFonts w:ascii="Arial" w:eastAsia="Times New Roman" w:hAnsi="Arial" w:cs="Arial"/>
          <w:bCs/>
          <w:color w:val="595959" w:themeColor="text1" w:themeTint="A6"/>
          <w:szCs w:val="24"/>
        </w:rPr>
      </w:pPr>
      <w:bookmarkStart w:id="296" w:name="_Toc7107269"/>
      <w:bookmarkStart w:id="297" w:name="_Toc34208375"/>
      <w:r w:rsidRPr="0054039C">
        <w:rPr>
          <w:rFonts w:ascii="Arial" w:eastAsia="Times New Roman" w:hAnsi="Arial" w:cs="Arial"/>
          <w:bCs/>
          <w:color w:val="595959" w:themeColor="text1" w:themeTint="A6"/>
          <w:szCs w:val="24"/>
        </w:rPr>
        <w:t>3.3.2.2.1 αSMA expression by RT-qPCR</w:t>
      </w:r>
      <w:bookmarkEnd w:id="296"/>
      <w:bookmarkEnd w:id="297"/>
      <w:r w:rsidRPr="0054039C">
        <w:rPr>
          <w:rFonts w:ascii="Arial" w:eastAsia="Times New Roman" w:hAnsi="Arial" w:cs="Arial"/>
          <w:bCs/>
          <w:color w:val="595959" w:themeColor="text1" w:themeTint="A6"/>
          <w:szCs w:val="24"/>
        </w:rPr>
        <w:t xml:space="preserve"> </w:t>
      </w:r>
    </w:p>
    <w:p w14:paraId="2DC68791" w14:textId="77777777" w:rsidR="0054039C" w:rsidRPr="0054039C" w:rsidRDefault="0054039C" w:rsidP="0054039C"/>
    <w:p w14:paraId="344B7E79" w14:textId="47AC8C32" w:rsidR="0054039C" w:rsidRPr="0054039C" w:rsidRDefault="0054039C" w:rsidP="002E3006">
      <w:pPr>
        <w:autoSpaceDE w:val="0"/>
        <w:autoSpaceDN w:val="0"/>
        <w:adjustRightInd w:val="0"/>
        <w:spacing w:after="0" w:line="480" w:lineRule="auto"/>
        <w:jc w:val="both"/>
        <w:rPr>
          <w:rFonts w:ascii="Arial" w:eastAsia="Times New Roman" w:hAnsi="Arial" w:cs="Arial"/>
          <w:bCs/>
          <w:color w:val="595959" w:themeColor="text1" w:themeTint="A6"/>
          <w:szCs w:val="24"/>
        </w:rPr>
      </w:pPr>
      <w:r w:rsidRPr="0054039C">
        <w:rPr>
          <w:rFonts w:ascii="Arial" w:eastAsia="Times New Roman" w:hAnsi="Arial" w:cs="Arial"/>
          <w:bCs/>
          <w:color w:val="595959" w:themeColor="text1" w:themeTint="A6"/>
          <w:szCs w:val="24"/>
        </w:rPr>
        <w:t>CAF maintain αSMA transcript expression long-term with TGFβ-1 treatment (Figure 3.</w:t>
      </w:r>
      <w:r w:rsidR="004340E5">
        <w:rPr>
          <w:rFonts w:ascii="Arial" w:eastAsia="Times New Roman" w:hAnsi="Arial" w:cs="Arial"/>
          <w:bCs/>
          <w:color w:val="595959" w:themeColor="text1" w:themeTint="A6"/>
          <w:szCs w:val="24"/>
        </w:rPr>
        <w:t>25</w:t>
      </w:r>
      <w:r w:rsidRPr="0054039C">
        <w:rPr>
          <w:rFonts w:ascii="Arial" w:eastAsia="Times New Roman" w:hAnsi="Arial" w:cs="Arial"/>
          <w:bCs/>
          <w:color w:val="595959" w:themeColor="text1" w:themeTint="A6"/>
          <w:szCs w:val="24"/>
        </w:rPr>
        <w:t xml:space="preserve">). A significant increase was observed at 24 h- and 48 h- + 14 days, with 13.30 ± 2.59 and 5.23 ± 1.97- fold increases respectively, compared to 24 h control samples (p &lt;0.0001). No significant difference was observed at 72 h </w:t>
      </w:r>
      <w:r w:rsidR="002E3006">
        <w:rPr>
          <w:rFonts w:ascii="Arial" w:eastAsia="Times New Roman" w:hAnsi="Arial" w:cs="Arial"/>
          <w:bCs/>
          <w:color w:val="595959" w:themeColor="text1" w:themeTint="A6"/>
          <w:szCs w:val="24"/>
        </w:rPr>
        <w:t>+ 14 days with TGFβ-1 treatment.</w:t>
      </w:r>
      <w:r w:rsidRPr="0054039C">
        <w:rPr>
          <w:rFonts w:ascii="Arial" w:eastAsia="Times New Roman" w:hAnsi="Arial" w:cs="Arial"/>
          <w:bCs/>
          <w:color w:val="595959" w:themeColor="text1" w:themeTint="A6"/>
          <w:szCs w:val="24"/>
        </w:rPr>
        <w:t xml:space="preserve"> </w:t>
      </w:r>
    </w:p>
    <w:p w14:paraId="4F3FB5A8" w14:textId="77777777" w:rsidR="0054039C" w:rsidRPr="0054039C" w:rsidRDefault="0054039C" w:rsidP="0054039C">
      <w:pPr>
        <w:autoSpaceDE w:val="0"/>
        <w:autoSpaceDN w:val="0"/>
        <w:adjustRightInd w:val="0"/>
        <w:spacing w:after="0" w:line="480" w:lineRule="auto"/>
        <w:jc w:val="both"/>
        <w:rPr>
          <w:rFonts w:ascii="Arial" w:eastAsia="Times New Roman" w:hAnsi="Arial" w:cs="Arial"/>
          <w:bCs/>
          <w:color w:val="595959" w:themeColor="text1" w:themeTint="A6"/>
          <w:szCs w:val="24"/>
        </w:rPr>
      </w:pPr>
    </w:p>
    <w:p w14:paraId="5A28D5BB" w14:textId="6158FC41" w:rsidR="0054039C" w:rsidRPr="0054039C" w:rsidRDefault="00D70F9E" w:rsidP="0054039C">
      <w:pPr>
        <w:autoSpaceDE w:val="0"/>
        <w:autoSpaceDN w:val="0"/>
        <w:adjustRightInd w:val="0"/>
        <w:spacing w:after="0" w:line="480" w:lineRule="auto"/>
        <w:jc w:val="both"/>
        <w:rPr>
          <w:rFonts w:ascii="Arial" w:eastAsia="Times New Roman" w:hAnsi="Arial" w:cs="Arial"/>
          <w:bCs/>
          <w:color w:val="595959" w:themeColor="text1" w:themeTint="A6"/>
          <w:szCs w:val="24"/>
        </w:rPr>
      </w:pPr>
      <w:r>
        <w:rPr>
          <w:rFonts w:ascii="Arial" w:eastAsia="Times New Roman" w:hAnsi="Arial" w:cs="Arial"/>
          <w:bCs/>
          <w:noProof/>
          <w:color w:val="595959" w:themeColor="text1" w:themeTint="A6"/>
          <w:szCs w:val="24"/>
        </w:rPr>
        <w:drawing>
          <wp:anchor distT="0" distB="0" distL="114300" distR="114300" simplePos="0" relativeHeight="251658491" behindDoc="0" locked="0" layoutInCell="1" allowOverlap="1" wp14:anchorId="23AC1CBE" wp14:editId="2DD22AA6">
            <wp:simplePos x="0" y="0"/>
            <wp:positionH relativeFrom="margin">
              <wp:align>center</wp:align>
            </wp:positionH>
            <wp:positionV relativeFrom="paragraph">
              <wp:posOffset>33020</wp:posOffset>
            </wp:positionV>
            <wp:extent cx="4182110" cy="2755900"/>
            <wp:effectExtent l="0" t="0" r="0" b="0"/>
            <wp:wrapNone/>
            <wp:docPr id="1596" name="Picture 1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182110" cy="2755900"/>
                    </a:xfrm>
                    <a:prstGeom prst="rect">
                      <a:avLst/>
                    </a:prstGeom>
                    <a:noFill/>
                  </pic:spPr>
                </pic:pic>
              </a:graphicData>
            </a:graphic>
          </wp:anchor>
        </w:drawing>
      </w:r>
    </w:p>
    <w:p w14:paraId="6B9C4FC2" w14:textId="465260D1" w:rsidR="0054039C" w:rsidRPr="0054039C" w:rsidRDefault="0054039C" w:rsidP="0054039C">
      <w:pPr>
        <w:autoSpaceDE w:val="0"/>
        <w:autoSpaceDN w:val="0"/>
        <w:adjustRightInd w:val="0"/>
        <w:spacing w:after="0" w:line="480" w:lineRule="auto"/>
        <w:jc w:val="both"/>
        <w:rPr>
          <w:rFonts w:ascii="Arial" w:eastAsia="Times New Roman" w:hAnsi="Arial" w:cs="Arial"/>
          <w:bCs/>
          <w:color w:val="595959" w:themeColor="text1" w:themeTint="A6"/>
          <w:szCs w:val="24"/>
        </w:rPr>
      </w:pPr>
    </w:p>
    <w:p w14:paraId="66ACA3BC" w14:textId="77777777" w:rsidR="0054039C" w:rsidRPr="0054039C" w:rsidRDefault="0054039C" w:rsidP="0054039C">
      <w:pPr>
        <w:autoSpaceDE w:val="0"/>
        <w:autoSpaceDN w:val="0"/>
        <w:adjustRightInd w:val="0"/>
        <w:spacing w:after="0" w:line="480" w:lineRule="auto"/>
        <w:jc w:val="both"/>
        <w:rPr>
          <w:rFonts w:ascii="Arial" w:eastAsia="Times New Roman" w:hAnsi="Arial" w:cs="Arial"/>
          <w:bCs/>
          <w:color w:val="595959" w:themeColor="text1" w:themeTint="A6"/>
          <w:szCs w:val="24"/>
        </w:rPr>
      </w:pPr>
    </w:p>
    <w:p w14:paraId="0812509F" w14:textId="77777777" w:rsidR="0054039C" w:rsidRPr="0054039C" w:rsidRDefault="0054039C" w:rsidP="0054039C">
      <w:pPr>
        <w:autoSpaceDE w:val="0"/>
        <w:autoSpaceDN w:val="0"/>
        <w:adjustRightInd w:val="0"/>
        <w:spacing w:after="0" w:line="480" w:lineRule="auto"/>
        <w:jc w:val="both"/>
        <w:rPr>
          <w:rFonts w:ascii="Arial" w:eastAsia="Times New Roman" w:hAnsi="Arial" w:cs="Arial"/>
          <w:bCs/>
          <w:color w:val="595959" w:themeColor="text1" w:themeTint="A6"/>
          <w:szCs w:val="24"/>
        </w:rPr>
      </w:pPr>
    </w:p>
    <w:p w14:paraId="41AB97C3" w14:textId="77777777" w:rsidR="0054039C" w:rsidRPr="0054039C" w:rsidRDefault="0054039C" w:rsidP="0054039C">
      <w:pPr>
        <w:autoSpaceDE w:val="0"/>
        <w:autoSpaceDN w:val="0"/>
        <w:adjustRightInd w:val="0"/>
        <w:spacing w:after="0" w:line="480" w:lineRule="auto"/>
        <w:jc w:val="both"/>
        <w:rPr>
          <w:rFonts w:ascii="Arial" w:eastAsia="Times New Roman" w:hAnsi="Arial" w:cs="Arial"/>
          <w:bCs/>
          <w:color w:val="595959" w:themeColor="text1" w:themeTint="A6"/>
          <w:szCs w:val="24"/>
        </w:rPr>
      </w:pPr>
    </w:p>
    <w:p w14:paraId="6EE9EFED" w14:textId="77777777" w:rsidR="0054039C" w:rsidRPr="0054039C" w:rsidRDefault="0054039C" w:rsidP="0054039C">
      <w:pPr>
        <w:autoSpaceDE w:val="0"/>
        <w:autoSpaceDN w:val="0"/>
        <w:adjustRightInd w:val="0"/>
        <w:spacing w:after="0" w:line="480" w:lineRule="auto"/>
        <w:jc w:val="both"/>
        <w:rPr>
          <w:rFonts w:ascii="Arial" w:eastAsia="Times New Roman" w:hAnsi="Arial" w:cs="Arial"/>
          <w:bCs/>
          <w:color w:val="595959" w:themeColor="text1" w:themeTint="A6"/>
          <w:szCs w:val="24"/>
        </w:rPr>
      </w:pPr>
    </w:p>
    <w:p w14:paraId="1FA63A01" w14:textId="77777777" w:rsidR="0054039C" w:rsidRPr="0054039C" w:rsidRDefault="0054039C" w:rsidP="0054039C">
      <w:pPr>
        <w:autoSpaceDE w:val="0"/>
        <w:autoSpaceDN w:val="0"/>
        <w:adjustRightInd w:val="0"/>
        <w:spacing w:after="0" w:line="480" w:lineRule="auto"/>
        <w:jc w:val="both"/>
        <w:rPr>
          <w:rFonts w:ascii="Arial" w:eastAsia="Times New Roman" w:hAnsi="Arial" w:cs="Arial"/>
          <w:bCs/>
          <w:color w:val="595959" w:themeColor="text1" w:themeTint="A6"/>
          <w:szCs w:val="24"/>
        </w:rPr>
      </w:pPr>
    </w:p>
    <w:p w14:paraId="470C0936" w14:textId="77777777" w:rsidR="0054039C" w:rsidRPr="0054039C" w:rsidRDefault="0054039C" w:rsidP="0054039C">
      <w:pPr>
        <w:autoSpaceDE w:val="0"/>
        <w:autoSpaceDN w:val="0"/>
        <w:adjustRightInd w:val="0"/>
        <w:spacing w:after="0" w:line="480" w:lineRule="auto"/>
        <w:jc w:val="both"/>
        <w:rPr>
          <w:rFonts w:ascii="Arial" w:eastAsia="Times New Roman" w:hAnsi="Arial" w:cs="Arial"/>
          <w:bCs/>
          <w:color w:val="595959" w:themeColor="text1" w:themeTint="A6"/>
          <w:szCs w:val="24"/>
        </w:rPr>
      </w:pPr>
    </w:p>
    <w:p w14:paraId="33CA3615" w14:textId="77777777" w:rsidR="0054039C" w:rsidRPr="0054039C" w:rsidRDefault="0054039C" w:rsidP="0054039C">
      <w:pPr>
        <w:autoSpaceDE w:val="0"/>
        <w:autoSpaceDN w:val="0"/>
        <w:adjustRightInd w:val="0"/>
        <w:spacing w:after="0" w:line="480" w:lineRule="auto"/>
        <w:jc w:val="both"/>
        <w:rPr>
          <w:rFonts w:ascii="Arial" w:eastAsia="Times New Roman" w:hAnsi="Arial" w:cs="Arial"/>
          <w:bCs/>
          <w:color w:val="595959" w:themeColor="text1" w:themeTint="A6"/>
          <w:szCs w:val="24"/>
        </w:rPr>
      </w:pPr>
    </w:p>
    <w:p w14:paraId="6F8998D2" w14:textId="77777777" w:rsidR="0054039C" w:rsidRPr="0054039C" w:rsidRDefault="0054039C" w:rsidP="0054039C">
      <w:pPr>
        <w:autoSpaceDE w:val="0"/>
        <w:autoSpaceDN w:val="0"/>
        <w:adjustRightInd w:val="0"/>
        <w:spacing w:after="0" w:line="480" w:lineRule="auto"/>
        <w:jc w:val="both"/>
        <w:rPr>
          <w:rFonts w:ascii="Arial" w:eastAsia="Times New Roman" w:hAnsi="Arial" w:cs="Arial"/>
          <w:bCs/>
          <w:color w:val="595959" w:themeColor="text1" w:themeTint="A6"/>
          <w:szCs w:val="24"/>
        </w:rPr>
      </w:pPr>
    </w:p>
    <w:p w14:paraId="0CB89E4A" w14:textId="77777777" w:rsidR="0054039C" w:rsidRPr="0054039C" w:rsidRDefault="0054039C" w:rsidP="0054039C">
      <w:pPr>
        <w:autoSpaceDE w:val="0"/>
        <w:autoSpaceDN w:val="0"/>
        <w:adjustRightInd w:val="0"/>
        <w:spacing w:after="0" w:line="480" w:lineRule="auto"/>
        <w:jc w:val="both"/>
        <w:rPr>
          <w:rFonts w:ascii="Arial" w:eastAsia="Times New Roman" w:hAnsi="Arial" w:cs="Arial"/>
          <w:bCs/>
          <w:color w:val="595959" w:themeColor="text1" w:themeTint="A6"/>
          <w:szCs w:val="24"/>
        </w:rPr>
      </w:pPr>
      <w:r w:rsidRPr="0054039C">
        <w:rPr>
          <w:rFonts w:ascii="Arial" w:hAnsi="Arial" w:cs="Arial"/>
          <w:noProof/>
          <w:color w:val="595959" w:themeColor="text1" w:themeTint="A6"/>
          <w:sz w:val="24"/>
          <w:szCs w:val="24"/>
          <w:lang w:eastAsia="zh-CN"/>
        </w:rPr>
        <mc:AlternateContent>
          <mc:Choice Requires="wps">
            <w:drawing>
              <wp:anchor distT="0" distB="0" distL="114300" distR="114300" simplePos="0" relativeHeight="251658300" behindDoc="0" locked="0" layoutInCell="1" allowOverlap="1" wp14:anchorId="7B0D818B" wp14:editId="277EA0D6">
                <wp:simplePos x="0" y="0"/>
                <wp:positionH relativeFrom="margin">
                  <wp:align>left</wp:align>
                </wp:positionH>
                <wp:positionV relativeFrom="paragraph">
                  <wp:posOffset>65405</wp:posOffset>
                </wp:positionV>
                <wp:extent cx="5724525" cy="1314450"/>
                <wp:effectExtent l="0" t="0" r="9525" b="0"/>
                <wp:wrapNone/>
                <wp:docPr id="20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1314450"/>
                        </a:xfrm>
                        <a:prstGeom prst="rect">
                          <a:avLst/>
                        </a:prstGeom>
                        <a:solidFill>
                          <a:srgbClr val="FFFFFF"/>
                        </a:solidFill>
                        <a:ln w="9525">
                          <a:noFill/>
                          <a:miter lim="800000"/>
                          <a:headEnd/>
                          <a:tailEnd/>
                        </a:ln>
                      </wps:spPr>
                      <wps:txbx>
                        <w:txbxContent>
                          <w:p w14:paraId="6FA543D9" w14:textId="68AEBA27" w:rsidR="008A47AC" w:rsidRDefault="008A47AC" w:rsidP="0054039C">
                            <w:pPr>
                              <w:pStyle w:val="NormalWeb"/>
                              <w:spacing w:after="200"/>
                              <w:jc w:val="both"/>
                            </w:pPr>
                            <w:r>
                              <w:rPr>
                                <w:rFonts w:ascii="Arial Narrow" w:eastAsia="SimSun" w:hAnsi="Arial Narrow" w:cs="Arial"/>
                                <w:b/>
                                <w:bCs/>
                                <w:color w:val="595959"/>
                                <w:kern w:val="24"/>
                                <w:sz w:val="22"/>
                                <w:szCs w:val="22"/>
                              </w:rPr>
                              <w:t xml:space="preserve">Figure 3.25 Long-term expression data for the ECM marker </w:t>
                            </w:r>
                            <w:r>
                              <w:rPr>
                                <w:rFonts w:ascii="Arial Narrow" w:eastAsia="SimSun" w:hAnsi="Arial Narrow" w:cs="Arial"/>
                                <w:b/>
                                <w:color w:val="595959"/>
                                <w:kern w:val="24"/>
                                <w:sz w:val="22"/>
                                <w:szCs w:val="22"/>
                              </w:rPr>
                              <w:t xml:space="preserve">αSMA in CAF </w:t>
                            </w:r>
                            <w:r>
                              <w:rPr>
                                <w:rFonts w:ascii="Arial Narrow" w:eastAsia="SimSun" w:hAnsi="Arial Narrow" w:cs="Arial"/>
                                <w:b/>
                                <w:bCs/>
                                <w:color w:val="595959"/>
                                <w:kern w:val="24"/>
                                <w:sz w:val="22"/>
                                <w:szCs w:val="22"/>
                              </w:rPr>
                              <w:t>with and without TGFβ-1 stimulation</w:t>
                            </w:r>
                            <w:r>
                              <w:rPr>
                                <w:rFonts w:ascii="Arial Narrow" w:eastAsia="SimSun" w:hAnsi="Arial Narrow" w:cs="Arial"/>
                                <w:b/>
                                <w:color w:val="595959"/>
                                <w:kern w:val="24"/>
                                <w:sz w:val="22"/>
                                <w:szCs w:val="22"/>
                              </w:rPr>
                              <w:t xml:space="preserve"> </w:t>
                            </w:r>
                            <w:r>
                              <w:rPr>
                                <w:rFonts w:ascii="Arial Narrow" w:eastAsia="SimSun" w:hAnsi="Arial Narrow" w:cs="Arial"/>
                                <w:b/>
                                <w:bCs/>
                                <w:color w:val="595959"/>
                                <w:kern w:val="24"/>
                                <w:sz w:val="22"/>
                                <w:szCs w:val="22"/>
                              </w:rPr>
                              <w:t xml:space="preserve">  </w:t>
                            </w:r>
                          </w:p>
                          <w:p w14:paraId="3228BDB1" w14:textId="3EBA3F8D" w:rsidR="008A47AC" w:rsidRPr="00B612DF" w:rsidRDefault="008A47AC" w:rsidP="0054039C">
                            <w:pPr>
                              <w:pStyle w:val="NormalWeb"/>
                              <w:spacing w:after="200" w:line="276" w:lineRule="auto"/>
                              <w:jc w:val="both"/>
                              <w:rPr>
                                <w:rFonts w:ascii="Arial Narrow" w:eastAsia="SimSun" w:hAnsi="Arial Narrow" w:cs="Arial"/>
                                <w:color w:val="595959"/>
                                <w:kern w:val="24"/>
                                <w:sz w:val="22"/>
                                <w:szCs w:val="22"/>
                              </w:rPr>
                            </w:pPr>
                            <w:r>
                              <w:rPr>
                                <w:rFonts w:ascii="Arial Narrow" w:eastAsia="SimSun" w:hAnsi="Arial Narrow" w:cs="Arial"/>
                                <w:color w:val="595959"/>
                                <w:kern w:val="24"/>
                                <w:sz w:val="22"/>
                              </w:rPr>
                              <w:t xml:space="preserve">CAF 2D monolayers were treated </w:t>
                            </w:r>
                            <w:r>
                              <w:rPr>
                                <w:rFonts w:ascii="Arial Narrow" w:eastAsia="SimSun" w:hAnsi="Arial Narrow" w:cs="Arial"/>
                                <w:color w:val="595959"/>
                                <w:kern w:val="24"/>
                                <w:sz w:val="22"/>
                                <w:szCs w:val="22"/>
                              </w:rPr>
                              <w:t xml:space="preserve">with 2 ng/mL TGFβ-1 up to 72 h + 14 days </w:t>
                            </w:r>
                            <w:r>
                              <w:rPr>
                                <w:rFonts w:ascii="Arial Narrow" w:eastAsia="SimSun" w:hAnsi="Arial Narrow" w:cs="Arial"/>
                                <w:color w:val="595959"/>
                                <w:kern w:val="24"/>
                                <w:sz w:val="22"/>
                              </w:rPr>
                              <w:t xml:space="preserve">and the gene expression for </w:t>
                            </w:r>
                            <w:r>
                              <w:rPr>
                                <w:rFonts w:ascii="Arial Narrow" w:eastAsia="SimSun" w:hAnsi="Arial Narrow" w:cs="Arial"/>
                                <w:color w:val="595959"/>
                                <w:kern w:val="24"/>
                                <w:sz w:val="22"/>
                                <w:szCs w:val="22"/>
                              </w:rPr>
                              <w:t xml:space="preserve">αSMA was </w:t>
                            </w:r>
                            <w:r>
                              <w:rPr>
                                <w:rFonts w:ascii="Arial Narrow" w:eastAsia="SimSun" w:hAnsi="Arial Narrow" w:cs="Arial"/>
                                <w:color w:val="595959"/>
                                <w:kern w:val="24"/>
                                <w:sz w:val="22"/>
                              </w:rPr>
                              <w:t>determined by qPCR</w:t>
                            </w:r>
                            <w:r>
                              <w:rPr>
                                <w:rFonts w:ascii="Arial Narrow" w:eastAsia="SimSun" w:hAnsi="Arial Narrow" w:cs="Arial"/>
                                <w:color w:val="595959"/>
                                <w:kern w:val="24"/>
                                <w:sz w:val="22"/>
                                <w:szCs w:val="22"/>
                              </w:rPr>
                              <w:t xml:space="preserve">. </w:t>
                            </w:r>
                            <w:r>
                              <w:rPr>
                                <w:rFonts w:ascii="Arial Narrow" w:eastAsia="SimSun" w:hAnsi="Arial Narrow" w:cs="Arial"/>
                                <w:color w:val="595959"/>
                                <w:kern w:val="24"/>
                                <w:sz w:val="22"/>
                              </w:rPr>
                              <w:t xml:space="preserve">Data is expressed as fold change relative to housekeeping gene U6, with mean ± SD. **** denotes p &lt;0.0001 as </w:t>
                            </w:r>
                            <w:r>
                              <w:rPr>
                                <w:rFonts w:ascii="Arial Narrow" w:eastAsia="SimSun" w:hAnsi="Arial Narrow" w:cs="Arial"/>
                                <w:color w:val="595959"/>
                                <w:kern w:val="24"/>
                                <w:sz w:val="22"/>
                                <w:szCs w:val="22"/>
                              </w:rPr>
                              <w:t>analysed by ordinary one-way ANOVA with Dunnett’s multiple comparison. (N=3, n=3).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0D818B" id="_x0000_s1088" type="#_x0000_t202" style="position:absolute;left:0;text-align:left;margin-left:0;margin-top:5.15pt;width:450.75pt;height:103.5pt;z-index:2516583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" stroked="f">
                <v:textbox>
                  <w:txbxContent>
                    <w:p w14:paraId="6FA543D9" w14:textId="68AEBA27" w:rsidR="008A47AC" w:rsidRDefault="008A47AC" w:rsidP="0054039C">
                      <w:pPr>
                        <w:pStyle w:val="NormalWeb"/>
                        <w:spacing w:after="200"/>
                        <w:jc w:val="both"/>
                      </w:pPr>
                      <w:r>
                        <w:rPr>
                          <w:rFonts w:ascii="Arial Narrow" w:eastAsia="SimSun" w:hAnsi="Arial Narrow" w:cs="Arial"/>
                          <w:b/>
                          <w:bCs/>
                          <w:color w:val="595959"/>
                          <w:kern w:val="24"/>
                          <w:sz w:val="22"/>
                          <w:szCs w:val="22"/>
                        </w:rPr>
                        <w:t xml:space="preserve">Figure 3.25 Long-term expression data for the ECM marker </w:t>
                      </w:r>
                      <w:r>
                        <w:rPr>
                          <w:rFonts w:ascii="Arial Narrow" w:eastAsia="SimSun" w:hAnsi="Arial Narrow" w:cs="Arial"/>
                          <w:b/>
                          <w:color w:val="595959"/>
                          <w:kern w:val="24"/>
                          <w:sz w:val="22"/>
                          <w:szCs w:val="22"/>
                        </w:rPr>
                        <w:t xml:space="preserve">αSMA in CAF </w:t>
                      </w:r>
                      <w:r>
                        <w:rPr>
                          <w:rFonts w:ascii="Arial Narrow" w:eastAsia="SimSun" w:hAnsi="Arial Narrow" w:cs="Arial"/>
                          <w:b/>
                          <w:bCs/>
                          <w:color w:val="595959"/>
                          <w:kern w:val="24"/>
                          <w:sz w:val="22"/>
                          <w:szCs w:val="22"/>
                        </w:rPr>
                        <w:t>with and without TGFβ-1 stimulation</w:t>
                      </w:r>
                      <w:r>
                        <w:rPr>
                          <w:rFonts w:ascii="Arial Narrow" w:eastAsia="SimSun" w:hAnsi="Arial Narrow" w:cs="Arial"/>
                          <w:b/>
                          <w:color w:val="595959"/>
                          <w:kern w:val="24"/>
                          <w:sz w:val="22"/>
                          <w:szCs w:val="22"/>
                        </w:rPr>
                        <w:t xml:space="preserve"> </w:t>
                      </w:r>
                      <w:r>
                        <w:rPr>
                          <w:rFonts w:ascii="Arial Narrow" w:eastAsia="SimSun" w:hAnsi="Arial Narrow" w:cs="Arial"/>
                          <w:b/>
                          <w:bCs/>
                          <w:color w:val="595959"/>
                          <w:kern w:val="24"/>
                          <w:sz w:val="22"/>
                          <w:szCs w:val="22"/>
                        </w:rPr>
                        <w:t xml:space="preserve">  </w:t>
                      </w:r>
                    </w:p>
                    <w:p w14:paraId="3228BDB1" w14:textId="3EBA3F8D" w:rsidR="008A47AC" w:rsidRPr="00B612DF" w:rsidRDefault="008A47AC" w:rsidP="0054039C">
                      <w:pPr>
                        <w:pStyle w:val="NormalWeb"/>
                        <w:spacing w:after="200" w:line="276" w:lineRule="auto"/>
                        <w:jc w:val="both"/>
                        <w:rPr>
                          <w:rFonts w:ascii="Arial Narrow" w:eastAsia="SimSun" w:hAnsi="Arial Narrow" w:cs="Arial"/>
                          <w:color w:val="595959"/>
                          <w:kern w:val="24"/>
                          <w:sz w:val="22"/>
                          <w:szCs w:val="22"/>
                        </w:rPr>
                      </w:pPr>
                      <w:r>
                        <w:rPr>
                          <w:rFonts w:ascii="Arial Narrow" w:eastAsia="SimSun" w:hAnsi="Arial Narrow" w:cs="Arial"/>
                          <w:color w:val="595959"/>
                          <w:kern w:val="24"/>
                          <w:sz w:val="22"/>
                        </w:rPr>
                        <w:t xml:space="preserve">CAF 2D monolayers were treated </w:t>
                      </w:r>
                      <w:r>
                        <w:rPr>
                          <w:rFonts w:ascii="Arial Narrow" w:eastAsia="SimSun" w:hAnsi="Arial Narrow" w:cs="Arial"/>
                          <w:color w:val="595959"/>
                          <w:kern w:val="24"/>
                          <w:sz w:val="22"/>
                          <w:szCs w:val="22"/>
                        </w:rPr>
                        <w:t xml:space="preserve">with 2 ng/mL TGFβ-1 up to 72 h + 14 days </w:t>
                      </w:r>
                      <w:r>
                        <w:rPr>
                          <w:rFonts w:ascii="Arial Narrow" w:eastAsia="SimSun" w:hAnsi="Arial Narrow" w:cs="Arial"/>
                          <w:color w:val="595959"/>
                          <w:kern w:val="24"/>
                          <w:sz w:val="22"/>
                        </w:rPr>
                        <w:t xml:space="preserve">and the gene expression for </w:t>
                      </w:r>
                      <w:r>
                        <w:rPr>
                          <w:rFonts w:ascii="Arial Narrow" w:eastAsia="SimSun" w:hAnsi="Arial Narrow" w:cs="Arial"/>
                          <w:color w:val="595959"/>
                          <w:kern w:val="24"/>
                          <w:sz w:val="22"/>
                          <w:szCs w:val="22"/>
                        </w:rPr>
                        <w:t xml:space="preserve">αSMA was </w:t>
                      </w:r>
                      <w:r>
                        <w:rPr>
                          <w:rFonts w:ascii="Arial Narrow" w:eastAsia="SimSun" w:hAnsi="Arial Narrow" w:cs="Arial"/>
                          <w:color w:val="595959"/>
                          <w:kern w:val="24"/>
                          <w:sz w:val="22"/>
                        </w:rPr>
                        <w:t>determined by qPCR</w:t>
                      </w:r>
                      <w:r>
                        <w:rPr>
                          <w:rFonts w:ascii="Arial Narrow" w:eastAsia="SimSun" w:hAnsi="Arial Narrow" w:cs="Arial"/>
                          <w:color w:val="595959"/>
                          <w:kern w:val="24"/>
                          <w:sz w:val="22"/>
                          <w:szCs w:val="22"/>
                        </w:rPr>
                        <w:t xml:space="preserve">. </w:t>
                      </w:r>
                      <w:r>
                        <w:rPr>
                          <w:rFonts w:ascii="Arial Narrow" w:eastAsia="SimSun" w:hAnsi="Arial Narrow" w:cs="Arial"/>
                          <w:color w:val="595959"/>
                          <w:kern w:val="24"/>
                          <w:sz w:val="22"/>
                        </w:rPr>
                        <w:t xml:space="preserve">Data is expressed as fold change relative to housekeeping gene U6, with mean ± SD. **** denotes p &lt;0.0001 as </w:t>
                      </w:r>
                      <w:r>
                        <w:rPr>
                          <w:rFonts w:ascii="Arial Narrow" w:eastAsia="SimSun" w:hAnsi="Arial Narrow" w:cs="Arial"/>
                          <w:color w:val="595959"/>
                          <w:kern w:val="24"/>
                          <w:sz w:val="22"/>
                          <w:szCs w:val="22"/>
                        </w:rPr>
                        <w:t>analysed by ordinary one-way ANOVA with Dunnett’s multiple comparison. (N=3, n=3).</w:t>
                      </w:r>
                    </w:p>
                  </w:txbxContent>
                </v:textbox>
                <w10:wrap anchorx="margin"/>
              </v:shape>
            </w:pict>
          </mc:Fallback>
        </mc:AlternateContent>
      </w:r>
    </w:p>
    <w:p w14:paraId="219D22E0" w14:textId="77777777" w:rsidR="0054039C" w:rsidRPr="0054039C" w:rsidRDefault="0054039C" w:rsidP="0054039C">
      <w:pPr>
        <w:autoSpaceDE w:val="0"/>
        <w:autoSpaceDN w:val="0"/>
        <w:adjustRightInd w:val="0"/>
        <w:spacing w:after="0" w:line="480" w:lineRule="auto"/>
        <w:jc w:val="both"/>
        <w:rPr>
          <w:rFonts w:ascii="Arial" w:eastAsia="Times New Roman" w:hAnsi="Arial" w:cs="Arial"/>
          <w:bCs/>
          <w:color w:val="595959" w:themeColor="text1" w:themeTint="A6"/>
          <w:szCs w:val="24"/>
        </w:rPr>
      </w:pPr>
    </w:p>
    <w:p w14:paraId="244FA260" w14:textId="77777777" w:rsidR="0054039C" w:rsidRPr="0054039C" w:rsidRDefault="0054039C" w:rsidP="0054039C">
      <w:pPr>
        <w:autoSpaceDE w:val="0"/>
        <w:autoSpaceDN w:val="0"/>
        <w:adjustRightInd w:val="0"/>
        <w:spacing w:after="0" w:line="480" w:lineRule="auto"/>
        <w:jc w:val="both"/>
        <w:rPr>
          <w:rFonts w:ascii="Arial" w:eastAsia="Times New Roman" w:hAnsi="Arial" w:cs="Arial"/>
          <w:bCs/>
          <w:color w:val="595959" w:themeColor="text1" w:themeTint="A6"/>
          <w:szCs w:val="24"/>
        </w:rPr>
      </w:pPr>
    </w:p>
    <w:p w14:paraId="1E14FCCB" w14:textId="77777777" w:rsidR="0054039C" w:rsidRPr="0054039C" w:rsidRDefault="0054039C" w:rsidP="0054039C">
      <w:pPr>
        <w:autoSpaceDE w:val="0"/>
        <w:autoSpaceDN w:val="0"/>
        <w:adjustRightInd w:val="0"/>
        <w:spacing w:after="0" w:line="480" w:lineRule="auto"/>
        <w:jc w:val="both"/>
        <w:rPr>
          <w:rFonts w:ascii="Arial" w:eastAsia="Times New Roman" w:hAnsi="Arial" w:cs="Arial"/>
          <w:bCs/>
          <w:color w:val="595959" w:themeColor="text1" w:themeTint="A6"/>
          <w:szCs w:val="24"/>
        </w:rPr>
      </w:pPr>
    </w:p>
    <w:p w14:paraId="00865F64" w14:textId="77777777" w:rsidR="0054039C" w:rsidRPr="0054039C" w:rsidRDefault="0054039C" w:rsidP="0054039C">
      <w:pPr>
        <w:keepNext/>
        <w:keepLines/>
        <w:spacing w:before="40" w:after="0"/>
        <w:outlineLvl w:val="4"/>
        <w:rPr>
          <w:rFonts w:ascii="Arial" w:eastAsia="Times New Roman" w:hAnsi="Arial" w:cs="Arial"/>
          <w:bCs/>
          <w:color w:val="595959" w:themeColor="text1" w:themeTint="A6"/>
          <w:szCs w:val="24"/>
        </w:rPr>
      </w:pPr>
      <w:bookmarkStart w:id="298" w:name="_Toc34208376"/>
      <w:bookmarkStart w:id="299" w:name="_Toc7107270"/>
      <w:r w:rsidRPr="0054039C">
        <w:rPr>
          <w:rFonts w:ascii="Arial" w:eastAsia="Times New Roman" w:hAnsi="Arial" w:cs="Arial"/>
          <w:bCs/>
          <w:color w:val="595959" w:themeColor="text1" w:themeTint="A6"/>
          <w:szCs w:val="24"/>
        </w:rPr>
        <w:lastRenderedPageBreak/>
        <w:t>3.3.2.1.2 FN1-EDA expression by RT-qPCR</w:t>
      </w:r>
      <w:bookmarkEnd w:id="298"/>
    </w:p>
    <w:p w14:paraId="3E063F05" w14:textId="77777777" w:rsidR="0054039C" w:rsidRPr="0054039C" w:rsidRDefault="0054039C" w:rsidP="0054039C">
      <w:pPr>
        <w:keepNext/>
        <w:keepLines/>
        <w:spacing w:before="40" w:after="0"/>
        <w:outlineLvl w:val="4"/>
        <w:rPr>
          <w:rFonts w:ascii="Arial" w:eastAsia="Times New Roman" w:hAnsi="Arial" w:cs="Arial"/>
          <w:bCs/>
          <w:color w:val="595959" w:themeColor="text1" w:themeTint="A6"/>
          <w:szCs w:val="24"/>
        </w:rPr>
      </w:pPr>
    </w:p>
    <w:bookmarkEnd w:id="299"/>
    <w:p w14:paraId="10AC656F" w14:textId="562BF295" w:rsidR="0054039C" w:rsidRPr="0054039C" w:rsidRDefault="0054039C" w:rsidP="002E3006">
      <w:pPr>
        <w:autoSpaceDE w:val="0"/>
        <w:autoSpaceDN w:val="0"/>
        <w:adjustRightInd w:val="0"/>
        <w:spacing w:after="0" w:line="480" w:lineRule="auto"/>
        <w:jc w:val="both"/>
        <w:rPr>
          <w:rFonts w:ascii="Arial" w:eastAsia="Times New Roman" w:hAnsi="Arial" w:cs="Arial"/>
          <w:bCs/>
          <w:color w:val="595959" w:themeColor="text1" w:themeTint="A6"/>
          <w:szCs w:val="24"/>
        </w:rPr>
      </w:pPr>
      <w:r w:rsidRPr="0054039C">
        <w:rPr>
          <w:rFonts w:ascii="Arial" w:eastAsia="Times New Roman" w:hAnsi="Arial" w:cs="Arial"/>
          <w:bCs/>
          <w:color w:val="595959" w:themeColor="text1" w:themeTint="A6"/>
          <w:szCs w:val="24"/>
        </w:rPr>
        <w:t>A significant increase in FN1-EDA transcript expression was seen with TGFβ-1 treatment at 24 h + 14 days, with an increased fold-change of 6.72 ± 2.20, compared to 24 h + 14-day vehicle control samples</w:t>
      </w:r>
      <w:r w:rsidR="002E3006">
        <w:rPr>
          <w:rFonts w:ascii="Arial" w:eastAsia="Times New Roman" w:hAnsi="Arial" w:cs="Arial"/>
          <w:bCs/>
          <w:color w:val="595959" w:themeColor="text1" w:themeTint="A6"/>
          <w:szCs w:val="24"/>
        </w:rPr>
        <w:t>, p &lt;0.0001</w:t>
      </w:r>
      <w:r w:rsidRPr="0054039C">
        <w:rPr>
          <w:rFonts w:ascii="Arial" w:eastAsia="Times New Roman" w:hAnsi="Arial" w:cs="Arial"/>
          <w:bCs/>
          <w:color w:val="595959" w:themeColor="text1" w:themeTint="A6"/>
          <w:szCs w:val="24"/>
        </w:rPr>
        <w:t xml:space="preserve"> (Figure. 3.</w:t>
      </w:r>
      <w:r w:rsidR="00B41927">
        <w:rPr>
          <w:rFonts w:ascii="Arial" w:eastAsia="Times New Roman" w:hAnsi="Arial" w:cs="Arial"/>
          <w:bCs/>
          <w:color w:val="595959" w:themeColor="text1" w:themeTint="A6"/>
          <w:szCs w:val="24"/>
        </w:rPr>
        <w:t>26</w:t>
      </w:r>
      <w:r w:rsidRPr="0054039C">
        <w:rPr>
          <w:rFonts w:ascii="Arial" w:eastAsia="Times New Roman" w:hAnsi="Arial" w:cs="Arial"/>
          <w:bCs/>
          <w:color w:val="595959" w:themeColor="text1" w:themeTint="A6"/>
          <w:szCs w:val="24"/>
        </w:rPr>
        <w:t>). No significant differences were observed at 48 h– and 72 h-</w:t>
      </w:r>
      <w:r w:rsidR="002E3006">
        <w:rPr>
          <w:rFonts w:ascii="Arial" w:eastAsia="Times New Roman" w:hAnsi="Arial" w:cs="Arial"/>
          <w:bCs/>
          <w:color w:val="595959" w:themeColor="text1" w:themeTint="A6"/>
          <w:szCs w:val="24"/>
        </w:rPr>
        <w:t xml:space="preserve"> + 14 day with TGFβ-1 treatment. </w:t>
      </w:r>
    </w:p>
    <w:p w14:paraId="40BBFE42" w14:textId="77777777" w:rsidR="0054039C" w:rsidRPr="0054039C" w:rsidRDefault="0054039C" w:rsidP="0054039C">
      <w:pPr>
        <w:autoSpaceDE w:val="0"/>
        <w:autoSpaceDN w:val="0"/>
        <w:adjustRightInd w:val="0"/>
        <w:spacing w:after="0" w:line="480" w:lineRule="auto"/>
        <w:jc w:val="both"/>
        <w:rPr>
          <w:rFonts w:ascii="Arial" w:eastAsia="Times New Roman" w:hAnsi="Arial" w:cs="Arial"/>
          <w:bCs/>
          <w:color w:val="595959" w:themeColor="text1" w:themeTint="A6"/>
          <w:szCs w:val="24"/>
        </w:rPr>
      </w:pPr>
    </w:p>
    <w:p w14:paraId="071606E4" w14:textId="77777777" w:rsidR="0054039C" w:rsidRPr="0054039C" w:rsidRDefault="0054039C" w:rsidP="0054039C">
      <w:pPr>
        <w:autoSpaceDE w:val="0"/>
        <w:autoSpaceDN w:val="0"/>
        <w:adjustRightInd w:val="0"/>
        <w:spacing w:after="0" w:line="480" w:lineRule="auto"/>
        <w:jc w:val="both"/>
        <w:rPr>
          <w:rFonts w:ascii="Arial" w:eastAsia="Times New Roman" w:hAnsi="Arial" w:cs="Arial"/>
          <w:bCs/>
          <w:color w:val="595959" w:themeColor="text1" w:themeTint="A6"/>
          <w:szCs w:val="24"/>
        </w:rPr>
      </w:pPr>
    </w:p>
    <w:p w14:paraId="7313154B" w14:textId="56580429" w:rsidR="0054039C" w:rsidRPr="0054039C" w:rsidRDefault="0054039C" w:rsidP="0054039C">
      <w:pPr>
        <w:autoSpaceDE w:val="0"/>
        <w:autoSpaceDN w:val="0"/>
        <w:adjustRightInd w:val="0"/>
        <w:spacing w:after="0" w:line="480" w:lineRule="auto"/>
        <w:jc w:val="both"/>
        <w:rPr>
          <w:rFonts w:ascii="Arial" w:eastAsia="Times New Roman" w:hAnsi="Arial" w:cs="Arial"/>
          <w:bCs/>
          <w:color w:val="595959" w:themeColor="text1" w:themeTint="A6"/>
          <w:szCs w:val="24"/>
        </w:rPr>
      </w:pPr>
    </w:p>
    <w:p w14:paraId="3E24CE7D" w14:textId="09A46D91" w:rsidR="0054039C" w:rsidRPr="0054039C" w:rsidRDefault="00AF72CB" w:rsidP="0054039C">
      <w:pPr>
        <w:autoSpaceDE w:val="0"/>
        <w:autoSpaceDN w:val="0"/>
        <w:adjustRightInd w:val="0"/>
        <w:spacing w:after="0" w:line="480" w:lineRule="auto"/>
        <w:jc w:val="both"/>
        <w:rPr>
          <w:rFonts w:ascii="Arial" w:eastAsia="Times New Roman" w:hAnsi="Arial" w:cs="Arial"/>
          <w:bCs/>
          <w:color w:val="595959" w:themeColor="text1" w:themeTint="A6"/>
          <w:szCs w:val="24"/>
        </w:rPr>
      </w:pPr>
      <w:r>
        <w:rPr>
          <w:rFonts w:ascii="Arial" w:eastAsia="Times New Roman" w:hAnsi="Arial" w:cs="Arial"/>
          <w:bCs/>
          <w:noProof/>
          <w:color w:val="595959" w:themeColor="text1" w:themeTint="A6"/>
          <w:szCs w:val="24"/>
        </w:rPr>
        <w:drawing>
          <wp:anchor distT="0" distB="0" distL="114300" distR="114300" simplePos="0" relativeHeight="251658492" behindDoc="0" locked="0" layoutInCell="1" allowOverlap="1" wp14:anchorId="453F94B2" wp14:editId="597F152E">
            <wp:simplePos x="0" y="0"/>
            <wp:positionH relativeFrom="margin">
              <wp:align>center</wp:align>
            </wp:positionH>
            <wp:positionV relativeFrom="paragraph">
              <wp:posOffset>7620</wp:posOffset>
            </wp:positionV>
            <wp:extent cx="3474720" cy="2731135"/>
            <wp:effectExtent l="0" t="0" r="0" b="0"/>
            <wp:wrapNone/>
            <wp:docPr id="1597" name="Picture 1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474720" cy="2731135"/>
                    </a:xfrm>
                    <a:prstGeom prst="rect">
                      <a:avLst/>
                    </a:prstGeom>
                    <a:noFill/>
                  </pic:spPr>
                </pic:pic>
              </a:graphicData>
            </a:graphic>
          </wp:anchor>
        </w:drawing>
      </w:r>
    </w:p>
    <w:p w14:paraId="25126F26" w14:textId="77777777" w:rsidR="0054039C" w:rsidRPr="0054039C" w:rsidRDefault="0054039C" w:rsidP="0054039C">
      <w:pPr>
        <w:autoSpaceDE w:val="0"/>
        <w:autoSpaceDN w:val="0"/>
        <w:adjustRightInd w:val="0"/>
        <w:spacing w:after="0" w:line="480" w:lineRule="auto"/>
        <w:jc w:val="both"/>
        <w:rPr>
          <w:rFonts w:ascii="Arial" w:eastAsia="Times New Roman" w:hAnsi="Arial" w:cs="Arial"/>
          <w:bCs/>
          <w:color w:val="595959" w:themeColor="text1" w:themeTint="A6"/>
          <w:szCs w:val="24"/>
        </w:rPr>
      </w:pPr>
    </w:p>
    <w:p w14:paraId="4F3EC132" w14:textId="77777777" w:rsidR="0054039C" w:rsidRPr="0054039C" w:rsidRDefault="0054039C" w:rsidP="0054039C">
      <w:pPr>
        <w:autoSpaceDE w:val="0"/>
        <w:autoSpaceDN w:val="0"/>
        <w:adjustRightInd w:val="0"/>
        <w:spacing w:after="0" w:line="480" w:lineRule="auto"/>
        <w:jc w:val="both"/>
        <w:rPr>
          <w:rFonts w:ascii="Arial" w:eastAsia="Times New Roman" w:hAnsi="Arial" w:cs="Arial"/>
          <w:bCs/>
          <w:color w:val="595959" w:themeColor="text1" w:themeTint="A6"/>
          <w:szCs w:val="24"/>
        </w:rPr>
      </w:pPr>
    </w:p>
    <w:p w14:paraId="35868470" w14:textId="77777777" w:rsidR="0054039C" w:rsidRPr="0054039C" w:rsidRDefault="0054039C" w:rsidP="0054039C">
      <w:pPr>
        <w:autoSpaceDE w:val="0"/>
        <w:autoSpaceDN w:val="0"/>
        <w:adjustRightInd w:val="0"/>
        <w:spacing w:after="0" w:line="480" w:lineRule="auto"/>
        <w:jc w:val="both"/>
        <w:rPr>
          <w:rFonts w:ascii="Arial" w:eastAsia="Times New Roman" w:hAnsi="Arial" w:cs="Arial"/>
          <w:bCs/>
          <w:color w:val="595959" w:themeColor="text1" w:themeTint="A6"/>
          <w:szCs w:val="24"/>
        </w:rPr>
      </w:pPr>
    </w:p>
    <w:p w14:paraId="04939E66" w14:textId="77777777" w:rsidR="0054039C" w:rsidRPr="0054039C" w:rsidRDefault="0054039C" w:rsidP="0054039C">
      <w:pPr>
        <w:autoSpaceDE w:val="0"/>
        <w:autoSpaceDN w:val="0"/>
        <w:adjustRightInd w:val="0"/>
        <w:spacing w:after="0" w:line="480" w:lineRule="auto"/>
        <w:jc w:val="both"/>
        <w:rPr>
          <w:rFonts w:ascii="Arial" w:eastAsia="Times New Roman" w:hAnsi="Arial" w:cs="Arial"/>
          <w:bCs/>
          <w:color w:val="595959" w:themeColor="text1" w:themeTint="A6"/>
          <w:szCs w:val="24"/>
        </w:rPr>
      </w:pPr>
    </w:p>
    <w:p w14:paraId="2E305D23" w14:textId="77777777" w:rsidR="0054039C" w:rsidRPr="0054039C" w:rsidRDefault="0054039C" w:rsidP="0054039C">
      <w:pPr>
        <w:autoSpaceDE w:val="0"/>
        <w:autoSpaceDN w:val="0"/>
        <w:adjustRightInd w:val="0"/>
        <w:spacing w:after="0" w:line="480" w:lineRule="auto"/>
        <w:jc w:val="both"/>
        <w:rPr>
          <w:rFonts w:ascii="Arial" w:eastAsia="Times New Roman" w:hAnsi="Arial" w:cs="Arial"/>
          <w:bCs/>
          <w:color w:val="595959" w:themeColor="text1" w:themeTint="A6"/>
          <w:szCs w:val="24"/>
        </w:rPr>
      </w:pPr>
    </w:p>
    <w:p w14:paraId="1071D665" w14:textId="77777777" w:rsidR="0054039C" w:rsidRPr="0054039C" w:rsidRDefault="0054039C" w:rsidP="0054039C">
      <w:pPr>
        <w:autoSpaceDE w:val="0"/>
        <w:autoSpaceDN w:val="0"/>
        <w:adjustRightInd w:val="0"/>
        <w:spacing w:after="0" w:line="480" w:lineRule="auto"/>
        <w:jc w:val="both"/>
        <w:rPr>
          <w:rFonts w:ascii="Arial" w:eastAsia="Times New Roman" w:hAnsi="Arial" w:cs="Arial"/>
          <w:bCs/>
          <w:color w:val="595959" w:themeColor="text1" w:themeTint="A6"/>
          <w:szCs w:val="24"/>
        </w:rPr>
      </w:pPr>
    </w:p>
    <w:p w14:paraId="7A3A8986" w14:textId="77777777" w:rsidR="0054039C" w:rsidRPr="0054039C" w:rsidRDefault="0054039C" w:rsidP="0054039C">
      <w:pPr>
        <w:autoSpaceDE w:val="0"/>
        <w:autoSpaceDN w:val="0"/>
        <w:adjustRightInd w:val="0"/>
        <w:spacing w:after="0" w:line="480" w:lineRule="auto"/>
        <w:jc w:val="both"/>
        <w:rPr>
          <w:rFonts w:ascii="Arial" w:eastAsia="Times New Roman" w:hAnsi="Arial" w:cs="Arial"/>
          <w:bCs/>
          <w:color w:val="595959" w:themeColor="text1" w:themeTint="A6"/>
          <w:szCs w:val="24"/>
        </w:rPr>
      </w:pPr>
    </w:p>
    <w:p w14:paraId="32BAD9A9" w14:textId="77777777" w:rsidR="0054039C" w:rsidRPr="0054039C" w:rsidRDefault="0054039C" w:rsidP="0054039C">
      <w:pPr>
        <w:autoSpaceDE w:val="0"/>
        <w:autoSpaceDN w:val="0"/>
        <w:adjustRightInd w:val="0"/>
        <w:spacing w:after="0" w:line="480" w:lineRule="auto"/>
        <w:jc w:val="both"/>
        <w:rPr>
          <w:rFonts w:ascii="Arial" w:eastAsia="Times New Roman" w:hAnsi="Arial" w:cs="Arial"/>
          <w:bCs/>
          <w:color w:val="595959" w:themeColor="text1" w:themeTint="A6"/>
          <w:szCs w:val="24"/>
        </w:rPr>
      </w:pPr>
    </w:p>
    <w:p w14:paraId="453CE529" w14:textId="77777777" w:rsidR="0054039C" w:rsidRPr="0054039C" w:rsidRDefault="0054039C" w:rsidP="0054039C">
      <w:pPr>
        <w:autoSpaceDE w:val="0"/>
        <w:autoSpaceDN w:val="0"/>
        <w:adjustRightInd w:val="0"/>
        <w:spacing w:after="0" w:line="480" w:lineRule="auto"/>
        <w:jc w:val="both"/>
        <w:rPr>
          <w:rFonts w:ascii="Arial" w:eastAsia="Times New Roman" w:hAnsi="Arial" w:cs="Arial"/>
          <w:bCs/>
          <w:color w:val="595959" w:themeColor="text1" w:themeTint="A6"/>
          <w:szCs w:val="24"/>
        </w:rPr>
      </w:pPr>
    </w:p>
    <w:p w14:paraId="4C303BA6" w14:textId="77777777" w:rsidR="0054039C" w:rsidRPr="0054039C" w:rsidRDefault="0054039C" w:rsidP="0054039C">
      <w:pPr>
        <w:autoSpaceDE w:val="0"/>
        <w:autoSpaceDN w:val="0"/>
        <w:adjustRightInd w:val="0"/>
        <w:spacing w:after="0" w:line="480" w:lineRule="auto"/>
        <w:jc w:val="both"/>
        <w:rPr>
          <w:rFonts w:ascii="Arial" w:eastAsia="Times New Roman" w:hAnsi="Arial" w:cs="Arial"/>
          <w:bCs/>
          <w:color w:val="595959" w:themeColor="text1" w:themeTint="A6"/>
          <w:szCs w:val="24"/>
        </w:rPr>
      </w:pPr>
    </w:p>
    <w:p w14:paraId="716D1C67" w14:textId="77777777" w:rsidR="0054039C" w:rsidRPr="0054039C" w:rsidRDefault="0054039C" w:rsidP="0054039C">
      <w:pPr>
        <w:autoSpaceDE w:val="0"/>
        <w:autoSpaceDN w:val="0"/>
        <w:adjustRightInd w:val="0"/>
        <w:spacing w:after="0" w:line="480" w:lineRule="auto"/>
        <w:jc w:val="both"/>
        <w:rPr>
          <w:rFonts w:ascii="Arial" w:eastAsia="Times New Roman" w:hAnsi="Arial" w:cs="Arial"/>
          <w:bCs/>
          <w:color w:val="595959" w:themeColor="text1" w:themeTint="A6"/>
          <w:szCs w:val="24"/>
        </w:rPr>
      </w:pPr>
      <w:r w:rsidRPr="0054039C">
        <w:rPr>
          <w:rFonts w:ascii="Arial" w:hAnsi="Arial" w:cs="Arial"/>
          <w:noProof/>
          <w:color w:val="595959" w:themeColor="text1" w:themeTint="A6"/>
          <w:sz w:val="24"/>
          <w:szCs w:val="24"/>
          <w:lang w:eastAsia="zh-CN"/>
        </w:rPr>
        <mc:AlternateContent>
          <mc:Choice Requires="wps">
            <w:drawing>
              <wp:anchor distT="0" distB="0" distL="114300" distR="114300" simplePos="0" relativeHeight="251658301" behindDoc="0" locked="0" layoutInCell="1" allowOverlap="1" wp14:anchorId="015BDF48" wp14:editId="2A1ACBA5">
                <wp:simplePos x="0" y="0"/>
                <wp:positionH relativeFrom="margin">
                  <wp:align>right</wp:align>
                </wp:positionH>
                <wp:positionV relativeFrom="paragraph">
                  <wp:posOffset>12700</wp:posOffset>
                </wp:positionV>
                <wp:extent cx="5724525" cy="1457325"/>
                <wp:effectExtent l="0" t="0" r="9525" b="9525"/>
                <wp:wrapNone/>
                <wp:docPr id="20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1457325"/>
                        </a:xfrm>
                        <a:prstGeom prst="rect">
                          <a:avLst/>
                        </a:prstGeom>
                        <a:solidFill>
                          <a:srgbClr val="FFFFFF"/>
                        </a:solidFill>
                        <a:ln w="9525">
                          <a:noFill/>
                          <a:miter lim="800000"/>
                          <a:headEnd/>
                          <a:tailEnd/>
                        </a:ln>
                      </wps:spPr>
                      <wps:txbx>
                        <w:txbxContent>
                          <w:p w14:paraId="44B32EF7" w14:textId="622BBB20" w:rsidR="008A47AC" w:rsidRDefault="008A47AC" w:rsidP="0054039C">
                            <w:pPr>
                              <w:pStyle w:val="NormalWeb"/>
                              <w:spacing w:after="200"/>
                              <w:jc w:val="both"/>
                            </w:pPr>
                            <w:r>
                              <w:rPr>
                                <w:rFonts w:ascii="Arial Narrow" w:eastAsia="SimSun" w:hAnsi="Arial Narrow" w:cs="Arial"/>
                                <w:b/>
                                <w:bCs/>
                                <w:color w:val="595959"/>
                                <w:kern w:val="24"/>
                                <w:sz w:val="22"/>
                                <w:szCs w:val="22"/>
                              </w:rPr>
                              <w:t xml:space="preserve">Figure 3.26 Long-term expression data for the ECM marker </w:t>
                            </w:r>
                            <w:r>
                              <w:rPr>
                                <w:rFonts w:ascii="Arial Narrow" w:eastAsia="SimSun" w:hAnsi="Arial Narrow" w:cs="Arial"/>
                                <w:b/>
                                <w:color w:val="595959"/>
                                <w:kern w:val="24"/>
                                <w:sz w:val="22"/>
                                <w:szCs w:val="22"/>
                              </w:rPr>
                              <w:t xml:space="preserve">FN1-EDA in CAF </w:t>
                            </w:r>
                            <w:r>
                              <w:rPr>
                                <w:rFonts w:ascii="Arial Narrow" w:eastAsia="SimSun" w:hAnsi="Arial Narrow" w:cs="Arial"/>
                                <w:b/>
                                <w:bCs/>
                                <w:color w:val="595959"/>
                                <w:kern w:val="24"/>
                                <w:sz w:val="22"/>
                                <w:szCs w:val="22"/>
                              </w:rPr>
                              <w:t>with and without TGFβ-1 stimulation</w:t>
                            </w:r>
                            <w:r>
                              <w:rPr>
                                <w:rFonts w:ascii="Arial Narrow" w:eastAsia="SimSun" w:hAnsi="Arial Narrow" w:cs="Arial"/>
                                <w:b/>
                                <w:color w:val="595959"/>
                                <w:kern w:val="24"/>
                                <w:sz w:val="22"/>
                                <w:szCs w:val="22"/>
                              </w:rPr>
                              <w:t xml:space="preserve"> </w:t>
                            </w:r>
                            <w:r>
                              <w:rPr>
                                <w:rFonts w:ascii="Arial Narrow" w:eastAsia="SimSun" w:hAnsi="Arial Narrow" w:cs="Arial"/>
                                <w:b/>
                                <w:bCs/>
                                <w:color w:val="595959"/>
                                <w:kern w:val="24"/>
                                <w:sz w:val="22"/>
                                <w:szCs w:val="22"/>
                              </w:rPr>
                              <w:t xml:space="preserve">  </w:t>
                            </w:r>
                          </w:p>
                          <w:p w14:paraId="291D8170" w14:textId="77777777" w:rsidR="008A47AC" w:rsidRPr="00B612DF" w:rsidRDefault="008A47AC" w:rsidP="0054039C">
                            <w:pPr>
                              <w:pStyle w:val="NormalWeb"/>
                              <w:spacing w:after="200" w:line="276" w:lineRule="auto"/>
                              <w:jc w:val="both"/>
                              <w:rPr>
                                <w:rFonts w:ascii="Arial Narrow" w:eastAsia="SimSun" w:hAnsi="Arial Narrow" w:cs="Arial"/>
                                <w:color w:val="595959"/>
                                <w:kern w:val="24"/>
                                <w:sz w:val="22"/>
                                <w:szCs w:val="22"/>
                              </w:rPr>
                            </w:pPr>
                            <w:r>
                              <w:rPr>
                                <w:rFonts w:ascii="Arial Narrow" w:eastAsia="SimSun" w:hAnsi="Arial Narrow" w:cs="Arial"/>
                                <w:color w:val="595959"/>
                                <w:kern w:val="24"/>
                                <w:sz w:val="22"/>
                              </w:rPr>
                              <w:t xml:space="preserve">CAF 2D monolayers were treated </w:t>
                            </w:r>
                            <w:r>
                              <w:rPr>
                                <w:rFonts w:ascii="Arial Narrow" w:eastAsia="SimSun" w:hAnsi="Arial Narrow" w:cs="Arial"/>
                                <w:color w:val="595959"/>
                                <w:kern w:val="24"/>
                                <w:sz w:val="22"/>
                                <w:szCs w:val="22"/>
                              </w:rPr>
                              <w:t xml:space="preserve">with 2 ng/ml TGFβ-1 up to 72 h + 14 days </w:t>
                            </w:r>
                            <w:r>
                              <w:rPr>
                                <w:rFonts w:ascii="Arial Narrow" w:eastAsia="SimSun" w:hAnsi="Arial Narrow" w:cs="Arial"/>
                                <w:color w:val="595959"/>
                                <w:kern w:val="24"/>
                                <w:sz w:val="22"/>
                              </w:rPr>
                              <w:t xml:space="preserve">and the gene expression for </w:t>
                            </w:r>
                            <w:r>
                              <w:rPr>
                                <w:rFonts w:ascii="Arial Narrow" w:eastAsia="SimSun" w:hAnsi="Arial Narrow" w:cs="Arial"/>
                                <w:color w:val="595959"/>
                                <w:kern w:val="24"/>
                                <w:sz w:val="22"/>
                                <w:szCs w:val="22"/>
                              </w:rPr>
                              <w:t xml:space="preserve">FN1-EDA was </w:t>
                            </w:r>
                            <w:r>
                              <w:rPr>
                                <w:rFonts w:ascii="Arial Narrow" w:eastAsia="SimSun" w:hAnsi="Arial Narrow" w:cs="Arial"/>
                                <w:color w:val="595959"/>
                                <w:kern w:val="24"/>
                                <w:sz w:val="22"/>
                              </w:rPr>
                              <w:t>determined by qPCR</w:t>
                            </w:r>
                            <w:r>
                              <w:rPr>
                                <w:rFonts w:ascii="Arial Narrow" w:eastAsia="SimSun" w:hAnsi="Arial Narrow" w:cs="Arial"/>
                                <w:color w:val="595959"/>
                                <w:kern w:val="24"/>
                                <w:sz w:val="22"/>
                                <w:szCs w:val="22"/>
                              </w:rPr>
                              <w:t xml:space="preserve">. </w:t>
                            </w:r>
                            <w:r>
                              <w:rPr>
                                <w:rFonts w:ascii="Arial Narrow" w:eastAsia="SimSun" w:hAnsi="Arial Narrow" w:cs="Arial"/>
                                <w:color w:val="595959"/>
                                <w:kern w:val="24"/>
                                <w:sz w:val="22"/>
                              </w:rPr>
                              <w:t xml:space="preserve">Data is expressed as fold change relative to housekeeping gene U6, with mean ± SD. **** denotes p &lt;0.0001 as </w:t>
                            </w:r>
                            <w:r>
                              <w:rPr>
                                <w:rFonts w:ascii="Arial Narrow" w:eastAsia="SimSun" w:hAnsi="Arial Narrow" w:cs="Arial"/>
                                <w:color w:val="595959"/>
                                <w:kern w:val="24"/>
                                <w:sz w:val="22"/>
                                <w:szCs w:val="22"/>
                              </w:rPr>
                              <w:t>analysed by ordinary one-way ANOVA with Dunnett’s multiple comparison. (N=3, n=3).</w:t>
                            </w:r>
                          </w:p>
                          <w:p w14:paraId="6BFB7901" w14:textId="77777777" w:rsidR="008A47AC" w:rsidRPr="00C61619" w:rsidRDefault="008A47AC" w:rsidP="0054039C">
                            <w:pPr>
                              <w:pStyle w:val="NormalWeb"/>
                              <w:spacing w:after="200"/>
                              <w:jc w:val="both"/>
                              <w:rPr>
                                <w:rFonts w:ascii="Arial Narrow" w:eastAsia="SimSun" w:hAnsi="Arial Narrow" w:cs="Arial"/>
                                <w:color w:val="595959"/>
                                <w:kern w:val="24"/>
                                <w:sz w:val="22"/>
                                <w:szCs w:val="22"/>
                              </w:rPr>
                            </w:pPr>
                            <w:r>
                              <w:rPr>
                                <w:rFonts w:ascii="Arial Narrow" w:eastAsia="SimSun" w:hAnsi="Arial Narrow" w:cs="Arial"/>
                                <w:b/>
                                <w:bCs/>
                                <w:color w:val="595959"/>
                                <w:kern w:val="24"/>
                                <w:sz w:val="22"/>
                                <w:szCs w:val="22"/>
                              </w:rPr>
                              <w:t xml:space="preserve"> </w:t>
                            </w:r>
                          </w:p>
                          <w:p w14:paraId="295E1AF8" w14:textId="77777777" w:rsidR="008A47AC" w:rsidRPr="00C61619" w:rsidRDefault="008A47AC" w:rsidP="0054039C">
                            <w:pPr>
                              <w:pStyle w:val="NormalWeb"/>
                              <w:spacing w:after="200" w:line="276" w:lineRule="auto"/>
                              <w:jc w:val="both"/>
                              <w:rPr>
                                <w:rFonts w:ascii="Arial Narrow" w:eastAsia="SimSun" w:hAnsi="Arial Narrow" w:cs="Arial"/>
                                <w:color w:val="595959"/>
                                <w:kern w:val="24"/>
                                <w:sz w:val="22"/>
                                <w:szCs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5BDF48" id="_x0000_s1089" type="#_x0000_t202" style="position:absolute;left:0;text-align:left;margin-left:399.55pt;margin-top:1pt;width:450.75pt;height:114.75pt;z-index:251658301;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" stroked="f">
                <v:textbox>
                  <w:txbxContent>
                    <w:p w14:paraId="44B32EF7" w14:textId="622BBB20" w:rsidR="008A47AC" w:rsidRDefault="008A47AC" w:rsidP="0054039C">
                      <w:pPr>
                        <w:pStyle w:val="NormalWeb"/>
                        <w:spacing w:after="200"/>
                        <w:jc w:val="both"/>
                      </w:pPr>
                      <w:r>
                        <w:rPr>
                          <w:rFonts w:ascii="Arial Narrow" w:eastAsia="SimSun" w:hAnsi="Arial Narrow" w:cs="Arial"/>
                          <w:b/>
                          <w:bCs/>
                          <w:color w:val="595959"/>
                          <w:kern w:val="24"/>
                          <w:sz w:val="22"/>
                          <w:szCs w:val="22"/>
                        </w:rPr>
                        <w:t xml:space="preserve">Figure 3.26 Long-term expression data for the ECM marker </w:t>
                      </w:r>
                      <w:r>
                        <w:rPr>
                          <w:rFonts w:ascii="Arial Narrow" w:eastAsia="SimSun" w:hAnsi="Arial Narrow" w:cs="Arial"/>
                          <w:b/>
                          <w:color w:val="595959"/>
                          <w:kern w:val="24"/>
                          <w:sz w:val="22"/>
                          <w:szCs w:val="22"/>
                        </w:rPr>
                        <w:t xml:space="preserve">FN1-EDA in CAF </w:t>
                      </w:r>
                      <w:r>
                        <w:rPr>
                          <w:rFonts w:ascii="Arial Narrow" w:eastAsia="SimSun" w:hAnsi="Arial Narrow" w:cs="Arial"/>
                          <w:b/>
                          <w:bCs/>
                          <w:color w:val="595959"/>
                          <w:kern w:val="24"/>
                          <w:sz w:val="22"/>
                          <w:szCs w:val="22"/>
                        </w:rPr>
                        <w:t>with and without TGFβ-1 stimulation</w:t>
                      </w:r>
                      <w:r>
                        <w:rPr>
                          <w:rFonts w:ascii="Arial Narrow" w:eastAsia="SimSun" w:hAnsi="Arial Narrow" w:cs="Arial"/>
                          <w:b/>
                          <w:color w:val="595959"/>
                          <w:kern w:val="24"/>
                          <w:sz w:val="22"/>
                          <w:szCs w:val="22"/>
                        </w:rPr>
                        <w:t xml:space="preserve"> </w:t>
                      </w:r>
                      <w:r>
                        <w:rPr>
                          <w:rFonts w:ascii="Arial Narrow" w:eastAsia="SimSun" w:hAnsi="Arial Narrow" w:cs="Arial"/>
                          <w:b/>
                          <w:bCs/>
                          <w:color w:val="595959"/>
                          <w:kern w:val="24"/>
                          <w:sz w:val="22"/>
                          <w:szCs w:val="22"/>
                        </w:rPr>
                        <w:t xml:space="preserve">  </w:t>
                      </w:r>
                    </w:p>
                    <w:p w14:paraId="291D8170" w14:textId="77777777" w:rsidR="008A47AC" w:rsidRPr="00B612DF" w:rsidRDefault="008A47AC" w:rsidP="0054039C">
                      <w:pPr>
                        <w:pStyle w:val="NormalWeb"/>
                        <w:spacing w:after="200" w:line="276" w:lineRule="auto"/>
                        <w:jc w:val="both"/>
                        <w:rPr>
                          <w:rFonts w:ascii="Arial Narrow" w:eastAsia="SimSun" w:hAnsi="Arial Narrow" w:cs="Arial"/>
                          <w:color w:val="595959"/>
                          <w:kern w:val="24"/>
                          <w:sz w:val="22"/>
                          <w:szCs w:val="22"/>
                        </w:rPr>
                      </w:pPr>
                      <w:r>
                        <w:rPr>
                          <w:rFonts w:ascii="Arial Narrow" w:eastAsia="SimSun" w:hAnsi="Arial Narrow" w:cs="Arial"/>
                          <w:color w:val="595959"/>
                          <w:kern w:val="24"/>
                          <w:sz w:val="22"/>
                        </w:rPr>
                        <w:t xml:space="preserve">CAF 2D monolayers were treated </w:t>
                      </w:r>
                      <w:r>
                        <w:rPr>
                          <w:rFonts w:ascii="Arial Narrow" w:eastAsia="SimSun" w:hAnsi="Arial Narrow" w:cs="Arial"/>
                          <w:color w:val="595959"/>
                          <w:kern w:val="24"/>
                          <w:sz w:val="22"/>
                          <w:szCs w:val="22"/>
                        </w:rPr>
                        <w:t xml:space="preserve">with 2 ng/ml TGFβ-1 up to 72 h + 14 days </w:t>
                      </w:r>
                      <w:r>
                        <w:rPr>
                          <w:rFonts w:ascii="Arial Narrow" w:eastAsia="SimSun" w:hAnsi="Arial Narrow" w:cs="Arial"/>
                          <w:color w:val="595959"/>
                          <w:kern w:val="24"/>
                          <w:sz w:val="22"/>
                        </w:rPr>
                        <w:t xml:space="preserve">and the gene expression for </w:t>
                      </w:r>
                      <w:r>
                        <w:rPr>
                          <w:rFonts w:ascii="Arial Narrow" w:eastAsia="SimSun" w:hAnsi="Arial Narrow" w:cs="Arial"/>
                          <w:color w:val="595959"/>
                          <w:kern w:val="24"/>
                          <w:sz w:val="22"/>
                          <w:szCs w:val="22"/>
                        </w:rPr>
                        <w:t xml:space="preserve">FN1-EDA was </w:t>
                      </w:r>
                      <w:r>
                        <w:rPr>
                          <w:rFonts w:ascii="Arial Narrow" w:eastAsia="SimSun" w:hAnsi="Arial Narrow" w:cs="Arial"/>
                          <w:color w:val="595959"/>
                          <w:kern w:val="24"/>
                          <w:sz w:val="22"/>
                        </w:rPr>
                        <w:t>determined by qPCR</w:t>
                      </w:r>
                      <w:r>
                        <w:rPr>
                          <w:rFonts w:ascii="Arial Narrow" w:eastAsia="SimSun" w:hAnsi="Arial Narrow" w:cs="Arial"/>
                          <w:color w:val="595959"/>
                          <w:kern w:val="24"/>
                          <w:sz w:val="22"/>
                          <w:szCs w:val="22"/>
                        </w:rPr>
                        <w:t xml:space="preserve">. </w:t>
                      </w:r>
                      <w:r>
                        <w:rPr>
                          <w:rFonts w:ascii="Arial Narrow" w:eastAsia="SimSun" w:hAnsi="Arial Narrow" w:cs="Arial"/>
                          <w:color w:val="595959"/>
                          <w:kern w:val="24"/>
                          <w:sz w:val="22"/>
                        </w:rPr>
                        <w:t xml:space="preserve">Data is expressed as fold change relative to housekeeping gene U6, with mean ± SD. **** denotes p &lt;0.0001 as </w:t>
                      </w:r>
                      <w:r>
                        <w:rPr>
                          <w:rFonts w:ascii="Arial Narrow" w:eastAsia="SimSun" w:hAnsi="Arial Narrow" w:cs="Arial"/>
                          <w:color w:val="595959"/>
                          <w:kern w:val="24"/>
                          <w:sz w:val="22"/>
                          <w:szCs w:val="22"/>
                        </w:rPr>
                        <w:t>analysed by ordinary one-way ANOVA with Dunnett’s multiple comparison. (N=3, n=3).</w:t>
                      </w:r>
                    </w:p>
                    <w:p w14:paraId="6BFB7901" w14:textId="77777777" w:rsidR="008A47AC" w:rsidRPr="00C61619" w:rsidRDefault="008A47AC" w:rsidP="0054039C">
                      <w:pPr>
                        <w:pStyle w:val="NormalWeb"/>
                        <w:spacing w:after="200"/>
                        <w:jc w:val="both"/>
                        <w:rPr>
                          <w:rFonts w:ascii="Arial Narrow" w:eastAsia="SimSun" w:hAnsi="Arial Narrow" w:cs="Arial"/>
                          <w:color w:val="595959"/>
                          <w:kern w:val="24"/>
                          <w:sz w:val="22"/>
                          <w:szCs w:val="22"/>
                        </w:rPr>
                      </w:pPr>
                      <w:r>
                        <w:rPr>
                          <w:rFonts w:ascii="Arial Narrow" w:eastAsia="SimSun" w:hAnsi="Arial Narrow" w:cs="Arial"/>
                          <w:b/>
                          <w:bCs/>
                          <w:color w:val="595959"/>
                          <w:kern w:val="24"/>
                          <w:sz w:val="22"/>
                          <w:szCs w:val="22"/>
                        </w:rPr>
                        <w:t xml:space="preserve"> </w:t>
                      </w:r>
                    </w:p>
                    <w:p w14:paraId="295E1AF8" w14:textId="77777777" w:rsidR="008A47AC" w:rsidRPr="00C61619" w:rsidRDefault="008A47AC" w:rsidP="0054039C">
                      <w:pPr>
                        <w:pStyle w:val="NormalWeb"/>
                        <w:spacing w:after="200" w:line="276" w:lineRule="auto"/>
                        <w:jc w:val="both"/>
                        <w:rPr>
                          <w:rFonts w:ascii="Arial Narrow" w:eastAsia="SimSun" w:hAnsi="Arial Narrow" w:cs="Arial"/>
                          <w:color w:val="595959"/>
                          <w:kern w:val="24"/>
                          <w:sz w:val="22"/>
                          <w:szCs w:val="22"/>
                        </w:rPr>
                      </w:pPr>
                    </w:p>
                  </w:txbxContent>
                </v:textbox>
                <w10:wrap anchorx="margin"/>
              </v:shape>
            </w:pict>
          </mc:Fallback>
        </mc:AlternateContent>
      </w:r>
    </w:p>
    <w:p w14:paraId="01E7981A" w14:textId="77777777" w:rsidR="0054039C" w:rsidRPr="0054039C" w:rsidRDefault="0054039C" w:rsidP="0054039C">
      <w:pPr>
        <w:autoSpaceDE w:val="0"/>
        <w:autoSpaceDN w:val="0"/>
        <w:adjustRightInd w:val="0"/>
        <w:spacing w:after="0" w:line="480" w:lineRule="auto"/>
        <w:jc w:val="both"/>
        <w:rPr>
          <w:rFonts w:ascii="Arial" w:eastAsia="Times New Roman" w:hAnsi="Arial" w:cs="Arial"/>
          <w:bCs/>
          <w:color w:val="595959" w:themeColor="text1" w:themeTint="A6"/>
          <w:szCs w:val="24"/>
        </w:rPr>
      </w:pPr>
    </w:p>
    <w:p w14:paraId="2CC2DA83" w14:textId="77777777" w:rsidR="0054039C" w:rsidRPr="0054039C" w:rsidRDefault="0054039C" w:rsidP="0054039C">
      <w:pPr>
        <w:autoSpaceDE w:val="0"/>
        <w:autoSpaceDN w:val="0"/>
        <w:adjustRightInd w:val="0"/>
        <w:spacing w:after="0" w:line="480" w:lineRule="auto"/>
        <w:jc w:val="both"/>
        <w:rPr>
          <w:rFonts w:ascii="Arial" w:eastAsia="Times New Roman" w:hAnsi="Arial" w:cs="Arial"/>
          <w:bCs/>
          <w:color w:val="595959" w:themeColor="text1" w:themeTint="A6"/>
          <w:szCs w:val="24"/>
        </w:rPr>
      </w:pPr>
    </w:p>
    <w:p w14:paraId="4A45AEDB" w14:textId="77777777" w:rsidR="0054039C" w:rsidRPr="0054039C" w:rsidRDefault="0054039C" w:rsidP="0054039C">
      <w:pPr>
        <w:autoSpaceDE w:val="0"/>
        <w:autoSpaceDN w:val="0"/>
        <w:adjustRightInd w:val="0"/>
        <w:spacing w:after="0" w:line="480" w:lineRule="auto"/>
        <w:jc w:val="both"/>
        <w:rPr>
          <w:rFonts w:ascii="Arial" w:eastAsia="Times New Roman" w:hAnsi="Arial" w:cs="Arial"/>
          <w:bCs/>
          <w:color w:val="595959" w:themeColor="text1" w:themeTint="A6"/>
          <w:szCs w:val="24"/>
        </w:rPr>
      </w:pPr>
    </w:p>
    <w:p w14:paraId="6E51DB2D" w14:textId="77777777" w:rsidR="0054039C" w:rsidRPr="0054039C" w:rsidRDefault="0054039C" w:rsidP="0054039C">
      <w:pPr>
        <w:autoSpaceDE w:val="0"/>
        <w:autoSpaceDN w:val="0"/>
        <w:adjustRightInd w:val="0"/>
        <w:spacing w:after="0" w:line="480" w:lineRule="auto"/>
        <w:jc w:val="both"/>
        <w:rPr>
          <w:rFonts w:ascii="Arial" w:eastAsia="Times New Roman" w:hAnsi="Arial" w:cs="Arial"/>
          <w:bCs/>
          <w:color w:val="595959" w:themeColor="text1" w:themeTint="A6"/>
          <w:szCs w:val="24"/>
        </w:rPr>
      </w:pPr>
    </w:p>
    <w:p w14:paraId="55524276" w14:textId="77777777" w:rsidR="0054039C" w:rsidRPr="0054039C" w:rsidRDefault="0054039C" w:rsidP="0054039C">
      <w:pPr>
        <w:keepNext/>
        <w:keepLines/>
        <w:spacing w:before="40" w:after="0"/>
        <w:outlineLvl w:val="4"/>
        <w:rPr>
          <w:rFonts w:ascii="Arial" w:eastAsia="Times New Roman" w:hAnsi="Arial" w:cs="Arial"/>
          <w:bCs/>
          <w:color w:val="595959" w:themeColor="text1" w:themeTint="A6"/>
          <w:szCs w:val="24"/>
        </w:rPr>
      </w:pPr>
      <w:bookmarkStart w:id="300" w:name="_Toc7107271"/>
    </w:p>
    <w:p w14:paraId="4FCC7F1C" w14:textId="3F9AA1B9" w:rsidR="0054039C" w:rsidRDefault="0054039C" w:rsidP="0054039C"/>
    <w:p w14:paraId="2A3B00EA" w14:textId="349EC828" w:rsidR="002E3006" w:rsidRPr="0054039C" w:rsidRDefault="002E3006" w:rsidP="0054039C">
      <w:r>
        <w:t xml:space="preserve"> </w:t>
      </w:r>
    </w:p>
    <w:p w14:paraId="733531A1" w14:textId="77777777" w:rsidR="0054039C" w:rsidRPr="0054039C" w:rsidRDefault="0054039C" w:rsidP="0054039C">
      <w:pPr>
        <w:keepNext/>
        <w:keepLines/>
        <w:spacing w:before="40" w:after="0"/>
        <w:outlineLvl w:val="4"/>
        <w:rPr>
          <w:rFonts w:ascii="Arial" w:eastAsia="Times New Roman" w:hAnsi="Arial" w:cs="Arial"/>
          <w:bCs/>
          <w:color w:val="595959" w:themeColor="text1" w:themeTint="A6"/>
          <w:szCs w:val="24"/>
        </w:rPr>
      </w:pPr>
      <w:bookmarkStart w:id="301" w:name="_Toc34208377"/>
      <w:r w:rsidRPr="0054039C">
        <w:rPr>
          <w:rFonts w:ascii="Arial" w:eastAsia="Times New Roman" w:hAnsi="Arial" w:cs="Arial"/>
          <w:bCs/>
          <w:color w:val="595959" w:themeColor="text1" w:themeTint="A6"/>
          <w:szCs w:val="24"/>
        </w:rPr>
        <w:lastRenderedPageBreak/>
        <w:t>3.3.2.2.3 COL1A1 expression by RT-qPCR</w:t>
      </w:r>
      <w:bookmarkEnd w:id="300"/>
      <w:bookmarkEnd w:id="301"/>
    </w:p>
    <w:p w14:paraId="5ABDF33C" w14:textId="77777777" w:rsidR="0054039C" w:rsidRPr="0054039C" w:rsidRDefault="0054039C" w:rsidP="0054039C"/>
    <w:p w14:paraId="4429277A" w14:textId="785647C1" w:rsidR="0054039C" w:rsidRPr="0054039C" w:rsidRDefault="0054039C" w:rsidP="0054039C">
      <w:pPr>
        <w:autoSpaceDE w:val="0"/>
        <w:autoSpaceDN w:val="0"/>
        <w:adjustRightInd w:val="0"/>
        <w:spacing w:after="0" w:line="480" w:lineRule="auto"/>
        <w:jc w:val="both"/>
        <w:rPr>
          <w:rFonts w:ascii="Arial" w:eastAsia="Times New Roman" w:hAnsi="Arial" w:cs="Arial"/>
          <w:bCs/>
          <w:color w:val="595959" w:themeColor="text1" w:themeTint="A6"/>
          <w:szCs w:val="24"/>
        </w:rPr>
      </w:pPr>
      <w:r w:rsidRPr="0054039C">
        <w:rPr>
          <w:rFonts w:ascii="Arial" w:eastAsia="Times New Roman" w:hAnsi="Arial" w:cs="Arial"/>
          <w:bCs/>
          <w:color w:val="595959" w:themeColor="text1" w:themeTint="A6"/>
          <w:szCs w:val="24"/>
        </w:rPr>
        <w:t>COL1A1 transcript expression was variable for both vehicle controls and TGFβ-1 treated samples (Figure 3.</w:t>
      </w:r>
      <w:r w:rsidR="00B41927">
        <w:rPr>
          <w:rFonts w:ascii="Arial" w:eastAsia="Times New Roman" w:hAnsi="Arial" w:cs="Arial"/>
          <w:bCs/>
          <w:color w:val="595959" w:themeColor="text1" w:themeTint="A6"/>
          <w:szCs w:val="24"/>
        </w:rPr>
        <w:t>27</w:t>
      </w:r>
      <w:r w:rsidRPr="0054039C">
        <w:rPr>
          <w:rFonts w:ascii="Arial" w:eastAsia="Times New Roman" w:hAnsi="Arial" w:cs="Arial"/>
          <w:bCs/>
          <w:color w:val="595959" w:themeColor="text1" w:themeTint="A6"/>
          <w:szCs w:val="24"/>
        </w:rPr>
        <w:t xml:space="preserve">). Significant increases in COL1A1 transcript expression were observed at the 48 h + 14-day for both vehicle control samples, with a mean 1.50 ± 0.53-fold increase (p=0.0005) as well as with TGFβ-1 treatment, with an increase of 1.88 ± 0.21, p &lt;0.0001 compared to 24 h + 14 day control samples. Significant decreases in transcript expression were seen for the 72 h + 14 -day vehicle control groups; mean decrease of 0.09 ± 0.04 and for the 24 h + 14-day TGFβ-1 treated CAF with a fold decrease to 0.16 ± 0.11 (p &lt;0.0001). </w:t>
      </w:r>
    </w:p>
    <w:p w14:paraId="79DC559F" w14:textId="77777777" w:rsidR="0054039C" w:rsidRPr="0054039C" w:rsidRDefault="0054039C" w:rsidP="0054039C">
      <w:pPr>
        <w:autoSpaceDE w:val="0"/>
        <w:autoSpaceDN w:val="0"/>
        <w:adjustRightInd w:val="0"/>
        <w:spacing w:after="0" w:line="480" w:lineRule="auto"/>
        <w:jc w:val="both"/>
        <w:rPr>
          <w:rFonts w:ascii="Arial" w:eastAsia="Times New Roman" w:hAnsi="Arial" w:cs="Arial"/>
          <w:bCs/>
          <w:color w:val="595959" w:themeColor="text1" w:themeTint="A6"/>
          <w:szCs w:val="24"/>
        </w:rPr>
      </w:pPr>
    </w:p>
    <w:p w14:paraId="14CDC0F5" w14:textId="7B2B2212" w:rsidR="0054039C" w:rsidRPr="0054039C" w:rsidRDefault="00DC416E" w:rsidP="0054039C">
      <w:pPr>
        <w:autoSpaceDE w:val="0"/>
        <w:autoSpaceDN w:val="0"/>
        <w:adjustRightInd w:val="0"/>
        <w:spacing w:after="0" w:line="480" w:lineRule="auto"/>
        <w:jc w:val="both"/>
        <w:rPr>
          <w:rFonts w:ascii="Arial" w:eastAsia="Times New Roman" w:hAnsi="Arial" w:cs="Arial"/>
          <w:bCs/>
          <w:color w:val="595959" w:themeColor="text1" w:themeTint="A6"/>
          <w:szCs w:val="24"/>
        </w:rPr>
      </w:pPr>
      <w:r>
        <w:rPr>
          <w:rFonts w:ascii="Arial" w:eastAsia="Times New Roman" w:hAnsi="Arial" w:cs="Arial"/>
          <w:bCs/>
          <w:noProof/>
          <w:color w:val="595959" w:themeColor="text1" w:themeTint="A6"/>
          <w:szCs w:val="24"/>
        </w:rPr>
        <w:drawing>
          <wp:anchor distT="0" distB="0" distL="114300" distR="114300" simplePos="0" relativeHeight="251658493" behindDoc="0" locked="0" layoutInCell="1" allowOverlap="1" wp14:anchorId="1BD3ACBA" wp14:editId="46AEE556">
            <wp:simplePos x="0" y="0"/>
            <wp:positionH relativeFrom="margin">
              <wp:posOffset>945515</wp:posOffset>
            </wp:positionH>
            <wp:positionV relativeFrom="paragraph">
              <wp:posOffset>120650</wp:posOffset>
            </wp:positionV>
            <wp:extent cx="3841115" cy="2749550"/>
            <wp:effectExtent l="0" t="0" r="0" b="0"/>
            <wp:wrapNone/>
            <wp:docPr id="1598" name="Picture 1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841115" cy="2749550"/>
                    </a:xfrm>
                    <a:prstGeom prst="rect">
                      <a:avLst/>
                    </a:prstGeom>
                    <a:noFill/>
                  </pic:spPr>
                </pic:pic>
              </a:graphicData>
            </a:graphic>
          </wp:anchor>
        </w:drawing>
      </w:r>
    </w:p>
    <w:p w14:paraId="347024C9" w14:textId="0F2E381B" w:rsidR="0054039C" w:rsidRPr="0054039C" w:rsidRDefault="0054039C" w:rsidP="0054039C">
      <w:pPr>
        <w:autoSpaceDE w:val="0"/>
        <w:autoSpaceDN w:val="0"/>
        <w:adjustRightInd w:val="0"/>
        <w:spacing w:after="0" w:line="480" w:lineRule="auto"/>
        <w:jc w:val="both"/>
        <w:rPr>
          <w:rFonts w:ascii="Arial" w:eastAsia="Times New Roman" w:hAnsi="Arial" w:cs="Arial"/>
          <w:bCs/>
          <w:color w:val="595959" w:themeColor="text1" w:themeTint="A6"/>
          <w:szCs w:val="24"/>
        </w:rPr>
      </w:pPr>
    </w:p>
    <w:p w14:paraId="4D400C2F" w14:textId="77777777" w:rsidR="0054039C" w:rsidRPr="0054039C" w:rsidRDefault="0054039C" w:rsidP="0054039C">
      <w:pPr>
        <w:autoSpaceDE w:val="0"/>
        <w:autoSpaceDN w:val="0"/>
        <w:adjustRightInd w:val="0"/>
        <w:spacing w:after="0" w:line="480" w:lineRule="auto"/>
        <w:jc w:val="both"/>
        <w:rPr>
          <w:rFonts w:ascii="Arial" w:eastAsia="Times New Roman" w:hAnsi="Arial" w:cs="Arial"/>
          <w:bCs/>
          <w:color w:val="595959" w:themeColor="text1" w:themeTint="A6"/>
          <w:szCs w:val="24"/>
        </w:rPr>
      </w:pPr>
    </w:p>
    <w:p w14:paraId="2D2046C2" w14:textId="77777777" w:rsidR="0054039C" w:rsidRPr="0054039C" w:rsidRDefault="0054039C" w:rsidP="0054039C">
      <w:pPr>
        <w:autoSpaceDE w:val="0"/>
        <w:autoSpaceDN w:val="0"/>
        <w:adjustRightInd w:val="0"/>
        <w:spacing w:after="0" w:line="480" w:lineRule="auto"/>
        <w:jc w:val="both"/>
        <w:rPr>
          <w:rFonts w:ascii="Arial" w:eastAsia="Times New Roman" w:hAnsi="Arial" w:cs="Arial"/>
          <w:bCs/>
          <w:color w:val="595959" w:themeColor="text1" w:themeTint="A6"/>
          <w:szCs w:val="24"/>
        </w:rPr>
      </w:pPr>
    </w:p>
    <w:p w14:paraId="4A475898" w14:textId="77777777" w:rsidR="0054039C" w:rsidRPr="0054039C" w:rsidRDefault="0054039C" w:rsidP="0054039C">
      <w:pPr>
        <w:autoSpaceDE w:val="0"/>
        <w:autoSpaceDN w:val="0"/>
        <w:adjustRightInd w:val="0"/>
        <w:spacing w:after="0" w:line="480" w:lineRule="auto"/>
        <w:jc w:val="both"/>
        <w:rPr>
          <w:rFonts w:ascii="Arial" w:eastAsia="Times New Roman" w:hAnsi="Arial" w:cs="Arial"/>
          <w:bCs/>
          <w:color w:val="595959" w:themeColor="text1" w:themeTint="A6"/>
          <w:szCs w:val="24"/>
        </w:rPr>
      </w:pPr>
    </w:p>
    <w:p w14:paraId="2E1E8A13" w14:textId="77777777" w:rsidR="0054039C" w:rsidRPr="0054039C" w:rsidRDefault="0054039C" w:rsidP="0054039C">
      <w:pPr>
        <w:autoSpaceDE w:val="0"/>
        <w:autoSpaceDN w:val="0"/>
        <w:adjustRightInd w:val="0"/>
        <w:spacing w:after="0" w:line="480" w:lineRule="auto"/>
        <w:jc w:val="both"/>
        <w:rPr>
          <w:rFonts w:ascii="Arial" w:eastAsia="Times New Roman" w:hAnsi="Arial" w:cs="Arial"/>
          <w:bCs/>
          <w:color w:val="595959" w:themeColor="text1" w:themeTint="A6"/>
          <w:szCs w:val="24"/>
        </w:rPr>
      </w:pPr>
    </w:p>
    <w:p w14:paraId="64A3BFFC" w14:textId="77777777" w:rsidR="0054039C" w:rsidRPr="0054039C" w:rsidRDefault="0054039C" w:rsidP="0054039C">
      <w:pPr>
        <w:autoSpaceDE w:val="0"/>
        <w:autoSpaceDN w:val="0"/>
        <w:adjustRightInd w:val="0"/>
        <w:spacing w:after="0" w:line="480" w:lineRule="auto"/>
        <w:jc w:val="both"/>
        <w:rPr>
          <w:rFonts w:ascii="Arial" w:eastAsia="Times New Roman" w:hAnsi="Arial" w:cs="Arial"/>
          <w:bCs/>
          <w:color w:val="595959" w:themeColor="text1" w:themeTint="A6"/>
          <w:szCs w:val="24"/>
        </w:rPr>
      </w:pPr>
    </w:p>
    <w:p w14:paraId="79091284" w14:textId="77777777" w:rsidR="0054039C" w:rsidRPr="0054039C" w:rsidRDefault="0054039C" w:rsidP="0054039C">
      <w:pPr>
        <w:autoSpaceDE w:val="0"/>
        <w:autoSpaceDN w:val="0"/>
        <w:adjustRightInd w:val="0"/>
        <w:spacing w:after="0" w:line="480" w:lineRule="auto"/>
        <w:jc w:val="both"/>
        <w:rPr>
          <w:rFonts w:ascii="Arial" w:eastAsia="Times New Roman" w:hAnsi="Arial" w:cs="Arial"/>
          <w:bCs/>
          <w:color w:val="595959" w:themeColor="text1" w:themeTint="A6"/>
          <w:szCs w:val="24"/>
        </w:rPr>
      </w:pPr>
    </w:p>
    <w:p w14:paraId="6C184856" w14:textId="77777777" w:rsidR="0054039C" w:rsidRPr="0054039C" w:rsidRDefault="0054039C" w:rsidP="0054039C">
      <w:pPr>
        <w:autoSpaceDE w:val="0"/>
        <w:autoSpaceDN w:val="0"/>
        <w:adjustRightInd w:val="0"/>
        <w:spacing w:after="0" w:line="480" w:lineRule="auto"/>
        <w:jc w:val="both"/>
        <w:rPr>
          <w:rFonts w:ascii="Arial" w:eastAsia="Times New Roman" w:hAnsi="Arial" w:cs="Arial"/>
          <w:bCs/>
          <w:color w:val="595959" w:themeColor="text1" w:themeTint="A6"/>
          <w:szCs w:val="24"/>
        </w:rPr>
      </w:pPr>
    </w:p>
    <w:p w14:paraId="7A9C0B24" w14:textId="77777777" w:rsidR="0054039C" w:rsidRPr="0054039C" w:rsidRDefault="0054039C" w:rsidP="0054039C">
      <w:pPr>
        <w:autoSpaceDE w:val="0"/>
        <w:autoSpaceDN w:val="0"/>
        <w:adjustRightInd w:val="0"/>
        <w:spacing w:after="0" w:line="480" w:lineRule="auto"/>
        <w:jc w:val="both"/>
        <w:rPr>
          <w:rFonts w:ascii="Arial" w:eastAsia="Times New Roman" w:hAnsi="Arial" w:cs="Arial"/>
          <w:bCs/>
          <w:color w:val="595959" w:themeColor="text1" w:themeTint="A6"/>
          <w:szCs w:val="24"/>
        </w:rPr>
      </w:pPr>
    </w:p>
    <w:p w14:paraId="4F6466AD" w14:textId="77777777" w:rsidR="0054039C" w:rsidRPr="0054039C" w:rsidRDefault="0054039C" w:rsidP="0054039C">
      <w:pPr>
        <w:autoSpaceDE w:val="0"/>
        <w:autoSpaceDN w:val="0"/>
        <w:adjustRightInd w:val="0"/>
        <w:spacing w:after="0" w:line="480" w:lineRule="auto"/>
        <w:jc w:val="both"/>
        <w:rPr>
          <w:rFonts w:ascii="Arial" w:eastAsia="Times New Roman" w:hAnsi="Arial" w:cs="Arial"/>
          <w:bCs/>
          <w:color w:val="595959" w:themeColor="text1" w:themeTint="A6"/>
          <w:szCs w:val="24"/>
        </w:rPr>
      </w:pPr>
      <w:r w:rsidRPr="0054039C">
        <w:rPr>
          <w:rFonts w:ascii="Arial" w:hAnsi="Arial" w:cs="Arial"/>
          <w:noProof/>
          <w:color w:val="595959" w:themeColor="text1" w:themeTint="A6"/>
          <w:sz w:val="24"/>
          <w:szCs w:val="24"/>
          <w:lang w:eastAsia="zh-CN"/>
        </w:rPr>
        <mc:AlternateContent>
          <mc:Choice Requires="wps">
            <w:drawing>
              <wp:anchor distT="0" distB="0" distL="114300" distR="114300" simplePos="0" relativeHeight="251658302" behindDoc="0" locked="0" layoutInCell="1" allowOverlap="1" wp14:anchorId="5020E312" wp14:editId="528F4DBF">
                <wp:simplePos x="0" y="0"/>
                <wp:positionH relativeFrom="margin">
                  <wp:align>right</wp:align>
                </wp:positionH>
                <wp:positionV relativeFrom="paragraph">
                  <wp:posOffset>320675</wp:posOffset>
                </wp:positionV>
                <wp:extent cx="5734050" cy="1381125"/>
                <wp:effectExtent l="0" t="0" r="0" b="9525"/>
                <wp:wrapNone/>
                <wp:docPr id="20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1381125"/>
                        </a:xfrm>
                        <a:prstGeom prst="rect">
                          <a:avLst/>
                        </a:prstGeom>
                        <a:solidFill>
                          <a:srgbClr val="FFFFFF"/>
                        </a:solidFill>
                        <a:ln w="9525">
                          <a:noFill/>
                          <a:miter lim="800000"/>
                          <a:headEnd/>
                          <a:tailEnd/>
                        </a:ln>
                      </wps:spPr>
                      <wps:txbx>
                        <w:txbxContent>
                          <w:p w14:paraId="3F10CF78" w14:textId="6A0D382B" w:rsidR="008A47AC" w:rsidRDefault="008A47AC" w:rsidP="0054039C">
                            <w:pPr>
                              <w:pStyle w:val="NormalWeb"/>
                              <w:spacing w:after="200"/>
                              <w:jc w:val="both"/>
                            </w:pPr>
                            <w:r>
                              <w:rPr>
                                <w:rFonts w:ascii="Arial Narrow" w:eastAsia="SimSun" w:hAnsi="Arial Narrow" w:cs="Arial"/>
                                <w:b/>
                                <w:bCs/>
                                <w:color w:val="595959"/>
                                <w:kern w:val="24"/>
                                <w:sz w:val="22"/>
                                <w:szCs w:val="22"/>
                              </w:rPr>
                              <w:t xml:space="preserve">Figure 3.27 Long-term expression data for the ECM marker </w:t>
                            </w:r>
                            <w:r>
                              <w:rPr>
                                <w:rFonts w:ascii="Arial Narrow" w:eastAsia="SimSun" w:hAnsi="Arial Narrow" w:cs="Arial"/>
                                <w:b/>
                                <w:color w:val="595959"/>
                                <w:kern w:val="24"/>
                                <w:sz w:val="22"/>
                                <w:szCs w:val="22"/>
                              </w:rPr>
                              <w:t xml:space="preserve">COL1A1 in CAF </w:t>
                            </w:r>
                            <w:r>
                              <w:rPr>
                                <w:rFonts w:ascii="Arial Narrow" w:eastAsia="SimSun" w:hAnsi="Arial Narrow" w:cs="Arial"/>
                                <w:b/>
                                <w:bCs/>
                                <w:color w:val="595959"/>
                                <w:kern w:val="24"/>
                                <w:sz w:val="22"/>
                                <w:szCs w:val="22"/>
                              </w:rPr>
                              <w:t>with and without TGFβ-1 stimulation</w:t>
                            </w:r>
                            <w:r>
                              <w:rPr>
                                <w:rFonts w:ascii="Arial Narrow" w:eastAsia="SimSun" w:hAnsi="Arial Narrow" w:cs="Arial"/>
                                <w:b/>
                                <w:color w:val="595959"/>
                                <w:kern w:val="24"/>
                                <w:sz w:val="22"/>
                                <w:szCs w:val="22"/>
                              </w:rPr>
                              <w:t xml:space="preserve"> </w:t>
                            </w:r>
                            <w:r>
                              <w:rPr>
                                <w:rFonts w:ascii="Arial Narrow" w:eastAsia="SimSun" w:hAnsi="Arial Narrow" w:cs="Arial"/>
                                <w:b/>
                                <w:bCs/>
                                <w:color w:val="595959"/>
                                <w:kern w:val="24"/>
                                <w:sz w:val="22"/>
                                <w:szCs w:val="22"/>
                              </w:rPr>
                              <w:t xml:space="preserve">  </w:t>
                            </w:r>
                          </w:p>
                          <w:p w14:paraId="02F3F5B4" w14:textId="77777777" w:rsidR="008A47AC" w:rsidRPr="00B612DF" w:rsidRDefault="008A47AC" w:rsidP="0054039C">
                            <w:pPr>
                              <w:pStyle w:val="NormalWeb"/>
                              <w:spacing w:after="200" w:line="276" w:lineRule="auto"/>
                              <w:jc w:val="both"/>
                              <w:rPr>
                                <w:rFonts w:ascii="Arial Narrow" w:eastAsia="SimSun" w:hAnsi="Arial Narrow" w:cs="Arial"/>
                                <w:color w:val="595959"/>
                                <w:kern w:val="24"/>
                                <w:sz w:val="22"/>
                                <w:szCs w:val="22"/>
                              </w:rPr>
                            </w:pPr>
                            <w:r>
                              <w:rPr>
                                <w:rFonts w:ascii="Arial Narrow" w:eastAsia="SimSun" w:hAnsi="Arial Narrow" w:cs="Arial"/>
                                <w:color w:val="595959"/>
                                <w:kern w:val="24"/>
                                <w:sz w:val="22"/>
                              </w:rPr>
                              <w:t xml:space="preserve">CAF 2D monolayers were treated </w:t>
                            </w:r>
                            <w:r>
                              <w:rPr>
                                <w:rFonts w:ascii="Arial Narrow" w:eastAsia="SimSun" w:hAnsi="Arial Narrow" w:cs="Arial"/>
                                <w:color w:val="595959"/>
                                <w:kern w:val="24"/>
                                <w:sz w:val="22"/>
                                <w:szCs w:val="22"/>
                              </w:rPr>
                              <w:t xml:space="preserve">with 2 ng/ml TGFβ-1 up to 72 h + 14 days </w:t>
                            </w:r>
                            <w:r>
                              <w:rPr>
                                <w:rFonts w:ascii="Arial Narrow" w:eastAsia="SimSun" w:hAnsi="Arial Narrow" w:cs="Arial"/>
                                <w:color w:val="595959"/>
                                <w:kern w:val="24"/>
                                <w:sz w:val="22"/>
                              </w:rPr>
                              <w:t xml:space="preserve">and the gene expression for </w:t>
                            </w:r>
                            <w:r>
                              <w:rPr>
                                <w:rFonts w:ascii="Arial Narrow" w:eastAsia="SimSun" w:hAnsi="Arial Narrow" w:cs="Arial"/>
                                <w:color w:val="595959"/>
                                <w:kern w:val="24"/>
                                <w:sz w:val="22"/>
                                <w:szCs w:val="22"/>
                              </w:rPr>
                              <w:t xml:space="preserve">COL1A1 was </w:t>
                            </w:r>
                            <w:r>
                              <w:rPr>
                                <w:rFonts w:ascii="Arial Narrow" w:eastAsia="SimSun" w:hAnsi="Arial Narrow" w:cs="Arial"/>
                                <w:color w:val="595959"/>
                                <w:kern w:val="24"/>
                                <w:sz w:val="22"/>
                              </w:rPr>
                              <w:t>determined by qPCR</w:t>
                            </w:r>
                            <w:r>
                              <w:rPr>
                                <w:rFonts w:ascii="Arial Narrow" w:eastAsia="SimSun" w:hAnsi="Arial Narrow" w:cs="Arial"/>
                                <w:color w:val="595959"/>
                                <w:kern w:val="24"/>
                                <w:sz w:val="22"/>
                                <w:szCs w:val="22"/>
                              </w:rPr>
                              <w:t xml:space="preserve">. </w:t>
                            </w:r>
                            <w:r>
                              <w:rPr>
                                <w:rFonts w:ascii="Arial Narrow" w:eastAsia="SimSun" w:hAnsi="Arial Narrow" w:cs="Arial"/>
                                <w:color w:val="595959"/>
                                <w:kern w:val="24"/>
                                <w:sz w:val="22"/>
                              </w:rPr>
                              <w:t xml:space="preserve">Data is expressed as fold change relative to housekeeping gene U6, with mean ± SD. *** denotes p &lt;0.001 and **** p &lt;0.0001 as </w:t>
                            </w:r>
                            <w:r>
                              <w:rPr>
                                <w:rFonts w:ascii="Arial Narrow" w:eastAsia="SimSun" w:hAnsi="Arial Narrow" w:cs="Arial"/>
                                <w:color w:val="595959"/>
                                <w:kern w:val="24"/>
                                <w:sz w:val="22"/>
                                <w:szCs w:val="22"/>
                              </w:rPr>
                              <w:t>analysed by ordinary one-way ANOVA with Dunnett’s multiple comparison. (N=3, n=3).</w:t>
                            </w:r>
                          </w:p>
                          <w:p w14:paraId="6425BC53" w14:textId="77777777" w:rsidR="008A47AC" w:rsidRPr="00C61619" w:rsidRDefault="008A47AC" w:rsidP="0054039C">
                            <w:pPr>
                              <w:pStyle w:val="NormalWeb"/>
                              <w:spacing w:after="200"/>
                              <w:jc w:val="both"/>
                              <w:rPr>
                                <w:rFonts w:ascii="Arial Narrow" w:eastAsia="SimSun" w:hAnsi="Arial Narrow" w:cs="Arial"/>
                                <w:color w:val="595959"/>
                                <w:kern w:val="24"/>
                                <w:sz w:val="22"/>
                                <w:szCs w:val="22"/>
                              </w:rPr>
                            </w:pPr>
                            <w:r>
                              <w:rPr>
                                <w:rFonts w:ascii="Arial Narrow" w:eastAsia="SimSun" w:hAnsi="Arial Narrow" w:cs="Arial"/>
                                <w:b/>
                                <w:bCs/>
                                <w:color w:val="595959"/>
                                <w:kern w:val="24"/>
                                <w:sz w:val="22"/>
                                <w:szCs w:val="22"/>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20E312" id="_x0000_s1090" type="#_x0000_t202" style="position:absolute;left:0;text-align:left;margin-left:400.3pt;margin-top:25.25pt;width:451.5pt;height:108.75pt;z-index:25165830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" stroked="f">
                <v:textbox>
                  <w:txbxContent>
                    <w:p w14:paraId="3F10CF78" w14:textId="6A0D382B" w:rsidR="008A47AC" w:rsidRDefault="008A47AC" w:rsidP="0054039C">
                      <w:pPr>
                        <w:pStyle w:val="NormalWeb"/>
                        <w:spacing w:after="200"/>
                        <w:jc w:val="both"/>
                      </w:pPr>
                      <w:r>
                        <w:rPr>
                          <w:rFonts w:ascii="Arial Narrow" w:eastAsia="SimSun" w:hAnsi="Arial Narrow" w:cs="Arial"/>
                          <w:b/>
                          <w:bCs/>
                          <w:color w:val="595959"/>
                          <w:kern w:val="24"/>
                          <w:sz w:val="22"/>
                          <w:szCs w:val="22"/>
                        </w:rPr>
                        <w:t xml:space="preserve">Figure 3.27 Long-term expression data for the ECM marker </w:t>
                      </w:r>
                      <w:r>
                        <w:rPr>
                          <w:rFonts w:ascii="Arial Narrow" w:eastAsia="SimSun" w:hAnsi="Arial Narrow" w:cs="Arial"/>
                          <w:b/>
                          <w:color w:val="595959"/>
                          <w:kern w:val="24"/>
                          <w:sz w:val="22"/>
                          <w:szCs w:val="22"/>
                        </w:rPr>
                        <w:t xml:space="preserve">COL1A1 in CAF </w:t>
                      </w:r>
                      <w:r>
                        <w:rPr>
                          <w:rFonts w:ascii="Arial Narrow" w:eastAsia="SimSun" w:hAnsi="Arial Narrow" w:cs="Arial"/>
                          <w:b/>
                          <w:bCs/>
                          <w:color w:val="595959"/>
                          <w:kern w:val="24"/>
                          <w:sz w:val="22"/>
                          <w:szCs w:val="22"/>
                        </w:rPr>
                        <w:t>with and without TGFβ-1 stimulation</w:t>
                      </w:r>
                      <w:r>
                        <w:rPr>
                          <w:rFonts w:ascii="Arial Narrow" w:eastAsia="SimSun" w:hAnsi="Arial Narrow" w:cs="Arial"/>
                          <w:b/>
                          <w:color w:val="595959"/>
                          <w:kern w:val="24"/>
                          <w:sz w:val="22"/>
                          <w:szCs w:val="22"/>
                        </w:rPr>
                        <w:t xml:space="preserve"> </w:t>
                      </w:r>
                      <w:r>
                        <w:rPr>
                          <w:rFonts w:ascii="Arial Narrow" w:eastAsia="SimSun" w:hAnsi="Arial Narrow" w:cs="Arial"/>
                          <w:b/>
                          <w:bCs/>
                          <w:color w:val="595959"/>
                          <w:kern w:val="24"/>
                          <w:sz w:val="22"/>
                          <w:szCs w:val="22"/>
                        </w:rPr>
                        <w:t xml:space="preserve">  </w:t>
                      </w:r>
                    </w:p>
                    <w:p w14:paraId="02F3F5B4" w14:textId="77777777" w:rsidR="008A47AC" w:rsidRPr="00B612DF" w:rsidRDefault="008A47AC" w:rsidP="0054039C">
                      <w:pPr>
                        <w:pStyle w:val="NormalWeb"/>
                        <w:spacing w:after="200" w:line="276" w:lineRule="auto"/>
                        <w:jc w:val="both"/>
                        <w:rPr>
                          <w:rFonts w:ascii="Arial Narrow" w:eastAsia="SimSun" w:hAnsi="Arial Narrow" w:cs="Arial"/>
                          <w:color w:val="595959"/>
                          <w:kern w:val="24"/>
                          <w:sz w:val="22"/>
                          <w:szCs w:val="22"/>
                        </w:rPr>
                      </w:pPr>
                      <w:r>
                        <w:rPr>
                          <w:rFonts w:ascii="Arial Narrow" w:eastAsia="SimSun" w:hAnsi="Arial Narrow" w:cs="Arial"/>
                          <w:color w:val="595959"/>
                          <w:kern w:val="24"/>
                          <w:sz w:val="22"/>
                        </w:rPr>
                        <w:t xml:space="preserve">CAF 2D monolayers were treated </w:t>
                      </w:r>
                      <w:r>
                        <w:rPr>
                          <w:rFonts w:ascii="Arial Narrow" w:eastAsia="SimSun" w:hAnsi="Arial Narrow" w:cs="Arial"/>
                          <w:color w:val="595959"/>
                          <w:kern w:val="24"/>
                          <w:sz w:val="22"/>
                          <w:szCs w:val="22"/>
                        </w:rPr>
                        <w:t xml:space="preserve">with 2 ng/ml TGFβ-1 up to 72 h + 14 days </w:t>
                      </w:r>
                      <w:r>
                        <w:rPr>
                          <w:rFonts w:ascii="Arial Narrow" w:eastAsia="SimSun" w:hAnsi="Arial Narrow" w:cs="Arial"/>
                          <w:color w:val="595959"/>
                          <w:kern w:val="24"/>
                          <w:sz w:val="22"/>
                        </w:rPr>
                        <w:t xml:space="preserve">and the gene expression for </w:t>
                      </w:r>
                      <w:r>
                        <w:rPr>
                          <w:rFonts w:ascii="Arial Narrow" w:eastAsia="SimSun" w:hAnsi="Arial Narrow" w:cs="Arial"/>
                          <w:color w:val="595959"/>
                          <w:kern w:val="24"/>
                          <w:sz w:val="22"/>
                          <w:szCs w:val="22"/>
                        </w:rPr>
                        <w:t xml:space="preserve">COL1A1 was </w:t>
                      </w:r>
                      <w:r>
                        <w:rPr>
                          <w:rFonts w:ascii="Arial Narrow" w:eastAsia="SimSun" w:hAnsi="Arial Narrow" w:cs="Arial"/>
                          <w:color w:val="595959"/>
                          <w:kern w:val="24"/>
                          <w:sz w:val="22"/>
                        </w:rPr>
                        <w:t>determined by qPCR</w:t>
                      </w:r>
                      <w:r>
                        <w:rPr>
                          <w:rFonts w:ascii="Arial Narrow" w:eastAsia="SimSun" w:hAnsi="Arial Narrow" w:cs="Arial"/>
                          <w:color w:val="595959"/>
                          <w:kern w:val="24"/>
                          <w:sz w:val="22"/>
                          <w:szCs w:val="22"/>
                        </w:rPr>
                        <w:t xml:space="preserve">. </w:t>
                      </w:r>
                      <w:r>
                        <w:rPr>
                          <w:rFonts w:ascii="Arial Narrow" w:eastAsia="SimSun" w:hAnsi="Arial Narrow" w:cs="Arial"/>
                          <w:color w:val="595959"/>
                          <w:kern w:val="24"/>
                          <w:sz w:val="22"/>
                        </w:rPr>
                        <w:t xml:space="preserve">Data is expressed as fold change relative to housekeeping gene U6, with mean ± SD. *** denotes p &lt;0.001 and **** p &lt;0.0001 as </w:t>
                      </w:r>
                      <w:r>
                        <w:rPr>
                          <w:rFonts w:ascii="Arial Narrow" w:eastAsia="SimSun" w:hAnsi="Arial Narrow" w:cs="Arial"/>
                          <w:color w:val="595959"/>
                          <w:kern w:val="24"/>
                          <w:sz w:val="22"/>
                          <w:szCs w:val="22"/>
                        </w:rPr>
                        <w:t>analysed by ordinary one-way ANOVA with Dunnett’s multiple comparison. (N=3, n=3).</w:t>
                      </w:r>
                    </w:p>
                    <w:p w14:paraId="6425BC53" w14:textId="77777777" w:rsidR="008A47AC" w:rsidRPr="00C61619" w:rsidRDefault="008A47AC" w:rsidP="0054039C">
                      <w:pPr>
                        <w:pStyle w:val="NormalWeb"/>
                        <w:spacing w:after="200"/>
                        <w:jc w:val="both"/>
                        <w:rPr>
                          <w:rFonts w:ascii="Arial Narrow" w:eastAsia="SimSun" w:hAnsi="Arial Narrow" w:cs="Arial"/>
                          <w:color w:val="595959"/>
                          <w:kern w:val="24"/>
                          <w:sz w:val="22"/>
                          <w:szCs w:val="22"/>
                        </w:rPr>
                      </w:pPr>
                      <w:r>
                        <w:rPr>
                          <w:rFonts w:ascii="Arial Narrow" w:eastAsia="SimSun" w:hAnsi="Arial Narrow" w:cs="Arial"/>
                          <w:b/>
                          <w:bCs/>
                          <w:color w:val="595959"/>
                          <w:kern w:val="24"/>
                          <w:sz w:val="22"/>
                          <w:szCs w:val="22"/>
                        </w:rPr>
                        <w:t xml:space="preserve"> </w:t>
                      </w:r>
                    </w:p>
                  </w:txbxContent>
                </v:textbox>
                <w10:wrap anchorx="margin"/>
              </v:shape>
            </w:pict>
          </mc:Fallback>
        </mc:AlternateContent>
      </w:r>
    </w:p>
    <w:p w14:paraId="59C3EBC3" w14:textId="77777777" w:rsidR="0054039C" w:rsidRPr="0054039C" w:rsidRDefault="0054039C" w:rsidP="0054039C">
      <w:pPr>
        <w:autoSpaceDE w:val="0"/>
        <w:autoSpaceDN w:val="0"/>
        <w:adjustRightInd w:val="0"/>
        <w:spacing w:after="0" w:line="480" w:lineRule="auto"/>
        <w:jc w:val="both"/>
        <w:rPr>
          <w:rFonts w:ascii="Arial" w:eastAsia="Times New Roman" w:hAnsi="Arial" w:cs="Arial"/>
          <w:bCs/>
          <w:color w:val="595959" w:themeColor="text1" w:themeTint="A6"/>
          <w:szCs w:val="24"/>
        </w:rPr>
      </w:pPr>
    </w:p>
    <w:p w14:paraId="4C388DC7" w14:textId="77777777" w:rsidR="0054039C" w:rsidRPr="0054039C" w:rsidRDefault="0054039C" w:rsidP="0054039C">
      <w:pPr>
        <w:autoSpaceDE w:val="0"/>
        <w:autoSpaceDN w:val="0"/>
        <w:adjustRightInd w:val="0"/>
        <w:spacing w:after="0" w:line="480" w:lineRule="auto"/>
        <w:jc w:val="both"/>
        <w:rPr>
          <w:rFonts w:ascii="Arial" w:eastAsia="Times New Roman" w:hAnsi="Arial" w:cs="Arial"/>
          <w:bCs/>
          <w:color w:val="595959" w:themeColor="text1" w:themeTint="A6"/>
          <w:szCs w:val="24"/>
        </w:rPr>
      </w:pPr>
    </w:p>
    <w:p w14:paraId="30A3E163" w14:textId="77777777" w:rsidR="0054039C" w:rsidRPr="0054039C" w:rsidRDefault="0054039C" w:rsidP="0054039C">
      <w:pPr>
        <w:autoSpaceDE w:val="0"/>
        <w:autoSpaceDN w:val="0"/>
        <w:adjustRightInd w:val="0"/>
        <w:spacing w:after="0" w:line="480" w:lineRule="auto"/>
        <w:jc w:val="both"/>
        <w:rPr>
          <w:rFonts w:ascii="Arial" w:eastAsia="Times New Roman" w:hAnsi="Arial" w:cs="Arial"/>
          <w:bCs/>
          <w:color w:val="595959" w:themeColor="text1" w:themeTint="A6"/>
          <w:szCs w:val="24"/>
        </w:rPr>
      </w:pPr>
    </w:p>
    <w:p w14:paraId="1A0A617E" w14:textId="77777777" w:rsidR="0054039C" w:rsidRPr="0054039C" w:rsidRDefault="0054039C" w:rsidP="0054039C">
      <w:pPr>
        <w:autoSpaceDE w:val="0"/>
        <w:autoSpaceDN w:val="0"/>
        <w:adjustRightInd w:val="0"/>
        <w:spacing w:after="0" w:line="480" w:lineRule="auto"/>
        <w:jc w:val="both"/>
        <w:rPr>
          <w:rFonts w:ascii="Arial" w:eastAsia="Times New Roman" w:hAnsi="Arial" w:cs="Arial"/>
          <w:bCs/>
          <w:color w:val="595959" w:themeColor="text1" w:themeTint="A6"/>
          <w:szCs w:val="24"/>
        </w:rPr>
      </w:pPr>
    </w:p>
    <w:p w14:paraId="1B4AE00A" w14:textId="77777777" w:rsidR="0054039C" w:rsidRPr="0054039C" w:rsidRDefault="0054039C" w:rsidP="0054039C">
      <w:pPr>
        <w:autoSpaceDE w:val="0"/>
        <w:autoSpaceDN w:val="0"/>
        <w:adjustRightInd w:val="0"/>
        <w:spacing w:after="0" w:line="480" w:lineRule="auto"/>
        <w:jc w:val="both"/>
        <w:rPr>
          <w:rFonts w:ascii="Arial" w:eastAsia="Times New Roman" w:hAnsi="Arial" w:cs="Arial"/>
          <w:bCs/>
          <w:color w:val="595959" w:themeColor="text1" w:themeTint="A6"/>
          <w:szCs w:val="24"/>
        </w:rPr>
      </w:pPr>
    </w:p>
    <w:p w14:paraId="22819B21" w14:textId="77777777" w:rsidR="0054039C" w:rsidRPr="0054039C" w:rsidRDefault="0054039C" w:rsidP="0054039C">
      <w:pPr>
        <w:autoSpaceDE w:val="0"/>
        <w:autoSpaceDN w:val="0"/>
        <w:adjustRightInd w:val="0"/>
        <w:spacing w:after="0" w:line="480" w:lineRule="auto"/>
        <w:jc w:val="both"/>
        <w:rPr>
          <w:rFonts w:ascii="Arial" w:eastAsia="Times New Roman" w:hAnsi="Arial" w:cs="Arial"/>
          <w:bCs/>
          <w:color w:val="595959" w:themeColor="text1" w:themeTint="A6"/>
          <w:szCs w:val="24"/>
        </w:rPr>
      </w:pPr>
    </w:p>
    <w:p w14:paraId="6128FD01" w14:textId="77777777" w:rsidR="0054039C" w:rsidRPr="0054039C" w:rsidRDefault="0054039C" w:rsidP="0054039C">
      <w:pPr>
        <w:autoSpaceDE w:val="0"/>
        <w:autoSpaceDN w:val="0"/>
        <w:adjustRightInd w:val="0"/>
        <w:spacing w:after="0" w:line="480" w:lineRule="auto"/>
        <w:jc w:val="both"/>
        <w:rPr>
          <w:rFonts w:ascii="Arial" w:eastAsia="Times New Roman" w:hAnsi="Arial" w:cs="Arial"/>
          <w:bCs/>
          <w:color w:val="595959" w:themeColor="text1" w:themeTint="A6"/>
          <w:szCs w:val="24"/>
        </w:rPr>
      </w:pPr>
    </w:p>
    <w:p w14:paraId="7C7EFC28" w14:textId="77777777" w:rsidR="0054039C" w:rsidRPr="0054039C" w:rsidRDefault="0054039C" w:rsidP="0054039C">
      <w:pPr>
        <w:keepNext/>
        <w:keepLines/>
        <w:spacing w:before="40" w:after="0"/>
        <w:outlineLvl w:val="4"/>
        <w:rPr>
          <w:rFonts w:ascii="Arial" w:eastAsia="Times New Roman" w:hAnsi="Arial" w:cs="Arial"/>
          <w:bCs/>
          <w:color w:val="595959" w:themeColor="text1" w:themeTint="A6"/>
          <w:szCs w:val="24"/>
        </w:rPr>
      </w:pPr>
      <w:bookmarkStart w:id="302" w:name="_Toc7107272"/>
      <w:bookmarkStart w:id="303" w:name="_Toc34208378"/>
      <w:r w:rsidRPr="0054039C">
        <w:rPr>
          <w:rFonts w:ascii="Arial" w:eastAsia="Times New Roman" w:hAnsi="Arial" w:cs="Arial"/>
          <w:bCs/>
          <w:color w:val="595959" w:themeColor="text1" w:themeTint="A6"/>
          <w:szCs w:val="24"/>
        </w:rPr>
        <w:lastRenderedPageBreak/>
        <w:t>3.3.2.2.4 VCAN expression by RT-qPCR</w:t>
      </w:r>
      <w:bookmarkEnd w:id="302"/>
      <w:bookmarkEnd w:id="303"/>
    </w:p>
    <w:p w14:paraId="2E9C80D8" w14:textId="77777777" w:rsidR="0054039C" w:rsidRPr="0054039C" w:rsidRDefault="0054039C" w:rsidP="0054039C"/>
    <w:p w14:paraId="4507B11D" w14:textId="0D74EDBF" w:rsidR="0054039C" w:rsidRPr="0054039C" w:rsidRDefault="0054039C" w:rsidP="0054039C">
      <w:pPr>
        <w:autoSpaceDE w:val="0"/>
        <w:autoSpaceDN w:val="0"/>
        <w:adjustRightInd w:val="0"/>
        <w:spacing w:after="0" w:line="480" w:lineRule="auto"/>
        <w:jc w:val="both"/>
        <w:rPr>
          <w:rFonts w:ascii="Arial" w:eastAsia="Times New Roman" w:hAnsi="Arial" w:cs="Arial"/>
          <w:bCs/>
          <w:color w:val="595959" w:themeColor="text1" w:themeTint="A6"/>
          <w:szCs w:val="24"/>
        </w:rPr>
      </w:pPr>
      <w:r w:rsidRPr="0054039C">
        <w:rPr>
          <w:rFonts w:ascii="Arial" w:eastAsia="Times New Roman" w:hAnsi="Arial" w:cs="Arial"/>
          <w:bCs/>
          <w:color w:val="595959" w:themeColor="text1" w:themeTint="A6"/>
          <w:szCs w:val="24"/>
        </w:rPr>
        <w:t>VCAN transcript expression was maintained long-term in CAF cultures with TGFβ -1 (Figure 3.</w:t>
      </w:r>
      <w:r w:rsidR="00C86161">
        <w:rPr>
          <w:rFonts w:ascii="Arial" w:eastAsia="Times New Roman" w:hAnsi="Arial" w:cs="Arial"/>
          <w:bCs/>
          <w:color w:val="595959" w:themeColor="text1" w:themeTint="A6"/>
          <w:szCs w:val="24"/>
        </w:rPr>
        <w:t>28</w:t>
      </w:r>
      <w:r w:rsidRPr="0054039C">
        <w:rPr>
          <w:rFonts w:ascii="Arial" w:eastAsia="Times New Roman" w:hAnsi="Arial" w:cs="Arial"/>
          <w:bCs/>
          <w:color w:val="595959" w:themeColor="text1" w:themeTint="A6"/>
          <w:szCs w:val="24"/>
        </w:rPr>
        <w:t>). At 48 h + 14-days in vehicle controls, a significant reduced expression of VCAN was observed with a</w:t>
      </w:r>
      <w:r w:rsidR="00A47968">
        <w:rPr>
          <w:rFonts w:ascii="Arial" w:eastAsia="Times New Roman" w:hAnsi="Arial" w:cs="Arial"/>
          <w:bCs/>
          <w:color w:val="595959" w:themeColor="text1" w:themeTint="A6"/>
          <w:szCs w:val="24"/>
        </w:rPr>
        <w:t xml:space="preserve"> ~2.85-fold decrease</w:t>
      </w:r>
      <w:r w:rsidRPr="0054039C">
        <w:rPr>
          <w:rFonts w:ascii="Arial" w:eastAsia="Times New Roman" w:hAnsi="Arial" w:cs="Arial"/>
          <w:bCs/>
          <w:color w:val="595959" w:themeColor="text1" w:themeTint="A6"/>
          <w:szCs w:val="24"/>
        </w:rPr>
        <w:t xml:space="preserve"> </w:t>
      </w:r>
      <w:r w:rsidR="00A47968">
        <w:rPr>
          <w:rFonts w:ascii="Arial" w:eastAsia="Times New Roman" w:hAnsi="Arial" w:cs="Arial"/>
          <w:bCs/>
          <w:color w:val="595959" w:themeColor="text1" w:themeTint="A6"/>
          <w:szCs w:val="24"/>
        </w:rPr>
        <w:t>(</w:t>
      </w:r>
      <w:r w:rsidRPr="0054039C">
        <w:rPr>
          <w:rFonts w:ascii="Arial" w:eastAsia="Times New Roman" w:hAnsi="Arial" w:cs="Arial"/>
          <w:bCs/>
          <w:color w:val="595959" w:themeColor="text1" w:themeTint="A6"/>
          <w:szCs w:val="24"/>
        </w:rPr>
        <w:t>0.35 ± 0.40</w:t>
      </w:r>
      <w:r w:rsidR="00A47968">
        <w:rPr>
          <w:rFonts w:ascii="Arial" w:eastAsia="Times New Roman" w:hAnsi="Arial" w:cs="Arial"/>
          <w:bCs/>
          <w:color w:val="595959" w:themeColor="text1" w:themeTint="A6"/>
          <w:szCs w:val="24"/>
        </w:rPr>
        <w:t xml:space="preserve">) </w:t>
      </w:r>
      <w:r w:rsidRPr="0054039C">
        <w:rPr>
          <w:rFonts w:ascii="Arial" w:eastAsia="Times New Roman" w:hAnsi="Arial" w:cs="Arial"/>
          <w:bCs/>
          <w:color w:val="595959" w:themeColor="text1" w:themeTint="A6"/>
          <w:szCs w:val="24"/>
        </w:rPr>
        <w:t>compared to 24 h</w:t>
      </w:r>
      <w:r w:rsidR="002E3006">
        <w:rPr>
          <w:rFonts w:ascii="Arial" w:eastAsia="Times New Roman" w:hAnsi="Arial" w:cs="Arial"/>
          <w:bCs/>
          <w:color w:val="595959" w:themeColor="text1" w:themeTint="A6"/>
          <w:szCs w:val="24"/>
        </w:rPr>
        <w:t xml:space="preserve"> </w:t>
      </w:r>
      <w:r w:rsidRPr="0054039C">
        <w:rPr>
          <w:rFonts w:ascii="Arial" w:eastAsia="Times New Roman" w:hAnsi="Arial" w:cs="Arial"/>
          <w:bCs/>
          <w:color w:val="595959" w:themeColor="text1" w:themeTint="A6"/>
          <w:szCs w:val="24"/>
        </w:rPr>
        <w:t xml:space="preserve">+ 14-days control samples, p=0.0010. Significant increases in VCAN transcript expression were observed in all TGFβ-1 treated samples. At 24 h + 14-days a 1.81 ± 0.23-fold increase, p &lt;0.0001, compared to control samples.  Both at 48 h- and 72 h- +14-day TGFβ-1 treated samples increased, with a mean of 1.70 ± 0.40 compared to control samples p=0.0004. </w:t>
      </w:r>
    </w:p>
    <w:p w14:paraId="53228CC9" w14:textId="130595CD" w:rsidR="0054039C" w:rsidRPr="0054039C" w:rsidRDefault="0054039C" w:rsidP="0054039C">
      <w:pPr>
        <w:autoSpaceDE w:val="0"/>
        <w:autoSpaceDN w:val="0"/>
        <w:adjustRightInd w:val="0"/>
        <w:spacing w:after="0" w:line="480" w:lineRule="auto"/>
        <w:jc w:val="both"/>
        <w:rPr>
          <w:rFonts w:ascii="Arial" w:eastAsia="Times New Roman" w:hAnsi="Arial" w:cs="Arial"/>
          <w:bCs/>
          <w:color w:val="595959" w:themeColor="text1" w:themeTint="A6"/>
          <w:szCs w:val="24"/>
        </w:rPr>
      </w:pPr>
    </w:p>
    <w:p w14:paraId="6F7FE065" w14:textId="108DE7A6" w:rsidR="0054039C" w:rsidRPr="0054039C" w:rsidRDefault="00DC5AC9" w:rsidP="0054039C">
      <w:pPr>
        <w:autoSpaceDE w:val="0"/>
        <w:autoSpaceDN w:val="0"/>
        <w:adjustRightInd w:val="0"/>
        <w:spacing w:after="0" w:line="480" w:lineRule="auto"/>
        <w:jc w:val="both"/>
        <w:rPr>
          <w:rFonts w:ascii="Arial" w:eastAsia="Times New Roman" w:hAnsi="Arial" w:cs="Arial"/>
          <w:bCs/>
          <w:color w:val="595959" w:themeColor="text1" w:themeTint="A6"/>
          <w:szCs w:val="24"/>
        </w:rPr>
      </w:pPr>
      <w:r w:rsidRPr="00DC5AC9">
        <w:rPr>
          <w:noProof/>
        </w:rPr>
        <w:drawing>
          <wp:anchor distT="0" distB="0" distL="114300" distR="114300" simplePos="0" relativeHeight="251658494" behindDoc="0" locked="0" layoutInCell="1" allowOverlap="1" wp14:anchorId="64653391" wp14:editId="2EFC8A2C">
            <wp:simplePos x="0" y="0"/>
            <wp:positionH relativeFrom="margin">
              <wp:align>center</wp:align>
            </wp:positionH>
            <wp:positionV relativeFrom="paragraph">
              <wp:posOffset>19050</wp:posOffset>
            </wp:positionV>
            <wp:extent cx="3708400" cy="2743200"/>
            <wp:effectExtent l="0" t="0" r="0" b="0"/>
            <wp:wrapNone/>
            <wp:docPr id="1599" name="Picture 1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708400" cy="2743200"/>
                    </a:xfrm>
                    <a:prstGeom prst="rect">
                      <a:avLst/>
                    </a:prstGeom>
                    <a:noFill/>
                    <a:ln>
                      <a:noFill/>
                    </a:ln>
                  </pic:spPr>
                </pic:pic>
              </a:graphicData>
            </a:graphic>
          </wp:anchor>
        </w:drawing>
      </w:r>
    </w:p>
    <w:p w14:paraId="17D079AE" w14:textId="0348ADB8" w:rsidR="0054039C" w:rsidRPr="0054039C" w:rsidRDefault="0054039C" w:rsidP="0054039C">
      <w:pPr>
        <w:autoSpaceDE w:val="0"/>
        <w:autoSpaceDN w:val="0"/>
        <w:adjustRightInd w:val="0"/>
        <w:spacing w:after="0" w:line="480" w:lineRule="auto"/>
        <w:jc w:val="both"/>
        <w:rPr>
          <w:rFonts w:ascii="Arial" w:eastAsia="Times New Roman" w:hAnsi="Arial" w:cs="Arial"/>
          <w:bCs/>
          <w:color w:val="595959" w:themeColor="text1" w:themeTint="A6"/>
          <w:szCs w:val="24"/>
        </w:rPr>
      </w:pPr>
    </w:p>
    <w:p w14:paraId="33D8CCC5" w14:textId="233DAFCC" w:rsidR="0054039C" w:rsidRPr="0054039C" w:rsidRDefault="0054039C" w:rsidP="0054039C">
      <w:pPr>
        <w:autoSpaceDE w:val="0"/>
        <w:autoSpaceDN w:val="0"/>
        <w:adjustRightInd w:val="0"/>
        <w:spacing w:after="0" w:line="480" w:lineRule="auto"/>
        <w:jc w:val="both"/>
        <w:rPr>
          <w:rFonts w:ascii="Arial" w:eastAsia="Times New Roman" w:hAnsi="Arial" w:cs="Arial"/>
          <w:bCs/>
          <w:color w:val="595959" w:themeColor="text1" w:themeTint="A6"/>
          <w:szCs w:val="24"/>
        </w:rPr>
      </w:pPr>
    </w:p>
    <w:p w14:paraId="1F348320" w14:textId="77777777" w:rsidR="0054039C" w:rsidRPr="0054039C" w:rsidRDefault="0054039C" w:rsidP="0054039C">
      <w:pPr>
        <w:autoSpaceDE w:val="0"/>
        <w:autoSpaceDN w:val="0"/>
        <w:adjustRightInd w:val="0"/>
        <w:spacing w:after="0" w:line="480" w:lineRule="auto"/>
        <w:jc w:val="both"/>
        <w:rPr>
          <w:rFonts w:ascii="Arial" w:eastAsia="Times New Roman" w:hAnsi="Arial" w:cs="Arial"/>
          <w:bCs/>
          <w:color w:val="595959" w:themeColor="text1" w:themeTint="A6"/>
          <w:szCs w:val="24"/>
        </w:rPr>
      </w:pPr>
    </w:p>
    <w:p w14:paraId="3C972922" w14:textId="77777777" w:rsidR="0054039C" w:rsidRPr="0054039C" w:rsidRDefault="0054039C" w:rsidP="0054039C">
      <w:pPr>
        <w:autoSpaceDE w:val="0"/>
        <w:autoSpaceDN w:val="0"/>
        <w:adjustRightInd w:val="0"/>
        <w:spacing w:after="0" w:line="480" w:lineRule="auto"/>
        <w:jc w:val="both"/>
        <w:rPr>
          <w:rFonts w:ascii="Arial" w:eastAsia="Times New Roman" w:hAnsi="Arial" w:cs="Arial"/>
          <w:bCs/>
          <w:color w:val="595959" w:themeColor="text1" w:themeTint="A6"/>
          <w:szCs w:val="24"/>
        </w:rPr>
      </w:pPr>
    </w:p>
    <w:p w14:paraId="0E11D446" w14:textId="77777777" w:rsidR="0054039C" w:rsidRPr="0054039C" w:rsidRDefault="0054039C" w:rsidP="0054039C">
      <w:pPr>
        <w:autoSpaceDE w:val="0"/>
        <w:autoSpaceDN w:val="0"/>
        <w:adjustRightInd w:val="0"/>
        <w:spacing w:after="0" w:line="480" w:lineRule="auto"/>
        <w:jc w:val="both"/>
        <w:rPr>
          <w:rFonts w:ascii="Arial" w:eastAsia="Times New Roman" w:hAnsi="Arial" w:cs="Arial"/>
          <w:bCs/>
          <w:color w:val="595959" w:themeColor="text1" w:themeTint="A6"/>
          <w:szCs w:val="24"/>
        </w:rPr>
      </w:pPr>
    </w:p>
    <w:p w14:paraId="5D092984" w14:textId="77777777" w:rsidR="0054039C" w:rsidRPr="0054039C" w:rsidRDefault="0054039C" w:rsidP="0054039C">
      <w:pPr>
        <w:autoSpaceDE w:val="0"/>
        <w:autoSpaceDN w:val="0"/>
        <w:adjustRightInd w:val="0"/>
        <w:spacing w:after="0" w:line="480" w:lineRule="auto"/>
        <w:jc w:val="both"/>
        <w:rPr>
          <w:rFonts w:ascii="Arial" w:eastAsia="Times New Roman" w:hAnsi="Arial" w:cs="Arial"/>
          <w:bCs/>
          <w:color w:val="595959" w:themeColor="text1" w:themeTint="A6"/>
          <w:szCs w:val="24"/>
        </w:rPr>
      </w:pPr>
    </w:p>
    <w:p w14:paraId="438A8D9C" w14:textId="77777777" w:rsidR="0054039C" w:rsidRPr="0054039C" w:rsidRDefault="0054039C" w:rsidP="0054039C">
      <w:pPr>
        <w:autoSpaceDE w:val="0"/>
        <w:autoSpaceDN w:val="0"/>
        <w:adjustRightInd w:val="0"/>
        <w:spacing w:after="0" w:line="480" w:lineRule="auto"/>
        <w:jc w:val="both"/>
        <w:rPr>
          <w:rFonts w:ascii="Arial" w:eastAsia="Times New Roman" w:hAnsi="Arial" w:cs="Arial"/>
          <w:bCs/>
          <w:color w:val="595959" w:themeColor="text1" w:themeTint="A6"/>
          <w:szCs w:val="24"/>
        </w:rPr>
      </w:pPr>
    </w:p>
    <w:p w14:paraId="35677FA6" w14:textId="77777777" w:rsidR="0054039C" w:rsidRPr="0054039C" w:rsidRDefault="0054039C" w:rsidP="0054039C">
      <w:pPr>
        <w:autoSpaceDE w:val="0"/>
        <w:autoSpaceDN w:val="0"/>
        <w:adjustRightInd w:val="0"/>
        <w:spacing w:after="0" w:line="480" w:lineRule="auto"/>
        <w:jc w:val="both"/>
        <w:rPr>
          <w:rFonts w:ascii="Arial" w:eastAsia="Times New Roman" w:hAnsi="Arial" w:cs="Arial"/>
          <w:bCs/>
          <w:color w:val="595959" w:themeColor="text1" w:themeTint="A6"/>
          <w:szCs w:val="24"/>
        </w:rPr>
      </w:pPr>
    </w:p>
    <w:p w14:paraId="5E98E54F" w14:textId="77777777" w:rsidR="0054039C" w:rsidRPr="0054039C" w:rsidRDefault="0054039C" w:rsidP="0054039C">
      <w:pPr>
        <w:autoSpaceDE w:val="0"/>
        <w:autoSpaceDN w:val="0"/>
        <w:adjustRightInd w:val="0"/>
        <w:spacing w:after="0" w:line="480" w:lineRule="auto"/>
        <w:jc w:val="both"/>
        <w:rPr>
          <w:rFonts w:ascii="Arial" w:eastAsia="Times New Roman" w:hAnsi="Arial" w:cs="Arial"/>
          <w:bCs/>
          <w:color w:val="595959" w:themeColor="text1" w:themeTint="A6"/>
          <w:szCs w:val="24"/>
        </w:rPr>
      </w:pPr>
    </w:p>
    <w:p w14:paraId="2AA1F805" w14:textId="77777777" w:rsidR="0054039C" w:rsidRPr="0054039C" w:rsidRDefault="0054039C" w:rsidP="0054039C">
      <w:pPr>
        <w:autoSpaceDE w:val="0"/>
        <w:autoSpaceDN w:val="0"/>
        <w:adjustRightInd w:val="0"/>
        <w:spacing w:after="0" w:line="480" w:lineRule="auto"/>
        <w:jc w:val="both"/>
        <w:rPr>
          <w:rFonts w:ascii="Arial" w:eastAsia="Times New Roman" w:hAnsi="Arial" w:cs="Arial"/>
          <w:bCs/>
          <w:color w:val="595959" w:themeColor="text1" w:themeTint="A6"/>
          <w:szCs w:val="24"/>
        </w:rPr>
      </w:pPr>
    </w:p>
    <w:p w14:paraId="22B49602" w14:textId="77777777" w:rsidR="0054039C" w:rsidRPr="0054039C" w:rsidRDefault="0054039C" w:rsidP="0054039C">
      <w:pPr>
        <w:autoSpaceDE w:val="0"/>
        <w:autoSpaceDN w:val="0"/>
        <w:adjustRightInd w:val="0"/>
        <w:spacing w:after="0" w:line="480" w:lineRule="auto"/>
        <w:jc w:val="both"/>
        <w:rPr>
          <w:rFonts w:ascii="Arial" w:eastAsia="Times New Roman" w:hAnsi="Arial" w:cs="Arial"/>
          <w:bCs/>
          <w:color w:val="595959" w:themeColor="text1" w:themeTint="A6"/>
          <w:szCs w:val="24"/>
        </w:rPr>
      </w:pPr>
      <w:r w:rsidRPr="0054039C">
        <w:rPr>
          <w:rFonts w:ascii="Arial" w:hAnsi="Arial" w:cs="Arial"/>
          <w:noProof/>
          <w:color w:val="595959" w:themeColor="text1" w:themeTint="A6"/>
          <w:sz w:val="24"/>
          <w:szCs w:val="24"/>
          <w:lang w:eastAsia="zh-CN"/>
        </w:rPr>
        <mc:AlternateContent>
          <mc:Choice Requires="wps">
            <w:drawing>
              <wp:anchor distT="0" distB="0" distL="114300" distR="114300" simplePos="0" relativeHeight="251658303" behindDoc="0" locked="0" layoutInCell="1" allowOverlap="1" wp14:anchorId="514C5D61" wp14:editId="3666FF7B">
                <wp:simplePos x="0" y="0"/>
                <wp:positionH relativeFrom="margin">
                  <wp:align>right</wp:align>
                </wp:positionH>
                <wp:positionV relativeFrom="paragraph">
                  <wp:posOffset>94615</wp:posOffset>
                </wp:positionV>
                <wp:extent cx="5724525" cy="1333500"/>
                <wp:effectExtent l="0" t="0" r="9525" b="0"/>
                <wp:wrapNone/>
                <wp:docPr id="20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1333500"/>
                        </a:xfrm>
                        <a:prstGeom prst="rect">
                          <a:avLst/>
                        </a:prstGeom>
                        <a:solidFill>
                          <a:srgbClr val="FFFFFF"/>
                        </a:solidFill>
                        <a:ln w="9525">
                          <a:noFill/>
                          <a:miter lim="800000"/>
                          <a:headEnd/>
                          <a:tailEnd/>
                        </a:ln>
                      </wps:spPr>
                      <wps:txbx>
                        <w:txbxContent>
                          <w:p w14:paraId="7A7EE214" w14:textId="499CEF99" w:rsidR="008A47AC" w:rsidRDefault="008A47AC" w:rsidP="0054039C">
                            <w:pPr>
                              <w:pStyle w:val="NormalWeb"/>
                              <w:spacing w:after="200"/>
                              <w:jc w:val="both"/>
                            </w:pPr>
                            <w:r>
                              <w:rPr>
                                <w:rFonts w:ascii="Arial Narrow" w:eastAsia="SimSun" w:hAnsi="Arial Narrow" w:cs="Arial"/>
                                <w:b/>
                                <w:bCs/>
                                <w:color w:val="595959"/>
                                <w:kern w:val="24"/>
                                <w:sz w:val="22"/>
                                <w:szCs w:val="22"/>
                              </w:rPr>
                              <w:t xml:space="preserve">Figure 3.28 Long-term expression data for the ECM marker </w:t>
                            </w:r>
                            <w:r>
                              <w:rPr>
                                <w:rFonts w:ascii="Arial Narrow" w:eastAsia="SimSun" w:hAnsi="Arial Narrow" w:cs="Arial"/>
                                <w:b/>
                                <w:color w:val="595959"/>
                                <w:kern w:val="24"/>
                                <w:sz w:val="22"/>
                                <w:szCs w:val="22"/>
                              </w:rPr>
                              <w:t xml:space="preserve">VCAN in CAF </w:t>
                            </w:r>
                            <w:r>
                              <w:rPr>
                                <w:rFonts w:ascii="Arial Narrow" w:eastAsia="SimSun" w:hAnsi="Arial Narrow" w:cs="Arial"/>
                                <w:b/>
                                <w:bCs/>
                                <w:color w:val="595959"/>
                                <w:kern w:val="24"/>
                                <w:sz w:val="22"/>
                                <w:szCs w:val="22"/>
                              </w:rPr>
                              <w:t>with and without TGFβ-1 stimulation</w:t>
                            </w:r>
                            <w:r>
                              <w:rPr>
                                <w:rFonts w:ascii="Arial Narrow" w:eastAsia="SimSun" w:hAnsi="Arial Narrow" w:cs="Arial"/>
                                <w:b/>
                                <w:color w:val="595959"/>
                                <w:kern w:val="24"/>
                                <w:sz w:val="22"/>
                                <w:szCs w:val="22"/>
                              </w:rPr>
                              <w:t xml:space="preserve"> </w:t>
                            </w:r>
                            <w:r>
                              <w:rPr>
                                <w:rFonts w:ascii="Arial Narrow" w:eastAsia="SimSun" w:hAnsi="Arial Narrow" w:cs="Arial"/>
                                <w:b/>
                                <w:bCs/>
                                <w:color w:val="595959"/>
                                <w:kern w:val="24"/>
                                <w:sz w:val="22"/>
                                <w:szCs w:val="22"/>
                              </w:rPr>
                              <w:t xml:space="preserve">  </w:t>
                            </w:r>
                          </w:p>
                          <w:p w14:paraId="70B4005D" w14:textId="36872385" w:rsidR="008A47AC" w:rsidRPr="00B612DF" w:rsidRDefault="008A47AC" w:rsidP="0054039C">
                            <w:pPr>
                              <w:pStyle w:val="NormalWeb"/>
                              <w:spacing w:after="200" w:line="276" w:lineRule="auto"/>
                              <w:jc w:val="both"/>
                              <w:rPr>
                                <w:rFonts w:ascii="Arial Narrow" w:eastAsia="SimSun" w:hAnsi="Arial Narrow" w:cs="Arial"/>
                                <w:color w:val="595959"/>
                                <w:kern w:val="24"/>
                                <w:sz w:val="22"/>
                                <w:szCs w:val="22"/>
                              </w:rPr>
                            </w:pPr>
                            <w:r>
                              <w:rPr>
                                <w:rFonts w:ascii="Arial Narrow" w:eastAsia="SimSun" w:hAnsi="Arial Narrow" w:cs="Arial"/>
                                <w:color w:val="595959"/>
                                <w:kern w:val="24"/>
                                <w:sz w:val="22"/>
                              </w:rPr>
                              <w:t xml:space="preserve">CAF 2D monolayers were treated </w:t>
                            </w:r>
                            <w:r>
                              <w:rPr>
                                <w:rFonts w:ascii="Arial Narrow" w:eastAsia="SimSun" w:hAnsi="Arial Narrow" w:cs="Arial"/>
                                <w:color w:val="595959"/>
                                <w:kern w:val="24"/>
                                <w:sz w:val="22"/>
                                <w:szCs w:val="22"/>
                              </w:rPr>
                              <w:t xml:space="preserve">with 2 ng/mL TGFβ-1 up to 72 h + 14 days </w:t>
                            </w:r>
                            <w:r>
                              <w:rPr>
                                <w:rFonts w:ascii="Arial Narrow" w:eastAsia="SimSun" w:hAnsi="Arial Narrow" w:cs="Arial"/>
                                <w:color w:val="595959"/>
                                <w:kern w:val="24"/>
                                <w:sz w:val="22"/>
                              </w:rPr>
                              <w:t xml:space="preserve">and the gene expression for </w:t>
                            </w:r>
                            <w:r>
                              <w:rPr>
                                <w:rFonts w:ascii="Arial Narrow" w:eastAsia="SimSun" w:hAnsi="Arial Narrow" w:cs="Arial"/>
                                <w:color w:val="595959"/>
                                <w:kern w:val="24"/>
                                <w:sz w:val="22"/>
                                <w:szCs w:val="22"/>
                              </w:rPr>
                              <w:t xml:space="preserve">VCAN was </w:t>
                            </w:r>
                            <w:r>
                              <w:rPr>
                                <w:rFonts w:ascii="Arial Narrow" w:eastAsia="SimSun" w:hAnsi="Arial Narrow" w:cs="Arial"/>
                                <w:color w:val="595959"/>
                                <w:kern w:val="24"/>
                                <w:sz w:val="22"/>
                              </w:rPr>
                              <w:t>determined by qPCR</w:t>
                            </w:r>
                            <w:r>
                              <w:rPr>
                                <w:rFonts w:ascii="Arial Narrow" w:eastAsia="SimSun" w:hAnsi="Arial Narrow" w:cs="Arial"/>
                                <w:color w:val="595959"/>
                                <w:kern w:val="24"/>
                                <w:sz w:val="22"/>
                                <w:szCs w:val="22"/>
                              </w:rPr>
                              <w:t xml:space="preserve">. </w:t>
                            </w:r>
                            <w:r>
                              <w:rPr>
                                <w:rFonts w:ascii="Arial Narrow" w:eastAsia="SimSun" w:hAnsi="Arial Narrow" w:cs="Arial"/>
                                <w:color w:val="595959"/>
                                <w:kern w:val="24"/>
                                <w:sz w:val="22"/>
                              </w:rPr>
                              <w:t xml:space="preserve">Data is expressed as fold change relative to housekeeping gene U6, with mean ± SD. **** denotes p &lt;0.0001 as </w:t>
                            </w:r>
                            <w:r>
                              <w:rPr>
                                <w:rFonts w:ascii="Arial Narrow" w:eastAsia="SimSun" w:hAnsi="Arial Narrow" w:cs="Arial"/>
                                <w:color w:val="595959"/>
                                <w:kern w:val="24"/>
                                <w:sz w:val="22"/>
                                <w:szCs w:val="22"/>
                              </w:rPr>
                              <w:t>analysed by ordinary one-way ANOVA with Dunnett’s multiple comparison. (N=3, n=3).</w:t>
                            </w:r>
                          </w:p>
                          <w:p w14:paraId="447EED97" w14:textId="77777777" w:rsidR="008A47AC" w:rsidRPr="00C61619" w:rsidRDefault="008A47AC" w:rsidP="0054039C">
                            <w:pPr>
                              <w:pStyle w:val="NormalWeb"/>
                              <w:spacing w:after="200" w:line="276" w:lineRule="auto"/>
                              <w:jc w:val="both"/>
                              <w:rPr>
                                <w:rFonts w:ascii="Arial Narrow" w:eastAsia="SimSun" w:hAnsi="Arial Narrow" w:cs="Arial"/>
                                <w:color w:val="595959"/>
                                <w:kern w:val="24"/>
                                <w:sz w:val="22"/>
                                <w:szCs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4C5D61" id="_x0000_s1091" type="#_x0000_t202" style="position:absolute;left:0;text-align:left;margin-left:399.55pt;margin-top:7.45pt;width:450.75pt;height:105pt;z-index:251658303;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" stroked="f">
                <v:textbox>
                  <w:txbxContent>
                    <w:p w14:paraId="7A7EE214" w14:textId="499CEF99" w:rsidR="008A47AC" w:rsidRDefault="008A47AC" w:rsidP="0054039C">
                      <w:pPr>
                        <w:pStyle w:val="NormalWeb"/>
                        <w:spacing w:after="200"/>
                        <w:jc w:val="both"/>
                      </w:pPr>
                      <w:r>
                        <w:rPr>
                          <w:rFonts w:ascii="Arial Narrow" w:eastAsia="SimSun" w:hAnsi="Arial Narrow" w:cs="Arial"/>
                          <w:b/>
                          <w:bCs/>
                          <w:color w:val="595959"/>
                          <w:kern w:val="24"/>
                          <w:sz w:val="22"/>
                          <w:szCs w:val="22"/>
                        </w:rPr>
                        <w:t xml:space="preserve">Figure 3.28 Long-term expression data for the ECM marker </w:t>
                      </w:r>
                      <w:r>
                        <w:rPr>
                          <w:rFonts w:ascii="Arial Narrow" w:eastAsia="SimSun" w:hAnsi="Arial Narrow" w:cs="Arial"/>
                          <w:b/>
                          <w:color w:val="595959"/>
                          <w:kern w:val="24"/>
                          <w:sz w:val="22"/>
                          <w:szCs w:val="22"/>
                        </w:rPr>
                        <w:t xml:space="preserve">VCAN in CAF </w:t>
                      </w:r>
                      <w:r>
                        <w:rPr>
                          <w:rFonts w:ascii="Arial Narrow" w:eastAsia="SimSun" w:hAnsi="Arial Narrow" w:cs="Arial"/>
                          <w:b/>
                          <w:bCs/>
                          <w:color w:val="595959"/>
                          <w:kern w:val="24"/>
                          <w:sz w:val="22"/>
                          <w:szCs w:val="22"/>
                        </w:rPr>
                        <w:t>with and without TGFβ-1 stimulation</w:t>
                      </w:r>
                      <w:r>
                        <w:rPr>
                          <w:rFonts w:ascii="Arial Narrow" w:eastAsia="SimSun" w:hAnsi="Arial Narrow" w:cs="Arial"/>
                          <w:b/>
                          <w:color w:val="595959"/>
                          <w:kern w:val="24"/>
                          <w:sz w:val="22"/>
                          <w:szCs w:val="22"/>
                        </w:rPr>
                        <w:t xml:space="preserve"> </w:t>
                      </w:r>
                      <w:r>
                        <w:rPr>
                          <w:rFonts w:ascii="Arial Narrow" w:eastAsia="SimSun" w:hAnsi="Arial Narrow" w:cs="Arial"/>
                          <w:b/>
                          <w:bCs/>
                          <w:color w:val="595959"/>
                          <w:kern w:val="24"/>
                          <w:sz w:val="22"/>
                          <w:szCs w:val="22"/>
                        </w:rPr>
                        <w:t xml:space="preserve">  </w:t>
                      </w:r>
                    </w:p>
                    <w:p w14:paraId="70B4005D" w14:textId="36872385" w:rsidR="008A47AC" w:rsidRPr="00B612DF" w:rsidRDefault="008A47AC" w:rsidP="0054039C">
                      <w:pPr>
                        <w:pStyle w:val="NormalWeb"/>
                        <w:spacing w:after="200" w:line="276" w:lineRule="auto"/>
                        <w:jc w:val="both"/>
                        <w:rPr>
                          <w:rFonts w:ascii="Arial Narrow" w:eastAsia="SimSun" w:hAnsi="Arial Narrow" w:cs="Arial"/>
                          <w:color w:val="595959"/>
                          <w:kern w:val="24"/>
                          <w:sz w:val="22"/>
                          <w:szCs w:val="22"/>
                        </w:rPr>
                      </w:pPr>
                      <w:r>
                        <w:rPr>
                          <w:rFonts w:ascii="Arial Narrow" w:eastAsia="SimSun" w:hAnsi="Arial Narrow" w:cs="Arial"/>
                          <w:color w:val="595959"/>
                          <w:kern w:val="24"/>
                          <w:sz w:val="22"/>
                        </w:rPr>
                        <w:t xml:space="preserve">CAF 2D monolayers were treated </w:t>
                      </w:r>
                      <w:r>
                        <w:rPr>
                          <w:rFonts w:ascii="Arial Narrow" w:eastAsia="SimSun" w:hAnsi="Arial Narrow" w:cs="Arial"/>
                          <w:color w:val="595959"/>
                          <w:kern w:val="24"/>
                          <w:sz w:val="22"/>
                          <w:szCs w:val="22"/>
                        </w:rPr>
                        <w:t xml:space="preserve">with 2 ng/mL TGFβ-1 up to 72 h + 14 days </w:t>
                      </w:r>
                      <w:r>
                        <w:rPr>
                          <w:rFonts w:ascii="Arial Narrow" w:eastAsia="SimSun" w:hAnsi="Arial Narrow" w:cs="Arial"/>
                          <w:color w:val="595959"/>
                          <w:kern w:val="24"/>
                          <w:sz w:val="22"/>
                        </w:rPr>
                        <w:t xml:space="preserve">and the gene expression for </w:t>
                      </w:r>
                      <w:r>
                        <w:rPr>
                          <w:rFonts w:ascii="Arial Narrow" w:eastAsia="SimSun" w:hAnsi="Arial Narrow" w:cs="Arial"/>
                          <w:color w:val="595959"/>
                          <w:kern w:val="24"/>
                          <w:sz w:val="22"/>
                          <w:szCs w:val="22"/>
                        </w:rPr>
                        <w:t xml:space="preserve">VCAN was </w:t>
                      </w:r>
                      <w:r>
                        <w:rPr>
                          <w:rFonts w:ascii="Arial Narrow" w:eastAsia="SimSun" w:hAnsi="Arial Narrow" w:cs="Arial"/>
                          <w:color w:val="595959"/>
                          <w:kern w:val="24"/>
                          <w:sz w:val="22"/>
                        </w:rPr>
                        <w:t>determined by qPCR</w:t>
                      </w:r>
                      <w:r>
                        <w:rPr>
                          <w:rFonts w:ascii="Arial Narrow" w:eastAsia="SimSun" w:hAnsi="Arial Narrow" w:cs="Arial"/>
                          <w:color w:val="595959"/>
                          <w:kern w:val="24"/>
                          <w:sz w:val="22"/>
                          <w:szCs w:val="22"/>
                        </w:rPr>
                        <w:t xml:space="preserve">. </w:t>
                      </w:r>
                      <w:r>
                        <w:rPr>
                          <w:rFonts w:ascii="Arial Narrow" w:eastAsia="SimSun" w:hAnsi="Arial Narrow" w:cs="Arial"/>
                          <w:color w:val="595959"/>
                          <w:kern w:val="24"/>
                          <w:sz w:val="22"/>
                        </w:rPr>
                        <w:t xml:space="preserve">Data is expressed as fold change relative to housekeeping gene U6, with mean ± SD. **** denotes p &lt;0.0001 as </w:t>
                      </w:r>
                      <w:r>
                        <w:rPr>
                          <w:rFonts w:ascii="Arial Narrow" w:eastAsia="SimSun" w:hAnsi="Arial Narrow" w:cs="Arial"/>
                          <w:color w:val="595959"/>
                          <w:kern w:val="24"/>
                          <w:sz w:val="22"/>
                          <w:szCs w:val="22"/>
                        </w:rPr>
                        <w:t>analysed by ordinary one-way ANOVA with Dunnett’s multiple comparison. (N=3, n=3).</w:t>
                      </w:r>
                    </w:p>
                    <w:p w14:paraId="447EED97" w14:textId="77777777" w:rsidR="008A47AC" w:rsidRPr="00C61619" w:rsidRDefault="008A47AC" w:rsidP="0054039C">
                      <w:pPr>
                        <w:pStyle w:val="NormalWeb"/>
                        <w:spacing w:after="200" w:line="276" w:lineRule="auto"/>
                        <w:jc w:val="both"/>
                        <w:rPr>
                          <w:rFonts w:ascii="Arial Narrow" w:eastAsia="SimSun" w:hAnsi="Arial Narrow" w:cs="Arial"/>
                          <w:color w:val="595959"/>
                          <w:kern w:val="24"/>
                          <w:sz w:val="22"/>
                          <w:szCs w:val="22"/>
                        </w:rPr>
                      </w:pPr>
                    </w:p>
                  </w:txbxContent>
                </v:textbox>
                <w10:wrap anchorx="margin"/>
              </v:shape>
            </w:pict>
          </mc:Fallback>
        </mc:AlternateContent>
      </w:r>
    </w:p>
    <w:p w14:paraId="04EB9B6E" w14:textId="77777777" w:rsidR="0054039C" w:rsidRPr="0054039C" w:rsidRDefault="0054039C" w:rsidP="0054039C">
      <w:pPr>
        <w:autoSpaceDE w:val="0"/>
        <w:autoSpaceDN w:val="0"/>
        <w:adjustRightInd w:val="0"/>
        <w:spacing w:after="0" w:line="480" w:lineRule="auto"/>
        <w:jc w:val="both"/>
        <w:rPr>
          <w:rFonts w:ascii="Arial" w:eastAsia="Times New Roman" w:hAnsi="Arial" w:cs="Arial"/>
          <w:bCs/>
          <w:color w:val="595959" w:themeColor="text1" w:themeTint="A6"/>
          <w:szCs w:val="24"/>
        </w:rPr>
      </w:pPr>
    </w:p>
    <w:p w14:paraId="5DB67020" w14:textId="77777777" w:rsidR="0054039C" w:rsidRPr="0054039C" w:rsidRDefault="0054039C" w:rsidP="0054039C">
      <w:pPr>
        <w:autoSpaceDE w:val="0"/>
        <w:autoSpaceDN w:val="0"/>
        <w:adjustRightInd w:val="0"/>
        <w:spacing w:after="0" w:line="480" w:lineRule="auto"/>
        <w:jc w:val="both"/>
        <w:rPr>
          <w:rFonts w:ascii="Arial" w:eastAsia="Times New Roman" w:hAnsi="Arial" w:cs="Arial"/>
          <w:bCs/>
          <w:color w:val="595959" w:themeColor="text1" w:themeTint="A6"/>
          <w:szCs w:val="24"/>
        </w:rPr>
      </w:pPr>
    </w:p>
    <w:p w14:paraId="3AF85910" w14:textId="77777777" w:rsidR="0054039C" w:rsidRPr="0054039C" w:rsidRDefault="0054039C" w:rsidP="0054039C">
      <w:pPr>
        <w:autoSpaceDE w:val="0"/>
        <w:autoSpaceDN w:val="0"/>
        <w:adjustRightInd w:val="0"/>
        <w:spacing w:after="0" w:line="480" w:lineRule="auto"/>
        <w:jc w:val="both"/>
        <w:rPr>
          <w:rFonts w:ascii="Arial" w:eastAsia="Times New Roman" w:hAnsi="Arial" w:cs="Arial"/>
          <w:bCs/>
          <w:color w:val="595959" w:themeColor="text1" w:themeTint="A6"/>
          <w:szCs w:val="24"/>
        </w:rPr>
      </w:pPr>
    </w:p>
    <w:p w14:paraId="647D81B1" w14:textId="77777777" w:rsidR="0054039C" w:rsidRPr="0054039C" w:rsidRDefault="0054039C" w:rsidP="0054039C">
      <w:pPr>
        <w:autoSpaceDE w:val="0"/>
        <w:autoSpaceDN w:val="0"/>
        <w:adjustRightInd w:val="0"/>
        <w:spacing w:after="0" w:line="480" w:lineRule="auto"/>
        <w:jc w:val="both"/>
        <w:rPr>
          <w:rFonts w:ascii="Arial" w:eastAsia="Times New Roman" w:hAnsi="Arial" w:cs="Arial"/>
          <w:bCs/>
          <w:color w:val="595959" w:themeColor="text1" w:themeTint="A6"/>
          <w:szCs w:val="24"/>
        </w:rPr>
      </w:pPr>
    </w:p>
    <w:p w14:paraId="3DE55D0F" w14:textId="77777777" w:rsidR="0054039C" w:rsidRPr="0054039C" w:rsidRDefault="0054039C" w:rsidP="0054039C">
      <w:pPr>
        <w:autoSpaceDE w:val="0"/>
        <w:autoSpaceDN w:val="0"/>
        <w:adjustRightInd w:val="0"/>
        <w:spacing w:after="0" w:line="480" w:lineRule="auto"/>
        <w:jc w:val="both"/>
        <w:rPr>
          <w:rFonts w:ascii="Arial" w:eastAsia="Times New Roman" w:hAnsi="Arial" w:cs="Arial"/>
          <w:bCs/>
          <w:color w:val="595959" w:themeColor="text1" w:themeTint="A6"/>
          <w:szCs w:val="24"/>
        </w:rPr>
      </w:pPr>
    </w:p>
    <w:p w14:paraId="232FE8A9" w14:textId="77777777" w:rsidR="0054039C" w:rsidRPr="0054039C" w:rsidRDefault="0054039C" w:rsidP="0054039C">
      <w:pPr>
        <w:autoSpaceDE w:val="0"/>
        <w:autoSpaceDN w:val="0"/>
        <w:adjustRightInd w:val="0"/>
        <w:spacing w:after="0" w:line="480" w:lineRule="auto"/>
        <w:jc w:val="both"/>
        <w:rPr>
          <w:rFonts w:ascii="Arial" w:eastAsia="Times New Roman" w:hAnsi="Arial" w:cs="Arial"/>
          <w:bCs/>
          <w:color w:val="595959" w:themeColor="text1" w:themeTint="A6"/>
          <w:szCs w:val="24"/>
        </w:rPr>
      </w:pPr>
    </w:p>
    <w:p w14:paraId="7FFD578F" w14:textId="77777777" w:rsidR="0054039C" w:rsidRPr="0054039C" w:rsidRDefault="0054039C" w:rsidP="0054039C">
      <w:pPr>
        <w:keepNext/>
        <w:keepLines/>
        <w:spacing w:before="40" w:after="0"/>
        <w:outlineLvl w:val="4"/>
        <w:rPr>
          <w:rFonts w:ascii="Arial" w:eastAsia="Times New Roman" w:hAnsi="Arial" w:cs="Arial"/>
          <w:bCs/>
          <w:color w:val="595959" w:themeColor="text1" w:themeTint="A6"/>
          <w:szCs w:val="24"/>
        </w:rPr>
      </w:pPr>
      <w:bookmarkStart w:id="304" w:name="_Toc7107273"/>
      <w:bookmarkStart w:id="305" w:name="_Toc34208379"/>
      <w:r w:rsidRPr="0054039C">
        <w:rPr>
          <w:rFonts w:ascii="Arial" w:eastAsia="Times New Roman" w:hAnsi="Arial" w:cs="Arial"/>
          <w:bCs/>
          <w:color w:val="595959" w:themeColor="text1" w:themeTint="A6"/>
          <w:szCs w:val="24"/>
        </w:rPr>
        <w:lastRenderedPageBreak/>
        <w:t>3.3.2.1.4 TNC expression by RT-qPCR</w:t>
      </w:r>
      <w:bookmarkEnd w:id="304"/>
      <w:bookmarkEnd w:id="305"/>
    </w:p>
    <w:p w14:paraId="351503AF" w14:textId="77777777" w:rsidR="0054039C" w:rsidRPr="0054039C" w:rsidRDefault="0054039C" w:rsidP="0054039C"/>
    <w:p w14:paraId="023B186F" w14:textId="4DDBCCAB" w:rsidR="0054039C" w:rsidRPr="0054039C" w:rsidRDefault="0054039C" w:rsidP="0054039C">
      <w:pPr>
        <w:autoSpaceDE w:val="0"/>
        <w:autoSpaceDN w:val="0"/>
        <w:adjustRightInd w:val="0"/>
        <w:spacing w:after="0" w:line="480" w:lineRule="auto"/>
        <w:jc w:val="both"/>
        <w:rPr>
          <w:rFonts w:ascii="Arial" w:eastAsia="Times New Roman" w:hAnsi="Arial" w:cs="Arial"/>
          <w:bCs/>
          <w:color w:val="595959" w:themeColor="text1" w:themeTint="A6"/>
          <w:szCs w:val="24"/>
        </w:rPr>
      </w:pPr>
      <w:r w:rsidRPr="0054039C">
        <w:rPr>
          <w:rFonts w:ascii="Arial" w:eastAsia="Times New Roman" w:hAnsi="Arial" w:cs="Arial"/>
          <w:bCs/>
          <w:color w:val="595959" w:themeColor="text1" w:themeTint="A6"/>
          <w:szCs w:val="24"/>
        </w:rPr>
        <w:t>TNC transcript expression was variable in CAF long-term with both control and TGFβ-</w:t>
      </w:r>
      <w:r w:rsidR="002E3006">
        <w:rPr>
          <w:rFonts w:ascii="Arial" w:eastAsia="Times New Roman" w:hAnsi="Arial" w:cs="Arial"/>
          <w:bCs/>
          <w:color w:val="595959" w:themeColor="text1" w:themeTint="A6"/>
          <w:szCs w:val="24"/>
        </w:rPr>
        <w:t>1 treated samples expressing TN</w:t>
      </w:r>
      <w:r w:rsidRPr="0054039C">
        <w:rPr>
          <w:rFonts w:ascii="Arial" w:eastAsia="Times New Roman" w:hAnsi="Arial" w:cs="Arial"/>
          <w:bCs/>
          <w:color w:val="595959" w:themeColor="text1" w:themeTint="A6"/>
          <w:szCs w:val="24"/>
        </w:rPr>
        <w:t xml:space="preserve">C up to 72 h + 14-days </w:t>
      </w:r>
      <w:r w:rsidRPr="0054039C">
        <w:rPr>
          <w:rFonts w:ascii="Arial" w:eastAsia="Times New Roman" w:hAnsi="Arial" w:cs="Arial"/>
          <w:bCs/>
          <w:i/>
          <w:color w:val="595959" w:themeColor="text1" w:themeTint="A6"/>
          <w:szCs w:val="24"/>
        </w:rPr>
        <w:t xml:space="preserve">in vitro </w:t>
      </w:r>
      <w:r w:rsidRPr="0054039C">
        <w:rPr>
          <w:rFonts w:ascii="Arial" w:eastAsia="Times New Roman" w:hAnsi="Arial" w:cs="Arial"/>
          <w:bCs/>
          <w:color w:val="595959" w:themeColor="text1" w:themeTint="A6"/>
          <w:szCs w:val="24"/>
        </w:rPr>
        <w:t>(Figure 3.</w:t>
      </w:r>
      <w:r w:rsidR="00C86161">
        <w:rPr>
          <w:rFonts w:ascii="Arial" w:eastAsia="Times New Roman" w:hAnsi="Arial" w:cs="Arial"/>
          <w:bCs/>
          <w:color w:val="595959" w:themeColor="text1" w:themeTint="A6"/>
          <w:szCs w:val="24"/>
        </w:rPr>
        <w:t>29</w:t>
      </w:r>
      <w:r w:rsidRPr="0054039C">
        <w:rPr>
          <w:rFonts w:ascii="Arial" w:eastAsia="Times New Roman" w:hAnsi="Arial" w:cs="Arial"/>
          <w:bCs/>
          <w:color w:val="595959" w:themeColor="text1" w:themeTint="A6"/>
          <w:szCs w:val="24"/>
        </w:rPr>
        <w:t>)</w:t>
      </w:r>
      <w:r w:rsidRPr="0054039C">
        <w:rPr>
          <w:rFonts w:ascii="Arial" w:eastAsia="Times New Roman" w:hAnsi="Arial" w:cs="Arial"/>
          <w:bCs/>
          <w:i/>
          <w:color w:val="595959" w:themeColor="text1" w:themeTint="A6"/>
          <w:szCs w:val="24"/>
        </w:rPr>
        <w:t xml:space="preserve">. </w:t>
      </w:r>
      <w:r w:rsidRPr="0054039C">
        <w:rPr>
          <w:rFonts w:ascii="Arial" w:eastAsia="Times New Roman" w:hAnsi="Arial" w:cs="Arial"/>
          <w:bCs/>
          <w:iCs/>
          <w:color w:val="595959" w:themeColor="text1" w:themeTint="A6"/>
          <w:szCs w:val="24"/>
        </w:rPr>
        <w:t xml:space="preserve">A significant reduction in TNC occurred at </w:t>
      </w:r>
      <w:r w:rsidRPr="0054039C">
        <w:rPr>
          <w:rFonts w:ascii="Arial" w:eastAsia="Times New Roman" w:hAnsi="Arial" w:cs="Arial"/>
          <w:bCs/>
          <w:color w:val="595959" w:themeColor="text1" w:themeTint="A6"/>
          <w:szCs w:val="24"/>
        </w:rPr>
        <w:t xml:space="preserve">48 h + 14-day in vehicle control samples with a mean </w:t>
      </w:r>
      <w:r w:rsidR="00A47968">
        <w:rPr>
          <w:rFonts w:ascii="Arial" w:eastAsia="Times New Roman" w:hAnsi="Arial" w:cs="Arial"/>
          <w:bCs/>
          <w:color w:val="595959" w:themeColor="text1" w:themeTint="A6"/>
          <w:szCs w:val="24"/>
        </w:rPr>
        <w:t xml:space="preserve">fold-change of </w:t>
      </w:r>
      <w:r w:rsidRPr="0054039C">
        <w:rPr>
          <w:rFonts w:ascii="Arial" w:eastAsia="Times New Roman" w:hAnsi="Arial" w:cs="Arial"/>
          <w:bCs/>
          <w:color w:val="595959" w:themeColor="text1" w:themeTint="A6"/>
          <w:szCs w:val="24"/>
        </w:rPr>
        <w:t xml:space="preserve">0.38 ± 0.52, p=0.0012. No significant differences were observed for TNC expression with exogenous application of TGFβ-1. </w:t>
      </w:r>
    </w:p>
    <w:p w14:paraId="30251538"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19ABD659"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704AC602"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7F9B24F9" w14:textId="5DB0DC2B" w:rsidR="0054039C" w:rsidRPr="0054039C" w:rsidRDefault="00A34FD9"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r>
        <w:rPr>
          <w:rFonts w:ascii="Arial" w:eastAsia="Times New Roman" w:hAnsi="Arial" w:cs="Arial"/>
          <w:bCs/>
          <w:noProof/>
          <w:color w:val="595959" w:themeColor="text1" w:themeTint="A6"/>
          <w:szCs w:val="24"/>
        </w:rPr>
        <w:drawing>
          <wp:anchor distT="0" distB="0" distL="114300" distR="114300" simplePos="0" relativeHeight="251658495" behindDoc="0" locked="0" layoutInCell="1" allowOverlap="1" wp14:anchorId="6B1C59A0" wp14:editId="168DF3C5">
            <wp:simplePos x="0" y="0"/>
            <wp:positionH relativeFrom="margin">
              <wp:align>center</wp:align>
            </wp:positionH>
            <wp:positionV relativeFrom="paragraph">
              <wp:posOffset>69215</wp:posOffset>
            </wp:positionV>
            <wp:extent cx="3780155" cy="2749550"/>
            <wp:effectExtent l="0" t="0" r="0" b="0"/>
            <wp:wrapNone/>
            <wp:docPr id="5304" name="Picture 5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780155" cy="2749550"/>
                    </a:xfrm>
                    <a:prstGeom prst="rect">
                      <a:avLst/>
                    </a:prstGeom>
                    <a:noFill/>
                  </pic:spPr>
                </pic:pic>
              </a:graphicData>
            </a:graphic>
          </wp:anchor>
        </w:drawing>
      </w:r>
    </w:p>
    <w:p w14:paraId="7DE6542C"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08381599" w14:textId="3BB1B720"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6AA13A90"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4650980E"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1CE62096"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437CE99E"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2A1B250C"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6E68FE3F"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4CEE9C44"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78EDAD66"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512213F2"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2364085A"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4FA12B94"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7511A028"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403A251A"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11AE38FB"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r w:rsidRPr="0054039C">
        <w:rPr>
          <w:rFonts w:ascii="Arial" w:hAnsi="Arial" w:cs="Arial"/>
          <w:noProof/>
          <w:color w:val="595959" w:themeColor="text1" w:themeTint="A6"/>
          <w:sz w:val="24"/>
          <w:szCs w:val="24"/>
          <w:lang w:eastAsia="zh-CN"/>
        </w:rPr>
        <mc:AlternateContent>
          <mc:Choice Requires="wps">
            <w:drawing>
              <wp:anchor distT="0" distB="0" distL="114300" distR="114300" simplePos="0" relativeHeight="251658304" behindDoc="0" locked="0" layoutInCell="1" allowOverlap="1" wp14:anchorId="40E2C247" wp14:editId="18CE6DB4">
                <wp:simplePos x="0" y="0"/>
                <wp:positionH relativeFrom="margin">
                  <wp:align>right</wp:align>
                </wp:positionH>
                <wp:positionV relativeFrom="paragraph">
                  <wp:posOffset>43181</wp:posOffset>
                </wp:positionV>
                <wp:extent cx="5724525" cy="1695450"/>
                <wp:effectExtent l="0" t="0" r="9525" b="0"/>
                <wp:wrapNone/>
                <wp:docPr id="20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1695450"/>
                        </a:xfrm>
                        <a:prstGeom prst="rect">
                          <a:avLst/>
                        </a:prstGeom>
                        <a:solidFill>
                          <a:srgbClr val="FFFFFF"/>
                        </a:solidFill>
                        <a:ln w="9525">
                          <a:noFill/>
                          <a:miter lim="800000"/>
                          <a:headEnd/>
                          <a:tailEnd/>
                        </a:ln>
                      </wps:spPr>
                      <wps:txbx>
                        <w:txbxContent>
                          <w:p w14:paraId="0AA566E4" w14:textId="0B445ADA" w:rsidR="008A47AC" w:rsidRDefault="008A47AC" w:rsidP="0054039C">
                            <w:pPr>
                              <w:pStyle w:val="NormalWeb"/>
                              <w:spacing w:after="200"/>
                              <w:jc w:val="both"/>
                            </w:pPr>
                            <w:r>
                              <w:rPr>
                                <w:rFonts w:ascii="Arial Narrow" w:eastAsia="SimSun" w:hAnsi="Arial Narrow" w:cs="Arial"/>
                                <w:b/>
                                <w:bCs/>
                                <w:color w:val="595959"/>
                                <w:kern w:val="24"/>
                                <w:sz w:val="22"/>
                                <w:szCs w:val="22"/>
                              </w:rPr>
                              <w:t xml:space="preserve">Figure 3.29 Long-term expression data for the ECM marker </w:t>
                            </w:r>
                            <w:r>
                              <w:rPr>
                                <w:rFonts w:ascii="Arial Narrow" w:eastAsia="SimSun" w:hAnsi="Arial Narrow" w:cs="Arial"/>
                                <w:b/>
                                <w:color w:val="595959"/>
                                <w:kern w:val="24"/>
                                <w:sz w:val="22"/>
                                <w:szCs w:val="22"/>
                              </w:rPr>
                              <w:t xml:space="preserve">TNC in CAF </w:t>
                            </w:r>
                            <w:r>
                              <w:rPr>
                                <w:rFonts w:ascii="Arial Narrow" w:eastAsia="SimSun" w:hAnsi="Arial Narrow" w:cs="Arial"/>
                                <w:b/>
                                <w:bCs/>
                                <w:color w:val="595959"/>
                                <w:kern w:val="24"/>
                                <w:sz w:val="22"/>
                                <w:szCs w:val="22"/>
                              </w:rPr>
                              <w:t>with and without TGFβ-1 stimulation</w:t>
                            </w:r>
                            <w:r>
                              <w:rPr>
                                <w:rFonts w:ascii="Arial Narrow" w:eastAsia="SimSun" w:hAnsi="Arial Narrow" w:cs="Arial"/>
                                <w:b/>
                                <w:color w:val="595959"/>
                                <w:kern w:val="24"/>
                                <w:sz w:val="22"/>
                                <w:szCs w:val="22"/>
                              </w:rPr>
                              <w:t xml:space="preserve"> </w:t>
                            </w:r>
                            <w:r>
                              <w:rPr>
                                <w:rFonts w:ascii="Arial Narrow" w:eastAsia="SimSun" w:hAnsi="Arial Narrow" w:cs="Arial"/>
                                <w:b/>
                                <w:bCs/>
                                <w:color w:val="595959"/>
                                <w:kern w:val="24"/>
                                <w:sz w:val="22"/>
                                <w:szCs w:val="22"/>
                              </w:rPr>
                              <w:t xml:space="preserve">  </w:t>
                            </w:r>
                          </w:p>
                          <w:p w14:paraId="0668F6F3" w14:textId="7446BCC4" w:rsidR="008A47AC" w:rsidRPr="00B612DF" w:rsidRDefault="008A47AC" w:rsidP="0054039C">
                            <w:pPr>
                              <w:pStyle w:val="NormalWeb"/>
                              <w:spacing w:after="200" w:line="276" w:lineRule="auto"/>
                              <w:jc w:val="both"/>
                              <w:rPr>
                                <w:rFonts w:ascii="Arial Narrow" w:eastAsia="SimSun" w:hAnsi="Arial Narrow" w:cs="Arial"/>
                                <w:color w:val="595959"/>
                                <w:kern w:val="24"/>
                                <w:sz w:val="22"/>
                                <w:szCs w:val="22"/>
                              </w:rPr>
                            </w:pPr>
                            <w:r>
                              <w:rPr>
                                <w:rFonts w:ascii="Arial Narrow" w:eastAsia="SimSun" w:hAnsi="Arial Narrow" w:cs="Arial"/>
                                <w:color w:val="595959"/>
                                <w:kern w:val="24"/>
                                <w:sz w:val="22"/>
                              </w:rPr>
                              <w:t xml:space="preserve">CAF 2D monolayers were treated </w:t>
                            </w:r>
                            <w:r>
                              <w:rPr>
                                <w:rFonts w:ascii="Arial Narrow" w:eastAsia="SimSun" w:hAnsi="Arial Narrow" w:cs="Arial"/>
                                <w:color w:val="595959"/>
                                <w:kern w:val="24"/>
                                <w:sz w:val="22"/>
                                <w:szCs w:val="22"/>
                              </w:rPr>
                              <w:t xml:space="preserve">with 2 ng/mL TGFβ-1 up to 72 h + 14 days </w:t>
                            </w:r>
                            <w:r>
                              <w:rPr>
                                <w:rFonts w:ascii="Arial Narrow" w:eastAsia="SimSun" w:hAnsi="Arial Narrow" w:cs="Arial"/>
                                <w:color w:val="595959"/>
                                <w:kern w:val="24"/>
                                <w:sz w:val="22"/>
                              </w:rPr>
                              <w:t xml:space="preserve">and the gene expression for </w:t>
                            </w:r>
                            <w:r>
                              <w:rPr>
                                <w:rFonts w:ascii="Arial Narrow" w:eastAsia="SimSun" w:hAnsi="Arial Narrow" w:cs="Arial"/>
                                <w:color w:val="595959"/>
                                <w:kern w:val="24"/>
                                <w:sz w:val="22"/>
                                <w:szCs w:val="22"/>
                              </w:rPr>
                              <w:t xml:space="preserve">TNC was </w:t>
                            </w:r>
                            <w:r>
                              <w:rPr>
                                <w:rFonts w:ascii="Arial Narrow" w:eastAsia="SimSun" w:hAnsi="Arial Narrow" w:cs="Arial"/>
                                <w:color w:val="595959"/>
                                <w:kern w:val="24"/>
                                <w:sz w:val="22"/>
                              </w:rPr>
                              <w:t>determined by qPCR</w:t>
                            </w:r>
                            <w:r>
                              <w:rPr>
                                <w:rFonts w:ascii="Arial Narrow" w:eastAsia="SimSun" w:hAnsi="Arial Narrow" w:cs="Arial"/>
                                <w:color w:val="595959"/>
                                <w:kern w:val="24"/>
                                <w:sz w:val="22"/>
                                <w:szCs w:val="22"/>
                              </w:rPr>
                              <w:t xml:space="preserve">. </w:t>
                            </w:r>
                            <w:r>
                              <w:rPr>
                                <w:rFonts w:ascii="Arial Narrow" w:eastAsia="SimSun" w:hAnsi="Arial Narrow" w:cs="Arial"/>
                                <w:color w:val="595959"/>
                                <w:kern w:val="24"/>
                                <w:sz w:val="22"/>
                              </w:rPr>
                              <w:t xml:space="preserve">Data is expressed as fold change relative to housekeeping gene U6, with mean ± SD. **** denotes p &lt;0.0001 as </w:t>
                            </w:r>
                            <w:r>
                              <w:rPr>
                                <w:rFonts w:ascii="Arial Narrow" w:eastAsia="SimSun" w:hAnsi="Arial Narrow" w:cs="Arial"/>
                                <w:color w:val="595959"/>
                                <w:kern w:val="24"/>
                                <w:sz w:val="22"/>
                                <w:szCs w:val="22"/>
                              </w:rPr>
                              <w:t>analysed by ordinary one-way ANOVA with Dunnett’s multiple comparison. (N=3, n=3).</w:t>
                            </w:r>
                          </w:p>
                          <w:p w14:paraId="03D66BA6" w14:textId="77777777" w:rsidR="008A47AC" w:rsidRPr="00C61619" w:rsidRDefault="008A47AC" w:rsidP="0054039C">
                            <w:pPr>
                              <w:pStyle w:val="NormalWeb"/>
                              <w:spacing w:after="200" w:line="276" w:lineRule="auto"/>
                              <w:jc w:val="both"/>
                              <w:rPr>
                                <w:rFonts w:ascii="Arial Narrow" w:eastAsia="SimSun" w:hAnsi="Arial Narrow" w:cs="Arial"/>
                                <w:color w:val="595959"/>
                                <w:kern w:val="24"/>
                                <w:sz w:val="22"/>
                                <w:szCs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E2C247" id="_x0000_s1092" type="#_x0000_t202" style="position:absolute;left:0;text-align:left;margin-left:399.55pt;margin-top:3.4pt;width:450.75pt;height:133.5pt;z-index:2516583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" stroked="f">
                <v:textbox>
                  <w:txbxContent>
                    <w:p w14:paraId="0AA566E4" w14:textId="0B445ADA" w:rsidR="008A47AC" w:rsidRDefault="008A47AC" w:rsidP="0054039C">
                      <w:pPr>
                        <w:pStyle w:val="NormalWeb"/>
                        <w:spacing w:after="200"/>
                        <w:jc w:val="both"/>
                      </w:pPr>
                      <w:r>
                        <w:rPr>
                          <w:rFonts w:ascii="Arial Narrow" w:eastAsia="SimSun" w:hAnsi="Arial Narrow" w:cs="Arial"/>
                          <w:b/>
                          <w:bCs/>
                          <w:color w:val="595959"/>
                          <w:kern w:val="24"/>
                          <w:sz w:val="22"/>
                          <w:szCs w:val="22"/>
                        </w:rPr>
                        <w:t xml:space="preserve">Figure 3.29 Long-term expression data for the ECM marker </w:t>
                      </w:r>
                      <w:r>
                        <w:rPr>
                          <w:rFonts w:ascii="Arial Narrow" w:eastAsia="SimSun" w:hAnsi="Arial Narrow" w:cs="Arial"/>
                          <w:b/>
                          <w:color w:val="595959"/>
                          <w:kern w:val="24"/>
                          <w:sz w:val="22"/>
                          <w:szCs w:val="22"/>
                        </w:rPr>
                        <w:t xml:space="preserve">TNC in CAF </w:t>
                      </w:r>
                      <w:r>
                        <w:rPr>
                          <w:rFonts w:ascii="Arial Narrow" w:eastAsia="SimSun" w:hAnsi="Arial Narrow" w:cs="Arial"/>
                          <w:b/>
                          <w:bCs/>
                          <w:color w:val="595959"/>
                          <w:kern w:val="24"/>
                          <w:sz w:val="22"/>
                          <w:szCs w:val="22"/>
                        </w:rPr>
                        <w:t>with and without TGFβ-1 stimulation</w:t>
                      </w:r>
                      <w:r>
                        <w:rPr>
                          <w:rFonts w:ascii="Arial Narrow" w:eastAsia="SimSun" w:hAnsi="Arial Narrow" w:cs="Arial"/>
                          <w:b/>
                          <w:color w:val="595959"/>
                          <w:kern w:val="24"/>
                          <w:sz w:val="22"/>
                          <w:szCs w:val="22"/>
                        </w:rPr>
                        <w:t xml:space="preserve"> </w:t>
                      </w:r>
                      <w:r>
                        <w:rPr>
                          <w:rFonts w:ascii="Arial Narrow" w:eastAsia="SimSun" w:hAnsi="Arial Narrow" w:cs="Arial"/>
                          <w:b/>
                          <w:bCs/>
                          <w:color w:val="595959"/>
                          <w:kern w:val="24"/>
                          <w:sz w:val="22"/>
                          <w:szCs w:val="22"/>
                        </w:rPr>
                        <w:t xml:space="preserve">  </w:t>
                      </w:r>
                    </w:p>
                    <w:p w14:paraId="0668F6F3" w14:textId="7446BCC4" w:rsidR="008A47AC" w:rsidRPr="00B612DF" w:rsidRDefault="008A47AC" w:rsidP="0054039C">
                      <w:pPr>
                        <w:pStyle w:val="NormalWeb"/>
                        <w:spacing w:after="200" w:line="276" w:lineRule="auto"/>
                        <w:jc w:val="both"/>
                        <w:rPr>
                          <w:rFonts w:ascii="Arial Narrow" w:eastAsia="SimSun" w:hAnsi="Arial Narrow" w:cs="Arial"/>
                          <w:color w:val="595959"/>
                          <w:kern w:val="24"/>
                          <w:sz w:val="22"/>
                          <w:szCs w:val="22"/>
                        </w:rPr>
                      </w:pPr>
                      <w:r>
                        <w:rPr>
                          <w:rFonts w:ascii="Arial Narrow" w:eastAsia="SimSun" w:hAnsi="Arial Narrow" w:cs="Arial"/>
                          <w:color w:val="595959"/>
                          <w:kern w:val="24"/>
                          <w:sz w:val="22"/>
                        </w:rPr>
                        <w:t xml:space="preserve">CAF 2D monolayers were treated </w:t>
                      </w:r>
                      <w:r>
                        <w:rPr>
                          <w:rFonts w:ascii="Arial Narrow" w:eastAsia="SimSun" w:hAnsi="Arial Narrow" w:cs="Arial"/>
                          <w:color w:val="595959"/>
                          <w:kern w:val="24"/>
                          <w:sz w:val="22"/>
                          <w:szCs w:val="22"/>
                        </w:rPr>
                        <w:t xml:space="preserve">with 2 ng/mL TGFβ-1 up to 72 h + 14 days </w:t>
                      </w:r>
                      <w:r>
                        <w:rPr>
                          <w:rFonts w:ascii="Arial Narrow" w:eastAsia="SimSun" w:hAnsi="Arial Narrow" w:cs="Arial"/>
                          <w:color w:val="595959"/>
                          <w:kern w:val="24"/>
                          <w:sz w:val="22"/>
                        </w:rPr>
                        <w:t xml:space="preserve">and the gene expression for </w:t>
                      </w:r>
                      <w:r>
                        <w:rPr>
                          <w:rFonts w:ascii="Arial Narrow" w:eastAsia="SimSun" w:hAnsi="Arial Narrow" w:cs="Arial"/>
                          <w:color w:val="595959"/>
                          <w:kern w:val="24"/>
                          <w:sz w:val="22"/>
                          <w:szCs w:val="22"/>
                        </w:rPr>
                        <w:t xml:space="preserve">TNC was </w:t>
                      </w:r>
                      <w:r>
                        <w:rPr>
                          <w:rFonts w:ascii="Arial Narrow" w:eastAsia="SimSun" w:hAnsi="Arial Narrow" w:cs="Arial"/>
                          <w:color w:val="595959"/>
                          <w:kern w:val="24"/>
                          <w:sz w:val="22"/>
                        </w:rPr>
                        <w:t>determined by qPCR</w:t>
                      </w:r>
                      <w:r>
                        <w:rPr>
                          <w:rFonts w:ascii="Arial Narrow" w:eastAsia="SimSun" w:hAnsi="Arial Narrow" w:cs="Arial"/>
                          <w:color w:val="595959"/>
                          <w:kern w:val="24"/>
                          <w:sz w:val="22"/>
                          <w:szCs w:val="22"/>
                        </w:rPr>
                        <w:t xml:space="preserve">. </w:t>
                      </w:r>
                      <w:r>
                        <w:rPr>
                          <w:rFonts w:ascii="Arial Narrow" w:eastAsia="SimSun" w:hAnsi="Arial Narrow" w:cs="Arial"/>
                          <w:color w:val="595959"/>
                          <w:kern w:val="24"/>
                          <w:sz w:val="22"/>
                        </w:rPr>
                        <w:t xml:space="preserve">Data is expressed as fold change relative to housekeeping gene U6, with mean ± SD. **** denotes p &lt;0.0001 as </w:t>
                      </w:r>
                      <w:r>
                        <w:rPr>
                          <w:rFonts w:ascii="Arial Narrow" w:eastAsia="SimSun" w:hAnsi="Arial Narrow" w:cs="Arial"/>
                          <w:color w:val="595959"/>
                          <w:kern w:val="24"/>
                          <w:sz w:val="22"/>
                          <w:szCs w:val="22"/>
                        </w:rPr>
                        <w:t>analysed by ordinary one-way ANOVA with Dunnett’s multiple comparison. (N=3, n=3).</w:t>
                      </w:r>
                    </w:p>
                    <w:p w14:paraId="03D66BA6" w14:textId="77777777" w:rsidR="008A47AC" w:rsidRPr="00C61619" w:rsidRDefault="008A47AC" w:rsidP="0054039C">
                      <w:pPr>
                        <w:pStyle w:val="NormalWeb"/>
                        <w:spacing w:after="200" w:line="276" w:lineRule="auto"/>
                        <w:jc w:val="both"/>
                        <w:rPr>
                          <w:rFonts w:ascii="Arial Narrow" w:eastAsia="SimSun" w:hAnsi="Arial Narrow" w:cs="Arial"/>
                          <w:color w:val="595959"/>
                          <w:kern w:val="24"/>
                          <w:sz w:val="22"/>
                          <w:szCs w:val="22"/>
                        </w:rPr>
                      </w:pPr>
                    </w:p>
                  </w:txbxContent>
                </v:textbox>
                <w10:wrap anchorx="margin"/>
              </v:shape>
            </w:pict>
          </mc:Fallback>
        </mc:AlternateContent>
      </w:r>
    </w:p>
    <w:p w14:paraId="63CCA330"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3C9D5682"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7B0C8C8B"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2B78B01A"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500895CF"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74680129"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55016F5D"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331A2B29" w14:textId="1072F854" w:rsidR="0054039C" w:rsidRPr="0054039C" w:rsidRDefault="0054039C" w:rsidP="0054039C">
      <w:pPr>
        <w:keepNext/>
        <w:keepLines/>
        <w:spacing w:before="40" w:after="0"/>
        <w:jc w:val="both"/>
        <w:outlineLvl w:val="2"/>
        <w:rPr>
          <w:rFonts w:ascii="Arial" w:eastAsia="Times New Roman" w:hAnsi="Arial" w:cs="Arial"/>
          <w:color w:val="595959" w:themeColor="text1" w:themeTint="A6"/>
          <w:sz w:val="24"/>
          <w:szCs w:val="24"/>
        </w:rPr>
      </w:pPr>
      <w:bookmarkStart w:id="306" w:name="_Toc7107274"/>
      <w:bookmarkStart w:id="307" w:name="_Toc34208380"/>
      <w:r w:rsidRPr="0054039C">
        <w:rPr>
          <w:rFonts w:ascii="Arial" w:eastAsia="Times New Roman" w:hAnsi="Arial" w:cs="Arial"/>
          <w:color w:val="595959" w:themeColor="text1" w:themeTint="A6"/>
          <w:sz w:val="24"/>
          <w:szCs w:val="24"/>
        </w:rPr>
        <w:lastRenderedPageBreak/>
        <w:t xml:space="preserve">3.3.4 Analysis of </w:t>
      </w:r>
      <w:r w:rsidR="00A47968">
        <w:rPr>
          <w:rFonts w:ascii="Arial" w:eastAsia="Times New Roman" w:hAnsi="Arial" w:cs="Arial"/>
          <w:color w:val="595959" w:themeColor="text1" w:themeTint="A6"/>
          <w:sz w:val="24"/>
          <w:szCs w:val="24"/>
        </w:rPr>
        <w:t xml:space="preserve">oral </w:t>
      </w:r>
      <w:r w:rsidRPr="0054039C">
        <w:rPr>
          <w:rFonts w:ascii="Arial" w:eastAsia="Times New Roman" w:hAnsi="Arial" w:cs="Arial"/>
          <w:color w:val="595959" w:themeColor="text1" w:themeTint="A6"/>
          <w:sz w:val="24"/>
          <w:szCs w:val="24"/>
        </w:rPr>
        <w:t>cancer associated</w:t>
      </w:r>
      <w:r w:rsidR="00A47968">
        <w:rPr>
          <w:rFonts w:ascii="Arial" w:eastAsia="Times New Roman" w:hAnsi="Arial" w:cs="Arial"/>
          <w:color w:val="595959" w:themeColor="text1" w:themeTint="A6"/>
          <w:sz w:val="24"/>
          <w:szCs w:val="24"/>
        </w:rPr>
        <w:t xml:space="preserve"> </w:t>
      </w:r>
      <w:r w:rsidRPr="0054039C">
        <w:rPr>
          <w:rFonts w:ascii="Arial" w:eastAsia="Times New Roman" w:hAnsi="Arial" w:cs="Arial"/>
          <w:color w:val="595959" w:themeColor="text1" w:themeTint="A6"/>
          <w:sz w:val="24"/>
          <w:szCs w:val="24"/>
        </w:rPr>
        <w:t>fibroblast ECM component protein abundance</w:t>
      </w:r>
      <w:bookmarkEnd w:id="306"/>
      <w:bookmarkEnd w:id="307"/>
    </w:p>
    <w:p w14:paraId="0DF69EB6" w14:textId="77777777" w:rsidR="0054039C" w:rsidRPr="0054039C" w:rsidRDefault="0054039C" w:rsidP="0054039C">
      <w:pPr>
        <w:keepNext/>
        <w:keepLines/>
        <w:spacing w:before="40" w:after="0"/>
        <w:outlineLvl w:val="2"/>
        <w:rPr>
          <w:rFonts w:ascii="Arial" w:eastAsia="Times New Roman" w:hAnsi="Arial" w:cs="Arial"/>
          <w:color w:val="595959" w:themeColor="text1" w:themeTint="A6"/>
          <w:sz w:val="24"/>
          <w:szCs w:val="24"/>
        </w:rPr>
      </w:pPr>
      <w:r w:rsidRPr="0054039C">
        <w:rPr>
          <w:rFonts w:ascii="Arial" w:eastAsia="Times New Roman" w:hAnsi="Arial" w:cs="Arial"/>
          <w:color w:val="595959" w:themeColor="text1" w:themeTint="A6"/>
          <w:sz w:val="24"/>
          <w:szCs w:val="24"/>
        </w:rPr>
        <w:t xml:space="preserve"> </w:t>
      </w:r>
    </w:p>
    <w:p w14:paraId="4933654A" w14:textId="2949D517" w:rsidR="0054039C" w:rsidRPr="0054039C" w:rsidRDefault="0054039C" w:rsidP="002E3006">
      <w:pPr>
        <w:keepNext/>
        <w:keepLines/>
        <w:spacing w:before="40" w:after="0"/>
        <w:outlineLvl w:val="3"/>
        <w:rPr>
          <w:rFonts w:ascii="Arial" w:eastAsia="Times New Roman" w:hAnsi="Arial" w:cs="Arial"/>
          <w:i/>
          <w:iCs/>
          <w:color w:val="595959" w:themeColor="text1" w:themeTint="A6"/>
        </w:rPr>
      </w:pPr>
      <w:bookmarkStart w:id="308" w:name="_Toc7107275"/>
      <w:bookmarkStart w:id="309" w:name="_Toc34208381"/>
      <w:r w:rsidRPr="0054039C">
        <w:rPr>
          <w:rFonts w:ascii="Arial" w:eastAsia="Times New Roman" w:hAnsi="Arial" w:cs="Arial"/>
          <w:i/>
          <w:iCs/>
          <w:color w:val="595959" w:themeColor="text1" w:themeTint="A6"/>
        </w:rPr>
        <w:t>3.3.4.1 Short-term ECM protein abundance in CAF</w:t>
      </w:r>
      <w:bookmarkEnd w:id="308"/>
      <w:bookmarkEnd w:id="309"/>
    </w:p>
    <w:p w14:paraId="53C19210" w14:textId="77777777" w:rsidR="0054039C" w:rsidRPr="0054039C" w:rsidRDefault="0054039C" w:rsidP="0054039C">
      <w:pPr>
        <w:keepNext/>
        <w:keepLines/>
        <w:spacing w:before="40" w:after="0"/>
        <w:outlineLvl w:val="4"/>
        <w:rPr>
          <w:rFonts w:asciiTheme="majorHAnsi" w:eastAsiaTheme="majorEastAsia" w:hAnsiTheme="majorHAnsi" w:cstheme="majorBidi"/>
          <w:color w:val="2F5496" w:themeColor="accent1" w:themeShade="BF"/>
        </w:rPr>
      </w:pPr>
    </w:p>
    <w:p w14:paraId="440D42E8" w14:textId="77777777" w:rsidR="0054039C" w:rsidRPr="0054039C" w:rsidRDefault="0054039C" w:rsidP="0054039C">
      <w:pPr>
        <w:keepNext/>
        <w:keepLines/>
        <w:spacing w:before="40" w:after="0"/>
        <w:outlineLvl w:val="4"/>
        <w:rPr>
          <w:rFonts w:ascii="Arial" w:eastAsia="Times New Roman" w:hAnsi="Arial" w:cs="Arial"/>
          <w:color w:val="595959" w:themeColor="text1" w:themeTint="A6"/>
        </w:rPr>
      </w:pPr>
      <w:bookmarkStart w:id="310" w:name="_Toc7107276"/>
      <w:bookmarkStart w:id="311" w:name="_Toc34208382"/>
      <w:r w:rsidRPr="0054039C">
        <w:rPr>
          <w:rFonts w:ascii="Arial" w:eastAsia="Times New Roman" w:hAnsi="Arial" w:cs="Arial"/>
          <w:color w:val="595959" w:themeColor="text1" w:themeTint="A6"/>
        </w:rPr>
        <w:t>3.3.4.1.1 αSMA abundance in CAF short-term</w:t>
      </w:r>
      <w:bookmarkEnd w:id="310"/>
      <w:bookmarkEnd w:id="311"/>
      <w:r w:rsidRPr="0054039C">
        <w:rPr>
          <w:rFonts w:ascii="Arial" w:eastAsia="Times New Roman" w:hAnsi="Arial" w:cs="Arial"/>
          <w:color w:val="595959" w:themeColor="text1" w:themeTint="A6"/>
        </w:rPr>
        <w:t xml:space="preserve"> </w:t>
      </w:r>
    </w:p>
    <w:p w14:paraId="4BCCA8FB" w14:textId="77777777" w:rsidR="0054039C" w:rsidRPr="0054039C" w:rsidRDefault="0054039C" w:rsidP="0054039C"/>
    <w:p w14:paraId="057B71D7" w14:textId="352CAA01" w:rsidR="0054039C" w:rsidRPr="0054039C" w:rsidRDefault="0054039C" w:rsidP="0054039C">
      <w:pPr>
        <w:spacing w:line="480" w:lineRule="auto"/>
        <w:jc w:val="both"/>
        <w:rPr>
          <w:rFonts w:ascii="Arial" w:eastAsia="Times New Roman" w:hAnsi="Arial" w:cs="Arial"/>
          <w:color w:val="595959" w:themeColor="text1" w:themeTint="A6"/>
        </w:rPr>
      </w:pPr>
      <w:r w:rsidRPr="0054039C">
        <w:rPr>
          <w:rFonts w:ascii="Arial" w:eastAsia="Times New Roman" w:hAnsi="Arial" w:cs="Arial"/>
          <w:color w:val="595959" w:themeColor="text1" w:themeTint="A6"/>
        </w:rPr>
        <w:t xml:space="preserve">αSMA </w:t>
      </w:r>
      <w:r w:rsidR="00DA3740">
        <w:rPr>
          <w:rFonts w:ascii="Arial" w:eastAsia="Times New Roman" w:hAnsi="Arial" w:cs="Arial"/>
          <w:color w:val="595959" w:themeColor="text1" w:themeTint="A6"/>
        </w:rPr>
        <w:t xml:space="preserve">protein </w:t>
      </w:r>
      <w:r w:rsidRPr="0054039C">
        <w:rPr>
          <w:rFonts w:ascii="Arial" w:eastAsia="Times New Roman" w:hAnsi="Arial" w:cs="Arial"/>
          <w:color w:val="595959" w:themeColor="text1" w:themeTint="A6"/>
        </w:rPr>
        <w:t>was detectable in CAF samples with and without TGFβ-1 supplementation (Figure 3.</w:t>
      </w:r>
      <w:r w:rsidR="00EF6950">
        <w:rPr>
          <w:rFonts w:ascii="Arial" w:eastAsia="Times New Roman" w:hAnsi="Arial" w:cs="Arial"/>
          <w:color w:val="595959" w:themeColor="text1" w:themeTint="A6"/>
        </w:rPr>
        <w:t>30</w:t>
      </w:r>
      <w:r w:rsidRPr="0054039C">
        <w:rPr>
          <w:rFonts w:ascii="Arial" w:eastAsia="Times New Roman" w:hAnsi="Arial" w:cs="Arial"/>
          <w:color w:val="595959" w:themeColor="text1" w:themeTint="A6"/>
        </w:rPr>
        <w:t xml:space="preserve"> A). A significant increase in αSMA abundance was observed at 72 h with TGFβ-1 treatment compared to 24 h control samples with a mean band intensity of 1.92 ± 0.26, p=0.007. (Figure 3.3</w:t>
      </w:r>
      <w:r w:rsidR="00EF6950">
        <w:rPr>
          <w:rFonts w:ascii="Arial" w:eastAsia="Times New Roman" w:hAnsi="Arial" w:cs="Arial"/>
          <w:color w:val="595959" w:themeColor="text1" w:themeTint="A6"/>
        </w:rPr>
        <w:t>0</w:t>
      </w:r>
      <w:r w:rsidRPr="0054039C">
        <w:rPr>
          <w:rFonts w:ascii="Arial" w:eastAsia="Times New Roman" w:hAnsi="Arial" w:cs="Arial"/>
          <w:color w:val="595959" w:themeColor="text1" w:themeTint="A6"/>
        </w:rPr>
        <w:t xml:space="preserve"> B).</w:t>
      </w:r>
    </w:p>
    <w:p w14:paraId="6BCAF19C" w14:textId="5991FA36" w:rsidR="0054039C" w:rsidRPr="0054039C" w:rsidRDefault="00752970" w:rsidP="0054039C">
      <w:pPr>
        <w:spacing w:line="480" w:lineRule="auto"/>
        <w:jc w:val="both"/>
        <w:rPr>
          <w:rFonts w:ascii="Arial" w:eastAsia="Times New Roman" w:hAnsi="Arial" w:cs="Arial"/>
          <w:color w:val="595959" w:themeColor="text1" w:themeTint="A6"/>
        </w:rPr>
      </w:pPr>
      <w:r>
        <w:rPr>
          <w:rFonts w:ascii="Arial" w:eastAsia="Times New Roman" w:hAnsi="Arial" w:cs="Arial"/>
          <w:noProof/>
          <w:color w:val="595959" w:themeColor="text1" w:themeTint="A6"/>
        </w:rPr>
        <w:drawing>
          <wp:anchor distT="0" distB="0" distL="114300" distR="114300" simplePos="0" relativeHeight="251668747" behindDoc="0" locked="0" layoutInCell="1" allowOverlap="1" wp14:anchorId="69367B08" wp14:editId="10B9E075">
            <wp:simplePos x="0" y="0"/>
            <wp:positionH relativeFrom="margin">
              <wp:posOffset>1235209</wp:posOffset>
            </wp:positionH>
            <wp:positionV relativeFrom="paragraph">
              <wp:posOffset>100731</wp:posOffset>
            </wp:positionV>
            <wp:extent cx="4383405" cy="4371340"/>
            <wp:effectExtent l="0" t="0" r="0" b="0"/>
            <wp:wrapNone/>
            <wp:docPr id="5582" name="Picture 5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383405" cy="4371340"/>
                    </a:xfrm>
                    <a:prstGeom prst="rect">
                      <a:avLst/>
                    </a:prstGeom>
                    <a:noFill/>
                  </pic:spPr>
                </pic:pic>
              </a:graphicData>
            </a:graphic>
          </wp:anchor>
        </w:drawing>
      </w:r>
    </w:p>
    <w:p w14:paraId="63A3E9D4" w14:textId="43637526" w:rsidR="0054039C" w:rsidRPr="0054039C" w:rsidRDefault="0054039C" w:rsidP="0054039C">
      <w:pPr>
        <w:spacing w:line="480" w:lineRule="auto"/>
        <w:jc w:val="both"/>
        <w:rPr>
          <w:rFonts w:ascii="Arial" w:eastAsia="Times New Roman" w:hAnsi="Arial" w:cs="Arial"/>
          <w:color w:val="595959" w:themeColor="text1" w:themeTint="A6"/>
        </w:rPr>
      </w:pPr>
    </w:p>
    <w:p w14:paraId="224E431C" w14:textId="77777777" w:rsidR="0054039C" w:rsidRPr="0054039C" w:rsidRDefault="0054039C" w:rsidP="0054039C">
      <w:pPr>
        <w:spacing w:line="480" w:lineRule="auto"/>
        <w:jc w:val="both"/>
        <w:rPr>
          <w:rFonts w:ascii="Arial" w:eastAsia="Times New Roman" w:hAnsi="Arial" w:cs="Arial"/>
          <w:color w:val="595959" w:themeColor="text1" w:themeTint="A6"/>
        </w:rPr>
      </w:pPr>
    </w:p>
    <w:p w14:paraId="2F713B86" w14:textId="77777777" w:rsidR="0054039C" w:rsidRPr="0054039C" w:rsidRDefault="0054039C" w:rsidP="0054039C">
      <w:pPr>
        <w:spacing w:line="480" w:lineRule="auto"/>
        <w:jc w:val="both"/>
        <w:rPr>
          <w:rFonts w:ascii="Arial" w:eastAsia="Times New Roman" w:hAnsi="Arial" w:cs="Arial"/>
          <w:color w:val="595959" w:themeColor="text1" w:themeTint="A6"/>
        </w:rPr>
      </w:pPr>
    </w:p>
    <w:p w14:paraId="26055FEB" w14:textId="77777777" w:rsidR="0054039C" w:rsidRPr="0054039C" w:rsidRDefault="0054039C" w:rsidP="0054039C">
      <w:pPr>
        <w:spacing w:line="480" w:lineRule="auto"/>
        <w:jc w:val="both"/>
        <w:rPr>
          <w:rFonts w:ascii="Arial" w:eastAsia="Times New Roman" w:hAnsi="Arial" w:cs="Arial"/>
          <w:color w:val="595959" w:themeColor="text1" w:themeTint="A6"/>
        </w:rPr>
      </w:pPr>
    </w:p>
    <w:p w14:paraId="373D84DA" w14:textId="77777777" w:rsidR="0054039C" w:rsidRPr="0054039C" w:rsidRDefault="0054039C" w:rsidP="0054039C">
      <w:pPr>
        <w:spacing w:line="480" w:lineRule="auto"/>
        <w:jc w:val="both"/>
        <w:rPr>
          <w:rFonts w:ascii="Arial" w:eastAsia="Times New Roman" w:hAnsi="Arial" w:cs="Arial"/>
          <w:color w:val="595959" w:themeColor="text1" w:themeTint="A6"/>
        </w:rPr>
      </w:pPr>
    </w:p>
    <w:p w14:paraId="4E1E67CD" w14:textId="77777777" w:rsidR="0054039C" w:rsidRPr="0054039C" w:rsidRDefault="0054039C" w:rsidP="0054039C">
      <w:pPr>
        <w:spacing w:line="480" w:lineRule="auto"/>
        <w:jc w:val="both"/>
        <w:rPr>
          <w:rFonts w:ascii="Arial" w:eastAsia="Times New Roman" w:hAnsi="Arial" w:cs="Arial"/>
          <w:color w:val="595959" w:themeColor="text1" w:themeTint="A6"/>
        </w:rPr>
      </w:pPr>
    </w:p>
    <w:p w14:paraId="7F80FDAF" w14:textId="77777777" w:rsidR="0054039C" w:rsidRPr="0054039C" w:rsidRDefault="0054039C" w:rsidP="0054039C">
      <w:pPr>
        <w:spacing w:line="480" w:lineRule="auto"/>
        <w:jc w:val="both"/>
        <w:rPr>
          <w:rFonts w:ascii="Arial" w:eastAsia="Times New Roman" w:hAnsi="Arial" w:cs="Arial"/>
          <w:color w:val="595959" w:themeColor="text1" w:themeTint="A6"/>
        </w:rPr>
      </w:pPr>
    </w:p>
    <w:p w14:paraId="12911717" w14:textId="77777777" w:rsidR="0054039C" w:rsidRPr="0054039C" w:rsidRDefault="0054039C" w:rsidP="0054039C">
      <w:pPr>
        <w:spacing w:line="480" w:lineRule="auto"/>
        <w:jc w:val="both"/>
        <w:rPr>
          <w:rFonts w:ascii="Arial" w:eastAsia="Times New Roman" w:hAnsi="Arial" w:cs="Arial"/>
          <w:color w:val="595959" w:themeColor="text1" w:themeTint="A6"/>
        </w:rPr>
      </w:pPr>
    </w:p>
    <w:p w14:paraId="632F9236" w14:textId="77777777" w:rsidR="0054039C" w:rsidRPr="0054039C" w:rsidRDefault="0054039C" w:rsidP="0054039C">
      <w:pPr>
        <w:spacing w:line="480" w:lineRule="auto"/>
        <w:jc w:val="both"/>
        <w:rPr>
          <w:rFonts w:ascii="Arial" w:eastAsia="Times New Roman" w:hAnsi="Arial" w:cs="Arial"/>
          <w:color w:val="595959" w:themeColor="text1" w:themeTint="A6"/>
        </w:rPr>
      </w:pPr>
    </w:p>
    <w:p w14:paraId="33091F0C" w14:textId="77777777" w:rsidR="0054039C" w:rsidRPr="0054039C" w:rsidRDefault="0054039C" w:rsidP="0054039C">
      <w:pPr>
        <w:spacing w:line="480" w:lineRule="auto"/>
        <w:jc w:val="both"/>
        <w:rPr>
          <w:rFonts w:ascii="Arial" w:eastAsia="Times New Roman" w:hAnsi="Arial" w:cs="Arial"/>
          <w:color w:val="595959" w:themeColor="text1" w:themeTint="A6"/>
        </w:rPr>
      </w:pPr>
      <w:r w:rsidRPr="0054039C">
        <w:rPr>
          <w:rFonts w:ascii="Arial" w:hAnsi="Arial" w:cs="Arial"/>
          <w:noProof/>
          <w:color w:val="595959" w:themeColor="text1" w:themeTint="A6"/>
          <w:sz w:val="24"/>
          <w:szCs w:val="24"/>
          <w:lang w:eastAsia="zh-CN"/>
        </w:rPr>
        <mc:AlternateContent>
          <mc:Choice Requires="wps">
            <w:drawing>
              <wp:anchor distT="0" distB="0" distL="114300" distR="114300" simplePos="0" relativeHeight="251658306" behindDoc="0" locked="0" layoutInCell="1" allowOverlap="1" wp14:anchorId="7FD53D43" wp14:editId="1291C5F5">
                <wp:simplePos x="0" y="0"/>
                <wp:positionH relativeFrom="margin">
                  <wp:align>right</wp:align>
                </wp:positionH>
                <wp:positionV relativeFrom="paragraph">
                  <wp:posOffset>279400</wp:posOffset>
                </wp:positionV>
                <wp:extent cx="5724525" cy="1419225"/>
                <wp:effectExtent l="0" t="0" r="9525" b="9525"/>
                <wp:wrapNone/>
                <wp:docPr id="20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1419225"/>
                        </a:xfrm>
                        <a:prstGeom prst="rect">
                          <a:avLst/>
                        </a:prstGeom>
                        <a:solidFill>
                          <a:srgbClr val="FFFFFF"/>
                        </a:solidFill>
                        <a:ln w="9525">
                          <a:noFill/>
                          <a:miter lim="800000"/>
                          <a:headEnd/>
                          <a:tailEnd/>
                        </a:ln>
                      </wps:spPr>
                      <wps:txbx>
                        <w:txbxContent>
                          <w:p w14:paraId="2F7545EB" w14:textId="689875B3" w:rsidR="008A47AC" w:rsidRDefault="008A47AC" w:rsidP="0054039C">
                            <w:pPr>
                              <w:pStyle w:val="NormalWeb"/>
                              <w:spacing w:after="200"/>
                              <w:jc w:val="both"/>
                              <w:rPr>
                                <w:rFonts w:ascii="Arial Narrow" w:eastAsia="SimSun" w:hAnsi="Arial Narrow" w:cs="Arial"/>
                                <w:b/>
                                <w:bCs/>
                                <w:color w:val="595959"/>
                                <w:kern w:val="24"/>
                                <w:sz w:val="22"/>
                                <w:szCs w:val="22"/>
                              </w:rPr>
                            </w:pPr>
                            <w:r>
                              <w:rPr>
                                <w:rFonts w:ascii="Arial Narrow" w:eastAsia="SimSun" w:hAnsi="Arial Narrow" w:cs="Arial"/>
                                <w:b/>
                                <w:bCs/>
                                <w:color w:val="595959"/>
                                <w:kern w:val="24"/>
                                <w:sz w:val="22"/>
                                <w:szCs w:val="22"/>
                              </w:rPr>
                              <w:t xml:space="preserve">Figure 3.30 Immunoblotting for αSMA abundance in CAF with and without TGFβ-1 stimulation </w:t>
                            </w:r>
                          </w:p>
                          <w:p w14:paraId="410812C6" w14:textId="77777777" w:rsidR="008A47AC" w:rsidRPr="00944EBD" w:rsidRDefault="008A47AC" w:rsidP="0054039C">
                            <w:pPr>
                              <w:pStyle w:val="NormalWeb"/>
                              <w:spacing w:after="200" w:line="276" w:lineRule="auto"/>
                              <w:jc w:val="both"/>
                              <w:rPr>
                                <w:rFonts w:ascii="Arial Narrow" w:eastAsia="SimSun" w:hAnsi="Arial Narrow" w:cs="Arial"/>
                                <w:color w:val="595959"/>
                                <w:kern w:val="24"/>
                                <w:sz w:val="22"/>
                              </w:rPr>
                            </w:pPr>
                            <w:r>
                              <w:rPr>
                                <w:rFonts w:ascii="Arial Narrow" w:eastAsia="SimSun" w:hAnsi="Arial Narrow" w:cs="Arial"/>
                                <w:color w:val="595959"/>
                                <w:kern w:val="24"/>
                                <w:sz w:val="22"/>
                              </w:rPr>
                              <w:t xml:space="preserve">CAF 2D monolayers were treated with </w:t>
                            </w:r>
                            <w:r w:rsidRPr="00944EBD">
                              <w:rPr>
                                <w:rFonts w:ascii="Arial Narrow" w:eastAsia="SimSun" w:hAnsi="Arial Narrow" w:cs="Arial"/>
                                <w:color w:val="595959"/>
                                <w:kern w:val="24"/>
                                <w:sz w:val="22"/>
                              </w:rPr>
                              <w:t xml:space="preserve">TGFβ-1 </w:t>
                            </w:r>
                            <w:r>
                              <w:rPr>
                                <w:rFonts w:ascii="Arial Narrow" w:eastAsia="SimSun" w:hAnsi="Arial Narrow" w:cs="Arial"/>
                                <w:color w:val="595959"/>
                                <w:kern w:val="24"/>
                                <w:sz w:val="22"/>
                              </w:rPr>
                              <w:t xml:space="preserve">for up to 72 h with αSMA protein levels determined using immunoblotting (A). Densitometry of the resultant bands were measured using ImageJ and the intensity measured relative to GAPDH controls (B).  Data is expressed as relative fold change, with mean ± SD, N=3, n=2, *** denotes p &lt;0.001 analysed by Kruskal-Wallis test with Dunn’s multiple comparison test. </w:t>
                            </w:r>
                            <w:r w:rsidRPr="00944EBD">
                              <w:rPr>
                                <w:rFonts w:ascii="Arial Narrow" w:eastAsia="SimSun" w:hAnsi="Arial Narrow" w:cs="Arial"/>
                                <w:color w:val="595959"/>
                                <w:kern w:val="24"/>
                                <w:sz w:val="22"/>
                              </w:rPr>
                              <w:t xml:space="preserve"> </w:t>
                            </w:r>
                          </w:p>
                          <w:p w14:paraId="6DC51DED" w14:textId="77777777" w:rsidR="008A47AC" w:rsidRPr="00C61619" w:rsidRDefault="008A47AC" w:rsidP="0054039C">
                            <w:pPr>
                              <w:pStyle w:val="NormalWeb"/>
                              <w:spacing w:after="200" w:line="276" w:lineRule="auto"/>
                              <w:jc w:val="both"/>
                              <w:rPr>
                                <w:rFonts w:ascii="Arial Narrow" w:eastAsia="SimSun" w:hAnsi="Arial Narrow" w:cs="Arial"/>
                                <w:color w:val="595959"/>
                                <w:kern w:val="24"/>
                                <w:sz w:val="22"/>
                                <w:szCs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D53D43" id="_x0000_s1093" type="#_x0000_t202" style="position:absolute;left:0;text-align:left;margin-left:399.55pt;margin-top:22pt;width:450.75pt;height:111.75pt;z-index:25165830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" stroked="f">
                <v:textbox>
                  <w:txbxContent>
                    <w:p w14:paraId="2F7545EB" w14:textId="689875B3" w:rsidR="008A47AC" w:rsidRDefault="008A47AC" w:rsidP="0054039C">
                      <w:pPr>
                        <w:pStyle w:val="NormalWeb"/>
                        <w:spacing w:after="200"/>
                        <w:jc w:val="both"/>
                        <w:rPr>
                          <w:rFonts w:ascii="Arial Narrow" w:eastAsia="SimSun" w:hAnsi="Arial Narrow" w:cs="Arial"/>
                          <w:b/>
                          <w:bCs/>
                          <w:color w:val="595959"/>
                          <w:kern w:val="24"/>
                          <w:sz w:val="22"/>
                          <w:szCs w:val="22"/>
                        </w:rPr>
                      </w:pPr>
                      <w:r>
                        <w:rPr>
                          <w:rFonts w:ascii="Arial Narrow" w:eastAsia="SimSun" w:hAnsi="Arial Narrow" w:cs="Arial"/>
                          <w:b/>
                          <w:bCs/>
                          <w:color w:val="595959"/>
                          <w:kern w:val="24"/>
                          <w:sz w:val="22"/>
                          <w:szCs w:val="22"/>
                        </w:rPr>
                        <w:t xml:space="preserve">Figure 3.30 Immunoblotting for αSMA abundance in CAF with and without TGFβ-1 stimulation </w:t>
                      </w:r>
                    </w:p>
                    <w:p w14:paraId="410812C6" w14:textId="77777777" w:rsidR="008A47AC" w:rsidRPr="00944EBD" w:rsidRDefault="008A47AC" w:rsidP="0054039C">
                      <w:pPr>
                        <w:pStyle w:val="NormalWeb"/>
                        <w:spacing w:after="200" w:line="276" w:lineRule="auto"/>
                        <w:jc w:val="both"/>
                        <w:rPr>
                          <w:rFonts w:ascii="Arial Narrow" w:eastAsia="SimSun" w:hAnsi="Arial Narrow" w:cs="Arial"/>
                          <w:color w:val="595959"/>
                          <w:kern w:val="24"/>
                          <w:sz w:val="22"/>
                        </w:rPr>
                      </w:pPr>
                      <w:r>
                        <w:rPr>
                          <w:rFonts w:ascii="Arial Narrow" w:eastAsia="SimSun" w:hAnsi="Arial Narrow" w:cs="Arial"/>
                          <w:color w:val="595959"/>
                          <w:kern w:val="24"/>
                          <w:sz w:val="22"/>
                        </w:rPr>
                        <w:t xml:space="preserve">CAF 2D monolayers were treated with </w:t>
                      </w:r>
                      <w:r w:rsidRPr="00944EBD">
                        <w:rPr>
                          <w:rFonts w:ascii="Arial Narrow" w:eastAsia="SimSun" w:hAnsi="Arial Narrow" w:cs="Arial"/>
                          <w:color w:val="595959"/>
                          <w:kern w:val="24"/>
                          <w:sz w:val="22"/>
                        </w:rPr>
                        <w:t xml:space="preserve">TGFβ-1 </w:t>
                      </w:r>
                      <w:r>
                        <w:rPr>
                          <w:rFonts w:ascii="Arial Narrow" w:eastAsia="SimSun" w:hAnsi="Arial Narrow" w:cs="Arial"/>
                          <w:color w:val="595959"/>
                          <w:kern w:val="24"/>
                          <w:sz w:val="22"/>
                        </w:rPr>
                        <w:t xml:space="preserve">for up to 72 h with αSMA protein levels determined using immunoblotting (A). Densitometry of the resultant bands were measured using ImageJ and the intensity measured relative to GAPDH controls (B).  Data is expressed as relative fold change, with mean ± SD, N=3, n=2, *** denotes p &lt;0.001 analysed by Kruskal-Wallis test with Dunn’s multiple comparison test. </w:t>
                      </w:r>
                      <w:r w:rsidRPr="00944EBD">
                        <w:rPr>
                          <w:rFonts w:ascii="Arial Narrow" w:eastAsia="SimSun" w:hAnsi="Arial Narrow" w:cs="Arial"/>
                          <w:color w:val="595959"/>
                          <w:kern w:val="24"/>
                          <w:sz w:val="22"/>
                        </w:rPr>
                        <w:t xml:space="preserve"> </w:t>
                      </w:r>
                    </w:p>
                    <w:p w14:paraId="6DC51DED" w14:textId="77777777" w:rsidR="008A47AC" w:rsidRPr="00C61619" w:rsidRDefault="008A47AC" w:rsidP="0054039C">
                      <w:pPr>
                        <w:pStyle w:val="NormalWeb"/>
                        <w:spacing w:after="200" w:line="276" w:lineRule="auto"/>
                        <w:jc w:val="both"/>
                        <w:rPr>
                          <w:rFonts w:ascii="Arial Narrow" w:eastAsia="SimSun" w:hAnsi="Arial Narrow" w:cs="Arial"/>
                          <w:color w:val="595959"/>
                          <w:kern w:val="24"/>
                          <w:sz w:val="22"/>
                          <w:szCs w:val="22"/>
                        </w:rPr>
                      </w:pPr>
                    </w:p>
                  </w:txbxContent>
                </v:textbox>
                <w10:wrap anchorx="margin"/>
              </v:shape>
            </w:pict>
          </mc:Fallback>
        </mc:AlternateContent>
      </w:r>
    </w:p>
    <w:p w14:paraId="7FF8EBBE" w14:textId="77777777" w:rsidR="0054039C" w:rsidRPr="0054039C" w:rsidRDefault="0054039C" w:rsidP="0054039C">
      <w:pPr>
        <w:spacing w:line="480" w:lineRule="auto"/>
        <w:jc w:val="both"/>
        <w:rPr>
          <w:rFonts w:ascii="Arial" w:eastAsia="Times New Roman" w:hAnsi="Arial" w:cs="Arial"/>
          <w:color w:val="595959" w:themeColor="text1" w:themeTint="A6"/>
        </w:rPr>
      </w:pPr>
    </w:p>
    <w:p w14:paraId="0B78D6CE" w14:textId="77777777" w:rsidR="0054039C" w:rsidRPr="0054039C" w:rsidRDefault="0054039C" w:rsidP="0054039C">
      <w:pPr>
        <w:spacing w:line="480" w:lineRule="auto"/>
        <w:jc w:val="both"/>
        <w:rPr>
          <w:rFonts w:ascii="Arial" w:eastAsia="Times New Roman" w:hAnsi="Arial" w:cs="Arial"/>
          <w:color w:val="595959" w:themeColor="text1" w:themeTint="A6"/>
        </w:rPr>
      </w:pPr>
    </w:p>
    <w:p w14:paraId="35D55D33" w14:textId="77777777" w:rsidR="0054039C" w:rsidRPr="0054039C" w:rsidRDefault="0054039C" w:rsidP="0054039C">
      <w:pPr>
        <w:spacing w:line="480" w:lineRule="auto"/>
        <w:jc w:val="both"/>
        <w:rPr>
          <w:rFonts w:ascii="Arial" w:eastAsia="Times New Roman" w:hAnsi="Arial" w:cs="Arial"/>
          <w:color w:val="595959" w:themeColor="text1" w:themeTint="A6"/>
        </w:rPr>
      </w:pPr>
      <w:r w:rsidRPr="0054039C">
        <w:rPr>
          <w:rFonts w:ascii="Arial" w:eastAsia="Times New Roman" w:hAnsi="Arial" w:cs="Arial"/>
          <w:color w:val="595959" w:themeColor="text1" w:themeTint="A6"/>
        </w:rPr>
        <w:t xml:space="preserve"> </w:t>
      </w:r>
    </w:p>
    <w:p w14:paraId="5565487D"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299AD0E2" w14:textId="77777777" w:rsidR="0054039C" w:rsidRPr="0054039C" w:rsidRDefault="0054039C" w:rsidP="0054039C">
      <w:pPr>
        <w:keepNext/>
        <w:keepLines/>
        <w:spacing w:before="40" w:after="0"/>
        <w:outlineLvl w:val="4"/>
        <w:rPr>
          <w:rFonts w:ascii="Arial" w:eastAsia="Times New Roman" w:hAnsi="Arial" w:cs="Arial"/>
          <w:color w:val="595959" w:themeColor="text1" w:themeTint="A6"/>
        </w:rPr>
      </w:pPr>
      <w:bookmarkStart w:id="312" w:name="_Toc7107277"/>
      <w:bookmarkStart w:id="313" w:name="_Toc34208383"/>
      <w:r w:rsidRPr="0054039C">
        <w:rPr>
          <w:rFonts w:ascii="Arial" w:eastAsia="Times New Roman" w:hAnsi="Arial" w:cs="Arial"/>
          <w:color w:val="595959" w:themeColor="text1" w:themeTint="A6"/>
        </w:rPr>
        <w:lastRenderedPageBreak/>
        <w:t>3.3.4.1.2 COL1A1 abundance in CAF short-term</w:t>
      </w:r>
      <w:bookmarkEnd w:id="312"/>
      <w:bookmarkEnd w:id="313"/>
      <w:r w:rsidRPr="0054039C">
        <w:rPr>
          <w:rFonts w:ascii="Arial" w:eastAsia="Times New Roman" w:hAnsi="Arial" w:cs="Arial"/>
          <w:color w:val="595959" w:themeColor="text1" w:themeTint="A6"/>
        </w:rPr>
        <w:t xml:space="preserve"> </w:t>
      </w:r>
    </w:p>
    <w:p w14:paraId="334C300A" w14:textId="77777777" w:rsidR="0054039C" w:rsidRPr="0054039C" w:rsidRDefault="0054039C" w:rsidP="0054039C"/>
    <w:p w14:paraId="0CDBC37B" w14:textId="781C188E" w:rsidR="0054039C" w:rsidRPr="0054039C" w:rsidRDefault="002E3006" w:rsidP="002E3006">
      <w:pPr>
        <w:spacing w:line="480" w:lineRule="auto"/>
        <w:jc w:val="both"/>
        <w:rPr>
          <w:rFonts w:ascii="Arial" w:eastAsia="Times New Roman" w:hAnsi="Arial" w:cs="Arial"/>
          <w:color w:val="595959" w:themeColor="text1" w:themeTint="A6"/>
        </w:rPr>
      </w:pPr>
      <w:r>
        <w:rPr>
          <w:rFonts w:ascii="Arial" w:eastAsia="Times New Roman" w:hAnsi="Arial" w:cs="Arial"/>
          <w:color w:val="595959" w:themeColor="text1" w:themeTint="A6"/>
        </w:rPr>
        <w:t>COL1A1 was</w:t>
      </w:r>
      <w:r w:rsidR="0054039C" w:rsidRPr="0054039C">
        <w:rPr>
          <w:rFonts w:ascii="Arial" w:eastAsia="Times New Roman" w:hAnsi="Arial" w:cs="Arial"/>
          <w:color w:val="595959" w:themeColor="text1" w:themeTint="A6"/>
        </w:rPr>
        <w:t xml:space="preserve"> found </w:t>
      </w:r>
      <w:r>
        <w:rPr>
          <w:rFonts w:ascii="Arial" w:eastAsia="Times New Roman" w:hAnsi="Arial" w:cs="Arial"/>
          <w:color w:val="595959" w:themeColor="text1" w:themeTint="A6"/>
        </w:rPr>
        <w:t xml:space="preserve">expressed </w:t>
      </w:r>
      <w:r w:rsidR="0054039C" w:rsidRPr="0054039C">
        <w:rPr>
          <w:rFonts w:ascii="Arial" w:eastAsia="Times New Roman" w:hAnsi="Arial" w:cs="Arial"/>
          <w:color w:val="595959" w:themeColor="text1" w:themeTint="A6"/>
        </w:rPr>
        <w:t>in CAF with and without TGFβ-1 stimulation (Figure 3.3</w:t>
      </w:r>
      <w:r w:rsidR="00EF6950">
        <w:rPr>
          <w:rFonts w:ascii="Arial" w:eastAsia="Times New Roman" w:hAnsi="Arial" w:cs="Arial"/>
          <w:color w:val="595959" w:themeColor="text1" w:themeTint="A6"/>
        </w:rPr>
        <w:t>1</w:t>
      </w:r>
      <w:r w:rsidR="0054039C" w:rsidRPr="0054039C">
        <w:rPr>
          <w:rFonts w:ascii="Arial" w:eastAsia="Times New Roman" w:hAnsi="Arial" w:cs="Arial"/>
          <w:color w:val="595959" w:themeColor="text1" w:themeTint="A6"/>
        </w:rPr>
        <w:t xml:space="preserve"> A). Densiometric analysis of immunoblots of COL1A1 revealed no significant differences in the band density of COL1A1 at 24 h and 72 h in CAF in response to short-term treatment with TGFβ-1. A significant increase was observed at 48 h with TGFβ-1 treatment, with a 2.43 ± 0.72-fold increase (p=0.0389) compared to 24 h control samples (Figure 3.3</w:t>
      </w:r>
      <w:r w:rsidR="00B522E4">
        <w:rPr>
          <w:rFonts w:ascii="Arial" w:eastAsia="Times New Roman" w:hAnsi="Arial" w:cs="Arial"/>
          <w:color w:val="595959" w:themeColor="text1" w:themeTint="A6"/>
        </w:rPr>
        <w:t>1</w:t>
      </w:r>
      <w:r w:rsidR="0054039C" w:rsidRPr="0054039C">
        <w:rPr>
          <w:rFonts w:ascii="Arial" w:eastAsia="Times New Roman" w:hAnsi="Arial" w:cs="Arial"/>
          <w:color w:val="595959" w:themeColor="text1" w:themeTint="A6"/>
        </w:rPr>
        <w:t xml:space="preserve"> B). </w:t>
      </w:r>
    </w:p>
    <w:p w14:paraId="65E702F9" w14:textId="57AF1109" w:rsidR="0054039C" w:rsidRPr="0054039C" w:rsidRDefault="00AA432E"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r>
        <w:rPr>
          <w:rFonts w:ascii="Arial" w:eastAsia="Times New Roman" w:hAnsi="Arial" w:cs="Arial"/>
          <w:bCs/>
          <w:noProof/>
          <w:color w:val="595959" w:themeColor="text1" w:themeTint="A6"/>
          <w:szCs w:val="24"/>
        </w:rPr>
        <w:drawing>
          <wp:anchor distT="0" distB="0" distL="114300" distR="114300" simplePos="0" relativeHeight="251669771" behindDoc="0" locked="0" layoutInCell="1" allowOverlap="1" wp14:anchorId="5BD0F6EA" wp14:editId="0671D45B">
            <wp:simplePos x="0" y="0"/>
            <wp:positionH relativeFrom="column">
              <wp:posOffset>409073</wp:posOffset>
            </wp:positionH>
            <wp:positionV relativeFrom="paragraph">
              <wp:posOffset>6985</wp:posOffset>
            </wp:positionV>
            <wp:extent cx="5578475" cy="4798060"/>
            <wp:effectExtent l="0" t="0" r="0" b="0"/>
            <wp:wrapNone/>
            <wp:docPr id="5583" name="Picture 5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578475" cy="4798060"/>
                    </a:xfrm>
                    <a:prstGeom prst="rect">
                      <a:avLst/>
                    </a:prstGeom>
                    <a:noFill/>
                  </pic:spPr>
                </pic:pic>
              </a:graphicData>
            </a:graphic>
          </wp:anchor>
        </w:drawing>
      </w:r>
    </w:p>
    <w:p w14:paraId="6A69FA9F" w14:textId="0329E7BA"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7EC0A2BD"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3F302BF7"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36136D96" w14:textId="40EEE93B"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225FD894"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52046B60"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0E9811E7" w14:textId="1F88A1AC"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7AF37E17"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6A393AE1"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3094B3C3"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53C11A81"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32229876"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743FB949"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4BB41E3B"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57F888E3"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74A842EE"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761C95D3"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41ACB91D"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1A4651F3"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16C28489"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3F634A85"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r w:rsidRPr="0054039C">
        <w:rPr>
          <w:rFonts w:ascii="Arial" w:hAnsi="Arial" w:cs="Arial"/>
          <w:noProof/>
          <w:color w:val="595959" w:themeColor="text1" w:themeTint="A6"/>
          <w:sz w:val="24"/>
          <w:szCs w:val="24"/>
          <w:lang w:eastAsia="zh-CN"/>
        </w:rPr>
        <mc:AlternateContent>
          <mc:Choice Requires="wps">
            <w:drawing>
              <wp:anchor distT="0" distB="0" distL="114300" distR="114300" simplePos="0" relativeHeight="251658307" behindDoc="0" locked="0" layoutInCell="1" allowOverlap="1" wp14:anchorId="512F4F6D" wp14:editId="0145DD41">
                <wp:simplePos x="0" y="0"/>
                <wp:positionH relativeFrom="margin">
                  <wp:align>right</wp:align>
                </wp:positionH>
                <wp:positionV relativeFrom="paragraph">
                  <wp:posOffset>69215</wp:posOffset>
                </wp:positionV>
                <wp:extent cx="5734050" cy="1552575"/>
                <wp:effectExtent l="0" t="0" r="0" b="9525"/>
                <wp:wrapNone/>
                <wp:docPr id="20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1552575"/>
                        </a:xfrm>
                        <a:prstGeom prst="rect">
                          <a:avLst/>
                        </a:prstGeom>
                        <a:solidFill>
                          <a:srgbClr val="FFFFFF"/>
                        </a:solidFill>
                        <a:ln w="9525">
                          <a:noFill/>
                          <a:miter lim="800000"/>
                          <a:headEnd/>
                          <a:tailEnd/>
                        </a:ln>
                      </wps:spPr>
                      <wps:txbx>
                        <w:txbxContent>
                          <w:p w14:paraId="09298CF7" w14:textId="59CC1A6D" w:rsidR="008A47AC" w:rsidRDefault="008A47AC" w:rsidP="0054039C">
                            <w:pPr>
                              <w:pStyle w:val="NormalWeb"/>
                              <w:spacing w:after="200"/>
                              <w:jc w:val="both"/>
                              <w:rPr>
                                <w:rFonts w:ascii="Arial Narrow" w:eastAsia="SimSun" w:hAnsi="Arial Narrow" w:cs="Arial"/>
                                <w:b/>
                                <w:bCs/>
                                <w:color w:val="595959"/>
                                <w:kern w:val="24"/>
                                <w:sz w:val="22"/>
                                <w:szCs w:val="22"/>
                              </w:rPr>
                            </w:pPr>
                            <w:r>
                              <w:rPr>
                                <w:rFonts w:ascii="Arial Narrow" w:eastAsia="SimSun" w:hAnsi="Arial Narrow" w:cs="Arial"/>
                                <w:b/>
                                <w:bCs/>
                                <w:color w:val="595959"/>
                                <w:kern w:val="24"/>
                                <w:sz w:val="22"/>
                                <w:szCs w:val="22"/>
                              </w:rPr>
                              <w:t xml:space="preserve">Figure 3.31 Immunoblotting for COL1A1 abundance in CAF with and without TGFβ-1 stimulation </w:t>
                            </w:r>
                          </w:p>
                          <w:p w14:paraId="1A1188A5" w14:textId="77777777" w:rsidR="008A47AC" w:rsidRPr="00944EBD" w:rsidRDefault="008A47AC" w:rsidP="0054039C">
                            <w:pPr>
                              <w:pStyle w:val="NormalWeb"/>
                              <w:spacing w:after="200" w:line="276" w:lineRule="auto"/>
                              <w:jc w:val="both"/>
                              <w:rPr>
                                <w:rFonts w:ascii="Arial Narrow" w:eastAsia="SimSun" w:hAnsi="Arial Narrow" w:cs="Arial"/>
                                <w:color w:val="595959"/>
                                <w:kern w:val="24"/>
                                <w:sz w:val="22"/>
                              </w:rPr>
                            </w:pPr>
                            <w:r>
                              <w:rPr>
                                <w:rFonts w:ascii="Arial Narrow" w:eastAsia="SimSun" w:hAnsi="Arial Narrow" w:cs="Arial"/>
                                <w:color w:val="595959"/>
                                <w:kern w:val="24"/>
                                <w:sz w:val="22"/>
                              </w:rPr>
                              <w:t xml:space="preserve">CAF 2D monolayers were treated with </w:t>
                            </w:r>
                            <w:r w:rsidRPr="00944EBD">
                              <w:rPr>
                                <w:rFonts w:ascii="Arial Narrow" w:eastAsia="SimSun" w:hAnsi="Arial Narrow" w:cs="Arial"/>
                                <w:color w:val="595959"/>
                                <w:kern w:val="24"/>
                                <w:sz w:val="22"/>
                              </w:rPr>
                              <w:t xml:space="preserve">TGFβ-1 </w:t>
                            </w:r>
                            <w:r>
                              <w:rPr>
                                <w:rFonts w:ascii="Arial Narrow" w:eastAsia="SimSun" w:hAnsi="Arial Narrow" w:cs="Arial"/>
                                <w:color w:val="595959"/>
                                <w:kern w:val="24"/>
                                <w:sz w:val="22"/>
                              </w:rPr>
                              <w:t xml:space="preserve">for up to 72 h with COL1A1 protein levels determined using immunoblotting (A). Densitometry of the resultant bands were measured using ImageJ and the intensity measured relative to GAPDH controls (B).  Data is expressed as relative fold change, with mean ± SD, N=3, n=2, * denotes p &lt;0.05 analysed by Kruskal-Wallis test with Dunn’s multiple comparison test. </w:t>
                            </w:r>
                            <w:r w:rsidRPr="00944EBD">
                              <w:rPr>
                                <w:rFonts w:ascii="Arial Narrow" w:eastAsia="SimSun" w:hAnsi="Arial Narrow" w:cs="Arial"/>
                                <w:color w:val="595959"/>
                                <w:kern w:val="24"/>
                                <w:sz w:val="22"/>
                              </w:rPr>
                              <w:t xml:space="preserve"> </w:t>
                            </w:r>
                          </w:p>
                          <w:p w14:paraId="2DB3DC2A" w14:textId="77777777" w:rsidR="008A47AC" w:rsidRPr="00C61619" w:rsidRDefault="008A47AC" w:rsidP="0054039C">
                            <w:pPr>
                              <w:pStyle w:val="NormalWeb"/>
                              <w:spacing w:after="200" w:line="276" w:lineRule="auto"/>
                              <w:jc w:val="both"/>
                              <w:rPr>
                                <w:rFonts w:ascii="Arial Narrow" w:eastAsia="SimSun" w:hAnsi="Arial Narrow" w:cs="Arial"/>
                                <w:color w:val="595959"/>
                                <w:kern w:val="24"/>
                                <w:sz w:val="22"/>
                                <w:szCs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2F4F6D" id="_x0000_s1094" type="#_x0000_t202" style="position:absolute;left:0;text-align:left;margin-left:400.3pt;margin-top:5.45pt;width:451.5pt;height:122.25pt;z-index:251658307;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" stroked="f">
                <v:textbox>
                  <w:txbxContent>
                    <w:p w14:paraId="09298CF7" w14:textId="59CC1A6D" w:rsidR="008A47AC" w:rsidRDefault="008A47AC" w:rsidP="0054039C">
                      <w:pPr>
                        <w:pStyle w:val="NormalWeb"/>
                        <w:spacing w:after="200"/>
                        <w:jc w:val="both"/>
                        <w:rPr>
                          <w:rFonts w:ascii="Arial Narrow" w:eastAsia="SimSun" w:hAnsi="Arial Narrow" w:cs="Arial"/>
                          <w:b/>
                          <w:bCs/>
                          <w:color w:val="595959"/>
                          <w:kern w:val="24"/>
                          <w:sz w:val="22"/>
                          <w:szCs w:val="22"/>
                        </w:rPr>
                      </w:pPr>
                      <w:r>
                        <w:rPr>
                          <w:rFonts w:ascii="Arial Narrow" w:eastAsia="SimSun" w:hAnsi="Arial Narrow" w:cs="Arial"/>
                          <w:b/>
                          <w:bCs/>
                          <w:color w:val="595959"/>
                          <w:kern w:val="24"/>
                          <w:sz w:val="22"/>
                          <w:szCs w:val="22"/>
                        </w:rPr>
                        <w:t xml:space="preserve">Figure 3.31 Immunoblotting for COL1A1 abundance in CAF with and without TGFβ-1 stimulation </w:t>
                      </w:r>
                    </w:p>
                    <w:p w14:paraId="1A1188A5" w14:textId="77777777" w:rsidR="008A47AC" w:rsidRPr="00944EBD" w:rsidRDefault="008A47AC" w:rsidP="0054039C">
                      <w:pPr>
                        <w:pStyle w:val="NormalWeb"/>
                        <w:spacing w:after="200" w:line="276" w:lineRule="auto"/>
                        <w:jc w:val="both"/>
                        <w:rPr>
                          <w:rFonts w:ascii="Arial Narrow" w:eastAsia="SimSun" w:hAnsi="Arial Narrow" w:cs="Arial"/>
                          <w:color w:val="595959"/>
                          <w:kern w:val="24"/>
                          <w:sz w:val="22"/>
                        </w:rPr>
                      </w:pPr>
                      <w:r>
                        <w:rPr>
                          <w:rFonts w:ascii="Arial Narrow" w:eastAsia="SimSun" w:hAnsi="Arial Narrow" w:cs="Arial"/>
                          <w:color w:val="595959"/>
                          <w:kern w:val="24"/>
                          <w:sz w:val="22"/>
                        </w:rPr>
                        <w:t xml:space="preserve">CAF 2D monolayers were treated with </w:t>
                      </w:r>
                      <w:r w:rsidRPr="00944EBD">
                        <w:rPr>
                          <w:rFonts w:ascii="Arial Narrow" w:eastAsia="SimSun" w:hAnsi="Arial Narrow" w:cs="Arial"/>
                          <w:color w:val="595959"/>
                          <w:kern w:val="24"/>
                          <w:sz w:val="22"/>
                        </w:rPr>
                        <w:t xml:space="preserve">TGFβ-1 </w:t>
                      </w:r>
                      <w:r>
                        <w:rPr>
                          <w:rFonts w:ascii="Arial Narrow" w:eastAsia="SimSun" w:hAnsi="Arial Narrow" w:cs="Arial"/>
                          <w:color w:val="595959"/>
                          <w:kern w:val="24"/>
                          <w:sz w:val="22"/>
                        </w:rPr>
                        <w:t xml:space="preserve">for up to 72 h with COL1A1 protein levels determined using immunoblotting (A). Densitometry of the resultant bands were measured using ImageJ and the intensity measured relative to GAPDH controls (B).  Data is expressed as relative fold change, with mean ± SD, N=3, n=2, * denotes p &lt;0.05 analysed by Kruskal-Wallis test with Dunn’s multiple comparison test. </w:t>
                      </w:r>
                      <w:r w:rsidRPr="00944EBD">
                        <w:rPr>
                          <w:rFonts w:ascii="Arial Narrow" w:eastAsia="SimSun" w:hAnsi="Arial Narrow" w:cs="Arial"/>
                          <w:color w:val="595959"/>
                          <w:kern w:val="24"/>
                          <w:sz w:val="22"/>
                        </w:rPr>
                        <w:t xml:space="preserve"> </w:t>
                      </w:r>
                    </w:p>
                    <w:p w14:paraId="2DB3DC2A" w14:textId="77777777" w:rsidR="008A47AC" w:rsidRPr="00C61619" w:rsidRDefault="008A47AC" w:rsidP="0054039C">
                      <w:pPr>
                        <w:pStyle w:val="NormalWeb"/>
                        <w:spacing w:after="200" w:line="276" w:lineRule="auto"/>
                        <w:jc w:val="both"/>
                        <w:rPr>
                          <w:rFonts w:ascii="Arial Narrow" w:eastAsia="SimSun" w:hAnsi="Arial Narrow" w:cs="Arial"/>
                          <w:color w:val="595959"/>
                          <w:kern w:val="24"/>
                          <w:sz w:val="22"/>
                          <w:szCs w:val="22"/>
                        </w:rPr>
                      </w:pPr>
                    </w:p>
                  </w:txbxContent>
                </v:textbox>
                <w10:wrap anchorx="margin"/>
              </v:shape>
            </w:pict>
          </mc:Fallback>
        </mc:AlternateContent>
      </w:r>
    </w:p>
    <w:p w14:paraId="5F2EA67B"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1BB5B88B"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257569A4"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24627473"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701A1845"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34220D9F"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19715EA9" w14:textId="77777777" w:rsidR="0054039C" w:rsidRPr="0054039C" w:rsidRDefault="0054039C" w:rsidP="0054039C">
      <w:pPr>
        <w:keepNext/>
        <w:keepLines/>
        <w:spacing w:before="40" w:after="0"/>
        <w:outlineLvl w:val="4"/>
        <w:rPr>
          <w:rFonts w:ascii="Arial" w:eastAsia="Times New Roman" w:hAnsi="Arial" w:cs="Arial"/>
          <w:color w:val="595959" w:themeColor="text1" w:themeTint="A6"/>
        </w:rPr>
      </w:pPr>
      <w:bookmarkStart w:id="314" w:name="_Toc7107278"/>
      <w:bookmarkStart w:id="315" w:name="_Toc34208384"/>
      <w:r w:rsidRPr="0054039C">
        <w:rPr>
          <w:rFonts w:ascii="Arial" w:eastAsia="Times New Roman" w:hAnsi="Arial" w:cs="Arial"/>
          <w:color w:val="595959" w:themeColor="text1" w:themeTint="A6"/>
        </w:rPr>
        <w:lastRenderedPageBreak/>
        <w:t>3.3.4.1.3 FN1-EDA abundance in CAF short-term</w:t>
      </w:r>
      <w:bookmarkEnd w:id="314"/>
      <w:bookmarkEnd w:id="315"/>
      <w:r w:rsidRPr="0054039C">
        <w:rPr>
          <w:rFonts w:ascii="Arial" w:eastAsia="Times New Roman" w:hAnsi="Arial" w:cs="Arial"/>
          <w:color w:val="595959" w:themeColor="text1" w:themeTint="A6"/>
        </w:rPr>
        <w:t xml:space="preserve"> </w:t>
      </w:r>
    </w:p>
    <w:p w14:paraId="2D494154" w14:textId="77777777" w:rsidR="0054039C" w:rsidRPr="0054039C" w:rsidRDefault="0054039C" w:rsidP="0054039C"/>
    <w:p w14:paraId="6E5BF560" w14:textId="6B28FF1E" w:rsidR="0054039C" w:rsidRPr="0054039C" w:rsidRDefault="002E3006" w:rsidP="0054039C">
      <w:pPr>
        <w:spacing w:line="480" w:lineRule="auto"/>
        <w:jc w:val="both"/>
        <w:rPr>
          <w:rFonts w:ascii="Arial" w:eastAsia="Times New Roman" w:hAnsi="Arial" w:cs="Arial"/>
          <w:color w:val="595959" w:themeColor="text1" w:themeTint="A6"/>
        </w:rPr>
      </w:pPr>
      <w:r>
        <w:rPr>
          <w:rFonts w:ascii="Arial" w:eastAsia="Times New Roman" w:hAnsi="Arial" w:cs="Arial"/>
          <w:color w:val="595959" w:themeColor="text1" w:themeTint="A6"/>
        </w:rPr>
        <w:t>FN1-EDA was</w:t>
      </w:r>
      <w:r w:rsidR="0054039C" w:rsidRPr="0054039C">
        <w:rPr>
          <w:rFonts w:ascii="Arial" w:eastAsia="Times New Roman" w:hAnsi="Arial" w:cs="Arial"/>
          <w:color w:val="595959" w:themeColor="text1" w:themeTint="A6"/>
        </w:rPr>
        <w:t xml:space="preserve"> detectable in all CAF cultures </w:t>
      </w:r>
      <w:r w:rsidR="00775BCB">
        <w:rPr>
          <w:rFonts w:ascii="Arial" w:eastAsia="Times New Roman" w:hAnsi="Arial" w:cs="Arial"/>
          <w:color w:val="595959" w:themeColor="text1" w:themeTint="A6"/>
        </w:rPr>
        <w:t xml:space="preserve">in the presence </w:t>
      </w:r>
      <w:r w:rsidR="006358CF">
        <w:rPr>
          <w:rFonts w:ascii="Arial" w:eastAsia="Times New Roman" w:hAnsi="Arial" w:cs="Arial"/>
          <w:color w:val="595959" w:themeColor="text1" w:themeTint="A6"/>
        </w:rPr>
        <w:t>and</w:t>
      </w:r>
      <w:r w:rsidR="00775BCB">
        <w:rPr>
          <w:rFonts w:ascii="Arial" w:eastAsia="Times New Roman" w:hAnsi="Arial" w:cs="Arial"/>
          <w:color w:val="595959" w:themeColor="text1" w:themeTint="A6"/>
        </w:rPr>
        <w:t xml:space="preserve"> absence of </w:t>
      </w:r>
      <w:r w:rsidR="0054039C" w:rsidRPr="0054039C">
        <w:rPr>
          <w:rFonts w:ascii="Arial" w:eastAsia="Times New Roman" w:hAnsi="Arial" w:cs="Arial"/>
          <w:color w:val="595959" w:themeColor="text1" w:themeTint="A6"/>
        </w:rPr>
        <w:t xml:space="preserve">TGFβ-1 up to 72 h </w:t>
      </w:r>
      <w:r w:rsidR="0054039C" w:rsidRPr="0054039C">
        <w:rPr>
          <w:rFonts w:ascii="Arial" w:eastAsia="Times New Roman" w:hAnsi="Arial" w:cs="Arial"/>
          <w:i/>
          <w:iCs/>
          <w:color w:val="595959" w:themeColor="text1" w:themeTint="A6"/>
        </w:rPr>
        <w:t xml:space="preserve">in vitro </w:t>
      </w:r>
      <w:r w:rsidR="0054039C" w:rsidRPr="0054039C">
        <w:rPr>
          <w:rFonts w:ascii="Arial" w:eastAsia="Times New Roman" w:hAnsi="Arial" w:cs="Arial"/>
          <w:color w:val="595959" w:themeColor="text1" w:themeTint="A6"/>
        </w:rPr>
        <w:t>(Figure 3.3</w:t>
      </w:r>
      <w:r w:rsidR="00B522E4">
        <w:rPr>
          <w:rFonts w:ascii="Arial" w:eastAsia="Times New Roman" w:hAnsi="Arial" w:cs="Arial"/>
          <w:color w:val="595959" w:themeColor="text1" w:themeTint="A6"/>
        </w:rPr>
        <w:t>2</w:t>
      </w:r>
      <w:r w:rsidR="0054039C" w:rsidRPr="0054039C">
        <w:rPr>
          <w:rFonts w:ascii="Arial" w:eastAsia="Times New Roman" w:hAnsi="Arial" w:cs="Arial"/>
          <w:color w:val="595959" w:themeColor="text1" w:themeTint="A6"/>
        </w:rPr>
        <w:t xml:space="preserve"> A). Analysis of band intensity indicated a significant increase in FN1-EDA at 72 h control samples with a mean increase of 3.28 ± 0.34, p=0.0012. TGFβ-1 treatment at 24 h – 72 h induced a</w:t>
      </w:r>
      <w:r w:rsidR="00A47968">
        <w:rPr>
          <w:rFonts w:ascii="Arial" w:eastAsia="Times New Roman" w:hAnsi="Arial" w:cs="Arial"/>
          <w:color w:val="595959" w:themeColor="text1" w:themeTint="A6"/>
        </w:rPr>
        <w:t xml:space="preserve"> significant</w:t>
      </w:r>
      <w:r w:rsidR="0054039C" w:rsidRPr="0054039C">
        <w:rPr>
          <w:rFonts w:ascii="Arial" w:eastAsia="Times New Roman" w:hAnsi="Arial" w:cs="Arial"/>
          <w:color w:val="595959" w:themeColor="text1" w:themeTint="A6"/>
        </w:rPr>
        <w:t xml:space="preserve"> increase</w:t>
      </w:r>
      <w:r w:rsidR="00A47968">
        <w:rPr>
          <w:rFonts w:ascii="Arial" w:eastAsia="Times New Roman" w:hAnsi="Arial" w:cs="Arial"/>
          <w:color w:val="595959" w:themeColor="text1" w:themeTint="A6"/>
        </w:rPr>
        <w:t xml:space="preserve"> in</w:t>
      </w:r>
      <w:r w:rsidR="0054039C" w:rsidRPr="0054039C">
        <w:rPr>
          <w:rFonts w:ascii="Arial" w:eastAsia="Times New Roman" w:hAnsi="Arial" w:cs="Arial"/>
          <w:color w:val="595959" w:themeColor="text1" w:themeTint="A6"/>
        </w:rPr>
        <w:t xml:space="preserve"> FN1-EDA abundance with a mean increase of 3.86 ± 0.40, p=0.0002 at 24 h, mean increase of 2.90 ± 0.93, p=0.0051 at 48 h and a mean increase of 2.92 ± 0.30, p=0.0046at 72 h compared to 24 h control samples  (Figure 3.3</w:t>
      </w:r>
      <w:r w:rsidR="00B522E4">
        <w:rPr>
          <w:rFonts w:ascii="Arial" w:eastAsia="Times New Roman" w:hAnsi="Arial" w:cs="Arial"/>
          <w:color w:val="595959" w:themeColor="text1" w:themeTint="A6"/>
        </w:rPr>
        <w:t>2</w:t>
      </w:r>
      <w:r w:rsidR="0054039C" w:rsidRPr="0054039C">
        <w:rPr>
          <w:rFonts w:ascii="Arial" w:eastAsia="Times New Roman" w:hAnsi="Arial" w:cs="Arial"/>
          <w:color w:val="595959" w:themeColor="text1" w:themeTint="A6"/>
        </w:rPr>
        <w:t xml:space="preserve"> B).</w:t>
      </w:r>
    </w:p>
    <w:p w14:paraId="58E1571D" w14:textId="475A4EAA" w:rsidR="0054039C" w:rsidRPr="0054039C" w:rsidRDefault="0058588B" w:rsidP="0054039C">
      <w:pPr>
        <w:spacing w:line="480" w:lineRule="auto"/>
        <w:jc w:val="both"/>
        <w:rPr>
          <w:rFonts w:ascii="Arial" w:eastAsia="Times New Roman" w:hAnsi="Arial" w:cs="Arial"/>
          <w:color w:val="595959" w:themeColor="text1" w:themeTint="A6"/>
        </w:rPr>
      </w:pPr>
      <w:r w:rsidRPr="0054039C">
        <w:rPr>
          <w:noProof/>
          <w:lang w:eastAsia="zh-CN"/>
        </w:rPr>
        <mc:AlternateContent>
          <mc:Choice Requires="wpg">
            <w:drawing>
              <wp:anchor distT="0" distB="0" distL="114300" distR="114300" simplePos="0" relativeHeight="251658320" behindDoc="0" locked="0" layoutInCell="1" allowOverlap="1" wp14:anchorId="67E18092" wp14:editId="340E93FC">
                <wp:simplePos x="0" y="0"/>
                <wp:positionH relativeFrom="margin">
                  <wp:posOffset>577516</wp:posOffset>
                </wp:positionH>
                <wp:positionV relativeFrom="paragraph">
                  <wp:posOffset>-2039</wp:posOffset>
                </wp:positionV>
                <wp:extent cx="4900863" cy="5021179"/>
                <wp:effectExtent l="0" t="0" r="0" b="0"/>
                <wp:wrapNone/>
                <wp:docPr id="37" name="Group 14"/>
                <wp:cNvGraphicFramePr/>
                <a:graphic xmlns:a="http://schemas.openxmlformats.org/drawingml/2006/main">
                  <a:graphicData uri="http://schemas.microsoft.com/office/word/2010/wordprocessingGroup">
                    <wpg:wgp>
                      <wpg:cNvGrpSpPr/>
                      <wpg:grpSpPr>
                        <a:xfrm>
                          <a:off x="0" y="0"/>
                          <a:ext cx="4900863" cy="5021179"/>
                          <a:chOff x="0" y="82486"/>
                          <a:chExt cx="5063806" cy="6110044"/>
                        </a:xfrm>
                      </wpg:grpSpPr>
                      <wpg:grpSp>
                        <wpg:cNvPr id="38" name="Group 38"/>
                        <wpg:cNvGrpSpPr/>
                        <wpg:grpSpPr>
                          <a:xfrm>
                            <a:off x="0" y="82486"/>
                            <a:ext cx="4823237" cy="3713274"/>
                            <a:chOff x="0" y="82486"/>
                            <a:chExt cx="4823237" cy="3713274"/>
                          </a:xfrm>
                        </wpg:grpSpPr>
                        <wpg:grpSp>
                          <wpg:cNvPr id="39" name="Group 39"/>
                          <wpg:cNvGrpSpPr/>
                          <wpg:grpSpPr>
                            <a:xfrm>
                              <a:off x="0" y="82486"/>
                              <a:ext cx="4823237" cy="2834461"/>
                              <a:chOff x="0" y="93165"/>
                              <a:chExt cx="4854663" cy="3201452"/>
                            </a:xfrm>
                          </wpg:grpSpPr>
                          <pic:pic xmlns:pic="http://schemas.openxmlformats.org/drawingml/2006/picture">
                            <pic:nvPicPr>
                              <pic:cNvPr id="40" name="Picture 40"/>
                              <pic:cNvPicPr>
                                <a:picLocks noChangeAspect="1"/>
                              </pic:cNvPicPr>
                            </pic:nvPicPr>
                            <pic:blipFill rotWithShape="1">
                              <a:blip r:embed="rId79">
                                <a:extLst>
                                  <a:ext uri="{28A0092B-C50C-407E-A947-70E740481C1C}">
                                    <a14:useLocalDpi xmlns:a14="http://schemas.microsoft.com/office/drawing/2010/main" val="0"/>
                                  </a:ext>
                                </a:extLst>
                              </a:blip>
                              <a:srcRect l="1003" t="14939" r="13046" b="48899"/>
                              <a:stretch/>
                            </pic:blipFill>
                            <pic:spPr>
                              <a:xfrm>
                                <a:off x="919975" y="1793905"/>
                                <a:ext cx="3934688" cy="1500712"/>
                              </a:xfrm>
                              <a:prstGeom prst="rect">
                                <a:avLst/>
                              </a:prstGeom>
                            </pic:spPr>
                          </pic:pic>
                          <pic:pic xmlns:pic="http://schemas.openxmlformats.org/drawingml/2006/picture">
                            <pic:nvPicPr>
                              <pic:cNvPr id="41" name="Picture 41"/>
                              <pic:cNvPicPr>
                                <a:picLocks noChangeAspect="1"/>
                              </pic:cNvPicPr>
                            </pic:nvPicPr>
                            <pic:blipFill rotWithShape="1">
                              <a:blip r:embed="rId79">
                                <a:extLst>
                                  <a:ext uri="{28A0092B-C50C-407E-A947-70E740481C1C}">
                                    <a14:useLocalDpi xmlns:a14="http://schemas.microsoft.com/office/drawing/2010/main" val="0"/>
                                  </a:ext>
                                </a:extLst>
                              </a:blip>
                              <a:srcRect l="14200" t="63937" r="45513" b="16244"/>
                              <a:stretch/>
                            </pic:blipFill>
                            <pic:spPr>
                              <a:xfrm>
                                <a:off x="920355" y="1818569"/>
                                <a:ext cx="2173956" cy="910872"/>
                              </a:xfrm>
                              <a:prstGeom prst="rect">
                                <a:avLst/>
                              </a:prstGeom>
                            </pic:spPr>
                          </pic:pic>
                          <pic:pic xmlns:pic="http://schemas.openxmlformats.org/drawingml/2006/picture">
                            <pic:nvPicPr>
                              <pic:cNvPr id="42" name="Picture 42"/>
                              <pic:cNvPicPr>
                                <a:picLocks noChangeAspect="1"/>
                              </pic:cNvPicPr>
                            </pic:nvPicPr>
                            <pic:blipFill rotWithShape="1">
                              <a:blip r:embed="rId80">
                                <a:extLst>
                                  <a:ext uri="{28A0092B-C50C-407E-A947-70E740481C1C}">
                                    <a14:useLocalDpi xmlns:a14="http://schemas.microsoft.com/office/drawing/2010/main" val="0"/>
                                  </a:ext>
                                </a:extLst>
                              </a:blip>
                              <a:srcRect l="50933" t="61646" r="23424" b="27447"/>
                              <a:stretch/>
                            </pic:blipFill>
                            <pic:spPr>
                              <a:xfrm>
                                <a:off x="919975" y="2729441"/>
                                <a:ext cx="2352370" cy="565176"/>
                              </a:xfrm>
                              <a:prstGeom prst="rect">
                                <a:avLst/>
                              </a:prstGeom>
                            </pic:spPr>
                          </pic:pic>
                          <pic:pic xmlns:pic="http://schemas.openxmlformats.org/drawingml/2006/picture">
                            <pic:nvPicPr>
                              <pic:cNvPr id="43" name="Picture 43"/>
                              <pic:cNvPicPr>
                                <a:picLocks noChangeAspect="1"/>
                              </pic:cNvPicPr>
                            </pic:nvPicPr>
                            <pic:blipFill rotWithShape="1">
                              <a:blip r:embed="rId80">
                                <a:extLst>
                                  <a:ext uri="{28A0092B-C50C-407E-A947-70E740481C1C}">
                                    <a14:useLocalDpi xmlns:a14="http://schemas.microsoft.com/office/drawing/2010/main" val="0"/>
                                  </a:ext>
                                </a:extLst>
                              </a:blip>
                              <a:srcRect l="52106" t="63389" r="23424" b="28833"/>
                              <a:stretch/>
                            </pic:blipFill>
                            <pic:spPr>
                              <a:xfrm>
                                <a:off x="2993504" y="2676433"/>
                                <a:ext cx="1861159" cy="565175"/>
                              </a:xfrm>
                              <a:prstGeom prst="rect">
                                <a:avLst/>
                              </a:prstGeom>
                            </pic:spPr>
                          </pic:pic>
                          <wps:wsp>
                            <wps:cNvPr id="44" name="TextBox 34"/>
                            <wps:cNvSpPr txBox="1"/>
                            <wps:spPr>
                              <a:xfrm>
                                <a:off x="0" y="2181956"/>
                                <a:ext cx="1765298" cy="937401"/>
                              </a:xfrm>
                              <a:prstGeom prst="rect">
                                <a:avLst/>
                              </a:prstGeom>
                              <a:noFill/>
                            </wps:spPr>
                            <wps:txbx>
                              <w:txbxContent>
                                <w:p w14:paraId="132D570C" w14:textId="77777777" w:rsidR="008A47AC" w:rsidRDefault="008A47AC" w:rsidP="0054039C">
                                  <w:pPr>
                                    <w:rPr>
                                      <w:sz w:val="24"/>
                                      <w:szCs w:val="24"/>
                                    </w:rPr>
                                  </w:pPr>
                                  <w:r>
                                    <w:rPr>
                                      <w:rFonts w:hAnsi="Calibri"/>
                                      <w:color w:val="000000" w:themeColor="text1"/>
                                      <w:kern w:val="24"/>
                                      <w:sz w:val="32"/>
                                      <w:szCs w:val="32"/>
                                    </w:rPr>
                                    <w:t>FN1-EDA</w:t>
                                  </w:r>
                                </w:p>
                                <w:p w14:paraId="4D7130F0" w14:textId="77777777" w:rsidR="008A47AC" w:rsidRDefault="008A47AC" w:rsidP="0054039C">
                                  <w:r>
                                    <w:rPr>
                                      <w:rFonts w:hAnsi="Calibri"/>
                                      <w:color w:val="000000" w:themeColor="text1"/>
                                      <w:kern w:val="24"/>
                                      <w:sz w:val="32"/>
                                      <w:szCs w:val="32"/>
                                    </w:rPr>
                                    <w:t xml:space="preserve">  GAPDH</w:t>
                                  </w:r>
                                </w:p>
                              </w:txbxContent>
                            </wps:txbx>
                            <wps:bodyPr wrap="square" rtlCol="0">
                              <a:noAutofit/>
                            </wps:bodyPr>
                          </wps:wsp>
                          <wps:wsp>
                            <wps:cNvPr id="45" name="TextBox 20"/>
                            <wps:cNvSpPr txBox="1"/>
                            <wps:spPr>
                              <a:xfrm rot="16200000">
                                <a:off x="1933316" y="-742589"/>
                                <a:ext cx="1765988" cy="3437495"/>
                              </a:xfrm>
                              <a:prstGeom prst="rect">
                                <a:avLst/>
                              </a:prstGeom>
                              <a:noFill/>
                            </wps:spPr>
                            <wps:txbx>
                              <w:txbxContent>
                                <w:p w14:paraId="6B40A2A4" w14:textId="77777777" w:rsidR="008A47AC" w:rsidRDefault="008A47AC" w:rsidP="0054039C">
                                  <w:pPr>
                                    <w:rPr>
                                      <w:sz w:val="24"/>
                                      <w:szCs w:val="24"/>
                                    </w:rPr>
                                  </w:pPr>
                                  <w:r>
                                    <w:rPr>
                                      <w:rFonts w:hAnsi="Calibri"/>
                                      <w:color w:val="000000" w:themeColor="text1"/>
                                      <w:kern w:val="24"/>
                                      <w:sz w:val="32"/>
                                      <w:szCs w:val="32"/>
                                    </w:rPr>
                                    <w:t>24 h CNTRL</w:t>
                                  </w:r>
                                </w:p>
                                <w:p w14:paraId="29AC5D99" w14:textId="77777777" w:rsidR="008A47AC" w:rsidRDefault="008A47AC" w:rsidP="0054039C">
                                  <w:pPr>
                                    <w:rPr>
                                      <w:rFonts w:hAnsi="Calibri"/>
                                      <w:color w:val="000000" w:themeColor="text1"/>
                                      <w:kern w:val="24"/>
                                      <w:sz w:val="32"/>
                                      <w:szCs w:val="32"/>
                                    </w:rPr>
                                  </w:pPr>
                                </w:p>
                                <w:p w14:paraId="548F7F56" w14:textId="77777777" w:rsidR="008A47AC" w:rsidRDefault="008A47AC" w:rsidP="0054039C">
                                  <w:r>
                                    <w:rPr>
                                      <w:rFonts w:hAnsi="Calibri"/>
                                      <w:color w:val="000000" w:themeColor="text1"/>
                                      <w:kern w:val="24"/>
                                      <w:sz w:val="32"/>
                                      <w:szCs w:val="32"/>
                                    </w:rPr>
                                    <w:t>48 h CNTRL</w:t>
                                  </w:r>
                                </w:p>
                                <w:p w14:paraId="2014EE65" w14:textId="77777777" w:rsidR="008A47AC" w:rsidRDefault="008A47AC" w:rsidP="0054039C">
                                  <w:pPr>
                                    <w:rPr>
                                      <w:rFonts w:hAnsi="Calibri"/>
                                      <w:color w:val="000000" w:themeColor="text1"/>
                                      <w:kern w:val="24"/>
                                      <w:sz w:val="32"/>
                                      <w:szCs w:val="32"/>
                                    </w:rPr>
                                  </w:pPr>
                                </w:p>
                                <w:p w14:paraId="5E0A5E99" w14:textId="77777777" w:rsidR="008A47AC" w:rsidRDefault="008A47AC" w:rsidP="0054039C">
                                  <w:r>
                                    <w:rPr>
                                      <w:rFonts w:hAnsi="Calibri"/>
                                      <w:color w:val="000000" w:themeColor="text1"/>
                                      <w:kern w:val="24"/>
                                      <w:sz w:val="32"/>
                                      <w:szCs w:val="32"/>
                                    </w:rPr>
                                    <w:t>72 h CNTRL</w:t>
                                  </w:r>
                                </w:p>
                                <w:p w14:paraId="4EDBFF7A" w14:textId="77777777" w:rsidR="008A47AC" w:rsidRDefault="008A47AC" w:rsidP="0054039C">
                                  <w:pPr>
                                    <w:rPr>
                                      <w:rFonts w:hAnsi="Calibri"/>
                                      <w:color w:val="000000" w:themeColor="text1"/>
                                      <w:kern w:val="24"/>
                                      <w:sz w:val="32"/>
                                      <w:szCs w:val="32"/>
                                    </w:rPr>
                                  </w:pPr>
                                </w:p>
                                <w:p w14:paraId="68E4DABD" w14:textId="77777777" w:rsidR="008A47AC" w:rsidRDefault="008A47AC" w:rsidP="0054039C">
                                  <w:r>
                                    <w:rPr>
                                      <w:rFonts w:hAnsi="Calibri"/>
                                      <w:color w:val="000000" w:themeColor="text1"/>
                                      <w:kern w:val="24"/>
                                      <w:sz w:val="32"/>
                                      <w:szCs w:val="32"/>
                                    </w:rPr>
                                    <w:t>24 h TGF</w:t>
                                  </w:r>
                                  <w:r>
                                    <w:rPr>
                                      <w:rFonts w:hAnsi="Calibri"/>
                                      <w:color w:val="000000" w:themeColor="text1"/>
                                      <w:kern w:val="24"/>
                                      <w:sz w:val="32"/>
                                      <w:szCs w:val="32"/>
                                      <w:lang w:val="el-GR"/>
                                    </w:rPr>
                                    <w:t>β</w:t>
                                  </w:r>
                                  <w:r>
                                    <w:rPr>
                                      <w:rFonts w:hAnsi="Calibri"/>
                                      <w:color w:val="000000" w:themeColor="text1"/>
                                      <w:kern w:val="24"/>
                                      <w:sz w:val="32"/>
                                      <w:szCs w:val="32"/>
                                    </w:rPr>
                                    <w:t>-1</w:t>
                                  </w:r>
                                </w:p>
                                <w:p w14:paraId="2EA86252" w14:textId="77777777" w:rsidR="008A47AC" w:rsidRDefault="008A47AC" w:rsidP="0054039C">
                                  <w:r>
                                    <w:rPr>
                                      <w:rFonts w:hAnsi="Calibri"/>
                                      <w:color w:val="000000" w:themeColor="text1"/>
                                      <w:kern w:val="24"/>
                                      <w:sz w:val="32"/>
                                      <w:szCs w:val="32"/>
                                    </w:rPr>
                                    <w:t>48 h TGF</w:t>
                                  </w:r>
                                  <w:r>
                                    <w:rPr>
                                      <w:rFonts w:hAnsi="Calibri"/>
                                      <w:color w:val="000000" w:themeColor="text1"/>
                                      <w:kern w:val="24"/>
                                      <w:sz w:val="32"/>
                                      <w:szCs w:val="32"/>
                                      <w:lang w:val="el-GR"/>
                                    </w:rPr>
                                    <w:t>β</w:t>
                                  </w:r>
                                  <w:r>
                                    <w:rPr>
                                      <w:rFonts w:hAnsi="Calibri"/>
                                      <w:color w:val="000000" w:themeColor="text1"/>
                                      <w:kern w:val="24"/>
                                      <w:sz w:val="32"/>
                                      <w:szCs w:val="32"/>
                                    </w:rPr>
                                    <w:t>-1</w:t>
                                  </w:r>
                                </w:p>
                                <w:p w14:paraId="0CD0BF94" w14:textId="77777777" w:rsidR="008A47AC" w:rsidRDefault="008A47AC" w:rsidP="0054039C">
                                  <w:r>
                                    <w:rPr>
                                      <w:rFonts w:hAnsi="Calibri"/>
                                      <w:color w:val="000000" w:themeColor="text1"/>
                                      <w:kern w:val="24"/>
                                      <w:sz w:val="32"/>
                                      <w:szCs w:val="32"/>
                                    </w:rPr>
                                    <w:t>72 h TGF</w:t>
                                  </w:r>
                                  <w:r>
                                    <w:rPr>
                                      <w:rFonts w:hAnsi="Calibri"/>
                                      <w:color w:val="000000" w:themeColor="text1"/>
                                      <w:kern w:val="24"/>
                                      <w:sz w:val="32"/>
                                      <w:szCs w:val="32"/>
                                      <w:lang w:val="el-GR"/>
                                    </w:rPr>
                                    <w:t>β</w:t>
                                  </w:r>
                                  <w:r>
                                    <w:rPr>
                                      <w:rFonts w:hAnsi="Calibri"/>
                                      <w:color w:val="000000" w:themeColor="text1"/>
                                      <w:kern w:val="24"/>
                                      <w:sz w:val="32"/>
                                      <w:szCs w:val="32"/>
                                    </w:rPr>
                                    <w:t>-1</w:t>
                                  </w:r>
                                </w:p>
                              </w:txbxContent>
                            </wps:txbx>
                            <wps:bodyPr wrap="square" rtlCol="0">
                              <a:noAutofit/>
                            </wps:bodyPr>
                          </wps:wsp>
                          <pic:pic xmlns:pic="http://schemas.openxmlformats.org/drawingml/2006/picture">
                            <pic:nvPicPr>
                              <pic:cNvPr id="46" name="Picture 46"/>
                              <pic:cNvPicPr>
                                <a:picLocks noChangeAspect="1"/>
                              </pic:cNvPicPr>
                            </pic:nvPicPr>
                            <pic:blipFill rotWithShape="1">
                              <a:blip r:embed="rId79">
                                <a:extLst>
                                  <a:ext uri="{28A0092B-C50C-407E-A947-70E740481C1C}">
                                    <a14:useLocalDpi xmlns:a14="http://schemas.microsoft.com/office/drawing/2010/main" val="0"/>
                                  </a:ext>
                                </a:extLst>
                              </a:blip>
                              <a:srcRect l="59807" t="63937" r="15144" b="16244"/>
                              <a:stretch/>
                            </pic:blipFill>
                            <pic:spPr>
                              <a:xfrm rot="249567">
                                <a:off x="3179253" y="1898653"/>
                                <a:ext cx="1570504" cy="910872"/>
                              </a:xfrm>
                              <a:prstGeom prst="rect">
                                <a:avLst/>
                              </a:prstGeom>
                            </pic:spPr>
                          </pic:pic>
                        </wpg:grpSp>
                        <wps:wsp>
                          <wps:cNvPr id="47" name="TextBox 56"/>
                          <wps:cNvSpPr txBox="1"/>
                          <wps:spPr>
                            <a:xfrm>
                              <a:off x="298339" y="536747"/>
                              <a:ext cx="476885" cy="494030"/>
                            </a:xfrm>
                            <a:prstGeom prst="rect">
                              <a:avLst/>
                            </a:prstGeom>
                            <a:noFill/>
                          </wps:spPr>
                          <wps:txbx>
                            <w:txbxContent>
                              <w:p w14:paraId="54FF0E71" w14:textId="77777777" w:rsidR="008A47AC" w:rsidRDefault="008A47AC" w:rsidP="0054039C">
                                <w:pPr>
                                  <w:jc w:val="center"/>
                                  <w:rPr>
                                    <w:sz w:val="24"/>
                                    <w:szCs w:val="24"/>
                                  </w:rPr>
                                </w:pPr>
                                <w:r>
                                  <w:rPr>
                                    <w:rFonts w:hAnsi="Calibri"/>
                                    <w:b/>
                                    <w:bCs/>
                                    <w:color w:val="000000" w:themeColor="text1"/>
                                    <w:kern w:val="24"/>
                                    <w:sz w:val="36"/>
                                    <w:szCs w:val="36"/>
                                  </w:rPr>
                                  <w:t>A</w:t>
                                </w:r>
                              </w:p>
                            </w:txbxContent>
                          </wps:txbx>
                          <wps:bodyPr wrap="square" rtlCol="0">
                            <a:noAutofit/>
                          </wps:bodyPr>
                        </wps:wsp>
                        <wps:wsp>
                          <wps:cNvPr id="48" name="TextBox 57"/>
                          <wps:cNvSpPr txBox="1"/>
                          <wps:spPr>
                            <a:xfrm>
                              <a:off x="298339" y="3301730"/>
                              <a:ext cx="476885" cy="494030"/>
                            </a:xfrm>
                            <a:prstGeom prst="rect">
                              <a:avLst/>
                            </a:prstGeom>
                            <a:noFill/>
                          </wps:spPr>
                          <wps:txbx>
                            <w:txbxContent>
                              <w:p w14:paraId="5C00C5BB" w14:textId="77777777" w:rsidR="008A47AC" w:rsidRDefault="008A47AC" w:rsidP="0054039C">
                                <w:pPr>
                                  <w:jc w:val="center"/>
                                  <w:rPr>
                                    <w:sz w:val="24"/>
                                    <w:szCs w:val="24"/>
                                  </w:rPr>
                                </w:pPr>
                                <w:r>
                                  <w:rPr>
                                    <w:rFonts w:hAnsi="Calibri"/>
                                    <w:b/>
                                    <w:bCs/>
                                    <w:color w:val="000000" w:themeColor="text1"/>
                                    <w:kern w:val="24"/>
                                    <w:sz w:val="36"/>
                                    <w:szCs w:val="36"/>
                                  </w:rPr>
                                  <w:t>B</w:t>
                                </w:r>
                              </w:p>
                            </w:txbxContent>
                          </wps:txbx>
                          <wps:bodyPr wrap="square" rtlCol="0">
                            <a:noAutofit/>
                          </wps:bodyPr>
                        </wps:wsp>
                      </wpg:grpSp>
                      <pic:pic xmlns:pic="http://schemas.openxmlformats.org/drawingml/2006/picture">
                        <pic:nvPicPr>
                          <pic:cNvPr id="49" name="Picture 49"/>
                          <pic:cNvPicPr>
                            <a:picLocks noChangeAspect="1"/>
                          </pic:cNvPicPr>
                        </pic:nvPicPr>
                        <pic:blipFill>
                          <a:blip r:embed="rId81"/>
                          <a:stretch>
                            <a:fillRect/>
                          </a:stretch>
                        </pic:blipFill>
                        <pic:spPr>
                          <a:xfrm>
                            <a:off x="877065" y="3176084"/>
                            <a:ext cx="4186741" cy="3016446"/>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7E18092" id="Group 14" o:spid="_x0000_s1095" style="position:absolute;left:0;text-align:left;margin-left:45.45pt;margin-top:-.15pt;width:385.9pt;height:395.35pt;z-index:251658320;mso-position-horizontal-relative:margin;mso-width-relative:margin;mso-height-relative:margin" coordorigin=",824" coordsize="50638,61100" o:gfxdata="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ODg4ODg4ODg4ODg4ODg4ODg4ODg4ODg4ODg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ODg4ODg4ODg4ODg4ODg4ODg4ODg4ODg4ODg4ODg4ODg39/f39/f39/f39/f39/f39/f&#10;39/f39/f39/f4ODg4ODg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ODg4ODg39/f39/f3t7e3t7e3t7e3t7e&#10;3t7e3t7e3t7e3t7e3d3d3d3d3d3d3d3d3t7e3t7e3t7e3t7e39/f39/f4ODg4ODg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ODg4ODg4ODg4ODg39/f&#10;39/f39/f39/f39/f39/f39/f4ODg4ODg4ODg4ODg4eHh4eHh4eHh4eHh4eHh4eHh4eHh4eHh4eHh&#10;4eHh4eHh4eHh4eHh4eHh4eHh4eHh4eHh4eHh4eHh4eHh4eHh4eHh4eHh4eHh4eHh4eHh4eHh4eHh&#10;4eHh4eHh4ODg4ODg39/f39/f3t7e3t7e3d3d3d3d3d3d3d3d3Nzc3Nzc3Nzc3Nzc29vb29vb29vb&#10;29vb29vb29vb29vb29vb29vb3Nzc3Nzc3d3d3d3d3d3d3d3d3t7e3t7e39/f4ODg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&#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ODg&#10;4ODg4ODg4ODg4ODg4ODg4ODg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ODg4ODg39/f39/f39/f39/f39/f39/f39/f4ODg4ODg4ODg&#10;4ODg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ODg4ODg39/f3t7e3t7e3d3d3d3d3Nzc3Nzc&#10;29vb29vb29vb29vb29vb29vb29vb3Nzc3Nzc3Nzc3d3d3d3d3t7e3t7e3t7e39/f39/f4ODg4ODg&#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ODg39/f3t7e3d3d3Nzc2tra2dnZ2dnZ2NjY2NjY19fX19fX19fX19fX19fX19fX19fX19fX2NjY&#10;2dnZ2dnZ2tra2tra29vb29vb3Nzc3d3d3t7e39/f4ODg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ODg3t7e3d3d3Nzc29vb2tra2dnZ19fX1tbW1dXV1NTU1NTU&#10;09PT09PT09PT09PT09PT09PT09PT09PT09PT1NTU1dXV1dXV1dXV1tbW19fX2NjY2dnZ2tra29vb&#10;3Nzc3d3d3t7e39/f4ODg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ODg4ODg3t7e3Nzc&#10;2tra2dnZ19fX1tbW1dXV09PT0tLS0dHR0NDQ0NDQz8/Pz8/Pzs7Ozs7Ozs7Oz8/Pz8/Pz8/Pz8/P&#10;0NDQ0dHR0dHR0tLS09PT1NTU1dXV1tbW1tbW19fX2dnZ2tra29vb3d3d39/f4ODg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ODg39/f3t7e3Nzc2tra2NjY1tbW1NTU09PT0tLS0dHRz8/Pzs7Ozc3Nzc3N&#10;zMzMzMzMy8vLy8vLy8vLy8vLy8vLy8vLzMzMzMzMzc3Nzs7Ozs7Oz8/P0NDQ0dHR0tLS09PT1NTU&#10;1dXV1tbW19fX2dnZ2tra3Nzc3t7e39/f4ODg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ODg4ODg3t7e3d3d29vb2dnZ19fX&#10;1dXV0tLS0NDQz8/Pzs7Ozc3Ny8vLysrKysrKycnJyMjIyMjIyMjIx8fHyMjIyMjIyMjIyMjIycnJ&#10;ysrKysrKy8vLzMzMzc3Nzs7Oz8/P0NDQ0dHR0dHR0tLS09PT1NTU1tbW19fX2dnZ29vb3d3d39/f&#10;4ODg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ODg39/f3d3d29vb2dnZ19fX1dXV09PT0dHRz8/Pzc3NzMzMy8vLycnJyMjIx8fHxsbG&#10;xcXFxcXFxcXFxcXFxcXFxcXFxcXFxsbGxsbGx8fHyMjIycnJycnJysrKy8vLzMzMzc3Nzs7Ozs7O&#10;z8/P0NDQ0dHR0tLS09PT1dXV1tbW2NjY29vb3d3d3t7e4ODg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ODg4ODg4ODg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ODg4ODg39/f3d3d2tra2NjY1tbW1NTU0tLS&#10;0NDQzs7OzMzMysrKycnJyMjIx8fHxsbGxcXFxMTEw8PDw8PDw8PDw8PDw8PDw8PDxMTExcXFxcXF&#10;xsbGx8fHyMjIyMjIycnJysrKy8vLy8vLzMzMzc3Nzc3Nzs7Oz8/P0NDQ0dHR09PT1NTU1tbW2NjY&#10;2tra3Nzc39/f4ODg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ODg4ODg4ODg4ODg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ODg39/f3t7e3Nzc2dnZ19fX1dXV09PT0dHRz8/Pzs7OzMzMysrKyMjIxsbGxcXFxMTExMTEw8PD&#10;w8PDwsLCwsLCwsLCw8PDw8PDw8PDxMTExcXFxsbGxsbGx8fHyMjIycnJysrKysrKy8vLy8vLy8vL&#10;zMzMzMzMzc3Nzs7Oz8/P0NDQ0dHR09PT1NTU1tbW2NjY2tra3Nzc3t7e4ODg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ODg&#10;4ODg4ODg4ODg4ODg4ODg4ODg4ODg4ODg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ODg39/f3d3d29vb2dnZ1tbW1NTU0tLS0dHRz8/P&#10;zc3Ny8vLysrKyMjIxsbGxcXFxMTEw8PDw8PDwsLCwsLCwsLCwsLCwsLCw8PDw8PDxMTExcXFxsbG&#10;x8fHyMjIyMjIycnJysrKysrKysrKy8vLy8vLy8vLy8vLzMzMzc3Nzc3Nzs7Oz8/P0NDQ0dHR09PT&#10;1NTU1tbW2NjY2tra3d3d39/f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ODg4ODg4ODg4ODg4ODg4ODg4ODg4ODg4ODg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ODg&#10;3t7e3d3d29vb2NjY1tbW09PT0dHR0NDQzs7OzMzMy8vLycnJx8fHxsbGxMTExMTEw8PDw8PDw8PD&#10;w8PDw8PDw8PDw8PDw8PDxMTExMTExsbGx8fHyMjIycnJysrKysrKysrKy8vLy8vLy8vLzMzMzMzM&#10;zMzMzMzMzMzMzMzMzc3Nzs7Ozs7Oz8/P0NDQ0dHR09PT1NTU1tbW2dnZ29vb3t7e4ODg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ODg4ODg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ODg4ODg39/f3d3d2tra2NjY1tbW1NTU0dHRz8/Pzs7OzMzM&#10;y8vLycnJyMjIxsbGxcXFxMTExMTEw8PDw8PDw8PDxMTExMTExMTExMTExcXFxsbGx8fHyMjIysrK&#10;y8vLzMzMzMzMzc3Nzc3Nzc3Nzc3Nzc3Nzc3Nzc3Nzc3Nzc3NzMzMzc3Nzc3Nzc3Nzs7Oz8/P0NDQ&#10;0dHR0tLS09PT1dXV19fX2tra3Nzc39/f4ODg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ODg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ODg4ODg3t7e&#10;3d3d2tra2NjY1tbW1NTU0tLSz8/Pzc3NzMzMy8vLysrKyMjIx8fHxsbGxcXFxcXFxMTExMTExMTE&#10;xMTExcXFxcXFxcXFxsbGx8fHyMjIysrKy8vLzMzMzc3Nzs7Oz8/Pz8/Pz8/Pz8/Pz8/Pz8/Pz8/P&#10;zs7Ozs7Ozc3Nzc3Nzc3Nzc3Nzc3Nzc3Nzs7Oz8/P0NDQ0dHR0tLS1NTU1tbW2NjY29vb3d3d4ODg&#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ODg39/f3t7e3Nzc2tra2NjY1tbW1NTU0tLS0NDQzs7OzMzMy8vL&#10;y8vLycnJyMjIx8fHxsbGxsbGxsbGxcXFxcXFxcXFxsbGxsbGx8fHyMjIycnJysrKy8vLzc3Nzs7O&#10;z8/P0NDQ0dHR0dHR0dHR0dHR0dHR0dHR0dHR0NDQz8/Pz8/Pzs7Ozc3Nzc3Nzc3Nzc3Nzc3Nzs7O&#10;z8/Pz8/P0NDQ0dHR09PT1dXV19fX2tra3Nzc39/f4ODg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ODg4ODg4ODg4ODg4ODg4ODg&#10;4ODg4ODg4ODg4ODg4ODg4ODg4ODg4ODg4eHh4eHh4eHh4eHh4eHh4eHh4eHh4eHh4ODg4ODg4ODg&#10;4ODg4ODg4ODg4ODg4ODg4ODg39/f39/f39/f39/f39/f39/f4ODg4ODg4ODg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ODg4ODg3t7e3Nzc&#10;2tra2NjY1tbW1NTU09PT0dHRz8/Pzc3Ny8vLy8vLysrKycnJyMjIx8fHx8fHx8fHx8fHx8fHx8fH&#10;x8fHyMjIyMjIycnJysrKy8vLzMzMzs7Oz8/P0NDQ0tLS0tLS09PT09PT09PT09PT09PT0tLS0tLS&#10;0dHR0NDQz8/Pzs7Ozc3Nzc3Nzc3Nzc3Nzc3Nzc3Nzs7Oz8/Pz8/P0NDQ0dHR1NTU1tbW2NjY29vb&#10;3t7e4ODg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39/f3t7e3Nzc2tra2NjY1tbW1NTU09PT0dHRz8/Pzs7OzMzMy8vL&#10;y8vLysrKycnJyMjIyMjIx8fHx8fHx8fHyMjIyMjIycnJycnJysrKysrKzMzMzc3Nzs7O0NDQ0dHR&#10;0tLS09PT1NTU1NTU1NTU1NTU1NTU09PT09PT0tLS0dHR0dHRz8/Pzs7Ozc3Nzc3Nzc3Nzc3Nzc3N&#10;zc3Nzc3Nzs7Ozs7Oz8/P0dHR0tLS1NTU19fX2tra3Nzc3t7e4ODg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3t7e3Nzc2dnZ&#10;2NjY1tbW1NTU09PT0dHR0NDQzs7OzMzMzMzMy8vLy8vLysrKycnJycnJyMjIyMjIyMjIyMjIycnJ&#10;ycnJysrKysrKy8vLzMzMzc3Nzs7O0NDQ0dHR09PT1NTU1dXV1dXV1dXV1dXV1dXV1NTU1NTU09PT&#10;09PT0tLS0dHRz8/Pzs7Ozc3NzMzMzMzMzMzMzMzMzMzMzMzMzc3Nzc3Nz8/P0NDQ0dHR09PT1dXV&#10;2NjY29vb3d3d4ODg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&#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3Nzc2NjY1tbW1dXV1dXV19fX2dnZ29vb39/f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ODg19fXzs7OysrKyMjIycnJy8vL&#10;z8/P1dXV3d3d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3d3d2NjYzMzMwsLCvr6+vLy8vb29v7+/wsLCx8fHzc3N0tLS1NTU1dXV1dXV1NTU1NTU&#10;1NTU1dXV19fX2NjY29vb3d3d39/f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&#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&#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&#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39/f&#10;3Nzczc3Nvr6+paWljIyMd3d3ZWVlX19fXV1dY2Njbm5ugYGBlpaWra2twMDAz8/P19fX3Nzc39/f&#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ODg4ODg4ODg4ODg&#10;4ODg4ODg4ODg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ODg4ODg2NjYz8/Pvr6+rq6un5+fk5OTj4+Pjo6O&#10;kpKSmZmZpaWls7Ozw8PDz8/P2tra3t7e4ODg4ODg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3d3d2dnZz8/PxcXFvLy8tLS0sbGxsLCws7Ozt7e3v7+/yMjI0tLS2dnZ39/f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ODg39/f29vb19fX0tLSzc3NzMzM&#10;y8vLzMzMz8/P09PT2NjY3d3d39/f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ODg3t7e3Nzc2dnZ2NjY2NjY2dnZ2tra3Nzc3t7e4ODg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ODg4ODg&#10;4ODg4ODg4ODg4ODg4ODg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3t7e2NjY0dHRysrKxsbGw8PDwcHBwMDAwcHBwcHBxcXFy8vL1tbW&#10;3t7e4ODg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39/f3d3d2tra&#10;19fX1dXV1NTU09PT09PT09PT09PT1dXV19fX3Nzc4ODg4ODg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&#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ODg3d3d29vb2tra2dnZ2dnZ&#10;2dnZ2NjY2dnZ2dnZ2dnZ2tra2dnZ2dnZ19fX1dXV09PT0dHRz8/Pzc3Ny8vLysrKycnJyMjIx8fH&#10;xsbGxcXFxMTEw8PDw8PDwsLCwsLCwsLCwcHBwMDAv7+/v7+/wMDAwMDAwcHBwcHBwcHBwsLCwsLC&#10;w8PDw8PDxMTExMTExMTEw8PDw8PDwsLCwcHBwMDAwMDAwMDAwMDAwMDAwcHBwsLCxMTExcXFx8fH&#10;yMjIycnJysrKy8vLzMzMzc3Nzc3Nzs7Oz8/P0NDQ0dHR0tLS1NTU1dXV19fX2dnZ3Nzc3t7e4ODg&#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ODg39/f3d3d&#10;3Nzc2dnZ19fX1NTU09PT0dHRz8/Pzs7Ozc3NzMzMysrKycnJyMjIyMjIx8fHx8fHxsbGxsbGxsbG&#10;xsbGxsbGx8fHx8fHyMjIycnJysrKysrKy8vLy8vLzMzMzc3Nzc3Nzs7Ozs7Ozs7Ozc3Nzc3NzMzM&#10;zMzMy8vLysrKysrKycnJycnJycnJycnJysrKysrKysrKy8vLy8vLzMzMzMzMzc3Nzc3Nzs7Oz8/P&#10;0NDQ0dHR0tLS1NTU1tbW2NjY29vb3d3d39/f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ODg4ODg39/f3Nzc2tra2NjY1tbW1NTU0tLS0dHRz8/P&#10;zs7OzMzMysrKysrKycnJycnJyMjIyMjIyMjIyMjIyMjIyMjIyMjIycnJycnJysrKy8vLzMzMzc3N&#10;zs7Ozs7Oz8/Pz8/P0NDQ0NDQ0NDQ0NDQ0NDQz8/Pzs7Ozc3Nzc3NzMzMy8vLy8vLysrKysrKysrK&#10;y8vLy8vLy8vLy8vLy8vLzMzMzMzMzc3Nzs7Oz8/P0NDQ0dHR09PT1dXV19fX2dnZ3Nzc39/f4ODg&#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39/f3d3d29vb2dnZ19fX1dXV09PT0dHRz8/Pzs7OzMzMy8vLysrKysrKycnJycnJycnJ&#10;ycnJycnJycnJycnJycnJysrKy8vLy8vLzc3Nzs7Ozs7Oz8/Pz8/P0NDQ0dHR0dHR0dHR0dHR0dHR&#10;0NDQz8/Pzs7Ozc3NzMzMzMzMy8vLy8vLy8vLy8vLy8vLy8vLy8vLy8vLy8vLy8vLzMzMzc3Nzs7O&#10;z8/P0NDQ0tLS09PT1tbW2NjY29vb3d3d4ODg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ODg39/f3d3d29vb2dnZ19fX1dXV&#10;09PT0dHRz8/Pzc3NzMzMy8vLysrKysrKycnJycnJycnJyMjIyMjIyMjIycnJycnJysrKy8vLy8vL&#10;zMzMzc3Nzc3Nzs7Oz8/P0NDQ0NDQ0NDQ0NDQ0NDQz8/Pzs7Ozc3NzMzMy8vLy8vLy8vLysrKysrK&#10;ysrKysrKysrKysrKy8vLy8vLy8vLzMzMzc3Nzs7O0NDQ0dHR0tLS1NTU19fX2tra3d3d39/f4ODg&#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ODg3t7e3Nzc29vb2dnZ19fX1dXV09PT0NDQzs7Ozc3NzMzMy8vLysrKysrK&#10;ycnJyMjIyMjIyMjIyMjIyMjIyMjIycnJycnJysrKysrKy8vLy8vLzMzMzc3Nzs7Ozs7Ozs7Ozs7O&#10;zs7Ozc3NzMzMy8vLysrKysrKysrKycnJycnJyMjIyMjIyMjIycnJycnJysrKy8vLy8vLzMzMzc3N&#10;zs7O0NDQ0tLS09PT1tbW2dnZ3Nzc3t7e4ODg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ODg3t7e3Nzc29vb&#10;2dnZ19fX1NTU0tLS0NDQzs7Ozc3NzMzMy8vLysrKycnJyMjIx8fHx8fHxsbGx8fHx8fHx8fHyMjI&#10;yMjIyMjIycnJycnJysrKysrKy8vLy8vLy8vLy8vLy8vLysrKysrKycnJycnJyMjIyMjIx8fHx8fH&#10;x8fHx8fHx8fHyMjIyMjIycnJysrKy8vLzMzMzc3Nz8/P0NDQ0tLS1dXV19fX2tra3d3d39/f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ODg3t7e3d3d29vb2dnZ1tbW1NTU0tLS0NDQzs7Ozc3NzMzM&#10;y8vLysrKyMjIx8fHxsbGxsbGxcXFxcXFxsbGxsbGxsbGxsbGx8fHx8fHx8fHyMjIyMjIyMjIyMjI&#10;yMjIyMjIyMjIx8fHx8fHxsbGxsbGxsbGxsbGxcXFxcXFxsbGxsbGx8fHyMjIycnJysrKy8vLzc3N&#10;zs7O0NDQ0tLS1NTU1tbW2dnZ3Nzc39/f4ODg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ODg&#10;39/f3d3d29vb2dnZ19fX1NTU0tLS0NDQzs7Ozc3NzMzMy8vLycnJyMjIxsbGxcXFxcXFxMTExMTE&#10;xMTExMTExcXFxcXFxcXFxcXFxcXFxcXFxcXFxcXFxcXFxcXFxcXFxcXFxMTExMTExMTExMTExMTE&#10;xMTExMTExcXFxcXFxsbGyMjIycnJy8vLzMzMzs7O0NDQ0tLS1NTU1tbW2dnZ3Nzc39/f4ODg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ODg39/f3d3d29vb2dnZ1tbW1NTU0tLS0NDQ&#10;z8/Pzc3NzMzMysrKycnJx8fHxsbGxcXFxMTExMTExMTExMTExMTExMTEw8PDw8PDw8PDw8PDw8PD&#10;w8PDw8PDw8PDw8PDw8PDw8PDw8PDw8PDxMTExMTExMTExMTExcXFxcXFx8fHycnJysrKzMzMzs7O&#10;z8/P0tLS1NTU1tbW2NjY29vb3t7e4ODg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39/f3d3d29vb2dnZ19fX1dXV09PT0tLS0NDQzs7OzMzMysrKyMjIx8fHxsbGxcXF&#10;xMTExMTEw8PDw8PDw8PDw8PDwsLCwsLCwsLCwsLCwsLCwsLCwsLCwsLCwsLCw8PDw8PDw8PDw8PD&#10;xMTExMTExcXFxcXFxsbGyMjIysrKzMzMzc3Nz8/P0dHR1NTU19fX2dnZ29vb3t7e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ODg39/f3d3d3Nzc2dnZ19fX&#10;1tbW1NTU0tLS0NDQzs7OzMzMysrKyMjIyMjIx8fHxsbGxcXFxcXFxMTExMTEw8PDw8PDwsLCwsLC&#10;wsLCwsLCwsLCwsLCwsLCw8PDw8PDxMTExMTExMTExcXFxsbGx8fHyMjIyMjIysrKzMzMzs7O0NDQ&#10;0tLS1dXV19fX2tra3Nzc3t7e4ODg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ODg3t7e3Nzc2tra2NjY19fX1dXV09PT0dHRzs7OzMzMy8vLysrK&#10;ycnJyMjIx8fHxsbGxcXFxMTExMTEw8PDw8PDw8PDw8PDw8PDw8PDw8PDw8PDw8PDxMTExMTExcXF&#10;xsbGx8fHyMjIycnJysrKy8vLzMzMzs7O0NDQ0tLS1dXV2NjY29vb3d3d39/f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ODg4ODg39/f&#10;3d3d3Nzc2tra2NjY1tbW1NTU0tLS0NDQzs7Ozc3NzMzMy8vLysrKycnJyMjIyMjIx8fHxsbGxsbG&#10;xsbGxsbGxsbGxsbGxsbGxsbGxsbGxsbGx8fHyMjIycnJysrKy8vLzMzMzc3Nzs7O0NDQ0tLS1NTU&#10;1tbW2dnZ3Nzc3t7e39/f4ODg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39/f3d3d29vb2tra2NjY1tbW1NTU0tLS&#10;0dHR0NDQz8/Pzs7OzMzMzMzMy8vLysrKycnJycnJycnJycnJycnJycnJycnJycnJycnJysrKysrK&#10;y8vLzMzMzc3Nzs7O0NDQ0dHR0tLS1NTU1tbW2dnZ29vb3d3d4ODg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ODg39/f3t7e3t7e29vb2dnZ2NjY1tbW1dXV09PT0tLS0dHR0NDQz8/Pz8/Pzs7Ozc3N&#10;zc3Nzc3Nzc3Nzc3Nzc3Nzc3Nzc3Nzc3Nzs7Ozs7Oz8/P0NDQ0dHR09PT1NTU1dXV1tbW2NjY29vb&#10;3Nzc3t7e39/f4ODg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39/f3d3d29vb&#10;2tra2NjY19fX1tbW1dXV1NTU09PT09PT0tLS0tLS0dHR0dHR0NDQ0NDQ0NDQ0NDQ0NDQ0dHR0tLS&#10;09PT09PT1NTU1tbW19fX2dnZ2tra29vb3d3d39/f4ODg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ODg39/f39/f3t7e3d3d3Nzc29vb2tra2dnZ2NjY19fX1tbW&#10;1tbW1tbW1dXV1dXV1dXV1dXV1dXV1dXV1dXV1tbW19fX2NjY2dnZ2tra3Nzc3d3d3t7e3t7e39/f&#10;4ODg4ODg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ODg4ODg39/f3t7e3d3d3Nzc29vb29vb29vb2tra2tra2tra2tra2tra2tra2tra2tra&#10;2tra29vb3Nzc3d3d3t7e4ODg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ODg4ODg4ODg39/f39/f39/f&#10;3t7e3t7e3t7e3t7e3t7e3t7e3t7e3t7e3t7e3t7e3t7e39/f39/f39/f4ODg4ODg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Dg4ODg4ODg4N/f39/f39/f39/f39/f397e3t7e3t7e3t7e3t7e&#10;3t7e3t7e3t7e3t7e3t7e3t/f39/f39/f39/f39/f3+Dg4ODg4ODg4ODg4O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Dg4N/f397e3t7e&#10;3t3d3d3d3dzc3Nzc3Nvb29vb29vb29vb29vb29vb29vb29vb29vb29vb29vb29vb29zc3Nzc3N3d&#10;3d3d3d7e3t7e3t/f3+Dg4ODg4O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d7e3tzc3NnZ2dbW1tPT09HR0c/P&#10;z83NzczMzMzMzMzMzMzMzMzMzM3Nzc7OztDQ0NHR0dPT09TU1NXV1dfX19fX19jY2NnZ2dvb29zc&#10;3N3d3d7e3uDg4O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Dg4ODg4N/f39/f397e3t3d3dzc3Nvb29ra2tra2tnZ2djY2NjY2NfX19fX19fX19fX&#10;19fX19fX19fX19fX19fX19fX19fX19jY2NjY2NnZ2dnZ2dra2tvb29vb29zc3N3d3d7e3t7e3t7e&#10;3t/f39/f3+Dg4ODg4ODg4O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Dg4Nvb29XV1c7OzsjIyMLCwry8vLi4uLS0tLGxsbCwsLCwsLGxsbGxsbS0tLe3t7q6&#10;ur29vcHBwcTExMfHx8nJycvLy83NzdDQ0NLS0tXV1djY2Nvb297e3uDg4O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Dg4ODg4N/f397e3t3d3dzc3Nra2tnZ&#10;2djY2NfX19bW1tXV1dTU1NTU1NPT09PT09PT09PT09PT09PT09PT09PT09PT09PT09PT09PT09TU&#10;1NTU1NXV1dbW1tbW1tfX19jY2NnZ2dra2tvb29vb29zc3N3d3d7e3t/f3+Dg4O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dvb29TU1MbGxri4uKqqqp6enpaWlpGR&#10;kZKSkpCQkI2NjYqKioiIiIaGhoSEhIaGhomJiY2NjZKSkpaWlpmZmZycnKCgoKOjo6ampqmpqaur&#10;q66urrKysrm5ub+/v8XFxcnJyczMzM/Pz9HR0dLS0tPT09TU1NTU1NXV1dbW1tfX19jY2NnZ2dvb&#10;29zc3N3d3d7e3t/f3+Dg4O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Dg&#10;4ODg4N/f39/f397e3t3d3dzc3Nvb29ra2tnZ2djY2NfX19bW1tXV1dTU1NPT09LS0tHR0dHR0dDQ&#10;0NDQ0NDQ0NDQ0NDQ0M/Pz8/Pz8/Pz9DQ0NDQ0NDQ0NHR0dHR0dLS0tPT09PT09TU1NXV1dbW1tfX&#10;19jY2NnZ2dra2tvb29zc3N3d3d7e3t/f39/f3+Dg4O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dTU1MXFxa+vr5mZmYODg3BwcGZmZmNjY2lpaWpqamhoaGNjY11dXVhYWFVVVVZWVllZ&#10;WV1dXWJiYmZmZmtra25ubnJycnZ2dnp6en19fYCAgIKCgoiIiJGRkZubm6Wlpa2trbS0tLq6ur+/&#10;v8HBwcPDw8TExMbGxsfHx8nJycvLy83NzdDQ0NPT09bW1tjY2Nra2t3d3d/f3+Dg4O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Dg4ODg4N/f397e3t3d3dzc3Nvb29vb29ra2tnZ2djY&#10;2NfX19XV1dTU1NPT09LS0tHR0dDQ0M/Pz87Ozs7Ozs3Nzc3Nzc3Nzc3NzczMzMzMzMzMzMzMzM3N&#10;zc3Nzc3Nzc7Ozs7Ozs/Pz9DQ0NHR0dHR0dLS0tPT09TU1NbW1tfX19jY2NnZ2dra2tvb29zc3N7e&#10;3t/f3+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Dg4M3Nzbm5uZubm319fV5eXkZGRjk5&#10;OTg4OEdHR1NTU1xcXFtbW1RUVEtLS0JCQkBAQD4+Pj8/Pz8/P0BAQEBAQEJCQkNDQ0dHR0pKSktL&#10;S0xMTE1NTVJSUl1dXWlpaXh4eIODg42NjZSUlJubm56enqCgoKCgoJ+fn56enpycnJubm5ubm5+f&#10;n6SkpKqqqrGxsbi4uL6+vsTExMnJyc3NzdDQ0NPT09bW1tjY2NnZ2dra2tvb293d3d3d3d7e3t/f&#10;3+Dg4O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Dg&#10;4N/f397e3t7e3t3d3d3d3dzc3Nvb29ra2tnZ2djY2NfX19bW1tXV1dPT09LS0tHR0dDQ0M/Pz87O&#10;zs3Nzc3NzczMzMzMzMzMzMzMzMvLy8vLy8zMzMzMzMzMzMzMzMzMzMzMzM3Nzc7Ozs/Pz9DQ0NDQ&#10;0NHR0dPT09TU1NXV1dbW1tfX19jY2Nra2tvb293d3d7e3uDg4ODg4O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Dg4ODg4ODg4ODg4ODg4N/f39/f&#10;39/f39/f3+Dg4ODg4ODg4ODg4ODg4ODg4ODg4ODg4ODg4ODg4ODg4ODg4ODg4ODg4O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Dg4MjIyK6uroqKimVlZT4+Ph8fHxAQEBEREScnJzw8PFJSUlRUVExMTEBAQDIyMisr&#10;KyYmJiMjIyAgIB0dHRoaGhgYGBgYGBsbGxwcHB0dHRwcHBsbGyEhISwsLDs7O01NTVtbW2dnZ3Bw&#10;cHh4eHt7e319fXt7e3l5eXR0dG9vb2lpaWdnZ2xsbHNzc319fYiIiJOTk52dnaampq+vr7e3t729&#10;vcPDw8fHx8vLy87OztDQ0NPT09XV1dfX19nZ2dvb293d3d7e3t/f39/f39/f3+Dg4ODg4ODg4O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Dg4N/f397e3t7e3t3d3d3d3dzc3Nvb29ra2tnZ&#10;2djY2NfX19bW1tXV1dTU1NLS0tHR0dDQ0M/Pz87Ozs3NzczMzMzMzMvLy8vLy8vLy8vLy8vLy8vL&#10;y8vLy8vLy8vLy8vLy8vLy8zMzMzMzM3Nzc7Ozs/Pz9DQ0NHR0dLS0tTU1NXV1dbW1tfX19nZ2dra&#10;2tzc3N3d3d/f3+Dg4O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Dg4ODg4N/f39/f39/f39/f397e3t7e3t7e3t7e3t7e3t7e3t/f39/f39/f39/f39/f39/f&#10;39/f39/f39/f39/f39/f39/f3+Dg4ODg4O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Dg4MzMzLa2tpSUlHNzc01NTSws&#10;LBUVFQ4ODh0dHTExMUhISE9PT0tLSz4+Pi0tLSUlJR4eHh4eHh4eHhoaGhcXFxQUFBISEhQUFBUV&#10;FRYWFhgYGBgYGB4eHigoKDQ0NEJCQkxMTFZWVltbW2FhYWFhYWBgYFlZWVFRUURERDg4ODIyMi8v&#10;LzExMTU1NTw8PEdHR1dXV2VlZXNzc39/f4uLi5KSkpeXl5iYmJiYmJqamp2dnaKioqenp6ysrLGx&#10;sba2tru7u7+/v8PDw8bGxsrKys/Pz9PT09jY2Nzc3ODg4O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Dg&#10;4N/f39/f397e3t7e3t3d3d3d3dzc3Nzc3Nvb29ra2tnZ2djY2NjY2NbW1tXV1dPT09LS0tHR0dDQ&#10;0M/Pz87Ozs3Nzc3NzczMzMvLy8vLy8vLy8vLy8vLy8vLy8vLy8vLy8vLy8zMzMzMzM3Nzc7Ozs/P&#10;z9DQ0NHR0dLS0tLS0tTU1NXV1dbW1tjY2NnZ2dvb29zc3N7e3t/f3+Dg4O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Dg4ODg4ODg4N/f39/f39/f39/f397e3t7e3t3d3d3d3dzc3Nzc3Nzc3Nzc3Nzc&#10;3Nzc3Nzc3Nzc3Nzc3Nzc3Nzc3Nzc3Nzc3Nzc3Nzc3Nzc3Nzc3Nzc3Nzc3Nzc3N3d3d3d3d7e3t7e&#10;3t7e3t7e3t/f39/f39/f39/f39/f39/f39/f39/f39/f3+Dg4ODg4ODg4ODg4ODg4ODg4O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Dg4ODg4N/f39/f397e3t7e3t3d3d3d3dzc3Nzc3Nvb&#10;29vb29ra2tra2tnZ2djY2NbW1tXV1dPT09LS0tHR0dDQ0M/Pz87Ozs7Ozs3NzczMzMvLy8vLy8vL&#10;y8vLy8vLy8vLy8vLy8zMzMzMzM3Nzc7Ozs/Pz8/Pz9DQ0NHR0dLS0tPT09TU1NXV1dfX19jY2Nra&#10;2tvb293d3d7e3t/f3+Dg4O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Dg4ODg4N/f39/f397e3t3d3d3d&#10;3dzc3Nzc3Nvb29vb29ra2tra2tra2tra2tra2tra2tra2tra2tra2tra2tra2tra2tra2tra2tra&#10;2tra2tra2tra2tra2tra2tra2tra2tvb29vb29zc3Nzc3Nzc3Nzc3N3d3d3d3d3d3d3d3d3d3d7e&#10;3t7e3t7e3t7e3t/f39/f3+Dg4ODg4ODg4ODg4O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Dg&#10;4ODg4ODg4ODg4N/f397e3t7e3t3d3dzc3Nzc3Nvb29vb29vb29ra2tra2tnZ2dnZ2dnZ2dnZ2dnZ&#10;2dnZ2dnZ2dnZ2dnZ2dnZ2dnZ2dnZ2dnZ2dnZ2dnZ2dnZ2dnZ2dnZ2dnZ2dnZ2dnZ2dra2tra2tvb&#10;29vb29vb29vb29vb29zc3Nzc3Nzc3Nzc3Nzc3Nzc3Nzc3N3d3d3d3d3d3d7e3t7e3t7e3t/f39/f&#10;39/f3+Dg4ODg4ODg4ODg4O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Dg4N/f39/f39/f397e3t7e3t3d3dzc3Nvb29vb&#10;29ra2tra2tra2tra2tnZ2dnZ2djY2NjY2NjY2NjY2NjY2NjY2NjY2NjY2NjY2NjY2NjY2NjY2NjY&#10;2NjY2NjY2NjY2NjY2NnZ2dnZ2dnZ2dnZ2dra2tra2tra2tra2tra2tvb29vb29vb29vb29vb29vb&#10;29vb29vb29zc3Nzc3Nzc3Nzc3N3d3d3d3d7e3t7e3t7e3t7e3t/f39/f3+Dg4ODg4O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Dg4N/f39/f39/f397e3t3d3dzc3Nzc3Nvb29vb29ra2tra2tra2tra2tnZ2dnZ2djY2NjY2NjY&#10;2NjY2NjY2NjY2NjY2NjY2NjY2NjY2NjY2NjY2NjY2NjY2NjY2NjY2NjY2NjY2NnZ2dnZ2dnZ2dra&#10;2tra2tra2tra2tra2tra2tra2tra2tra2tra2tra2tra2tra2tvb29vb29vb29vb29zc3Nzc3N3d&#10;3d3d3d3d3d7e3t7e3t/f39/f3+Dg4ODg4O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Dg4N/f39/f39/f397e3t3d3dzc3Nzc3Nvb&#10;29vb29ra2tra2tra2tra2tnZ2djY2NjY2NjY2NjY2NjY2NjY2NjY2NjY2NjY2NjY2NjY2NjY2NjY&#10;2NjY2NjY2NjY2NjY2NjY2NjY2NnZ2dnZ2dnZ2dra2tra2tra2tra2tra2tra2tra2tra2tra2tra&#10;2tra2tra2tra2tra2tra2tvb29vb29vb29vb29zc3Nzc3N3d3d3d3d7e3t7e3t/f39/f39/f3+Dg&#10;4O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Dg4ODg4N/f39/f397e3t3d3dzc3Nzc3Nvb29vb29ra2tra2tra2tnZ2djY2NjY2NjY2NjY&#10;2NjY2NjY2NjY2NjY2NjY2NjY2NjY2NjY2NjY2NjY2NjY2NnZ2dnZ2dnZ2dnZ2dnZ2dnZ2dnZ2dnZ&#10;2dra2tra2tra2tra2tra2tra2tra2tra2tra2tra2tra2tra2tra2tra2tra2tra2tra2tra2tvb&#10;29vb29vb29zc3Nzc3N3d3d3d3d7e3t7e3t/f39/f3+Dg4ODg4O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Dg4N/f39/f397e3t3d3d3d3dzc3Nzc&#10;3Nvb29ra2tra2tra2tra2tnZ2djY2NjY2NjY2NjY2NjY2NjY2NjY2NjY2NjY2NjY2NjY2NjY2NjY&#10;2NjY2NjY2NnZ2dnZ2dnZ2dnZ2dnZ2dnZ2dnZ2dnZ2dra2tra2tra2tra2tnZ2dnZ2dnZ2dnZ2dnZ&#10;2dnZ2dnZ2dnZ2dnZ2dnZ2dnZ2dnZ2dnZ2dnZ2dra2tra2tra2tra2tvb29vb29zc3Nzc3N3d3d3d&#10;3d7e3t7e3t/f39/f3+Dg4ODg4ODg4ODg4ODg4ODg4O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QEBAwMDBwcHDAwMGFhYZubm7+/v+Dg4O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Dg4OH9/f7GxseDg4O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Dc3N3x8fK+vr+Dg4O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BAQQEBAgICDw8PH19fbCwsODg4O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QEBAoKCh0dHTY2NmRkZJeXl729veDg4O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Dg4N/f397e3t3d3dzc&#10;3Nvb29ra2tnZ2dnZ2djY2NfX19bW1tTU1NPT09LS0tHR0dDQ0M/Pz87Ozs3NzczMzMrKysnJycjI&#10;yMfHx8XFxcTExMPDw8LCwsDAwL+/v729vb29vby8vLq6urq6urq6uri4uLe3t7W1tbOzs6+vr6ys&#10;rKenp6Ojo6GhoaCgoKGhoaOjo6ampqioqKqqqqurq6urq6urq6urq6qqqqqqqqqqqqqqqqurq6ys&#10;rLCwsLS0tLq6usHBwcfHx83NzdLS0tbW1tnZ2dzc3N7e3t/f3+Dg4O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Dg&#10;4N/f397e3t3d3dzc3Nvb29vb29ra2tra2tnZ2dnZ2djY2NfX19fX19bW1tbW1tXV1dTU1NLS0tHR&#10;0dHR0dDQ0M/Pz87Ozs3NzczMzMvLy8rKysnJycnJycjIyMjIyMfHx8fHx8fHx8bGxsbGxsbGxsXF&#10;xcTExMTExMTExMTExMTExMbGxsfHx8nJycrKyszMzM3Nzc7Ozs7Ozs/Pz8/Pz9DQ0NDQ0NHR0dLS&#10;0tPT09XV1dbW1tjY2Nra2tvb293d3d/f3+Dg4ODg4O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Dg4N/f397e3t3d3d3d3dzc3Nzc3Nvb29vb29ra&#10;2tra2tra2tnZ2djY2NfX19fX19bW1tXV1dTU1NPT09LS0tHR0dDQ0M/Pz87Ozs3NzczMzMzMzMvL&#10;y8vLy8rKysrKysrKysrKysnJycnJycnJycnJycnJycjIyMnJycnJycrKysrKyszMzM3Nzc/Pz9DQ&#10;0NHR0dPT09TU1NXV1dXV1dbW1tbW1tfX19jY2NnZ2dnZ2dvb29zc3N3d3d7e3t/f3+Dg4O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Dg4ODg4N/f397e3t3d3d3d3dzc3Nzc3Nvb29vb29ra2tra2tnZ2dnZ2djY2NfX19fX19bW1tXV&#10;1dPT09LS0tHR0dDQ0M/Pz8/Pz87Ozs3NzczMzMzMzMvLy8vLy8vLy8vLy8vLy8vLy8vLy8vLy8vL&#10;y8vLy8rKysvLy8vLy8zMzM7Ozs/Pz9HR0dLS0tTU1NXV1dbW1tjY2NjY2NnZ2dnZ2dra2tvb29zc&#10;3Nzc3N3d3d7e3t/f3+Dg4ODg4O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Dg4ODg4N/f397e3t3d3d3d3dzc3Nzc3Nvb&#10;29vb29ra2tnZ2dnZ2djY2NfX19fX19bW1tXV1dTU1NPT09LS0tDQ0M/Pz8/Pz87Ozs3NzczMzMzM&#10;zMvLy8vLy8vLy8vLy8vLy8vLy8vLy8vLy8vLy8vLy8vLy8vLy8zMzM3Nzc7Ozs/Pz9DQ0NLS0tTU&#10;1NXV1dbW1tjY2NnZ2dra2tvb29vb29zc3N3d3d7e3t7e3t/f3+Dg4ODg4O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Dg4ODg4N/f397e3t3d3d3d3dzc3Nzc3Nvb29vb29ra2tnZ2djY2NfX19bW1tbW1tXV1dTU&#10;1NPT09LS0tHR0c/Pz87Ozs7Ozs3NzczMzMvLy8vLy8vLy8rKysrKysrKysrKysrKysrKysrKysrK&#10;ysvLy8vLy8vLy8zMzM3Nzc/Pz9DQ0NHR0dLS0tTU1NbW1tfX19jY2Nra2tvb29zc3N3d3d7e3t7e&#10;3t/f39/f3+Dg4ODg4O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Dg4ODg4N/f39/f397e3t3d3dzc3Nzc3Nvb&#10;29vb29vb29vb29ra2tra2tra2tra2tra2tra2tra2tvb29vb29vb29vb29vb29vb29zc3Nzc3Nzc&#10;3Nzc3Nzc3Nzc3Nzc3Nzc3Nzc3Nzc3Nzc3Nzc3Nvb29vb29vb29vb29vb29vb29zc3Nzc3Nzc3Nzc&#10;3N3d3d3d3d3d3d3d3d7e3t7e3t/f39/f3+Dg4ODg4ODg4ODg4O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Dg4N/f397e3t7e3t3d3dzc3Nzc&#10;3Nvb29ra2tnZ2djY2NfX19bW1tXV1dTU1NTU1NPT09LS0tHR0dDQ0M7Ozs3NzczMzMzMzMvLy8rK&#10;ysrKysrKysnJycnJycnJycnJycnJycnJycnJycnJycrKysrKysvLy8zMzM3Nzc7OztDQ0NHR0dLS&#10;0tPT09XV1dbW1tjY2NnZ2dvb29vb29zc3N3d3d7e3t/f39/f3+Dg4O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Dg4ODg4N/f397e3t3d3d3d3dzc3Nzc3Nvb29vb29vb29ra2tra2tra2tra2tvb&#10;29vb29vb29vb29vb29vb29zc3Nzc3Nzc3Nzc3Nzc3Nzc3Nzc3Nzc3Nzc3Nzc3Nzc3Nzc3Nzc3Nzc&#10;3Nzc3Nvb29vb29vb29vb29zc3Nzc3Nzc3Nzc3N3d3d3d3d3d3d3d3d3d3d7e3t/f39/f3+Dg4ODg&#10;4ODg4O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Dg4N/f397e3t3d3dzc3Nzc3Nvb29ra2tnZ2dfX19bW1tTU1NPT09PT09LS&#10;0tLS0tHR0dDQ0M7OzszMzMvLy8vLy8vLy8rKysrKysnJycjIyMjIyMjIyMfHx8fHx8jIyMjIyMjI&#10;yMjIyMjIyMnJycrKysvLy8zMzM7Ozs/Pz9DQ0NHR0dLS0tTU1NXV1dfX19nZ2dra2tvb29zc3N3d&#10;3d7e3t/f39/f3+Dg4O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Dg4N/f397e3t7e3t3d&#10;3d3d3dzc3Nzc3Nzc3Nvb29vb29vb29vb29vb29vb29zc3Nzc3Nzc3Nzc3Nzc3Nzc3Nzc3Nzc3N3d&#10;3d3d3d3d3d3d3d3d3d3d3d3d3d3d3d3d3d3d3d3d3dzc3Nzc3Nzc3Nzc3Nzc3Nzc3Nzc3Nzc3N3d&#10;3d3d3d3d3d3d3d3d3d3d3d7e3t/f39/f3+Dg4ODg4O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Dg4ODg4N/f397e3t3d&#10;3dzc3Nvb29ra2tjY2NfX19bW1tTU1NPT09PT09LS0tHR0dDQ0M/Pz83NzczMzMvLy8vLy8rKysrK&#10;ysnJycjIyMfHx8fHx8fHx8fHx8fHx8fHx8fHx8fHx8fHx8fHx8jIyMrKysvLy8zMzM3Nzc7Ozs/P&#10;z9DQ0NLS0tPT09TU1NbW1tjY2NnZ2dra2tvb29zc3N3d3d7e3t/f3+Dg4ODg4O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Dg4N/f397e3t7e3t3d3d3d3dzc3Nzc3Nzc3Nvb29vb29vb29vb29vb&#10;29vb29vb29zc3Nzc3Nzc3Nzc3Nzc3Nzc3Nzc3N3d3d3d3d3d3d3d3d3d3d3d3d3d3d3d3d3d3d3d&#10;3d3d3d3d3dzc3Nzc3Nzc3Nzc3Nzc3Nzc3N3d3d3d3d3d3d3d3d3d3d3d3d7e3t/f39/f39/f3+Dg&#10;4O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Dg4ODg4N7e3t3d3dvb29ra2tnZ2dfX19bW1tTU1NPT09PT&#10;09LS0tHR0c/Pz87OzszMzMzMzMvLy8rKysrKysnJycnJycjIyMfHx8bGxsbGxsbGxsbGxsbGxsbG&#10;xsbGxsfHx8fHx8jIyMnJycrKysvLy8zMzM3Nzc7OztDQ0NHR0dLS0tPT09TU1NbW1tjY2Nra2tvb&#10;29zc3N3d3d7e3t7e3t/f3+Dg4O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Dg4N/f397e3t7e&#10;3t3d3d3d3dzc3Nzc3Nvb29vb29vb29vb29vb29vb29vb29vb29vb29zc3Nzc3Nzc3Nzc3Nzc3Nzc&#10;3N3d3d3d3d3d3d3d3d3d3d3d3d3d3d7e3t7e3t7e3t7e3t3d3d3d3d3d3d3d3d3d3d3d3d3d3d3d&#10;3d3d3d3d3d3d3d3d3d7e3t/f39/f39/f39/f3+Dg4O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Dg&#10;4ODg4N/f393d3dzc3Nra2tnZ2dfX19bW1tXV1dTU1NPT09LS0tHR0c/Pz87Ozs3NzczMzMvLy8vL&#10;y8rKysrKysnJycjIyMjIyMjIyMjIyMfHx8fHx8fHx8jIyMjIyMjIyMnJycrKysrKysvLy8zMzM3N&#10;zc7Ozs/Pz9HR0dLS0tLS0tPT09XV1dfX19nZ2dra2tvb29zc3N3d3d7e3t/f3+Dg4O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Dg4ODg4N/f397e3t7e3t3d3d3d3dzc3Nzc3Nzc3Nzc3Nzc3Nzc&#10;3Nzc3Nzc3Nzc3Nzc3Nzc3Nzc3Nzc3N3d3d3d3d3d3d3d3d3d3d3d3d3d3d7e3t7e3t7e3t7e3t/f&#10;39/f397e3t7e3t7e3t7e3t7e3t7e3t7e3t7e3t7e3t7e3t7e3t7e3t/f39/f39/f3+Dg4ODg4ODg&#10;4O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Dg4N/f397e3tzc3Nvb29nZ2djY2NfX&#10;19bW1tXV1dTU1NPT09HR0c/Pz87Ozs3Nzc3NzczMzMzMzMvLy8vLy8rKysrKysnJycnJycnJycnJ&#10;ycnJycnJycnJycnJycrKysrKysvLy8zMzM3Nzc7Ozs/Pz9DQ0NHR0dHR0dLS0tPT09XV1dbW1tnZ&#10;2dra2tvb29zc3N3d3d7e3t/f3+Dg4O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Dg4ODg4N/f&#10;39/f397e3t7e3t3d3d3d3dzc3Nzc3Nzc3Nzc3Nzc3Nzc3Nzc3Nzc3Nzc3Nzc3Nzc3N3d3d3d3d3d&#10;3d3d3d3d3d3d3d3d3d7e3t7e3t7e3t7e3t/f39/f39/f39/f39/f39/f39/f39/f39/f39/f39/f&#10;39/f39/f39/f39/f3+Dg4ODg4ODg4ODg4O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Dg4ODg4N/f397e3tzc3Nvb29ra2tnZ2djY2NfX19bW1tXV1dPT09LS0tHR0dDQ&#10;0NDQ0M/Pz8/Pz8/Pz87Ozs3Nzc3Nzc3NzczMzMzMzMzMzM3Nzc3Nzc3Nzc3Nzc3Nzc7Ozs7Ozs/P&#10;z9DQ0NDQ0NHR0dLS0tPT09PT09TU1NbW1tfX19nZ2dra2tvb29zc3N7e3t/f3+Dg4O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Dg4ODg4ODg4ODg4N/f39/f397e3t7e3t7e3t7e3t3d&#10;3d3d3d3d3d3d3d3d3d3d3d7e3t7e3t7e3t7e3t7e3t7e3t/f39/f39/f39/f39/f39/f3+Dg4ODg&#10;4ODg4ODg4ODg4ODg4ODg4ODg4ODg4ODg4ODg4ODg4ODg4ODg4ODg4ODg4ODg4O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Dg4N/f397e&#10;3t3d3dzc3Nvb29ra2tra2tjY2NfX19XV1dTU1NTU1NPT09PT09PT09LS0tLS0tHR0dHR0dDQ0NDQ&#10;0NDQ0NDQ0NDQ0NDQ0NDQ0NDQ0NDQ0NDQ0NHR0dHR0dLS0tPT09PT09TU1NTU1NXV1dbW1tfX19nZ&#10;2dra2tvb29zc3N3d3d7e3uDg4O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Dg4ODg4N/f39/f39/f39/f397e3t7e3t7e3t7e3t/f39/f39/f39/f39/f&#10;39/f3+Dg4ODg4ODg4ODg4ODg4ODg4O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Dg4ODg4N/f39/f39/f397e3t7e3tzc3Nvb29ra2tnZ&#10;2djY2NjY2NfX19fX19fX19bW1tXV1dXV1dTU1NTU1NTU1NTU1NTU1NTU1NTU1NTU1NTU1NTU1NXV&#10;1dXV1dbW1tbW1tfX19fX19jY2NjY2NnZ2dra2tvb293d3d7e3t/f3+Dg4ODg4ODg4O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Dg4ODg4ODg&#10;4ODg4ODg4ODg4ODg4ODg4ODg4ODg4ODg4ODg4ODg4ODg4ODg4O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Dg4N/f397e3t3d3d3d3dzc3Nzc3Nzc3Nvb29vb29ra2tra2tnZ2dnZ&#10;2djY2NjY2NjY2NjY2NjY2NjY2NjY2NjY2NjY2NnZ2dnZ2dra2tra2tvb29vb29vb29vb29zc3N3d&#10;3d7e3t/f3+Dg4O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Dg4ODg4ODg&#10;4N/f39/f39/f39/f39/f39/f397e3t7e3t3d3d3d3d3d3d3d3d3d3d3d3d3d3d3d3d3d3d3d3d3d&#10;3d3d3d3d3d7e3t7e3t/f39/f39/f39/f39/f39/f3+Dg4ODg4O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Dg4ODg&#10;4ODg4N/f39/f39/f39/f39/f39/f39/f39/f39/f3+Dg4ODg4ODg4O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">
                <v:group id="Group 38" o:spid="_x0000_s1096" style="position:absolute;top:824;width:48232;height:37133" coordorigin=",824" coordsize="48232,37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">
                  <v:group id="Group 39" o:spid="_x0000_s1097" style="position:absolute;top:824;width:48232;height:28345" coordorigin=",931" coordsize="48546,320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">
                    <v:shape id="Picture 40" o:spid="_x0000_s1098" type="#_x0000_t75" style="position:absolute;left:9199;top:17939;width:39347;height:15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">
                      <v:imagedata r:id="rId82" o:title="" croptop="9790f" cropbottom="32046f" cropleft="657f" cropright="8550f"/>
                    </v:shape>
                    <v:shape id="Picture 41" o:spid="_x0000_s1099" type="#_x0000_t75" style="position:absolute;left:9203;top:18185;width:21740;height:91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">
                      <v:imagedata r:id="rId82" o:title="" croptop="41902f" cropbottom="10646f" cropleft="9306f" cropright="29827f"/>
                    </v:shape>
                    <v:shape id="Picture 42" o:spid="_x0000_s1100" type="#_x0000_t75" style="position:absolute;left:9199;top:27294;width:23524;height:5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">
                      <v:imagedata r:id="rId83" o:title="" croptop="40400f" cropbottom="17988f" cropleft="33379f" cropright="15351f"/>
                    </v:shape>
                    <v:shape id="Picture 43" o:spid="_x0000_s1101" type="#_x0000_t75" style="position:absolute;left:29935;top:26764;width:18611;height:5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">
                      <v:imagedata r:id="rId83" o:title="" croptop="41543f" cropbottom="18896f" cropleft="34148f" cropright="15351f"/>
                    </v:shape>
                    <v:shape id="TextBox 34" o:spid="_x0000_s1102" type="#_x0000_t202" style="position:absolute;top:21819;width:17652;height:93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" filled="f" stroked="f">
                      <v:textbox>
                        <w:txbxContent>
                          <w:p w14:paraId="132D570C" w14:textId="77777777" w:rsidR="008A47AC" w:rsidRDefault="008A47AC" w:rsidP="0054039C">
                            <w:pPr>
                              <w:rPr>
                                <w:sz w:val="24"/>
                                <w:szCs w:val="24"/>
                              </w:rPr>
                            </w:pPr>
                            <w:r>
                              <w:rPr>
                                <w:rFonts w:hAnsi="Calibri"/>
                                <w:color w:val="000000" w:themeColor="text1"/>
                                <w:kern w:val="24"/>
                                <w:sz w:val="32"/>
                                <w:szCs w:val="32"/>
                              </w:rPr>
                              <w:t>FN1-EDA</w:t>
                            </w:r>
                          </w:p>
                          <w:p w14:paraId="4D7130F0" w14:textId="77777777" w:rsidR="008A47AC" w:rsidRDefault="008A47AC" w:rsidP="0054039C">
                            <w:r>
                              <w:rPr>
                                <w:rFonts w:hAnsi="Calibri"/>
                                <w:color w:val="000000" w:themeColor="text1"/>
                                <w:kern w:val="24"/>
                                <w:sz w:val="32"/>
                                <w:szCs w:val="32"/>
                              </w:rPr>
                              <w:t xml:space="preserve">  GAPDH</w:t>
                            </w:r>
                          </w:p>
                        </w:txbxContent>
                      </v:textbox>
                    </v:shape>
                    <v:shape id="TextBox 20" o:spid="_x0000_s1103" type="#_x0000_t202" style="position:absolute;left:19333;top:-7427;width:17660;height:343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" filled="f" stroked="f">
                      <v:textbox>
                        <w:txbxContent>
                          <w:p w14:paraId="6B40A2A4" w14:textId="77777777" w:rsidR="008A47AC" w:rsidRDefault="008A47AC" w:rsidP="0054039C">
                            <w:pPr>
                              <w:rPr>
                                <w:sz w:val="24"/>
                                <w:szCs w:val="24"/>
                              </w:rPr>
                            </w:pPr>
                            <w:r>
                              <w:rPr>
                                <w:rFonts w:hAnsi="Calibri"/>
                                <w:color w:val="000000" w:themeColor="text1"/>
                                <w:kern w:val="24"/>
                                <w:sz w:val="32"/>
                                <w:szCs w:val="32"/>
                              </w:rPr>
                              <w:t>24 h CNTRL</w:t>
                            </w:r>
                          </w:p>
                          <w:p w14:paraId="29AC5D99" w14:textId="77777777" w:rsidR="008A47AC" w:rsidRDefault="008A47AC" w:rsidP="0054039C">
                            <w:pPr>
                              <w:rPr>
                                <w:rFonts w:hAnsi="Calibri"/>
                                <w:color w:val="000000" w:themeColor="text1"/>
                                <w:kern w:val="24"/>
                                <w:sz w:val="32"/>
                                <w:szCs w:val="32"/>
                              </w:rPr>
                            </w:pPr>
                          </w:p>
                          <w:p w14:paraId="548F7F56" w14:textId="77777777" w:rsidR="008A47AC" w:rsidRDefault="008A47AC" w:rsidP="0054039C">
                            <w:r>
                              <w:rPr>
                                <w:rFonts w:hAnsi="Calibri"/>
                                <w:color w:val="000000" w:themeColor="text1"/>
                                <w:kern w:val="24"/>
                                <w:sz w:val="32"/>
                                <w:szCs w:val="32"/>
                              </w:rPr>
                              <w:t>48 h CNTRL</w:t>
                            </w:r>
                          </w:p>
                          <w:p w14:paraId="2014EE65" w14:textId="77777777" w:rsidR="008A47AC" w:rsidRDefault="008A47AC" w:rsidP="0054039C">
                            <w:pPr>
                              <w:rPr>
                                <w:rFonts w:hAnsi="Calibri"/>
                                <w:color w:val="000000" w:themeColor="text1"/>
                                <w:kern w:val="24"/>
                                <w:sz w:val="32"/>
                                <w:szCs w:val="32"/>
                              </w:rPr>
                            </w:pPr>
                          </w:p>
                          <w:p w14:paraId="5E0A5E99" w14:textId="77777777" w:rsidR="008A47AC" w:rsidRDefault="008A47AC" w:rsidP="0054039C">
                            <w:r>
                              <w:rPr>
                                <w:rFonts w:hAnsi="Calibri"/>
                                <w:color w:val="000000" w:themeColor="text1"/>
                                <w:kern w:val="24"/>
                                <w:sz w:val="32"/>
                                <w:szCs w:val="32"/>
                              </w:rPr>
                              <w:t>72 h CNTRL</w:t>
                            </w:r>
                          </w:p>
                          <w:p w14:paraId="4EDBFF7A" w14:textId="77777777" w:rsidR="008A47AC" w:rsidRDefault="008A47AC" w:rsidP="0054039C">
                            <w:pPr>
                              <w:rPr>
                                <w:rFonts w:hAnsi="Calibri"/>
                                <w:color w:val="000000" w:themeColor="text1"/>
                                <w:kern w:val="24"/>
                                <w:sz w:val="32"/>
                                <w:szCs w:val="32"/>
                              </w:rPr>
                            </w:pPr>
                          </w:p>
                          <w:p w14:paraId="68E4DABD" w14:textId="77777777" w:rsidR="008A47AC" w:rsidRDefault="008A47AC" w:rsidP="0054039C">
                            <w:r>
                              <w:rPr>
                                <w:rFonts w:hAnsi="Calibri"/>
                                <w:color w:val="000000" w:themeColor="text1"/>
                                <w:kern w:val="24"/>
                                <w:sz w:val="32"/>
                                <w:szCs w:val="32"/>
                              </w:rPr>
                              <w:t>24 h TGF</w:t>
                            </w:r>
                            <w:r>
                              <w:rPr>
                                <w:rFonts w:hAnsi="Calibri"/>
                                <w:color w:val="000000" w:themeColor="text1"/>
                                <w:kern w:val="24"/>
                                <w:sz w:val="32"/>
                                <w:szCs w:val="32"/>
                                <w:lang w:val="el-GR"/>
                              </w:rPr>
                              <w:t>β</w:t>
                            </w:r>
                            <w:r>
                              <w:rPr>
                                <w:rFonts w:hAnsi="Calibri"/>
                                <w:color w:val="000000" w:themeColor="text1"/>
                                <w:kern w:val="24"/>
                                <w:sz w:val="32"/>
                                <w:szCs w:val="32"/>
                              </w:rPr>
                              <w:t>-1</w:t>
                            </w:r>
                          </w:p>
                          <w:p w14:paraId="2EA86252" w14:textId="77777777" w:rsidR="008A47AC" w:rsidRDefault="008A47AC" w:rsidP="0054039C">
                            <w:r>
                              <w:rPr>
                                <w:rFonts w:hAnsi="Calibri"/>
                                <w:color w:val="000000" w:themeColor="text1"/>
                                <w:kern w:val="24"/>
                                <w:sz w:val="32"/>
                                <w:szCs w:val="32"/>
                              </w:rPr>
                              <w:t>48 h TGF</w:t>
                            </w:r>
                            <w:r>
                              <w:rPr>
                                <w:rFonts w:hAnsi="Calibri"/>
                                <w:color w:val="000000" w:themeColor="text1"/>
                                <w:kern w:val="24"/>
                                <w:sz w:val="32"/>
                                <w:szCs w:val="32"/>
                                <w:lang w:val="el-GR"/>
                              </w:rPr>
                              <w:t>β</w:t>
                            </w:r>
                            <w:r>
                              <w:rPr>
                                <w:rFonts w:hAnsi="Calibri"/>
                                <w:color w:val="000000" w:themeColor="text1"/>
                                <w:kern w:val="24"/>
                                <w:sz w:val="32"/>
                                <w:szCs w:val="32"/>
                              </w:rPr>
                              <w:t>-1</w:t>
                            </w:r>
                          </w:p>
                          <w:p w14:paraId="0CD0BF94" w14:textId="77777777" w:rsidR="008A47AC" w:rsidRDefault="008A47AC" w:rsidP="0054039C">
                            <w:r>
                              <w:rPr>
                                <w:rFonts w:hAnsi="Calibri"/>
                                <w:color w:val="000000" w:themeColor="text1"/>
                                <w:kern w:val="24"/>
                                <w:sz w:val="32"/>
                                <w:szCs w:val="32"/>
                              </w:rPr>
                              <w:t>72 h TGF</w:t>
                            </w:r>
                            <w:r>
                              <w:rPr>
                                <w:rFonts w:hAnsi="Calibri"/>
                                <w:color w:val="000000" w:themeColor="text1"/>
                                <w:kern w:val="24"/>
                                <w:sz w:val="32"/>
                                <w:szCs w:val="32"/>
                                <w:lang w:val="el-GR"/>
                              </w:rPr>
                              <w:t>β</w:t>
                            </w:r>
                            <w:r>
                              <w:rPr>
                                <w:rFonts w:hAnsi="Calibri"/>
                                <w:color w:val="000000" w:themeColor="text1"/>
                                <w:kern w:val="24"/>
                                <w:sz w:val="32"/>
                                <w:szCs w:val="32"/>
                              </w:rPr>
                              <w:t>-1</w:t>
                            </w:r>
                          </w:p>
                        </w:txbxContent>
                      </v:textbox>
                    </v:shape>
                    <v:shape id="Picture 46" o:spid="_x0000_s1104" type="#_x0000_t75" style="position:absolute;left:31792;top:18986;width:15705;height:9109;rotation:272594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">
                      <v:imagedata r:id="rId82" o:title="" croptop="41902f" cropbottom="10646f" cropleft="39195f" cropright="9925f"/>
                    </v:shape>
                  </v:group>
                  <v:shape id="TextBox 56" o:spid="_x0000_s1105" type="#_x0000_t202" style="position:absolute;left:2983;top:5367;width:4769;height:49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" filled="f" stroked="f">
                    <v:textbox>
                      <w:txbxContent>
                        <w:p w14:paraId="54FF0E71" w14:textId="77777777" w:rsidR="008A47AC" w:rsidRDefault="008A47AC" w:rsidP="0054039C">
                          <w:pPr>
                            <w:jc w:val="center"/>
                            <w:rPr>
                              <w:sz w:val="24"/>
                              <w:szCs w:val="24"/>
                            </w:rPr>
                          </w:pPr>
                          <w:r>
                            <w:rPr>
                              <w:rFonts w:hAnsi="Calibri"/>
                              <w:b/>
                              <w:bCs/>
                              <w:color w:val="000000" w:themeColor="text1"/>
                              <w:kern w:val="24"/>
                              <w:sz w:val="36"/>
                              <w:szCs w:val="36"/>
                            </w:rPr>
                            <w:t>A</w:t>
                          </w:r>
                        </w:p>
                      </w:txbxContent>
                    </v:textbox>
                  </v:shape>
                  <v:shape id="TextBox 57" o:spid="_x0000_s1106" type="#_x0000_t202" style="position:absolute;left:2983;top:33017;width:4769;height:49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" filled="f" stroked="f">
                    <v:textbox>
                      <w:txbxContent>
                        <w:p w14:paraId="5C00C5BB" w14:textId="77777777" w:rsidR="008A47AC" w:rsidRDefault="008A47AC" w:rsidP="0054039C">
                          <w:pPr>
                            <w:jc w:val="center"/>
                            <w:rPr>
                              <w:sz w:val="24"/>
                              <w:szCs w:val="24"/>
                            </w:rPr>
                          </w:pPr>
                          <w:r>
                            <w:rPr>
                              <w:rFonts w:hAnsi="Calibri"/>
                              <w:b/>
                              <w:bCs/>
                              <w:color w:val="000000" w:themeColor="text1"/>
                              <w:kern w:val="24"/>
                              <w:sz w:val="36"/>
                              <w:szCs w:val="36"/>
                            </w:rPr>
                            <w:t>B</w:t>
                          </w:r>
                        </w:p>
                      </w:txbxContent>
                    </v:textbox>
                  </v:shape>
                </v:group>
                <v:shape id="Picture 49" o:spid="_x0000_s1107" type="#_x0000_t75" style="position:absolute;left:8770;top:31760;width:41868;height:301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">
                  <v:imagedata r:id="rId84" o:title=""/>
                </v:shape>
                <w10:wrap anchorx="margin"/>
              </v:group>
            </w:pict>
          </mc:Fallback>
        </mc:AlternateContent>
      </w:r>
    </w:p>
    <w:p w14:paraId="57D7DB76"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0F0B153D" w14:textId="54ADC638"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373A70B2" w14:textId="50A3262B"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58022498" w14:textId="18774EC3"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6542C371" w14:textId="299A3DCB" w:rsidR="0054039C" w:rsidRPr="0054039C" w:rsidRDefault="009177A0"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r>
        <w:rPr>
          <w:rFonts w:ascii="Arial" w:eastAsia="Times New Roman" w:hAnsi="Arial" w:cs="Arial"/>
          <w:noProof/>
          <w:color w:val="595959" w:themeColor="text1" w:themeTint="A6"/>
        </w:rPr>
        <w:drawing>
          <wp:anchor distT="0" distB="0" distL="114300" distR="114300" simplePos="0" relativeHeight="251670795" behindDoc="0" locked="0" layoutInCell="1" allowOverlap="1" wp14:anchorId="1A3F7413" wp14:editId="2FEDF1E6">
            <wp:simplePos x="0" y="0"/>
            <wp:positionH relativeFrom="column">
              <wp:posOffset>5245010</wp:posOffset>
            </wp:positionH>
            <wp:positionV relativeFrom="paragraph">
              <wp:posOffset>88265</wp:posOffset>
            </wp:positionV>
            <wp:extent cx="1706880" cy="810895"/>
            <wp:effectExtent l="0" t="0" r="0" b="0"/>
            <wp:wrapNone/>
            <wp:docPr id="5584" name="Picture 5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706880" cy="810895"/>
                    </a:xfrm>
                    <a:prstGeom prst="rect">
                      <a:avLst/>
                    </a:prstGeom>
                    <a:noFill/>
                  </pic:spPr>
                </pic:pic>
              </a:graphicData>
            </a:graphic>
          </wp:anchor>
        </w:drawing>
      </w:r>
    </w:p>
    <w:p w14:paraId="4D50B94A"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2CE133A9"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5687A3D3"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2CA4AFCB"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44F8C5EE"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16CE045E"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788A59DE"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6EA6A40A"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09F0005B"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574A6C1D"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5D227232"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0D83C3F4"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13012EAD"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2F685DD1" w14:textId="7F7D7CAF"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51E3F2E4" w14:textId="0C254CF9" w:rsidR="0054039C" w:rsidRPr="0054039C" w:rsidRDefault="00A47968"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r w:rsidRPr="0054039C">
        <w:rPr>
          <w:rFonts w:ascii="Arial" w:hAnsi="Arial" w:cs="Arial"/>
          <w:noProof/>
          <w:color w:val="595959" w:themeColor="text1" w:themeTint="A6"/>
          <w:sz w:val="24"/>
          <w:szCs w:val="24"/>
          <w:lang w:eastAsia="zh-CN"/>
        </w:rPr>
        <mc:AlternateContent>
          <mc:Choice Requires="wps">
            <w:drawing>
              <wp:anchor distT="0" distB="0" distL="114300" distR="114300" simplePos="0" relativeHeight="251658308" behindDoc="0" locked="0" layoutInCell="1" allowOverlap="1" wp14:anchorId="2D2316D0" wp14:editId="3DBBD922">
                <wp:simplePos x="0" y="0"/>
                <wp:positionH relativeFrom="margin">
                  <wp:align>right</wp:align>
                </wp:positionH>
                <wp:positionV relativeFrom="paragraph">
                  <wp:posOffset>171184</wp:posOffset>
                </wp:positionV>
                <wp:extent cx="5734050" cy="1200150"/>
                <wp:effectExtent l="0" t="0" r="0" b="0"/>
                <wp:wrapNone/>
                <wp:docPr id="20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1200150"/>
                        </a:xfrm>
                        <a:prstGeom prst="rect">
                          <a:avLst/>
                        </a:prstGeom>
                        <a:solidFill>
                          <a:srgbClr val="FFFFFF"/>
                        </a:solidFill>
                        <a:ln w="9525">
                          <a:noFill/>
                          <a:miter lim="800000"/>
                          <a:headEnd/>
                          <a:tailEnd/>
                        </a:ln>
                      </wps:spPr>
                      <wps:txbx>
                        <w:txbxContent>
                          <w:p w14:paraId="5708E0FC" w14:textId="6071B3DE" w:rsidR="008A47AC" w:rsidRDefault="008A47AC" w:rsidP="0054039C">
                            <w:pPr>
                              <w:pStyle w:val="NormalWeb"/>
                              <w:spacing w:after="200"/>
                              <w:jc w:val="both"/>
                              <w:rPr>
                                <w:rFonts w:ascii="Arial Narrow" w:eastAsia="SimSun" w:hAnsi="Arial Narrow" w:cs="Arial"/>
                                <w:b/>
                                <w:bCs/>
                                <w:color w:val="595959"/>
                                <w:kern w:val="24"/>
                                <w:sz w:val="22"/>
                                <w:szCs w:val="22"/>
                              </w:rPr>
                            </w:pPr>
                            <w:r>
                              <w:rPr>
                                <w:rFonts w:ascii="Arial Narrow" w:eastAsia="SimSun" w:hAnsi="Arial Narrow" w:cs="Arial"/>
                                <w:b/>
                                <w:bCs/>
                                <w:color w:val="595959"/>
                                <w:kern w:val="24"/>
                                <w:sz w:val="22"/>
                                <w:szCs w:val="22"/>
                              </w:rPr>
                              <w:t xml:space="preserve">Figure 3.32 Immunoblotting for FN1-EDA abundance in CAF with and without TGFβ-1 stimulation </w:t>
                            </w:r>
                          </w:p>
                          <w:p w14:paraId="0AABFA9E" w14:textId="77777777" w:rsidR="008A47AC" w:rsidRPr="00944EBD" w:rsidRDefault="008A47AC" w:rsidP="0054039C">
                            <w:pPr>
                              <w:pStyle w:val="NormalWeb"/>
                              <w:spacing w:after="200" w:line="276" w:lineRule="auto"/>
                              <w:jc w:val="both"/>
                              <w:rPr>
                                <w:rFonts w:ascii="Arial Narrow" w:eastAsia="SimSun" w:hAnsi="Arial Narrow" w:cs="Arial"/>
                                <w:color w:val="595959"/>
                                <w:kern w:val="24"/>
                                <w:sz w:val="22"/>
                              </w:rPr>
                            </w:pPr>
                            <w:r>
                              <w:rPr>
                                <w:rFonts w:ascii="Arial Narrow" w:eastAsia="SimSun" w:hAnsi="Arial Narrow" w:cs="Arial"/>
                                <w:color w:val="595959"/>
                                <w:kern w:val="24"/>
                                <w:sz w:val="22"/>
                              </w:rPr>
                              <w:t xml:space="preserve">CAF 2D monolayers were treated with </w:t>
                            </w:r>
                            <w:r w:rsidRPr="00944EBD">
                              <w:rPr>
                                <w:rFonts w:ascii="Arial Narrow" w:eastAsia="SimSun" w:hAnsi="Arial Narrow" w:cs="Arial"/>
                                <w:color w:val="595959"/>
                                <w:kern w:val="24"/>
                                <w:sz w:val="22"/>
                              </w:rPr>
                              <w:t xml:space="preserve">TGFβ-1 </w:t>
                            </w:r>
                            <w:r>
                              <w:rPr>
                                <w:rFonts w:ascii="Arial Narrow" w:eastAsia="SimSun" w:hAnsi="Arial Narrow" w:cs="Arial"/>
                                <w:color w:val="595959"/>
                                <w:kern w:val="24"/>
                                <w:sz w:val="22"/>
                              </w:rPr>
                              <w:t xml:space="preserve">for up to 72 h with FN1-EDA protein levels determined using immunoblotting (A). Densitometry of the resultant bands were measured using ImageJ and the intensity measured relative to GAPDH controls (B).  Data is expressed as relative fold change, with mean ± SD, N=3, n=2, ** denotes p &lt;0.01 and ** p &lt;0.001 analysed by Kruskal-Wallis test with Dunn’s multiple comparison test. </w:t>
                            </w:r>
                            <w:r w:rsidRPr="00944EBD">
                              <w:rPr>
                                <w:rFonts w:ascii="Arial Narrow" w:eastAsia="SimSun" w:hAnsi="Arial Narrow" w:cs="Arial"/>
                                <w:color w:val="595959"/>
                                <w:kern w:val="24"/>
                                <w:sz w:val="22"/>
                              </w:rPr>
                              <w:t xml:space="preserve"> </w:t>
                            </w:r>
                          </w:p>
                          <w:p w14:paraId="02BA356D" w14:textId="77777777" w:rsidR="008A47AC" w:rsidRPr="00C61619" w:rsidRDefault="008A47AC" w:rsidP="0054039C">
                            <w:pPr>
                              <w:pStyle w:val="NormalWeb"/>
                              <w:spacing w:after="200"/>
                              <w:jc w:val="both"/>
                              <w:rPr>
                                <w:rFonts w:ascii="Arial Narrow" w:eastAsia="SimSun" w:hAnsi="Arial Narrow" w:cs="Arial"/>
                                <w:color w:val="595959"/>
                                <w:kern w:val="24"/>
                                <w:sz w:val="22"/>
                                <w:szCs w:val="22"/>
                              </w:rPr>
                            </w:pPr>
                          </w:p>
                          <w:p w14:paraId="3CA048A6" w14:textId="77777777" w:rsidR="008A47AC" w:rsidRPr="00C61619" w:rsidRDefault="008A47AC" w:rsidP="0054039C">
                            <w:pPr>
                              <w:pStyle w:val="NormalWeb"/>
                              <w:spacing w:after="200" w:line="276" w:lineRule="auto"/>
                              <w:jc w:val="both"/>
                              <w:rPr>
                                <w:rFonts w:ascii="Arial Narrow" w:eastAsia="SimSun" w:hAnsi="Arial Narrow" w:cs="Arial"/>
                                <w:color w:val="595959"/>
                                <w:kern w:val="24"/>
                                <w:sz w:val="22"/>
                                <w:szCs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2316D0" id="_x0000_s1108" type="#_x0000_t202" style="position:absolute;left:0;text-align:left;margin-left:400.3pt;margin-top:13.5pt;width:451.5pt;height:94.5pt;z-index:2516583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" stroked="f">
                <v:textbox>
                  <w:txbxContent>
                    <w:p w14:paraId="5708E0FC" w14:textId="6071B3DE" w:rsidR="008A47AC" w:rsidRDefault="008A47AC" w:rsidP="0054039C">
                      <w:pPr>
                        <w:pStyle w:val="NormalWeb"/>
                        <w:spacing w:after="200"/>
                        <w:jc w:val="both"/>
                        <w:rPr>
                          <w:rFonts w:ascii="Arial Narrow" w:eastAsia="SimSun" w:hAnsi="Arial Narrow" w:cs="Arial"/>
                          <w:b/>
                          <w:bCs/>
                          <w:color w:val="595959"/>
                          <w:kern w:val="24"/>
                          <w:sz w:val="22"/>
                          <w:szCs w:val="22"/>
                        </w:rPr>
                      </w:pPr>
                      <w:r>
                        <w:rPr>
                          <w:rFonts w:ascii="Arial Narrow" w:eastAsia="SimSun" w:hAnsi="Arial Narrow" w:cs="Arial"/>
                          <w:b/>
                          <w:bCs/>
                          <w:color w:val="595959"/>
                          <w:kern w:val="24"/>
                          <w:sz w:val="22"/>
                          <w:szCs w:val="22"/>
                        </w:rPr>
                        <w:t xml:space="preserve">Figure 3.32 Immunoblotting for FN1-EDA abundance in CAF with and without TGFβ-1 stimulation </w:t>
                      </w:r>
                    </w:p>
                    <w:p w14:paraId="0AABFA9E" w14:textId="77777777" w:rsidR="008A47AC" w:rsidRPr="00944EBD" w:rsidRDefault="008A47AC" w:rsidP="0054039C">
                      <w:pPr>
                        <w:pStyle w:val="NormalWeb"/>
                        <w:spacing w:after="200" w:line="276" w:lineRule="auto"/>
                        <w:jc w:val="both"/>
                        <w:rPr>
                          <w:rFonts w:ascii="Arial Narrow" w:eastAsia="SimSun" w:hAnsi="Arial Narrow" w:cs="Arial"/>
                          <w:color w:val="595959"/>
                          <w:kern w:val="24"/>
                          <w:sz w:val="22"/>
                        </w:rPr>
                      </w:pPr>
                      <w:r>
                        <w:rPr>
                          <w:rFonts w:ascii="Arial Narrow" w:eastAsia="SimSun" w:hAnsi="Arial Narrow" w:cs="Arial"/>
                          <w:color w:val="595959"/>
                          <w:kern w:val="24"/>
                          <w:sz w:val="22"/>
                        </w:rPr>
                        <w:t xml:space="preserve">CAF 2D monolayers were treated with </w:t>
                      </w:r>
                      <w:r w:rsidRPr="00944EBD">
                        <w:rPr>
                          <w:rFonts w:ascii="Arial Narrow" w:eastAsia="SimSun" w:hAnsi="Arial Narrow" w:cs="Arial"/>
                          <w:color w:val="595959"/>
                          <w:kern w:val="24"/>
                          <w:sz w:val="22"/>
                        </w:rPr>
                        <w:t xml:space="preserve">TGFβ-1 </w:t>
                      </w:r>
                      <w:r>
                        <w:rPr>
                          <w:rFonts w:ascii="Arial Narrow" w:eastAsia="SimSun" w:hAnsi="Arial Narrow" w:cs="Arial"/>
                          <w:color w:val="595959"/>
                          <w:kern w:val="24"/>
                          <w:sz w:val="22"/>
                        </w:rPr>
                        <w:t xml:space="preserve">for up to 72 h with FN1-EDA protein levels determined using immunoblotting (A). Densitometry of the resultant bands were measured using ImageJ and the intensity measured relative to GAPDH controls (B).  Data is expressed as relative fold change, with mean ± SD, N=3, n=2, ** denotes p &lt;0.01 and ** p &lt;0.001 analysed by Kruskal-Wallis test with Dunn’s multiple comparison test. </w:t>
                      </w:r>
                      <w:r w:rsidRPr="00944EBD">
                        <w:rPr>
                          <w:rFonts w:ascii="Arial Narrow" w:eastAsia="SimSun" w:hAnsi="Arial Narrow" w:cs="Arial"/>
                          <w:color w:val="595959"/>
                          <w:kern w:val="24"/>
                          <w:sz w:val="22"/>
                        </w:rPr>
                        <w:t xml:space="preserve"> </w:t>
                      </w:r>
                    </w:p>
                    <w:p w14:paraId="02BA356D" w14:textId="77777777" w:rsidR="008A47AC" w:rsidRPr="00C61619" w:rsidRDefault="008A47AC" w:rsidP="0054039C">
                      <w:pPr>
                        <w:pStyle w:val="NormalWeb"/>
                        <w:spacing w:after="200"/>
                        <w:jc w:val="both"/>
                        <w:rPr>
                          <w:rFonts w:ascii="Arial Narrow" w:eastAsia="SimSun" w:hAnsi="Arial Narrow" w:cs="Arial"/>
                          <w:color w:val="595959"/>
                          <w:kern w:val="24"/>
                          <w:sz w:val="22"/>
                          <w:szCs w:val="22"/>
                        </w:rPr>
                      </w:pPr>
                    </w:p>
                    <w:p w14:paraId="3CA048A6" w14:textId="77777777" w:rsidR="008A47AC" w:rsidRPr="00C61619" w:rsidRDefault="008A47AC" w:rsidP="0054039C">
                      <w:pPr>
                        <w:pStyle w:val="NormalWeb"/>
                        <w:spacing w:after="200" w:line="276" w:lineRule="auto"/>
                        <w:jc w:val="both"/>
                        <w:rPr>
                          <w:rFonts w:ascii="Arial Narrow" w:eastAsia="SimSun" w:hAnsi="Arial Narrow" w:cs="Arial"/>
                          <w:color w:val="595959"/>
                          <w:kern w:val="24"/>
                          <w:sz w:val="22"/>
                          <w:szCs w:val="22"/>
                        </w:rPr>
                      </w:pPr>
                    </w:p>
                  </w:txbxContent>
                </v:textbox>
                <w10:wrap anchorx="margin"/>
              </v:shape>
            </w:pict>
          </mc:Fallback>
        </mc:AlternateContent>
      </w:r>
    </w:p>
    <w:p w14:paraId="30E9F81C"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1AE01780"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21F24E5C"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67B4F67D"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2460F5CC" w14:textId="77777777" w:rsidR="0054039C" w:rsidRPr="0054039C" w:rsidRDefault="0054039C" w:rsidP="0054039C">
      <w:pPr>
        <w:spacing w:line="480" w:lineRule="auto"/>
        <w:jc w:val="both"/>
        <w:rPr>
          <w:rFonts w:ascii="Arial" w:eastAsia="Times New Roman" w:hAnsi="Arial" w:cs="Arial"/>
          <w:color w:val="595959" w:themeColor="text1" w:themeTint="A6"/>
        </w:rPr>
      </w:pPr>
    </w:p>
    <w:p w14:paraId="36C26B87" w14:textId="77777777" w:rsidR="0054039C" w:rsidRPr="0054039C" w:rsidRDefault="0054039C" w:rsidP="0054039C">
      <w:pPr>
        <w:keepNext/>
        <w:keepLines/>
        <w:spacing w:before="40" w:after="0"/>
        <w:outlineLvl w:val="4"/>
        <w:rPr>
          <w:rFonts w:ascii="Arial" w:eastAsia="Times New Roman" w:hAnsi="Arial" w:cs="Arial"/>
          <w:color w:val="595959" w:themeColor="text1" w:themeTint="A6"/>
        </w:rPr>
      </w:pPr>
      <w:bookmarkStart w:id="316" w:name="_Toc7107279"/>
      <w:bookmarkStart w:id="317" w:name="_Toc34208385"/>
      <w:r w:rsidRPr="0054039C">
        <w:rPr>
          <w:rFonts w:ascii="Arial" w:eastAsia="Times New Roman" w:hAnsi="Arial" w:cs="Arial"/>
          <w:color w:val="595959" w:themeColor="text1" w:themeTint="A6"/>
        </w:rPr>
        <w:lastRenderedPageBreak/>
        <w:t>3.3.4.1.4 VCAN abundance in CAF short-term</w:t>
      </w:r>
      <w:bookmarkEnd w:id="316"/>
      <w:bookmarkEnd w:id="317"/>
      <w:r w:rsidRPr="0054039C">
        <w:rPr>
          <w:rFonts w:ascii="Arial" w:eastAsia="Times New Roman" w:hAnsi="Arial" w:cs="Arial"/>
          <w:color w:val="595959" w:themeColor="text1" w:themeTint="A6"/>
        </w:rPr>
        <w:t xml:space="preserve"> </w:t>
      </w:r>
    </w:p>
    <w:p w14:paraId="5BA3DA68" w14:textId="77777777" w:rsidR="0054039C" w:rsidRPr="0054039C" w:rsidRDefault="0054039C" w:rsidP="0054039C"/>
    <w:p w14:paraId="37FEA2BF" w14:textId="3D996133" w:rsidR="0054039C" w:rsidRPr="0054039C" w:rsidRDefault="00365E9A" w:rsidP="00425073">
      <w:pPr>
        <w:autoSpaceDE w:val="0"/>
        <w:autoSpaceDN w:val="0"/>
        <w:adjustRightInd w:val="0"/>
        <w:spacing w:after="0" w:line="480" w:lineRule="auto"/>
        <w:jc w:val="both"/>
        <w:rPr>
          <w:rFonts w:ascii="Arial" w:eastAsia="Times New Roman" w:hAnsi="Arial" w:cs="Arial"/>
          <w:bCs/>
          <w:color w:val="595959" w:themeColor="text1" w:themeTint="A6"/>
          <w:szCs w:val="24"/>
        </w:rPr>
      </w:pPr>
      <w:r>
        <w:rPr>
          <w:rFonts w:ascii="Arial" w:eastAsia="Times New Roman" w:hAnsi="Arial" w:cs="Arial"/>
          <w:bCs/>
          <w:noProof/>
          <w:color w:val="595959" w:themeColor="text1" w:themeTint="A6"/>
          <w:szCs w:val="24"/>
        </w:rPr>
        <w:drawing>
          <wp:anchor distT="0" distB="0" distL="114300" distR="114300" simplePos="0" relativeHeight="251671819" behindDoc="0" locked="0" layoutInCell="1" allowOverlap="1" wp14:anchorId="30B231A2" wp14:editId="34745FEC">
            <wp:simplePos x="0" y="0"/>
            <wp:positionH relativeFrom="column">
              <wp:posOffset>841263</wp:posOffset>
            </wp:positionH>
            <wp:positionV relativeFrom="paragraph">
              <wp:posOffset>1508461</wp:posOffset>
            </wp:positionV>
            <wp:extent cx="4725035" cy="4925695"/>
            <wp:effectExtent l="0" t="0" r="0" b="0"/>
            <wp:wrapNone/>
            <wp:docPr id="5585" name="Picture 5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725035" cy="4925695"/>
                    </a:xfrm>
                    <a:prstGeom prst="rect">
                      <a:avLst/>
                    </a:prstGeom>
                    <a:noFill/>
                  </pic:spPr>
                </pic:pic>
              </a:graphicData>
            </a:graphic>
          </wp:anchor>
        </w:drawing>
      </w:r>
      <w:r w:rsidR="0054039C" w:rsidRPr="0054039C">
        <w:rPr>
          <w:rFonts w:ascii="Arial" w:eastAsia="Times New Roman" w:hAnsi="Arial" w:cs="Arial"/>
          <w:bCs/>
          <w:color w:val="595959" w:themeColor="text1" w:themeTint="A6"/>
          <w:szCs w:val="24"/>
        </w:rPr>
        <w:t>Immunoblotting of VCAN protein in CAF populations, showed multiple bands in all control and all TGFβ-1 samples</w:t>
      </w:r>
      <w:r w:rsidR="00425073">
        <w:rPr>
          <w:rFonts w:ascii="Arial" w:eastAsia="Times New Roman" w:hAnsi="Arial" w:cs="Arial"/>
          <w:bCs/>
          <w:color w:val="595959" w:themeColor="text1" w:themeTint="A6"/>
          <w:szCs w:val="24"/>
        </w:rPr>
        <w:t>, and could be due to post translational modifications (PTM) of VCAN in CAF samples</w:t>
      </w:r>
      <w:r w:rsidR="0054039C" w:rsidRPr="0054039C">
        <w:rPr>
          <w:rFonts w:ascii="Arial" w:eastAsia="Times New Roman" w:hAnsi="Arial" w:cs="Arial"/>
          <w:bCs/>
          <w:color w:val="595959" w:themeColor="text1" w:themeTint="A6"/>
          <w:szCs w:val="24"/>
        </w:rPr>
        <w:t xml:space="preserve"> (Figure 3.3</w:t>
      </w:r>
      <w:r w:rsidR="00B522E4">
        <w:rPr>
          <w:rFonts w:ascii="Arial" w:eastAsia="Times New Roman" w:hAnsi="Arial" w:cs="Arial"/>
          <w:bCs/>
          <w:color w:val="595959" w:themeColor="text1" w:themeTint="A6"/>
          <w:szCs w:val="24"/>
        </w:rPr>
        <w:t>3</w:t>
      </w:r>
      <w:r w:rsidR="0054039C" w:rsidRPr="0054039C">
        <w:rPr>
          <w:rFonts w:ascii="Arial" w:eastAsia="Times New Roman" w:hAnsi="Arial" w:cs="Arial"/>
          <w:bCs/>
          <w:color w:val="595959" w:themeColor="text1" w:themeTint="A6"/>
          <w:szCs w:val="24"/>
        </w:rPr>
        <w:t xml:space="preserve"> A). Analysis of VCAN abundance </w:t>
      </w:r>
      <w:r w:rsidR="00425073">
        <w:rPr>
          <w:rFonts w:ascii="Arial" w:eastAsia="Times New Roman" w:hAnsi="Arial" w:cs="Arial"/>
          <w:bCs/>
          <w:color w:val="595959" w:themeColor="text1" w:themeTint="A6"/>
          <w:szCs w:val="24"/>
        </w:rPr>
        <w:t>indicated</w:t>
      </w:r>
      <w:r w:rsidR="0054039C" w:rsidRPr="0054039C">
        <w:rPr>
          <w:rFonts w:ascii="Arial" w:eastAsia="Times New Roman" w:hAnsi="Arial" w:cs="Arial"/>
          <w:bCs/>
          <w:color w:val="595959" w:themeColor="text1" w:themeTint="A6"/>
          <w:szCs w:val="24"/>
        </w:rPr>
        <w:t xml:space="preserve"> that VCAN increased in all TGFβ-1 treated samples (Figure 3.3</w:t>
      </w:r>
      <w:r w:rsidR="00B522E4">
        <w:rPr>
          <w:rFonts w:ascii="Arial" w:eastAsia="Times New Roman" w:hAnsi="Arial" w:cs="Arial"/>
          <w:bCs/>
          <w:color w:val="595959" w:themeColor="text1" w:themeTint="A6"/>
          <w:szCs w:val="24"/>
        </w:rPr>
        <w:t>3</w:t>
      </w:r>
      <w:r w:rsidR="0054039C" w:rsidRPr="0054039C">
        <w:rPr>
          <w:rFonts w:ascii="Arial" w:eastAsia="Times New Roman" w:hAnsi="Arial" w:cs="Arial"/>
          <w:bCs/>
          <w:color w:val="595959" w:themeColor="text1" w:themeTint="A6"/>
          <w:szCs w:val="24"/>
        </w:rPr>
        <w:t xml:space="preserve"> B). A significant increase in VCAN abundance was observed at 48 h and 72 h upon treatment with TGFβ-1 treated samples with a mean band intensity of 4.14 ± 0.80, p=0.0261 compared to 24 h control samples.    </w:t>
      </w:r>
    </w:p>
    <w:p w14:paraId="3EB6407E" w14:textId="4BEF7CF3"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70D50A12" w14:textId="22AE3D4A"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37F04EBF" w14:textId="5DCC10CF"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1909D91E" w14:textId="39E35572"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29DB24AC" w14:textId="027F8B1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571AACFB" w14:textId="559B979B"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356AF280" w14:textId="519ABD92"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62E5DFC1"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27C5E55A"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6DFC794C"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09C63D04"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151F8538" w14:textId="5666E16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754662BF"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28473C70"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4FE662B0"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5464D726"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3B9EA525" w14:textId="3557FA6E"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50325C33"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3707EF9D" w14:textId="55D238D4"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468020C4" w14:textId="6151C610" w:rsidR="0054039C" w:rsidRPr="0054039C" w:rsidRDefault="00365E9A"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r w:rsidRPr="0054039C">
        <w:rPr>
          <w:rFonts w:ascii="Arial" w:hAnsi="Arial" w:cs="Arial"/>
          <w:noProof/>
          <w:color w:val="595959" w:themeColor="text1" w:themeTint="A6"/>
          <w:sz w:val="24"/>
          <w:szCs w:val="24"/>
          <w:lang w:eastAsia="zh-CN"/>
        </w:rPr>
        <mc:AlternateContent>
          <mc:Choice Requires="wps">
            <w:drawing>
              <wp:anchor distT="0" distB="0" distL="114300" distR="114300" simplePos="0" relativeHeight="251658309" behindDoc="0" locked="0" layoutInCell="1" allowOverlap="1" wp14:anchorId="09BFA9D5" wp14:editId="192830E0">
                <wp:simplePos x="0" y="0"/>
                <wp:positionH relativeFrom="margin">
                  <wp:align>right</wp:align>
                </wp:positionH>
                <wp:positionV relativeFrom="paragraph">
                  <wp:posOffset>81616</wp:posOffset>
                </wp:positionV>
                <wp:extent cx="5724525" cy="1247775"/>
                <wp:effectExtent l="0" t="0" r="9525" b="9525"/>
                <wp:wrapNone/>
                <wp:docPr id="2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1247775"/>
                        </a:xfrm>
                        <a:prstGeom prst="rect">
                          <a:avLst/>
                        </a:prstGeom>
                        <a:solidFill>
                          <a:srgbClr val="FFFFFF"/>
                        </a:solidFill>
                        <a:ln w="9525">
                          <a:noFill/>
                          <a:miter lim="800000"/>
                          <a:headEnd/>
                          <a:tailEnd/>
                        </a:ln>
                      </wps:spPr>
                      <wps:txbx>
                        <w:txbxContent>
                          <w:p w14:paraId="3A51F7DF" w14:textId="0B425844" w:rsidR="008A47AC" w:rsidRDefault="008A47AC" w:rsidP="0054039C">
                            <w:pPr>
                              <w:pStyle w:val="NormalWeb"/>
                              <w:spacing w:after="200"/>
                              <w:jc w:val="both"/>
                              <w:rPr>
                                <w:rFonts w:ascii="Arial Narrow" w:eastAsia="SimSun" w:hAnsi="Arial Narrow" w:cs="Arial"/>
                                <w:b/>
                                <w:bCs/>
                                <w:color w:val="595959"/>
                                <w:kern w:val="24"/>
                                <w:sz w:val="22"/>
                                <w:szCs w:val="22"/>
                              </w:rPr>
                            </w:pPr>
                            <w:r>
                              <w:rPr>
                                <w:rFonts w:ascii="Arial Narrow" w:eastAsia="SimSun" w:hAnsi="Arial Narrow" w:cs="Arial"/>
                                <w:b/>
                                <w:bCs/>
                                <w:color w:val="595959"/>
                                <w:kern w:val="24"/>
                                <w:sz w:val="22"/>
                                <w:szCs w:val="22"/>
                              </w:rPr>
                              <w:t xml:space="preserve">Figure 3.33 Immunoblotting for VCAN abundance in CAF with and without TGFβ-1 stimulation </w:t>
                            </w:r>
                          </w:p>
                          <w:p w14:paraId="759F0A7D" w14:textId="77777777" w:rsidR="008A47AC" w:rsidRPr="00944EBD" w:rsidRDefault="008A47AC" w:rsidP="0054039C">
                            <w:pPr>
                              <w:pStyle w:val="NormalWeb"/>
                              <w:spacing w:after="200" w:line="276" w:lineRule="auto"/>
                              <w:jc w:val="both"/>
                              <w:rPr>
                                <w:rFonts w:ascii="Arial Narrow" w:eastAsia="SimSun" w:hAnsi="Arial Narrow" w:cs="Arial"/>
                                <w:color w:val="595959"/>
                                <w:kern w:val="24"/>
                                <w:sz w:val="22"/>
                              </w:rPr>
                            </w:pPr>
                            <w:r>
                              <w:rPr>
                                <w:rFonts w:ascii="Arial Narrow" w:eastAsia="SimSun" w:hAnsi="Arial Narrow" w:cs="Arial"/>
                                <w:color w:val="595959"/>
                                <w:kern w:val="24"/>
                                <w:sz w:val="22"/>
                              </w:rPr>
                              <w:t xml:space="preserve">CAF 2D monolayers were treated with </w:t>
                            </w:r>
                            <w:r w:rsidRPr="00944EBD">
                              <w:rPr>
                                <w:rFonts w:ascii="Arial Narrow" w:eastAsia="SimSun" w:hAnsi="Arial Narrow" w:cs="Arial"/>
                                <w:color w:val="595959"/>
                                <w:kern w:val="24"/>
                                <w:sz w:val="22"/>
                              </w:rPr>
                              <w:t xml:space="preserve">TGFβ-1 </w:t>
                            </w:r>
                            <w:r>
                              <w:rPr>
                                <w:rFonts w:ascii="Arial Narrow" w:eastAsia="SimSun" w:hAnsi="Arial Narrow" w:cs="Arial"/>
                                <w:color w:val="595959"/>
                                <w:kern w:val="24"/>
                                <w:sz w:val="22"/>
                              </w:rPr>
                              <w:t xml:space="preserve">for up to 72 h with VCAN protein levels determined using immunoblotting (A). Densitometry of the resultant bands were measured using ImageJ and the intensity measured relative to GAPDH controls (B).  Data is expressed as relative fold change, with mean ± SD, N=3, n=2, *** denotes p &lt;0.001 analysed by Kruskal-Wallis test with Dunn’s multiple comparison test. </w:t>
                            </w:r>
                            <w:r w:rsidRPr="00944EBD">
                              <w:rPr>
                                <w:rFonts w:ascii="Arial Narrow" w:eastAsia="SimSun" w:hAnsi="Arial Narrow" w:cs="Arial"/>
                                <w:color w:val="595959"/>
                                <w:kern w:val="24"/>
                                <w:sz w:val="22"/>
                              </w:rPr>
                              <w:t xml:space="preserve"> </w:t>
                            </w:r>
                          </w:p>
                          <w:p w14:paraId="71624D80" w14:textId="77777777" w:rsidR="008A47AC" w:rsidRPr="00C61619" w:rsidRDefault="008A47AC" w:rsidP="0054039C">
                            <w:pPr>
                              <w:pStyle w:val="NormalWeb"/>
                              <w:spacing w:after="200"/>
                              <w:jc w:val="both"/>
                              <w:rPr>
                                <w:rFonts w:ascii="Arial Narrow" w:eastAsia="SimSun" w:hAnsi="Arial Narrow" w:cs="Arial"/>
                                <w:color w:val="595959"/>
                                <w:kern w:val="24"/>
                                <w:sz w:val="22"/>
                                <w:szCs w:val="22"/>
                              </w:rPr>
                            </w:pPr>
                          </w:p>
                          <w:p w14:paraId="63441D83" w14:textId="77777777" w:rsidR="008A47AC" w:rsidRPr="00C61619" w:rsidRDefault="008A47AC" w:rsidP="0054039C">
                            <w:pPr>
                              <w:pStyle w:val="NormalWeb"/>
                              <w:spacing w:after="200" w:line="276" w:lineRule="auto"/>
                              <w:jc w:val="both"/>
                              <w:rPr>
                                <w:rFonts w:ascii="Arial Narrow" w:eastAsia="SimSun" w:hAnsi="Arial Narrow" w:cs="Arial"/>
                                <w:color w:val="595959"/>
                                <w:kern w:val="24"/>
                                <w:sz w:val="22"/>
                                <w:szCs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BFA9D5" id="_x0000_s1109" type="#_x0000_t202" style="position:absolute;left:0;text-align:left;margin-left:399.55pt;margin-top:6.45pt;width:450.75pt;height:98.25pt;z-index:251658309;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" stroked="f">
                <v:textbox>
                  <w:txbxContent>
                    <w:p w14:paraId="3A51F7DF" w14:textId="0B425844" w:rsidR="008A47AC" w:rsidRDefault="008A47AC" w:rsidP="0054039C">
                      <w:pPr>
                        <w:pStyle w:val="NormalWeb"/>
                        <w:spacing w:after="200"/>
                        <w:jc w:val="both"/>
                        <w:rPr>
                          <w:rFonts w:ascii="Arial Narrow" w:eastAsia="SimSun" w:hAnsi="Arial Narrow" w:cs="Arial"/>
                          <w:b/>
                          <w:bCs/>
                          <w:color w:val="595959"/>
                          <w:kern w:val="24"/>
                          <w:sz w:val="22"/>
                          <w:szCs w:val="22"/>
                        </w:rPr>
                      </w:pPr>
                      <w:r>
                        <w:rPr>
                          <w:rFonts w:ascii="Arial Narrow" w:eastAsia="SimSun" w:hAnsi="Arial Narrow" w:cs="Arial"/>
                          <w:b/>
                          <w:bCs/>
                          <w:color w:val="595959"/>
                          <w:kern w:val="24"/>
                          <w:sz w:val="22"/>
                          <w:szCs w:val="22"/>
                        </w:rPr>
                        <w:t xml:space="preserve">Figure 3.33 Immunoblotting for VCAN abundance in CAF with and without TGFβ-1 stimulation </w:t>
                      </w:r>
                    </w:p>
                    <w:p w14:paraId="759F0A7D" w14:textId="77777777" w:rsidR="008A47AC" w:rsidRPr="00944EBD" w:rsidRDefault="008A47AC" w:rsidP="0054039C">
                      <w:pPr>
                        <w:pStyle w:val="NormalWeb"/>
                        <w:spacing w:after="200" w:line="276" w:lineRule="auto"/>
                        <w:jc w:val="both"/>
                        <w:rPr>
                          <w:rFonts w:ascii="Arial Narrow" w:eastAsia="SimSun" w:hAnsi="Arial Narrow" w:cs="Arial"/>
                          <w:color w:val="595959"/>
                          <w:kern w:val="24"/>
                          <w:sz w:val="22"/>
                        </w:rPr>
                      </w:pPr>
                      <w:r>
                        <w:rPr>
                          <w:rFonts w:ascii="Arial Narrow" w:eastAsia="SimSun" w:hAnsi="Arial Narrow" w:cs="Arial"/>
                          <w:color w:val="595959"/>
                          <w:kern w:val="24"/>
                          <w:sz w:val="22"/>
                        </w:rPr>
                        <w:t xml:space="preserve">CAF 2D monolayers were treated with </w:t>
                      </w:r>
                      <w:r w:rsidRPr="00944EBD">
                        <w:rPr>
                          <w:rFonts w:ascii="Arial Narrow" w:eastAsia="SimSun" w:hAnsi="Arial Narrow" w:cs="Arial"/>
                          <w:color w:val="595959"/>
                          <w:kern w:val="24"/>
                          <w:sz w:val="22"/>
                        </w:rPr>
                        <w:t xml:space="preserve">TGFβ-1 </w:t>
                      </w:r>
                      <w:r>
                        <w:rPr>
                          <w:rFonts w:ascii="Arial Narrow" w:eastAsia="SimSun" w:hAnsi="Arial Narrow" w:cs="Arial"/>
                          <w:color w:val="595959"/>
                          <w:kern w:val="24"/>
                          <w:sz w:val="22"/>
                        </w:rPr>
                        <w:t xml:space="preserve">for up to 72 h with VCAN protein levels determined using immunoblotting (A). Densitometry of the resultant bands were measured using ImageJ and the intensity measured relative to GAPDH controls (B).  Data is expressed as relative fold change, with mean ± SD, N=3, n=2, *** denotes p &lt;0.001 analysed by Kruskal-Wallis test with Dunn’s multiple comparison test. </w:t>
                      </w:r>
                      <w:r w:rsidRPr="00944EBD">
                        <w:rPr>
                          <w:rFonts w:ascii="Arial Narrow" w:eastAsia="SimSun" w:hAnsi="Arial Narrow" w:cs="Arial"/>
                          <w:color w:val="595959"/>
                          <w:kern w:val="24"/>
                          <w:sz w:val="22"/>
                        </w:rPr>
                        <w:t xml:space="preserve"> </w:t>
                      </w:r>
                    </w:p>
                    <w:p w14:paraId="71624D80" w14:textId="77777777" w:rsidR="008A47AC" w:rsidRPr="00C61619" w:rsidRDefault="008A47AC" w:rsidP="0054039C">
                      <w:pPr>
                        <w:pStyle w:val="NormalWeb"/>
                        <w:spacing w:after="200"/>
                        <w:jc w:val="both"/>
                        <w:rPr>
                          <w:rFonts w:ascii="Arial Narrow" w:eastAsia="SimSun" w:hAnsi="Arial Narrow" w:cs="Arial"/>
                          <w:color w:val="595959"/>
                          <w:kern w:val="24"/>
                          <w:sz w:val="22"/>
                          <w:szCs w:val="22"/>
                        </w:rPr>
                      </w:pPr>
                    </w:p>
                    <w:p w14:paraId="63441D83" w14:textId="77777777" w:rsidR="008A47AC" w:rsidRPr="00C61619" w:rsidRDefault="008A47AC" w:rsidP="0054039C">
                      <w:pPr>
                        <w:pStyle w:val="NormalWeb"/>
                        <w:spacing w:after="200" w:line="276" w:lineRule="auto"/>
                        <w:jc w:val="both"/>
                        <w:rPr>
                          <w:rFonts w:ascii="Arial Narrow" w:eastAsia="SimSun" w:hAnsi="Arial Narrow" w:cs="Arial"/>
                          <w:color w:val="595959"/>
                          <w:kern w:val="24"/>
                          <w:sz w:val="22"/>
                          <w:szCs w:val="22"/>
                        </w:rPr>
                      </w:pPr>
                    </w:p>
                  </w:txbxContent>
                </v:textbox>
                <w10:wrap anchorx="margin"/>
              </v:shape>
            </w:pict>
          </mc:Fallback>
        </mc:AlternateContent>
      </w:r>
    </w:p>
    <w:p w14:paraId="3C75EB07" w14:textId="08A03FC9"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57D15B45" w14:textId="42BA7A23" w:rsid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208CEB93" w14:textId="6C3FDFC2" w:rsidR="00365E9A" w:rsidRDefault="00365E9A"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69780318" w14:textId="77777777" w:rsidR="00365E9A" w:rsidRPr="0054039C" w:rsidRDefault="00365E9A"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563854FA" w14:textId="77777777" w:rsidR="00365E9A" w:rsidRDefault="00365E9A" w:rsidP="0054039C">
      <w:pPr>
        <w:keepNext/>
        <w:keepLines/>
        <w:spacing w:before="40" w:after="0"/>
        <w:outlineLvl w:val="3"/>
        <w:rPr>
          <w:rFonts w:ascii="Arial" w:eastAsia="Times New Roman" w:hAnsi="Arial" w:cs="Arial"/>
          <w:i/>
          <w:iCs/>
          <w:color w:val="595959" w:themeColor="text1" w:themeTint="A6"/>
        </w:rPr>
      </w:pPr>
      <w:bookmarkStart w:id="318" w:name="_Toc7107280"/>
      <w:bookmarkStart w:id="319" w:name="_Toc34208386"/>
    </w:p>
    <w:p w14:paraId="6A73D314" w14:textId="77777777" w:rsidR="00365E9A" w:rsidRDefault="00365E9A" w:rsidP="0054039C">
      <w:pPr>
        <w:keepNext/>
        <w:keepLines/>
        <w:spacing w:before="40" w:after="0"/>
        <w:outlineLvl w:val="3"/>
        <w:rPr>
          <w:rFonts w:ascii="Arial" w:eastAsia="Times New Roman" w:hAnsi="Arial" w:cs="Arial"/>
          <w:i/>
          <w:iCs/>
          <w:color w:val="595959" w:themeColor="text1" w:themeTint="A6"/>
        </w:rPr>
      </w:pPr>
    </w:p>
    <w:p w14:paraId="3DD94F64" w14:textId="4A20E166" w:rsidR="0054039C" w:rsidRPr="0054039C" w:rsidRDefault="0054039C" w:rsidP="0054039C">
      <w:pPr>
        <w:keepNext/>
        <w:keepLines/>
        <w:spacing w:before="40" w:after="0"/>
        <w:outlineLvl w:val="3"/>
        <w:rPr>
          <w:rFonts w:ascii="Arial" w:eastAsia="Times New Roman" w:hAnsi="Arial" w:cs="Arial"/>
          <w:i/>
          <w:iCs/>
          <w:color w:val="595959" w:themeColor="text1" w:themeTint="A6"/>
        </w:rPr>
      </w:pPr>
      <w:r w:rsidRPr="0054039C">
        <w:rPr>
          <w:rFonts w:ascii="Arial" w:eastAsia="Times New Roman" w:hAnsi="Arial" w:cs="Arial"/>
          <w:i/>
          <w:iCs/>
          <w:color w:val="595959" w:themeColor="text1" w:themeTint="A6"/>
        </w:rPr>
        <w:t>3.3.4.2 Long-term ECM protein abundance in patient oral CAF</w:t>
      </w:r>
      <w:bookmarkEnd w:id="318"/>
      <w:bookmarkEnd w:id="319"/>
    </w:p>
    <w:p w14:paraId="54C77DDA" w14:textId="77777777" w:rsidR="0054039C" w:rsidRPr="0054039C" w:rsidRDefault="0054039C" w:rsidP="0054039C"/>
    <w:p w14:paraId="12A7B1A8" w14:textId="7C74CCCD" w:rsidR="0054039C" w:rsidRPr="0054039C" w:rsidRDefault="0054039C" w:rsidP="00425073">
      <w:pPr>
        <w:spacing w:line="480" w:lineRule="auto"/>
        <w:jc w:val="both"/>
        <w:rPr>
          <w:rFonts w:asciiTheme="minorBidi" w:hAnsiTheme="minorBidi"/>
          <w:color w:val="595959" w:themeColor="text1" w:themeTint="A6"/>
        </w:rPr>
      </w:pPr>
      <w:r w:rsidRPr="0054039C">
        <w:rPr>
          <w:rFonts w:asciiTheme="minorBidi" w:hAnsiTheme="minorBidi"/>
          <w:color w:val="595959" w:themeColor="text1" w:themeTint="A6"/>
        </w:rPr>
        <w:t xml:space="preserve">To assess whether CAF were capable of maintaining their phenotype long-term </w:t>
      </w:r>
      <w:r w:rsidRPr="0054039C">
        <w:rPr>
          <w:rFonts w:asciiTheme="minorBidi" w:hAnsiTheme="minorBidi"/>
          <w:i/>
          <w:iCs/>
          <w:color w:val="595959" w:themeColor="text1" w:themeTint="A6"/>
        </w:rPr>
        <w:t>in vitro,</w:t>
      </w:r>
      <w:r w:rsidRPr="0054039C">
        <w:rPr>
          <w:rFonts w:asciiTheme="minorBidi" w:hAnsiTheme="minorBidi"/>
          <w:color w:val="595959" w:themeColor="text1" w:themeTint="A6"/>
        </w:rPr>
        <w:t xml:space="preserve"> protein abundance was analysed by long-term exogenous application</w:t>
      </w:r>
      <w:r w:rsidR="00425073">
        <w:rPr>
          <w:rFonts w:asciiTheme="minorBidi" w:hAnsiTheme="minorBidi"/>
          <w:color w:val="595959" w:themeColor="text1" w:themeTint="A6"/>
        </w:rPr>
        <w:t xml:space="preserve"> of TGFβ-1 (Figures 3.3</w:t>
      </w:r>
      <w:r w:rsidR="00BF4388">
        <w:rPr>
          <w:rFonts w:asciiTheme="minorBidi" w:hAnsiTheme="minorBidi"/>
          <w:color w:val="595959" w:themeColor="text1" w:themeTint="A6"/>
        </w:rPr>
        <w:t>4</w:t>
      </w:r>
      <w:r w:rsidR="00425073">
        <w:rPr>
          <w:rFonts w:asciiTheme="minorBidi" w:hAnsiTheme="minorBidi"/>
          <w:color w:val="595959" w:themeColor="text1" w:themeTint="A6"/>
        </w:rPr>
        <w:t>-3.4</w:t>
      </w:r>
      <w:r w:rsidR="00BF4388">
        <w:rPr>
          <w:rFonts w:asciiTheme="minorBidi" w:hAnsiTheme="minorBidi"/>
          <w:color w:val="595959" w:themeColor="text1" w:themeTint="A6"/>
        </w:rPr>
        <w:t>7</w:t>
      </w:r>
      <w:r w:rsidR="00425073">
        <w:rPr>
          <w:rFonts w:asciiTheme="minorBidi" w:hAnsiTheme="minorBidi"/>
          <w:color w:val="595959" w:themeColor="text1" w:themeTint="A6"/>
        </w:rPr>
        <w:t>).</w:t>
      </w:r>
    </w:p>
    <w:p w14:paraId="46572471" w14:textId="77777777" w:rsidR="0054039C" w:rsidRPr="0054039C" w:rsidRDefault="0054039C" w:rsidP="0054039C">
      <w:pPr>
        <w:keepNext/>
        <w:keepLines/>
        <w:spacing w:before="40" w:after="0"/>
        <w:outlineLvl w:val="4"/>
        <w:rPr>
          <w:rFonts w:ascii="Arial" w:eastAsia="Times New Roman" w:hAnsi="Arial" w:cs="Arial"/>
          <w:color w:val="595959" w:themeColor="text1" w:themeTint="A6"/>
        </w:rPr>
      </w:pPr>
      <w:bookmarkStart w:id="320" w:name="_Toc7107281"/>
      <w:bookmarkStart w:id="321" w:name="_Toc34208387"/>
      <w:r w:rsidRPr="0054039C">
        <w:rPr>
          <w:rFonts w:ascii="Arial" w:eastAsia="Times New Roman" w:hAnsi="Arial" w:cs="Arial"/>
          <w:color w:val="595959" w:themeColor="text1" w:themeTint="A6"/>
        </w:rPr>
        <w:t>3.3.4.2.1 αSMA abundance in CAF with long-term</w:t>
      </w:r>
      <w:bookmarkEnd w:id="320"/>
      <w:r w:rsidRPr="0054039C">
        <w:rPr>
          <w:rFonts w:ascii="Arial" w:eastAsia="Times New Roman" w:hAnsi="Arial" w:cs="Arial"/>
          <w:color w:val="595959" w:themeColor="text1" w:themeTint="A6"/>
        </w:rPr>
        <w:t xml:space="preserve"> TGFβ-1 treatment</w:t>
      </w:r>
      <w:bookmarkEnd w:id="321"/>
    </w:p>
    <w:p w14:paraId="181DD58D" w14:textId="77777777" w:rsidR="0054039C" w:rsidRPr="0054039C" w:rsidRDefault="0054039C" w:rsidP="0054039C"/>
    <w:p w14:paraId="4B96352C" w14:textId="3FC01A50" w:rsidR="0054039C" w:rsidRPr="0054039C" w:rsidRDefault="00F31B35" w:rsidP="0054039C">
      <w:pPr>
        <w:spacing w:line="480" w:lineRule="auto"/>
        <w:jc w:val="both"/>
        <w:rPr>
          <w:rFonts w:ascii="Arial" w:eastAsia="Times New Roman" w:hAnsi="Arial" w:cs="Arial"/>
          <w:color w:val="595959" w:themeColor="text1" w:themeTint="A6"/>
        </w:rPr>
      </w:pPr>
      <w:r>
        <w:rPr>
          <w:rFonts w:ascii="Arial" w:eastAsia="Times New Roman" w:hAnsi="Arial" w:cs="Arial"/>
          <w:noProof/>
          <w:color w:val="595959" w:themeColor="text1" w:themeTint="A6"/>
        </w:rPr>
        <w:drawing>
          <wp:anchor distT="0" distB="0" distL="114300" distR="114300" simplePos="0" relativeHeight="251675915" behindDoc="0" locked="0" layoutInCell="1" allowOverlap="1" wp14:anchorId="7BF86995" wp14:editId="69504783">
            <wp:simplePos x="0" y="0"/>
            <wp:positionH relativeFrom="column">
              <wp:posOffset>1235242</wp:posOffset>
            </wp:positionH>
            <wp:positionV relativeFrom="paragraph">
              <wp:posOffset>2118928</wp:posOffset>
            </wp:positionV>
            <wp:extent cx="4017645" cy="3663950"/>
            <wp:effectExtent l="0" t="0" r="0" b="0"/>
            <wp:wrapNone/>
            <wp:docPr id="5589" name="Picture 5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017645" cy="3663950"/>
                    </a:xfrm>
                    <a:prstGeom prst="rect">
                      <a:avLst/>
                    </a:prstGeom>
                    <a:noFill/>
                  </pic:spPr>
                </pic:pic>
              </a:graphicData>
            </a:graphic>
          </wp:anchor>
        </w:drawing>
      </w:r>
      <w:r w:rsidR="0054039C" w:rsidRPr="0054039C">
        <w:rPr>
          <w:rFonts w:ascii="Arial" w:eastAsia="Times New Roman" w:hAnsi="Arial" w:cs="Arial"/>
          <w:color w:val="595959" w:themeColor="text1" w:themeTint="A6"/>
        </w:rPr>
        <w:t>CAF are capable of producing αSMA protein up to 14 days in culture with and without TGFβ-1 treatment as evidenced by immunoblot (Figure 3.3</w:t>
      </w:r>
      <w:r w:rsidR="00BF4388">
        <w:rPr>
          <w:rFonts w:ascii="Arial" w:eastAsia="Times New Roman" w:hAnsi="Arial" w:cs="Arial"/>
          <w:color w:val="595959" w:themeColor="text1" w:themeTint="A6"/>
        </w:rPr>
        <w:t>4</w:t>
      </w:r>
      <w:r w:rsidR="0054039C" w:rsidRPr="0054039C">
        <w:rPr>
          <w:rFonts w:ascii="Arial" w:eastAsia="Times New Roman" w:hAnsi="Arial" w:cs="Arial"/>
          <w:color w:val="595959" w:themeColor="text1" w:themeTint="A6"/>
        </w:rPr>
        <w:t xml:space="preserve"> A). Densi</w:t>
      </w:r>
      <w:r w:rsidR="006358CF">
        <w:rPr>
          <w:rFonts w:ascii="Arial" w:eastAsia="Times New Roman" w:hAnsi="Arial" w:cs="Arial"/>
          <w:color w:val="595959" w:themeColor="text1" w:themeTint="A6"/>
        </w:rPr>
        <w:t>t</w:t>
      </w:r>
      <w:r w:rsidR="0054039C" w:rsidRPr="0054039C">
        <w:rPr>
          <w:rFonts w:ascii="Arial" w:eastAsia="Times New Roman" w:hAnsi="Arial" w:cs="Arial"/>
          <w:color w:val="595959" w:themeColor="text1" w:themeTint="A6"/>
        </w:rPr>
        <w:t>ometric analysis of immunoblot bands revealed a significant increase in αSMA with TGFβ-1 treatment compared to 24 h + 24-day controls (Figure 3.3</w:t>
      </w:r>
      <w:r w:rsidR="00BF4388">
        <w:rPr>
          <w:rFonts w:ascii="Arial" w:eastAsia="Times New Roman" w:hAnsi="Arial" w:cs="Arial"/>
          <w:color w:val="595959" w:themeColor="text1" w:themeTint="A6"/>
        </w:rPr>
        <w:t>4</w:t>
      </w:r>
      <w:r w:rsidR="0054039C" w:rsidRPr="0054039C">
        <w:rPr>
          <w:rFonts w:ascii="Arial" w:eastAsia="Times New Roman" w:hAnsi="Arial" w:cs="Arial"/>
          <w:color w:val="595959" w:themeColor="text1" w:themeTint="A6"/>
        </w:rPr>
        <w:t xml:space="preserve"> B). At 24 h + 14-day αSMA increased in density to 3.35 ± 0.57, p=0.0042. At 48 h + 14- day, TGFβ-1 treatment increased band intensity to 4.53 ± 1.31, p=0.0001. The greatest increase in αSMA protein was seen at 72 h + 14-day in TGFβ-1 treated CAF, with an increase of 4.57 ± 0.57, p=0.0001 compared to control samples. </w:t>
      </w:r>
    </w:p>
    <w:p w14:paraId="5C82C69A"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2009F82F"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3982EEAD"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6F0B4740"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1EB94B60"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458D75B8"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5EE9F77F"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50C8B34E"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3E938DF4"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3DB9A295"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159EF8E9"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0EBFC0C3"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6D52C291" w14:textId="0FDD552D"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1AFF2AB1" w14:textId="053B4FDD"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4A157F13" w14:textId="4F7372DA" w:rsidR="0054039C" w:rsidRPr="0054039C" w:rsidRDefault="00425073"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r w:rsidRPr="0054039C">
        <w:rPr>
          <w:rFonts w:ascii="Arial" w:hAnsi="Arial" w:cs="Arial"/>
          <w:noProof/>
          <w:color w:val="595959" w:themeColor="text1" w:themeTint="A6"/>
          <w:sz w:val="24"/>
          <w:szCs w:val="24"/>
          <w:lang w:eastAsia="zh-CN"/>
        </w:rPr>
        <mc:AlternateContent>
          <mc:Choice Requires="wps">
            <w:drawing>
              <wp:anchor distT="0" distB="0" distL="114300" distR="114300" simplePos="0" relativeHeight="251658310" behindDoc="0" locked="0" layoutInCell="1" allowOverlap="1" wp14:anchorId="226CB715" wp14:editId="19CDBF0C">
                <wp:simplePos x="0" y="0"/>
                <wp:positionH relativeFrom="margin">
                  <wp:align>left</wp:align>
                </wp:positionH>
                <wp:positionV relativeFrom="paragraph">
                  <wp:posOffset>8517</wp:posOffset>
                </wp:positionV>
                <wp:extent cx="5724525" cy="1160891"/>
                <wp:effectExtent l="0" t="0" r="9525" b="1270"/>
                <wp:wrapNone/>
                <wp:docPr id="2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1160891"/>
                        </a:xfrm>
                        <a:prstGeom prst="rect">
                          <a:avLst/>
                        </a:prstGeom>
                        <a:solidFill>
                          <a:srgbClr val="FFFFFF"/>
                        </a:solidFill>
                        <a:ln w="9525">
                          <a:noFill/>
                          <a:miter lim="800000"/>
                          <a:headEnd/>
                          <a:tailEnd/>
                        </a:ln>
                      </wps:spPr>
                      <wps:txbx>
                        <w:txbxContent>
                          <w:p w14:paraId="258E3BF2" w14:textId="532EB82A" w:rsidR="008A47AC" w:rsidRDefault="008A47AC" w:rsidP="0054039C">
                            <w:pPr>
                              <w:pStyle w:val="NormalWeb"/>
                              <w:spacing w:after="200"/>
                              <w:jc w:val="both"/>
                              <w:rPr>
                                <w:rFonts w:ascii="Arial Narrow" w:eastAsia="SimSun" w:hAnsi="Arial Narrow" w:cs="Arial"/>
                                <w:b/>
                                <w:bCs/>
                                <w:color w:val="595959"/>
                                <w:kern w:val="24"/>
                                <w:sz w:val="22"/>
                                <w:szCs w:val="22"/>
                              </w:rPr>
                            </w:pPr>
                            <w:r>
                              <w:rPr>
                                <w:rFonts w:ascii="Arial Narrow" w:eastAsia="SimSun" w:hAnsi="Arial Narrow" w:cs="Arial"/>
                                <w:b/>
                                <w:bCs/>
                                <w:color w:val="595959"/>
                                <w:kern w:val="24"/>
                                <w:sz w:val="22"/>
                                <w:szCs w:val="22"/>
                              </w:rPr>
                              <w:t xml:space="preserve">Figure 3.34 Immunoblotting for αSMA abundance in CAF with and without TGFβ-1 stimulation </w:t>
                            </w:r>
                          </w:p>
                          <w:p w14:paraId="454C0AAC" w14:textId="7DE5509F" w:rsidR="008A47AC" w:rsidRPr="00425073" w:rsidRDefault="008A47AC" w:rsidP="00425073">
                            <w:pPr>
                              <w:pStyle w:val="NormalWeb"/>
                              <w:spacing w:after="200" w:line="276" w:lineRule="auto"/>
                              <w:jc w:val="both"/>
                              <w:rPr>
                                <w:rFonts w:ascii="Arial Narrow" w:eastAsia="SimSun" w:hAnsi="Arial Narrow" w:cs="Arial"/>
                                <w:color w:val="595959"/>
                                <w:kern w:val="24"/>
                                <w:sz w:val="22"/>
                              </w:rPr>
                            </w:pPr>
                            <w:r>
                              <w:rPr>
                                <w:rFonts w:ascii="Arial Narrow" w:eastAsia="SimSun" w:hAnsi="Arial Narrow" w:cs="Arial"/>
                                <w:color w:val="595959"/>
                                <w:kern w:val="24"/>
                                <w:sz w:val="22"/>
                              </w:rPr>
                              <w:t xml:space="preserve">CAF 2D monolayers were treated with </w:t>
                            </w:r>
                            <w:r w:rsidRPr="00944EBD">
                              <w:rPr>
                                <w:rFonts w:ascii="Arial Narrow" w:eastAsia="SimSun" w:hAnsi="Arial Narrow" w:cs="Arial"/>
                                <w:color w:val="595959"/>
                                <w:kern w:val="24"/>
                                <w:sz w:val="22"/>
                              </w:rPr>
                              <w:t xml:space="preserve">TGFβ-1 </w:t>
                            </w:r>
                            <w:r>
                              <w:rPr>
                                <w:rFonts w:ascii="Arial Narrow" w:eastAsia="SimSun" w:hAnsi="Arial Narrow" w:cs="Arial"/>
                                <w:color w:val="595959"/>
                                <w:kern w:val="24"/>
                                <w:sz w:val="22"/>
                              </w:rPr>
                              <w:t xml:space="preserve">for up to 72 h + 14 days with αSMA protein levels determined using immunoblotting (A). Densitometry of the resultant bands were measured using ImageJ and the intensity measured relative to GAPDH controls (B).  Data is expressed as relative fold change, with mean ± SD, N=3, n=2, ** denotes p &lt;0.01 and *** p &lt;0.001 analysed by Kruskal-Wallis test with Dunn’s multiple comparison test. </w:t>
                            </w:r>
                          </w:p>
                          <w:p w14:paraId="114232BE" w14:textId="77777777" w:rsidR="008A47AC" w:rsidRPr="00C61619" w:rsidRDefault="008A47AC" w:rsidP="0054039C">
                            <w:pPr>
                              <w:pStyle w:val="NormalWeb"/>
                              <w:spacing w:after="200" w:line="276" w:lineRule="auto"/>
                              <w:jc w:val="both"/>
                              <w:rPr>
                                <w:rFonts w:ascii="Arial Narrow" w:eastAsia="SimSun" w:hAnsi="Arial Narrow" w:cs="Arial"/>
                                <w:color w:val="595959"/>
                                <w:kern w:val="24"/>
                                <w:sz w:val="22"/>
                                <w:szCs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6CB715" id="_x0000_s1110" type="#_x0000_t202" style="position:absolute;left:0;text-align:left;margin-left:0;margin-top:.65pt;width:450.75pt;height:91.4pt;z-index:25165831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" stroked="f">
                <v:textbox>
                  <w:txbxContent>
                    <w:p w14:paraId="258E3BF2" w14:textId="532EB82A" w:rsidR="008A47AC" w:rsidRDefault="008A47AC" w:rsidP="0054039C">
                      <w:pPr>
                        <w:pStyle w:val="NormalWeb"/>
                        <w:spacing w:after="200"/>
                        <w:jc w:val="both"/>
                        <w:rPr>
                          <w:rFonts w:ascii="Arial Narrow" w:eastAsia="SimSun" w:hAnsi="Arial Narrow" w:cs="Arial"/>
                          <w:b/>
                          <w:bCs/>
                          <w:color w:val="595959"/>
                          <w:kern w:val="24"/>
                          <w:sz w:val="22"/>
                          <w:szCs w:val="22"/>
                        </w:rPr>
                      </w:pPr>
                      <w:r>
                        <w:rPr>
                          <w:rFonts w:ascii="Arial Narrow" w:eastAsia="SimSun" w:hAnsi="Arial Narrow" w:cs="Arial"/>
                          <w:b/>
                          <w:bCs/>
                          <w:color w:val="595959"/>
                          <w:kern w:val="24"/>
                          <w:sz w:val="22"/>
                          <w:szCs w:val="22"/>
                        </w:rPr>
                        <w:t xml:space="preserve">Figure 3.34 Immunoblotting for αSMA abundance in CAF with and without TGFβ-1 stimulation </w:t>
                      </w:r>
                    </w:p>
                    <w:p w14:paraId="454C0AAC" w14:textId="7DE5509F" w:rsidR="008A47AC" w:rsidRPr="00425073" w:rsidRDefault="008A47AC" w:rsidP="00425073">
                      <w:pPr>
                        <w:pStyle w:val="NormalWeb"/>
                        <w:spacing w:after="200" w:line="276" w:lineRule="auto"/>
                        <w:jc w:val="both"/>
                        <w:rPr>
                          <w:rFonts w:ascii="Arial Narrow" w:eastAsia="SimSun" w:hAnsi="Arial Narrow" w:cs="Arial"/>
                          <w:color w:val="595959"/>
                          <w:kern w:val="24"/>
                          <w:sz w:val="22"/>
                        </w:rPr>
                      </w:pPr>
                      <w:r>
                        <w:rPr>
                          <w:rFonts w:ascii="Arial Narrow" w:eastAsia="SimSun" w:hAnsi="Arial Narrow" w:cs="Arial"/>
                          <w:color w:val="595959"/>
                          <w:kern w:val="24"/>
                          <w:sz w:val="22"/>
                        </w:rPr>
                        <w:t xml:space="preserve">CAF 2D monolayers were treated with </w:t>
                      </w:r>
                      <w:r w:rsidRPr="00944EBD">
                        <w:rPr>
                          <w:rFonts w:ascii="Arial Narrow" w:eastAsia="SimSun" w:hAnsi="Arial Narrow" w:cs="Arial"/>
                          <w:color w:val="595959"/>
                          <w:kern w:val="24"/>
                          <w:sz w:val="22"/>
                        </w:rPr>
                        <w:t xml:space="preserve">TGFβ-1 </w:t>
                      </w:r>
                      <w:r>
                        <w:rPr>
                          <w:rFonts w:ascii="Arial Narrow" w:eastAsia="SimSun" w:hAnsi="Arial Narrow" w:cs="Arial"/>
                          <w:color w:val="595959"/>
                          <w:kern w:val="24"/>
                          <w:sz w:val="22"/>
                        </w:rPr>
                        <w:t xml:space="preserve">for up to 72 h + 14 days with αSMA protein levels determined using immunoblotting (A). Densitometry of the resultant bands were measured using ImageJ and the intensity measured relative to GAPDH controls (B).  Data is expressed as relative fold change, with mean ± SD, N=3, n=2, ** denotes p &lt;0.01 and *** p &lt;0.001 analysed by Kruskal-Wallis test with Dunn’s multiple comparison test. </w:t>
                      </w:r>
                    </w:p>
                    <w:p w14:paraId="114232BE" w14:textId="77777777" w:rsidR="008A47AC" w:rsidRPr="00C61619" w:rsidRDefault="008A47AC" w:rsidP="0054039C">
                      <w:pPr>
                        <w:pStyle w:val="NormalWeb"/>
                        <w:spacing w:after="200" w:line="276" w:lineRule="auto"/>
                        <w:jc w:val="both"/>
                        <w:rPr>
                          <w:rFonts w:ascii="Arial Narrow" w:eastAsia="SimSun" w:hAnsi="Arial Narrow" w:cs="Arial"/>
                          <w:color w:val="595959"/>
                          <w:kern w:val="24"/>
                          <w:sz w:val="22"/>
                          <w:szCs w:val="22"/>
                        </w:rPr>
                      </w:pPr>
                    </w:p>
                  </w:txbxContent>
                </v:textbox>
                <w10:wrap anchorx="margin"/>
              </v:shape>
            </w:pict>
          </mc:Fallback>
        </mc:AlternateContent>
      </w:r>
    </w:p>
    <w:p w14:paraId="35B8CD47" w14:textId="080BB64D" w:rsid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445D5036" w14:textId="77777777" w:rsidR="00425073" w:rsidRPr="0054039C" w:rsidRDefault="00425073"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303A5B45" w14:textId="77777777" w:rsidR="00FB58B8" w:rsidRDefault="00FB58B8" w:rsidP="0054039C">
      <w:pPr>
        <w:keepNext/>
        <w:keepLines/>
        <w:spacing w:before="40" w:after="0"/>
        <w:outlineLvl w:val="4"/>
        <w:rPr>
          <w:rFonts w:ascii="Arial" w:eastAsia="Times New Roman" w:hAnsi="Arial" w:cs="Arial"/>
          <w:color w:val="595959" w:themeColor="text1" w:themeTint="A6"/>
        </w:rPr>
      </w:pPr>
      <w:bookmarkStart w:id="322" w:name="_Toc7107282"/>
    </w:p>
    <w:p w14:paraId="685283B5" w14:textId="61310284" w:rsidR="0054039C" w:rsidRPr="0054039C" w:rsidRDefault="0054039C" w:rsidP="0054039C">
      <w:pPr>
        <w:keepNext/>
        <w:keepLines/>
        <w:spacing w:before="40" w:after="0"/>
        <w:outlineLvl w:val="4"/>
        <w:rPr>
          <w:rFonts w:ascii="Arial" w:eastAsia="Times New Roman" w:hAnsi="Arial" w:cs="Arial"/>
          <w:color w:val="595959" w:themeColor="text1" w:themeTint="A6"/>
        </w:rPr>
      </w:pPr>
      <w:bookmarkStart w:id="323" w:name="_Toc34208388"/>
      <w:r w:rsidRPr="0054039C">
        <w:rPr>
          <w:rFonts w:ascii="Arial" w:eastAsia="Times New Roman" w:hAnsi="Arial" w:cs="Arial"/>
          <w:color w:val="595959" w:themeColor="text1" w:themeTint="A6"/>
        </w:rPr>
        <w:t>3.3.4.2.2 COL1A1 abundance in CAF long-term</w:t>
      </w:r>
      <w:bookmarkEnd w:id="322"/>
      <w:bookmarkEnd w:id="323"/>
      <w:r w:rsidRPr="0054039C">
        <w:rPr>
          <w:rFonts w:ascii="Arial" w:eastAsia="Times New Roman" w:hAnsi="Arial" w:cs="Arial"/>
          <w:color w:val="595959" w:themeColor="text1" w:themeTint="A6"/>
        </w:rPr>
        <w:t xml:space="preserve"> </w:t>
      </w:r>
    </w:p>
    <w:p w14:paraId="4093A619" w14:textId="77777777" w:rsidR="0054039C" w:rsidRPr="0054039C" w:rsidRDefault="0054039C" w:rsidP="0054039C"/>
    <w:p w14:paraId="7B57E3C5" w14:textId="0703ADE1" w:rsidR="0054039C" w:rsidRPr="0054039C" w:rsidRDefault="0054039C" w:rsidP="00425073">
      <w:pPr>
        <w:spacing w:line="480" w:lineRule="auto"/>
        <w:jc w:val="both"/>
        <w:rPr>
          <w:rFonts w:ascii="Arial" w:eastAsia="Times New Roman" w:hAnsi="Arial" w:cs="Arial"/>
          <w:color w:val="595959" w:themeColor="text1" w:themeTint="A6"/>
        </w:rPr>
      </w:pPr>
      <w:r w:rsidRPr="0054039C">
        <w:rPr>
          <w:rFonts w:ascii="Arial" w:eastAsia="Times New Roman" w:hAnsi="Arial" w:cs="Arial"/>
          <w:color w:val="595959" w:themeColor="text1" w:themeTint="A6"/>
        </w:rPr>
        <w:t xml:space="preserve">CAF </w:t>
      </w:r>
      <w:r w:rsidR="00425073">
        <w:rPr>
          <w:rFonts w:ascii="Arial" w:eastAsia="Times New Roman" w:hAnsi="Arial" w:cs="Arial"/>
          <w:color w:val="595959" w:themeColor="text1" w:themeTint="A6"/>
        </w:rPr>
        <w:t xml:space="preserve">expressed </w:t>
      </w:r>
      <w:r w:rsidRPr="0054039C">
        <w:rPr>
          <w:rFonts w:ascii="Arial" w:eastAsia="Times New Roman" w:hAnsi="Arial" w:cs="Arial"/>
          <w:color w:val="595959" w:themeColor="text1" w:themeTint="A6"/>
        </w:rPr>
        <w:t xml:space="preserve">COL1A1 long-term </w:t>
      </w:r>
      <w:r w:rsidRPr="0054039C">
        <w:rPr>
          <w:rFonts w:ascii="Arial" w:eastAsia="Times New Roman" w:hAnsi="Arial" w:cs="Arial"/>
          <w:i/>
          <w:color w:val="595959" w:themeColor="text1" w:themeTint="A6"/>
        </w:rPr>
        <w:t xml:space="preserve">in vitro </w:t>
      </w:r>
      <w:r w:rsidRPr="0054039C">
        <w:rPr>
          <w:rFonts w:ascii="Arial" w:eastAsia="Times New Roman" w:hAnsi="Arial" w:cs="Arial"/>
          <w:color w:val="595959" w:themeColor="text1" w:themeTint="A6"/>
        </w:rPr>
        <w:t>with and without TGFβ-1 supplementation</w:t>
      </w:r>
      <w:r w:rsidRPr="0054039C">
        <w:rPr>
          <w:rFonts w:ascii="Arial" w:eastAsia="Times New Roman" w:hAnsi="Arial" w:cs="Arial"/>
          <w:i/>
          <w:color w:val="595959" w:themeColor="text1" w:themeTint="A6"/>
        </w:rPr>
        <w:t xml:space="preserve"> </w:t>
      </w:r>
      <w:r w:rsidRPr="0054039C">
        <w:rPr>
          <w:rFonts w:ascii="Arial" w:eastAsia="Times New Roman" w:hAnsi="Arial" w:cs="Arial"/>
          <w:color w:val="595959" w:themeColor="text1" w:themeTint="A6"/>
        </w:rPr>
        <w:t>(Figure 3.</w:t>
      </w:r>
      <w:r w:rsidR="00DD6E83">
        <w:rPr>
          <w:rFonts w:ascii="Arial" w:eastAsia="Times New Roman" w:hAnsi="Arial" w:cs="Arial"/>
          <w:color w:val="595959" w:themeColor="text1" w:themeTint="A6"/>
        </w:rPr>
        <w:t>35</w:t>
      </w:r>
      <w:r w:rsidRPr="0054039C">
        <w:rPr>
          <w:rFonts w:ascii="Arial" w:eastAsia="Times New Roman" w:hAnsi="Arial" w:cs="Arial"/>
          <w:color w:val="595959" w:themeColor="text1" w:themeTint="A6"/>
        </w:rPr>
        <w:t xml:space="preserve"> A). Longer-term treatment with TGF</w:t>
      </w:r>
      <w:r w:rsidRPr="0054039C">
        <w:rPr>
          <w:rFonts w:ascii="Arial" w:eastAsia="Times New Roman" w:hAnsi="Arial" w:cs="Arial"/>
          <w:color w:val="595959" w:themeColor="text1" w:themeTint="A6"/>
        </w:rPr>
        <w:sym w:font="Symbol" w:char="F062"/>
      </w:r>
      <w:r w:rsidRPr="0054039C">
        <w:rPr>
          <w:rFonts w:ascii="Arial" w:eastAsia="Times New Roman" w:hAnsi="Arial" w:cs="Arial"/>
          <w:color w:val="595959" w:themeColor="text1" w:themeTint="A6"/>
        </w:rPr>
        <w:t>-1 increased COL1A1 abundance, detectable multiple bands were also present</w:t>
      </w:r>
      <w:r w:rsidR="009D58D7">
        <w:rPr>
          <w:rFonts w:ascii="Arial" w:eastAsia="Times New Roman" w:hAnsi="Arial" w:cs="Arial"/>
          <w:color w:val="595959" w:themeColor="text1" w:themeTint="A6"/>
        </w:rPr>
        <w:t xml:space="preserve">. </w:t>
      </w:r>
      <w:r w:rsidRPr="0054039C">
        <w:rPr>
          <w:rFonts w:ascii="Arial" w:eastAsia="Times New Roman" w:hAnsi="Arial" w:cs="Arial"/>
          <w:color w:val="595959" w:themeColor="text1" w:themeTint="A6"/>
        </w:rPr>
        <w:t>Densitometry analysis showed the greatest abundance of COL1A1 at 48 h + 14-day with TGF</w:t>
      </w:r>
      <w:r w:rsidRPr="0054039C">
        <w:rPr>
          <w:rFonts w:ascii="Arial" w:eastAsia="Times New Roman" w:hAnsi="Arial" w:cs="Arial"/>
          <w:color w:val="595959" w:themeColor="text1" w:themeTint="A6"/>
        </w:rPr>
        <w:sym w:font="Symbol" w:char="F062"/>
      </w:r>
      <w:r w:rsidRPr="0054039C">
        <w:rPr>
          <w:rFonts w:ascii="Arial" w:eastAsia="Times New Roman" w:hAnsi="Arial" w:cs="Arial"/>
          <w:color w:val="595959" w:themeColor="text1" w:themeTint="A6"/>
        </w:rPr>
        <w:t xml:space="preserve">-1 treatment with an increase of 19.42 </w:t>
      </w:r>
      <w:r w:rsidRPr="0054039C">
        <w:rPr>
          <w:rFonts w:ascii="Arial" w:eastAsia="Times New Roman" w:hAnsi="Arial" w:cs="Arial"/>
          <w:color w:val="595959" w:themeColor="text1" w:themeTint="A6"/>
        </w:rPr>
        <w:sym w:font="Symbol" w:char="F0B1"/>
      </w:r>
      <w:r w:rsidRPr="0054039C">
        <w:rPr>
          <w:rFonts w:ascii="Arial" w:eastAsia="Times New Roman" w:hAnsi="Arial" w:cs="Arial"/>
          <w:color w:val="595959" w:themeColor="text1" w:themeTint="A6"/>
        </w:rPr>
        <w:t xml:space="preserve"> 6.69, p &lt;0.0001, compared to 24 h + 14-day vehicle control samples (Figure 3.</w:t>
      </w:r>
      <w:r w:rsidR="00DD6E83">
        <w:rPr>
          <w:rFonts w:ascii="Arial" w:eastAsia="Times New Roman" w:hAnsi="Arial" w:cs="Arial"/>
          <w:color w:val="595959" w:themeColor="text1" w:themeTint="A6"/>
        </w:rPr>
        <w:t>35</w:t>
      </w:r>
      <w:r w:rsidRPr="0054039C">
        <w:rPr>
          <w:rFonts w:ascii="Arial" w:eastAsia="Times New Roman" w:hAnsi="Arial" w:cs="Arial"/>
          <w:color w:val="595959" w:themeColor="text1" w:themeTint="A6"/>
        </w:rPr>
        <w:t xml:space="preserve">). A significant increase in COL1A1 abundance was also seen at 24 h + 14 day with treatment, 9.59 </w:t>
      </w:r>
      <w:r w:rsidRPr="0054039C">
        <w:rPr>
          <w:rFonts w:ascii="Arial" w:eastAsia="Times New Roman" w:hAnsi="Arial" w:cs="Arial"/>
          <w:color w:val="595959" w:themeColor="text1" w:themeTint="A6"/>
        </w:rPr>
        <w:sym w:font="Symbol" w:char="F0B1"/>
      </w:r>
      <w:r w:rsidRPr="0054039C">
        <w:rPr>
          <w:rFonts w:ascii="Arial" w:eastAsia="Times New Roman" w:hAnsi="Arial" w:cs="Arial"/>
          <w:color w:val="595959" w:themeColor="text1" w:themeTint="A6"/>
        </w:rPr>
        <w:t xml:space="preserve"> 2.51, p=0.0284, and at 72 h + 14-day in TGF</w:t>
      </w:r>
      <w:r w:rsidRPr="0054039C">
        <w:rPr>
          <w:rFonts w:ascii="Arial" w:eastAsia="Times New Roman" w:hAnsi="Arial" w:cs="Arial"/>
          <w:color w:val="595959" w:themeColor="text1" w:themeTint="A6"/>
        </w:rPr>
        <w:sym w:font="Symbol" w:char="F062"/>
      </w:r>
      <w:r w:rsidRPr="0054039C">
        <w:rPr>
          <w:rFonts w:ascii="Arial" w:eastAsia="Times New Roman" w:hAnsi="Arial" w:cs="Arial"/>
          <w:color w:val="595959" w:themeColor="text1" w:themeTint="A6"/>
        </w:rPr>
        <w:t xml:space="preserve">-1 treated CAF samples, with a fold-increase of 18.50 </w:t>
      </w:r>
      <w:r w:rsidRPr="0054039C">
        <w:rPr>
          <w:rFonts w:ascii="Arial" w:eastAsia="Times New Roman" w:hAnsi="Arial" w:cs="Arial"/>
          <w:color w:val="595959" w:themeColor="text1" w:themeTint="A6"/>
        </w:rPr>
        <w:sym w:font="Symbol" w:char="F0B1"/>
      </w:r>
      <w:r w:rsidRPr="0054039C">
        <w:rPr>
          <w:rFonts w:ascii="Arial" w:eastAsia="Times New Roman" w:hAnsi="Arial" w:cs="Arial"/>
          <w:color w:val="595959" w:themeColor="text1" w:themeTint="A6"/>
        </w:rPr>
        <w:t xml:space="preserve"> 1.57</w:t>
      </w:r>
      <w:r w:rsidR="00FB58B8">
        <w:rPr>
          <w:rFonts w:ascii="Arial" w:eastAsia="Times New Roman" w:hAnsi="Arial" w:cs="Arial"/>
          <w:color w:val="595959" w:themeColor="text1" w:themeTint="A6"/>
        </w:rPr>
        <w:t xml:space="preserve">, </w:t>
      </w:r>
      <w:r w:rsidRPr="0054039C">
        <w:rPr>
          <w:rFonts w:ascii="Arial" w:eastAsia="Times New Roman" w:hAnsi="Arial" w:cs="Arial"/>
          <w:color w:val="595959" w:themeColor="text1" w:themeTint="A6"/>
        </w:rPr>
        <w:t xml:space="preserve">p=0.0001. </w:t>
      </w:r>
    </w:p>
    <w:p w14:paraId="75CA02D6" w14:textId="494CB600" w:rsidR="0054039C" w:rsidRPr="0054039C" w:rsidRDefault="00DC07F1"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r>
        <w:rPr>
          <w:rFonts w:ascii="Arial" w:eastAsia="Times New Roman" w:hAnsi="Arial" w:cs="Arial"/>
          <w:bCs/>
          <w:noProof/>
          <w:color w:val="595959" w:themeColor="text1" w:themeTint="A6"/>
          <w:szCs w:val="24"/>
        </w:rPr>
        <w:drawing>
          <wp:anchor distT="0" distB="0" distL="114300" distR="114300" simplePos="0" relativeHeight="251674891" behindDoc="0" locked="0" layoutInCell="1" allowOverlap="1" wp14:anchorId="6FD6F9AA" wp14:editId="6AE726BC">
            <wp:simplePos x="0" y="0"/>
            <wp:positionH relativeFrom="column">
              <wp:posOffset>850232</wp:posOffset>
            </wp:positionH>
            <wp:positionV relativeFrom="paragraph">
              <wp:posOffset>13903</wp:posOffset>
            </wp:positionV>
            <wp:extent cx="4304030" cy="3999230"/>
            <wp:effectExtent l="0" t="0" r="0" b="0"/>
            <wp:wrapNone/>
            <wp:docPr id="5588" name="Picture 5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304030" cy="3999230"/>
                    </a:xfrm>
                    <a:prstGeom prst="rect">
                      <a:avLst/>
                    </a:prstGeom>
                    <a:noFill/>
                  </pic:spPr>
                </pic:pic>
              </a:graphicData>
            </a:graphic>
          </wp:anchor>
        </w:drawing>
      </w:r>
    </w:p>
    <w:p w14:paraId="61DBB8C3" w14:textId="500AFCF8"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454BF5C5" w14:textId="604B7176"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0E2053BF"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09397D50"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7D891F01"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10776B5E"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505EAE51"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5B5249F7"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7EEC8230"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524B5622"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2F34495E"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03EF6E06"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135C8B9D"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6064B8AF"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130E09B0" w14:textId="61836DDB"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1C965EEF" w14:textId="0A1A56AF" w:rsidR="0054039C" w:rsidRPr="0054039C" w:rsidRDefault="00425073"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r w:rsidRPr="0054039C">
        <w:rPr>
          <w:rFonts w:ascii="Arial" w:hAnsi="Arial" w:cs="Arial"/>
          <w:noProof/>
          <w:color w:val="595959" w:themeColor="text1" w:themeTint="A6"/>
          <w:sz w:val="24"/>
          <w:szCs w:val="24"/>
          <w:lang w:eastAsia="zh-CN"/>
        </w:rPr>
        <mc:AlternateContent>
          <mc:Choice Requires="wps">
            <w:drawing>
              <wp:anchor distT="0" distB="0" distL="114300" distR="114300" simplePos="0" relativeHeight="251658311" behindDoc="0" locked="0" layoutInCell="1" allowOverlap="1" wp14:anchorId="3E4FC04B" wp14:editId="52A193BB">
                <wp:simplePos x="0" y="0"/>
                <wp:positionH relativeFrom="margin">
                  <wp:align>right</wp:align>
                </wp:positionH>
                <wp:positionV relativeFrom="paragraph">
                  <wp:posOffset>162119</wp:posOffset>
                </wp:positionV>
                <wp:extent cx="5734050" cy="1390650"/>
                <wp:effectExtent l="0" t="0" r="0" b="0"/>
                <wp:wrapNone/>
                <wp:docPr id="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1390650"/>
                        </a:xfrm>
                        <a:prstGeom prst="rect">
                          <a:avLst/>
                        </a:prstGeom>
                        <a:solidFill>
                          <a:srgbClr val="FFFFFF"/>
                        </a:solidFill>
                        <a:ln w="9525">
                          <a:noFill/>
                          <a:miter lim="800000"/>
                          <a:headEnd/>
                          <a:tailEnd/>
                        </a:ln>
                      </wps:spPr>
                      <wps:txbx>
                        <w:txbxContent>
                          <w:p w14:paraId="4F88DDC9" w14:textId="07C9D38B" w:rsidR="008A47AC" w:rsidRDefault="008A47AC" w:rsidP="0054039C">
                            <w:pPr>
                              <w:pStyle w:val="NormalWeb"/>
                              <w:spacing w:after="200"/>
                              <w:jc w:val="both"/>
                              <w:rPr>
                                <w:rFonts w:ascii="Arial Narrow" w:eastAsia="SimSun" w:hAnsi="Arial Narrow" w:cs="Arial"/>
                                <w:b/>
                                <w:bCs/>
                                <w:color w:val="595959"/>
                                <w:kern w:val="24"/>
                                <w:sz w:val="22"/>
                                <w:szCs w:val="22"/>
                              </w:rPr>
                            </w:pPr>
                            <w:r>
                              <w:rPr>
                                <w:rFonts w:ascii="Arial Narrow" w:eastAsia="SimSun" w:hAnsi="Arial Narrow" w:cs="Arial"/>
                                <w:b/>
                                <w:bCs/>
                                <w:color w:val="595959"/>
                                <w:kern w:val="24"/>
                                <w:sz w:val="22"/>
                                <w:szCs w:val="22"/>
                              </w:rPr>
                              <w:t xml:space="preserve">Figure 3.35 Immunoblotting for COL1A1 abundance in CAF with and without TGFβ-1 stimulation </w:t>
                            </w:r>
                          </w:p>
                          <w:p w14:paraId="50B1350C" w14:textId="77777777" w:rsidR="008A47AC" w:rsidRPr="00A6564F" w:rsidRDefault="008A47AC" w:rsidP="0054039C">
                            <w:pPr>
                              <w:pStyle w:val="NormalWeb"/>
                              <w:spacing w:after="200" w:line="276" w:lineRule="auto"/>
                              <w:jc w:val="both"/>
                              <w:rPr>
                                <w:rFonts w:ascii="Arial Narrow" w:eastAsia="SimSun" w:hAnsi="Arial Narrow" w:cs="Arial"/>
                                <w:color w:val="595959"/>
                                <w:kern w:val="24"/>
                                <w:sz w:val="22"/>
                              </w:rPr>
                            </w:pPr>
                            <w:r>
                              <w:rPr>
                                <w:rFonts w:ascii="Arial Narrow" w:eastAsia="SimSun" w:hAnsi="Arial Narrow" w:cs="Arial"/>
                                <w:color w:val="595959"/>
                                <w:kern w:val="24"/>
                                <w:sz w:val="22"/>
                              </w:rPr>
                              <w:t xml:space="preserve">CAF 2D monolayers were treated with </w:t>
                            </w:r>
                            <w:r w:rsidRPr="00944EBD">
                              <w:rPr>
                                <w:rFonts w:ascii="Arial Narrow" w:eastAsia="SimSun" w:hAnsi="Arial Narrow" w:cs="Arial"/>
                                <w:color w:val="595959"/>
                                <w:kern w:val="24"/>
                                <w:sz w:val="22"/>
                              </w:rPr>
                              <w:t xml:space="preserve">TGFβ-1 </w:t>
                            </w:r>
                            <w:r>
                              <w:rPr>
                                <w:rFonts w:ascii="Arial Narrow" w:eastAsia="SimSun" w:hAnsi="Arial Narrow" w:cs="Arial"/>
                                <w:color w:val="595959"/>
                                <w:kern w:val="24"/>
                                <w:sz w:val="22"/>
                              </w:rPr>
                              <w:t xml:space="preserve">for up to 72 h + 14 days with COLA1 protein levels determined using immunoblotting (A). Densitometry of the resultant bands were measured using ImageJ and the intensity measured relative to GAPDH controls (B).  Data is expressed as relative fold change, with mean ± SD, N=3, n=2, * denotes p &lt;0.05, *** p &lt;0.001 and **** p &lt;0.0001 analysed by Kruskal-Wallis test with Dunn’s multiple comparison test.  </w:t>
                            </w:r>
                          </w:p>
                          <w:p w14:paraId="394CDCB6" w14:textId="77777777" w:rsidR="008A47AC" w:rsidRPr="00C61619" w:rsidRDefault="008A47AC" w:rsidP="0054039C">
                            <w:pPr>
                              <w:pStyle w:val="NormalWeb"/>
                              <w:spacing w:after="200" w:line="276" w:lineRule="auto"/>
                              <w:jc w:val="both"/>
                              <w:rPr>
                                <w:rFonts w:ascii="Arial Narrow" w:eastAsia="SimSun" w:hAnsi="Arial Narrow" w:cs="Arial"/>
                                <w:color w:val="595959"/>
                                <w:kern w:val="24"/>
                                <w:sz w:val="22"/>
                                <w:szCs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4FC04B" id="_x0000_s1111" type="#_x0000_t202" style="position:absolute;left:0;text-align:left;margin-left:400.3pt;margin-top:12.75pt;width:451.5pt;height:109.5pt;z-index:251658311;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" stroked="f">
                <v:textbox>
                  <w:txbxContent>
                    <w:p w14:paraId="4F88DDC9" w14:textId="07C9D38B" w:rsidR="008A47AC" w:rsidRDefault="008A47AC" w:rsidP="0054039C">
                      <w:pPr>
                        <w:pStyle w:val="NormalWeb"/>
                        <w:spacing w:after="200"/>
                        <w:jc w:val="both"/>
                        <w:rPr>
                          <w:rFonts w:ascii="Arial Narrow" w:eastAsia="SimSun" w:hAnsi="Arial Narrow" w:cs="Arial"/>
                          <w:b/>
                          <w:bCs/>
                          <w:color w:val="595959"/>
                          <w:kern w:val="24"/>
                          <w:sz w:val="22"/>
                          <w:szCs w:val="22"/>
                        </w:rPr>
                      </w:pPr>
                      <w:r>
                        <w:rPr>
                          <w:rFonts w:ascii="Arial Narrow" w:eastAsia="SimSun" w:hAnsi="Arial Narrow" w:cs="Arial"/>
                          <w:b/>
                          <w:bCs/>
                          <w:color w:val="595959"/>
                          <w:kern w:val="24"/>
                          <w:sz w:val="22"/>
                          <w:szCs w:val="22"/>
                        </w:rPr>
                        <w:t xml:space="preserve">Figure 3.35 Immunoblotting for COL1A1 abundance in CAF with and without TGFβ-1 stimulation </w:t>
                      </w:r>
                    </w:p>
                    <w:p w14:paraId="50B1350C" w14:textId="77777777" w:rsidR="008A47AC" w:rsidRPr="00A6564F" w:rsidRDefault="008A47AC" w:rsidP="0054039C">
                      <w:pPr>
                        <w:pStyle w:val="NormalWeb"/>
                        <w:spacing w:after="200" w:line="276" w:lineRule="auto"/>
                        <w:jc w:val="both"/>
                        <w:rPr>
                          <w:rFonts w:ascii="Arial Narrow" w:eastAsia="SimSun" w:hAnsi="Arial Narrow" w:cs="Arial"/>
                          <w:color w:val="595959"/>
                          <w:kern w:val="24"/>
                          <w:sz w:val="22"/>
                        </w:rPr>
                      </w:pPr>
                      <w:r>
                        <w:rPr>
                          <w:rFonts w:ascii="Arial Narrow" w:eastAsia="SimSun" w:hAnsi="Arial Narrow" w:cs="Arial"/>
                          <w:color w:val="595959"/>
                          <w:kern w:val="24"/>
                          <w:sz w:val="22"/>
                        </w:rPr>
                        <w:t xml:space="preserve">CAF 2D monolayers were treated with </w:t>
                      </w:r>
                      <w:r w:rsidRPr="00944EBD">
                        <w:rPr>
                          <w:rFonts w:ascii="Arial Narrow" w:eastAsia="SimSun" w:hAnsi="Arial Narrow" w:cs="Arial"/>
                          <w:color w:val="595959"/>
                          <w:kern w:val="24"/>
                          <w:sz w:val="22"/>
                        </w:rPr>
                        <w:t xml:space="preserve">TGFβ-1 </w:t>
                      </w:r>
                      <w:r>
                        <w:rPr>
                          <w:rFonts w:ascii="Arial Narrow" w:eastAsia="SimSun" w:hAnsi="Arial Narrow" w:cs="Arial"/>
                          <w:color w:val="595959"/>
                          <w:kern w:val="24"/>
                          <w:sz w:val="22"/>
                        </w:rPr>
                        <w:t xml:space="preserve">for up to 72 h + 14 days with COLA1 protein levels determined using immunoblotting (A). Densitometry of the resultant bands were measured using ImageJ and the intensity measured relative to GAPDH controls (B).  Data is expressed as relative fold change, with mean ± SD, N=3, n=2, * denotes p &lt;0.05, *** p &lt;0.001 and **** p &lt;0.0001 analysed by Kruskal-Wallis test with Dunn’s multiple comparison test.  </w:t>
                      </w:r>
                    </w:p>
                    <w:p w14:paraId="394CDCB6" w14:textId="77777777" w:rsidR="008A47AC" w:rsidRPr="00C61619" w:rsidRDefault="008A47AC" w:rsidP="0054039C">
                      <w:pPr>
                        <w:pStyle w:val="NormalWeb"/>
                        <w:spacing w:after="200" w:line="276" w:lineRule="auto"/>
                        <w:jc w:val="both"/>
                        <w:rPr>
                          <w:rFonts w:ascii="Arial Narrow" w:eastAsia="SimSun" w:hAnsi="Arial Narrow" w:cs="Arial"/>
                          <w:color w:val="595959"/>
                          <w:kern w:val="24"/>
                          <w:sz w:val="22"/>
                          <w:szCs w:val="22"/>
                        </w:rPr>
                      </w:pPr>
                    </w:p>
                  </w:txbxContent>
                </v:textbox>
                <w10:wrap anchorx="margin"/>
              </v:shape>
            </w:pict>
          </mc:Fallback>
        </mc:AlternateContent>
      </w:r>
    </w:p>
    <w:p w14:paraId="4FC4C0ED"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4A2A3696"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507D074F"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678E5456" w14:textId="77777777" w:rsidR="0054039C" w:rsidRPr="0054039C" w:rsidRDefault="0054039C" w:rsidP="0054039C">
      <w:pPr>
        <w:spacing w:line="480" w:lineRule="auto"/>
        <w:jc w:val="both"/>
        <w:rPr>
          <w:rFonts w:ascii="Arial" w:eastAsia="Times New Roman" w:hAnsi="Arial" w:cs="Arial"/>
          <w:bCs/>
          <w:color w:val="595959" w:themeColor="text1" w:themeTint="A6"/>
          <w:szCs w:val="24"/>
        </w:rPr>
      </w:pPr>
    </w:p>
    <w:p w14:paraId="5A4663FF" w14:textId="77777777" w:rsidR="0054039C" w:rsidRPr="0054039C" w:rsidRDefault="0054039C" w:rsidP="0054039C">
      <w:pPr>
        <w:keepNext/>
        <w:keepLines/>
        <w:spacing w:before="40" w:after="0"/>
        <w:outlineLvl w:val="4"/>
        <w:rPr>
          <w:rFonts w:ascii="Arial" w:eastAsia="Times New Roman" w:hAnsi="Arial" w:cs="Arial"/>
          <w:color w:val="595959" w:themeColor="text1" w:themeTint="A6"/>
        </w:rPr>
      </w:pPr>
      <w:bookmarkStart w:id="324" w:name="_Toc7107283"/>
      <w:bookmarkStart w:id="325" w:name="_Toc34208389"/>
      <w:r w:rsidRPr="0054039C">
        <w:rPr>
          <w:rFonts w:ascii="Arial" w:eastAsia="Times New Roman" w:hAnsi="Arial" w:cs="Arial"/>
          <w:color w:val="595959" w:themeColor="text1" w:themeTint="A6"/>
        </w:rPr>
        <w:lastRenderedPageBreak/>
        <w:t>3.3.4.2.3 FN1-EDA abundance in CAF long-term</w:t>
      </w:r>
      <w:bookmarkEnd w:id="324"/>
      <w:bookmarkEnd w:id="325"/>
    </w:p>
    <w:p w14:paraId="59771809" w14:textId="496852CD" w:rsidR="0054039C" w:rsidRPr="0054039C" w:rsidRDefault="0054039C" w:rsidP="0054039C"/>
    <w:p w14:paraId="48E1E869" w14:textId="4D9D62BA" w:rsidR="0054039C" w:rsidRPr="0054039C" w:rsidRDefault="0054039C" w:rsidP="0054039C">
      <w:pPr>
        <w:spacing w:line="480" w:lineRule="auto"/>
        <w:jc w:val="both"/>
        <w:rPr>
          <w:rFonts w:ascii="Arial" w:eastAsia="Times New Roman" w:hAnsi="Arial" w:cs="Arial"/>
          <w:color w:val="595959" w:themeColor="text1" w:themeTint="A6"/>
        </w:rPr>
      </w:pPr>
      <w:r w:rsidRPr="0054039C">
        <w:rPr>
          <w:rFonts w:ascii="Arial" w:eastAsia="Times New Roman" w:hAnsi="Arial" w:cs="Arial"/>
          <w:color w:val="595959" w:themeColor="text1" w:themeTint="A6"/>
        </w:rPr>
        <w:t>FN1-EDA</w:t>
      </w:r>
      <w:r w:rsidR="00E65CD3">
        <w:rPr>
          <w:rFonts w:ascii="Arial" w:eastAsia="Times New Roman" w:hAnsi="Arial" w:cs="Arial"/>
          <w:color w:val="595959" w:themeColor="text1" w:themeTint="A6"/>
        </w:rPr>
        <w:t xml:space="preserve"> was detectable</w:t>
      </w:r>
      <w:r w:rsidRPr="0054039C">
        <w:rPr>
          <w:rFonts w:ascii="Arial" w:eastAsia="Times New Roman" w:hAnsi="Arial" w:cs="Arial"/>
          <w:color w:val="595959" w:themeColor="text1" w:themeTint="A6"/>
        </w:rPr>
        <w:t xml:space="preserve"> in both vehicle control treated and TGF</w:t>
      </w:r>
      <w:r w:rsidRPr="0054039C">
        <w:rPr>
          <w:rFonts w:ascii="Arial" w:eastAsia="Times New Roman" w:hAnsi="Arial" w:cs="Arial"/>
          <w:color w:val="595959" w:themeColor="text1" w:themeTint="A6"/>
        </w:rPr>
        <w:sym w:font="Symbol" w:char="F062"/>
      </w:r>
      <w:r w:rsidRPr="0054039C">
        <w:rPr>
          <w:rFonts w:ascii="Arial" w:eastAsia="Times New Roman" w:hAnsi="Arial" w:cs="Arial"/>
          <w:color w:val="595959" w:themeColor="text1" w:themeTint="A6"/>
        </w:rPr>
        <w:t>-1 treated samples long-term</w:t>
      </w:r>
      <w:r w:rsidRPr="0054039C">
        <w:rPr>
          <w:rFonts w:ascii="Arial" w:eastAsia="Times New Roman" w:hAnsi="Arial" w:cs="Arial"/>
          <w:i/>
          <w:color w:val="595959" w:themeColor="text1" w:themeTint="A6"/>
        </w:rPr>
        <w:t>,</w:t>
      </w:r>
      <w:r w:rsidRPr="0054039C">
        <w:rPr>
          <w:rFonts w:ascii="Arial" w:eastAsia="Times New Roman" w:hAnsi="Arial" w:cs="Arial"/>
          <w:color w:val="595959" w:themeColor="text1" w:themeTint="A6"/>
        </w:rPr>
        <w:t xml:space="preserve"> with positive bands at 250 kDa for all samples analysed (Figure 3.</w:t>
      </w:r>
      <w:r w:rsidR="004C4CB4">
        <w:rPr>
          <w:rFonts w:ascii="Arial" w:eastAsia="Times New Roman" w:hAnsi="Arial" w:cs="Arial"/>
          <w:color w:val="595959" w:themeColor="text1" w:themeTint="A6"/>
        </w:rPr>
        <w:t>3</w:t>
      </w:r>
      <w:r w:rsidR="00DD6E83">
        <w:rPr>
          <w:rFonts w:ascii="Arial" w:eastAsia="Times New Roman" w:hAnsi="Arial" w:cs="Arial"/>
          <w:color w:val="595959" w:themeColor="text1" w:themeTint="A6"/>
        </w:rPr>
        <w:t>6</w:t>
      </w:r>
      <w:r w:rsidR="003932D1">
        <w:rPr>
          <w:rFonts w:ascii="Arial" w:eastAsia="Times New Roman" w:hAnsi="Arial" w:cs="Arial"/>
          <w:color w:val="595959" w:themeColor="text1" w:themeTint="A6"/>
        </w:rPr>
        <w:t xml:space="preserve"> A</w:t>
      </w:r>
      <w:r w:rsidRPr="0054039C">
        <w:rPr>
          <w:rFonts w:ascii="Arial" w:eastAsia="Times New Roman" w:hAnsi="Arial" w:cs="Arial"/>
          <w:color w:val="595959" w:themeColor="text1" w:themeTint="A6"/>
        </w:rPr>
        <w:t>). Abundance of FN1-EDA varied in TGF</w:t>
      </w:r>
      <w:r w:rsidRPr="0054039C">
        <w:rPr>
          <w:rFonts w:ascii="Arial" w:eastAsia="Times New Roman" w:hAnsi="Arial" w:cs="Arial"/>
          <w:color w:val="595959" w:themeColor="text1" w:themeTint="A6"/>
        </w:rPr>
        <w:sym w:font="Symbol" w:char="F062"/>
      </w:r>
      <w:r w:rsidRPr="0054039C">
        <w:rPr>
          <w:rFonts w:ascii="Arial" w:eastAsia="Times New Roman" w:hAnsi="Arial" w:cs="Arial"/>
          <w:color w:val="595959" w:themeColor="text1" w:themeTint="A6"/>
        </w:rPr>
        <w:t xml:space="preserve">-1 treated CAF populations but a significant increase in FN1-EDA protein was detected at 72 h + 14-day samples, with an increase of 4.54 </w:t>
      </w:r>
      <w:r w:rsidRPr="0054039C">
        <w:rPr>
          <w:rFonts w:ascii="Arial" w:eastAsia="Times New Roman" w:hAnsi="Arial" w:cs="Arial"/>
          <w:color w:val="595959" w:themeColor="text1" w:themeTint="A6"/>
        </w:rPr>
        <w:sym w:font="Symbol" w:char="F0B1"/>
      </w:r>
      <w:r w:rsidRPr="0054039C">
        <w:rPr>
          <w:rFonts w:ascii="Arial" w:eastAsia="Times New Roman" w:hAnsi="Arial" w:cs="Arial"/>
          <w:color w:val="595959" w:themeColor="text1" w:themeTint="A6"/>
        </w:rPr>
        <w:t xml:space="preserve"> 2.30, p =0.0133, compared to 24 h + 14-day vehicle control treated samples (Figure 3.</w:t>
      </w:r>
      <w:r w:rsidR="00D57D01">
        <w:rPr>
          <w:rFonts w:ascii="Arial" w:eastAsia="Times New Roman" w:hAnsi="Arial" w:cs="Arial"/>
          <w:color w:val="595959" w:themeColor="text1" w:themeTint="A6"/>
        </w:rPr>
        <w:t>3</w:t>
      </w:r>
      <w:r w:rsidR="00DD6E83">
        <w:rPr>
          <w:rFonts w:ascii="Arial" w:eastAsia="Times New Roman" w:hAnsi="Arial" w:cs="Arial"/>
          <w:color w:val="595959" w:themeColor="text1" w:themeTint="A6"/>
        </w:rPr>
        <w:t>6</w:t>
      </w:r>
      <w:r w:rsidR="003932D1">
        <w:rPr>
          <w:rFonts w:ascii="Arial" w:eastAsia="Times New Roman" w:hAnsi="Arial" w:cs="Arial"/>
          <w:color w:val="595959" w:themeColor="text1" w:themeTint="A6"/>
        </w:rPr>
        <w:t xml:space="preserve"> B</w:t>
      </w:r>
      <w:r w:rsidRPr="0054039C">
        <w:rPr>
          <w:rFonts w:ascii="Arial" w:eastAsia="Times New Roman" w:hAnsi="Arial" w:cs="Arial"/>
          <w:color w:val="595959" w:themeColor="text1" w:themeTint="A6"/>
        </w:rPr>
        <w:t xml:space="preserve">). </w:t>
      </w:r>
    </w:p>
    <w:p w14:paraId="1D9DE780" w14:textId="64D9FD70" w:rsidR="0054039C" w:rsidRPr="0054039C" w:rsidRDefault="002776F1"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r>
        <w:rPr>
          <w:rFonts w:ascii="Arial" w:eastAsia="Times New Roman" w:hAnsi="Arial" w:cs="Arial"/>
          <w:bCs/>
          <w:noProof/>
          <w:color w:val="595959" w:themeColor="text1" w:themeTint="A6"/>
          <w:szCs w:val="24"/>
        </w:rPr>
        <w:drawing>
          <wp:anchor distT="0" distB="0" distL="114300" distR="114300" simplePos="0" relativeHeight="251672843" behindDoc="0" locked="0" layoutInCell="1" allowOverlap="1" wp14:anchorId="006C4588" wp14:editId="19DCA767">
            <wp:simplePos x="0" y="0"/>
            <wp:positionH relativeFrom="margin">
              <wp:align>right</wp:align>
            </wp:positionH>
            <wp:positionV relativeFrom="paragraph">
              <wp:posOffset>136458</wp:posOffset>
            </wp:positionV>
            <wp:extent cx="4559935" cy="4828540"/>
            <wp:effectExtent l="0" t="0" r="0" b="0"/>
            <wp:wrapNone/>
            <wp:docPr id="5586" name="Picture 5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559935" cy="4828540"/>
                    </a:xfrm>
                    <a:prstGeom prst="rect">
                      <a:avLst/>
                    </a:prstGeom>
                    <a:noFill/>
                  </pic:spPr>
                </pic:pic>
              </a:graphicData>
            </a:graphic>
          </wp:anchor>
        </w:drawing>
      </w:r>
    </w:p>
    <w:p w14:paraId="4DC6EDCB" w14:textId="2FD1294E"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639D6BD8" w14:textId="60A807C4"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293F3B46" w14:textId="2F54D772"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79D1C54B" w14:textId="2FF4C439"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7F8AB86A"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07D1C98D"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162DD043"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769B49FE"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3E728332"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4A1FDA9F"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4312EE36"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48496F66"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44437778"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6B4B0125"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3777DE61"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0C9B057C"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322E1C25"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2DFA96D4"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0178FF43"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19E56251"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0FF98104"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r w:rsidRPr="0054039C">
        <w:rPr>
          <w:rFonts w:ascii="Arial" w:hAnsi="Arial" w:cs="Arial"/>
          <w:noProof/>
          <w:color w:val="595959" w:themeColor="text1" w:themeTint="A6"/>
          <w:sz w:val="24"/>
          <w:szCs w:val="24"/>
          <w:lang w:eastAsia="zh-CN"/>
        </w:rPr>
        <mc:AlternateContent>
          <mc:Choice Requires="wps">
            <w:drawing>
              <wp:anchor distT="0" distB="0" distL="114300" distR="114300" simplePos="0" relativeHeight="251658312" behindDoc="0" locked="0" layoutInCell="1" allowOverlap="1" wp14:anchorId="0E798453" wp14:editId="60B7B4A7">
                <wp:simplePos x="0" y="0"/>
                <wp:positionH relativeFrom="margin">
                  <wp:align>right</wp:align>
                </wp:positionH>
                <wp:positionV relativeFrom="paragraph">
                  <wp:posOffset>62865</wp:posOffset>
                </wp:positionV>
                <wp:extent cx="5724525" cy="1171575"/>
                <wp:effectExtent l="0" t="0" r="9525" b="9525"/>
                <wp:wrapNone/>
                <wp:docPr id="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1171575"/>
                        </a:xfrm>
                        <a:prstGeom prst="rect">
                          <a:avLst/>
                        </a:prstGeom>
                        <a:solidFill>
                          <a:srgbClr val="FFFFFF"/>
                        </a:solidFill>
                        <a:ln w="9525">
                          <a:noFill/>
                          <a:miter lim="800000"/>
                          <a:headEnd/>
                          <a:tailEnd/>
                        </a:ln>
                      </wps:spPr>
                      <wps:txbx>
                        <w:txbxContent>
                          <w:p w14:paraId="4971D239" w14:textId="786E010B" w:rsidR="008A47AC" w:rsidRDefault="008A47AC" w:rsidP="0054039C">
                            <w:pPr>
                              <w:pStyle w:val="NormalWeb"/>
                              <w:spacing w:after="200"/>
                              <w:jc w:val="both"/>
                              <w:rPr>
                                <w:rFonts w:ascii="Arial Narrow" w:eastAsia="SimSun" w:hAnsi="Arial Narrow" w:cs="Arial"/>
                                <w:b/>
                                <w:bCs/>
                                <w:color w:val="595959"/>
                                <w:kern w:val="24"/>
                                <w:sz w:val="22"/>
                                <w:szCs w:val="22"/>
                              </w:rPr>
                            </w:pPr>
                            <w:r>
                              <w:rPr>
                                <w:rFonts w:ascii="Arial Narrow" w:eastAsia="SimSun" w:hAnsi="Arial Narrow" w:cs="Arial"/>
                                <w:b/>
                                <w:bCs/>
                                <w:color w:val="595959"/>
                                <w:kern w:val="24"/>
                                <w:sz w:val="22"/>
                                <w:szCs w:val="22"/>
                              </w:rPr>
                              <w:t xml:space="preserve">Figure 3.36 Immunoblotting for FN1-EDA abundance in CAF with and without TGFβ-1 stimulation </w:t>
                            </w:r>
                          </w:p>
                          <w:p w14:paraId="2E9ABB36" w14:textId="77777777" w:rsidR="008A47AC" w:rsidRPr="00A6564F" w:rsidRDefault="008A47AC" w:rsidP="0054039C">
                            <w:pPr>
                              <w:pStyle w:val="NormalWeb"/>
                              <w:spacing w:after="200" w:line="276" w:lineRule="auto"/>
                              <w:jc w:val="both"/>
                              <w:rPr>
                                <w:rFonts w:ascii="Arial Narrow" w:eastAsia="SimSun" w:hAnsi="Arial Narrow" w:cs="Arial"/>
                                <w:color w:val="595959"/>
                                <w:kern w:val="24"/>
                                <w:sz w:val="22"/>
                              </w:rPr>
                            </w:pPr>
                            <w:r>
                              <w:rPr>
                                <w:rFonts w:ascii="Arial Narrow" w:eastAsia="SimSun" w:hAnsi="Arial Narrow" w:cs="Arial"/>
                                <w:color w:val="595959"/>
                                <w:kern w:val="24"/>
                                <w:sz w:val="22"/>
                              </w:rPr>
                              <w:t xml:space="preserve">CAF 2D monolayers were treated with </w:t>
                            </w:r>
                            <w:r w:rsidRPr="00944EBD">
                              <w:rPr>
                                <w:rFonts w:ascii="Arial Narrow" w:eastAsia="SimSun" w:hAnsi="Arial Narrow" w:cs="Arial"/>
                                <w:color w:val="595959"/>
                                <w:kern w:val="24"/>
                                <w:sz w:val="22"/>
                              </w:rPr>
                              <w:t xml:space="preserve">TGFβ-1 </w:t>
                            </w:r>
                            <w:r>
                              <w:rPr>
                                <w:rFonts w:ascii="Arial Narrow" w:eastAsia="SimSun" w:hAnsi="Arial Narrow" w:cs="Arial"/>
                                <w:color w:val="595959"/>
                                <w:kern w:val="24"/>
                                <w:sz w:val="22"/>
                              </w:rPr>
                              <w:t xml:space="preserve">for up to 72 h + 14 days with FN1-EDA protein levels determined using immunoblotting (A). Densitometry of the resultant bands were measured using ImageJ and the intensity measured relative to GAPDH controls (B).  Data is expressed as relative fold change, with mean ± SD, N=3, n=2, * denotes p &lt;0.05 analysed by Kruskal-Wallis test with Dunn’s multiple comparison test.  </w:t>
                            </w:r>
                          </w:p>
                          <w:p w14:paraId="010CCCAE" w14:textId="77777777" w:rsidR="008A47AC" w:rsidRPr="00C61619" w:rsidRDefault="008A47AC" w:rsidP="0054039C">
                            <w:pPr>
                              <w:pStyle w:val="NormalWeb"/>
                              <w:spacing w:after="200"/>
                              <w:jc w:val="both"/>
                              <w:rPr>
                                <w:rFonts w:ascii="Arial Narrow" w:eastAsia="SimSun" w:hAnsi="Arial Narrow" w:cs="Arial"/>
                                <w:color w:val="595959"/>
                                <w:kern w:val="24"/>
                                <w:sz w:val="22"/>
                                <w:szCs w:val="22"/>
                              </w:rPr>
                            </w:pPr>
                          </w:p>
                          <w:p w14:paraId="6314DC51" w14:textId="77777777" w:rsidR="008A47AC" w:rsidRPr="00C61619" w:rsidRDefault="008A47AC" w:rsidP="0054039C">
                            <w:pPr>
                              <w:pStyle w:val="NormalWeb"/>
                              <w:spacing w:after="200" w:line="276" w:lineRule="auto"/>
                              <w:jc w:val="both"/>
                              <w:rPr>
                                <w:rFonts w:ascii="Arial Narrow" w:eastAsia="SimSun" w:hAnsi="Arial Narrow" w:cs="Arial"/>
                                <w:color w:val="595959"/>
                                <w:kern w:val="24"/>
                                <w:sz w:val="22"/>
                                <w:szCs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798453" id="_x0000_s1112" type="#_x0000_t202" style="position:absolute;left:0;text-align:left;margin-left:399.55pt;margin-top:4.95pt;width:450.75pt;height:92.25pt;z-index:2516583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" stroked="f">
                <v:textbox>
                  <w:txbxContent>
                    <w:p w14:paraId="4971D239" w14:textId="786E010B" w:rsidR="008A47AC" w:rsidRDefault="008A47AC" w:rsidP="0054039C">
                      <w:pPr>
                        <w:pStyle w:val="NormalWeb"/>
                        <w:spacing w:after="200"/>
                        <w:jc w:val="both"/>
                        <w:rPr>
                          <w:rFonts w:ascii="Arial Narrow" w:eastAsia="SimSun" w:hAnsi="Arial Narrow" w:cs="Arial"/>
                          <w:b/>
                          <w:bCs/>
                          <w:color w:val="595959"/>
                          <w:kern w:val="24"/>
                          <w:sz w:val="22"/>
                          <w:szCs w:val="22"/>
                        </w:rPr>
                      </w:pPr>
                      <w:r>
                        <w:rPr>
                          <w:rFonts w:ascii="Arial Narrow" w:eastAsia="SimSun" w:hAnsi="Arial Narrow" w:cs="Arial"/>
                          <w:b/>
                          <w:bCs/>
                          <w:color w:val="595959"/>
                          <w:kern w:val="24"/>
                          <w:sz w:val="22"/>
                          <w:szCs w:val="22"/>
                        </w:rPr>
                        <w:t xml:space="preserve">Figure 3.36 Immunoblotting for FN1-EDA abundance in CAF with and without TGFβ-1 stimulation </w:t>
                      </w:r>
                    </w:p>
                    <w:p w14:paraId="2E9ABB36" w14:textId="77777777" w:rsidR="008A47AC" w:rsidRPr="00A6564F" w:rsidRDefault="008A47AC" w:rsidP="0054039C">
                      <w:pPr>
                        <w:pStyle w:val="NormalWeb"/>
                        <w:spacing w:after="200" w:line="276" w:lineRule="auto"/>
                        <w:jc w:val="both"/>
                        <w:rPr>
                          <w:rFonts w:ascii="Arial Narrow" w:eastAsia="SimSun" w:hAnsi="Arial Narrow" w:cs="Arial"/>
                          <w:color w:val="595959"/>
                          <w:kern w:val="24"/>
                          <w:sz w:val="22"/>
                        </w:rPr>
                      </w:pPr>
                      <w:r>
                        <w:rPr>
                          <w:rFonts w:ascii="Arial Narrow" w:eastAsia="SimSun" w:hAnsi="Arial Narrow" w:cs="Arial"/>
                          <w:color w:val="595959"/>
                          <w:kern w:val="24"/>
                          <w:sz w:val="22"/>
                        </w:rPr>
                        <w:t xml:space="preserve">CAF 2D monolayers were treated with </w:t>
                      </w:r>
                      <w:r w:rsidRPr="00944EBD">
                        <w:rPr>
                          <w:rFonts w:ascii="Arial Narrow" w:eastAsia="SimSun" w:hAnsi="Arial Narrow" w:cs="Arial"/>
                          <w:color w:val="595959"/>
                          <w:kern w:val="24"/>
                          <w:sz w:val="22"/>
                        </w:rPr>
                        <w:t xml:space="preserve">TGFβ-1 </w:t>
                      </w:r>
                      <w:r>
                        <w:rPr>
                          <w:rFonts w:ascii="Arial Narrow" w:eastAsia="SimSun" w:hAnsi="Arial Narrow" w:cs="Arial"/>
                          <w:color w:val="595959"/>
                          <w:kern w:val="24"/>
                          <w:sz w:val="22"/>
                        </w:rPr>
                        <w:t xml:space="preserve">for up to 72 h + 14 days with FN1-EDA protein levels determined using immunoblotting (A). Densitometry of the resultant bands were measured using ImageJ and the intensity measured relative to GAPDH controls (B).  Data is expressed as relative fold change, with mean ± SD, N=3, n=2, * denotes p &lt;0.05 analysed by Kruskal-Wallis test with Dunn’s multiple comparison test.  </w:t>
                      </w:r>
                    </w:p>
                    <w:p w14:paraId="010CCCAE" w14:textId="77777777" w:rsidR="008A47AC" w:rsidRPr="00C61619" w:rsidRDefault="008A47AC" w:rsidP="0054039C">
                      <w:pPr>
                        <w:pStyle w:val="NormalWeb"/>
                        <w:spacing w:after="200"/>
                        <w:jc w:val="both"/>
                        <w:rPr>
                          <w:rFonts w:ascii="Arial Narrow" w:eastAsia="SimSun" w:hAnsi="Arial Narrow" w:cs="Arial"/>
                          <w:color w:val="595959"/>
                          <w:kern w:val="24"/>
                          <w:sz w:val="22"/>
                          <w:szCs w:val="22"/>
                        </w:rPr>
                      </w:pPr>
                    </w:p>
                    <w:p w14:paraId="6314DC51" w14:textId="77777777" w:rsidR="008A47AC" w:rsidRPr="00C61619" w:rsidRDefault="008A47AC" w:rsidP="0054039C">
                      <w:pPr>
                        <w:pStyle w:val="NormalWeb"/>
                        <w:spacing w:after="200" w:line="276" w:lineRule="auto"/>
                        <w:jc w:val="both"/>
                        <w:rPr>
                          <w:rFonts w:ascii="Arial Narrow" w:eastAsia="SimSun" w:hAnsi="Arial Narrow" w:cs="Arial"/>
                          <w:color w:val="595959"/>
                          <w:kern w:val="24"/>
                          <w:sz w:val="22"/>
                          <w:szCs w:val="22"/>
                        </w:rPr>
                      </w:pPr>
                    </w:p>
                  </w:txbxContent>
                </v:textbox>
                <w10:wrap anchorx="margin"/>
              </v:shape>
            </w:pict>
          </mc:Fallback>
        </mc:AlternateContent>
      </w:r>
    </w:p>
    <w:p w14:paraId="71D72F49"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673DE7E2"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4CF5C1F6"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0B1ED3AF" w14:textId="77777777" w:rsidR="0054039C" w:rsidRPr="0054039C" w:rsidRDefault="0054039C" w:rsidP="0054039C">
      <w:pPr>
        <w:spacing w:line="480" w:lineRule="auto"/>
        <w:jc w:val="both"/>
        <w:rPr>
          <w:rFonts w:ascii="Arial" w:eastAsia="Times New Roman" w:hAnsi="Arial" w:cs="Arial"/>
          <w:bCs/>
          <w:color w:val="595959" w:themeColor="text1" w:themeTint="A6"/>
          <w:szCs w:val="24"/>
        </w:rPr>
      </w:pPr>
    </w:p>
    <w:p w14:paraId="38ABA7D5" w14:textId="77777777" w:rsidR="0054039C" w:rsidRPr="0054039C" w:rsidRDefault="0054039C" w:rsidP="0054039C">
      <w:pPr>
        <w:keepNext/>
        <w:keepLines/>
        <w:spacing w:before="40" w:after="0"/>
        <w:outlineLvl w:val="4"/>
        <w:rPr>
          <w:rFonts w:ascii="Arial" w:eastAsia="Times New Roman" w:hAnsi="Arial" w:cs="Arial"/>
          <w:color w:val="595959" w:themeColor="text1" w:themeTint="A6"/>
        </w:rPr>
      </w:pPr>
      <w:bookmarkStart w:id="326" w:name="_Toc7107284"/>
      <w:bookmarkStart w:id="327" w:name="_Toc34208390"/>
      <w:r w:rsidRPr="0054039C">
        <w:rPr>
          <w:rFonts w:ascii="Arial" w:eastAsia="Times New Roman" w:hAnsi="Arial" w:cs="Arial"/>
          <w:color w:val="595959" w:themeColor="text1" w:themeTint="A6"/>
        </w:rPr>
        <w:lastRenderedPageBreak/>
        <w:t>3.3.4.2.4 VCAN abundance in CAF long-term</w:t>
      </w:r>
      <w:bookmarkEnd w:id="326"/>
      <w:bookmarkEnd w:id="327"/>
    </w:p>
    <w:p w14:paraId="2C526641" w14:textId="77777777" w:rsidR="0054039C" w:rsidRPr="0054039C" w:rsidRDefault="0054039C" w:rsidP="0054039C"/>
    <w:p w14:paraId="70299737" w14:textId="5FA1D28D" w:rsidR="0054039C" w:rsidRPr="0054039C" w:rsidRDefault="0054039C" w:rsidP="0054039C">
      <w:pPr>
        <w:spacing w:line="480" w:lineRule="auto"/>
        <w:jc w:val="both"/>
        <w:rPr>
          <w:rFonts w:ascii="Arial" w:eastAsia="Times New Roman" w:hAnsi="Arial" w:cs="Arial"/>
          <w:color w:val="595959" w:themeColor="text1" w:themeTint="A6"/>
        </w:rPr>
      </w:pPr>
      <w:r w:rsidRPr="0054039C">
        <w:rPr>
          <w:rFonts w:ascii="Arial" w:eastAsia="Times New Roman" w:hAnsi="Arial" w:cs="Arial"/>
          <w:color w:val="595959" w:themeColor="text1" w:themeTint="A6"/>
        </w:rPr>
        <w:t>Relative VCAN abundance was increased in CAF with the treatment of TGF</w:t>
      </w:r>
      <w:r w:rsidRPr="0054039C">
        <w:rPr>
          <w:rFonts w:ascii="Arial" w:eastAsia="Times New Roman" w:hAnsi="Arial" w:cs="Arial"/>
          <w:color w:val="595959" w:themeColor="text1" w:themeTint="A6"/>
        </w:rPr>
        <w:sym w:font="Symbol" w:char="F062"/>
      </w:r>
      <w:r w:rsidRPr="0054039C">
        <w:rPr>
          <w:rFonts w:ascii="Arial" w:eastAsia="Times New Roman" w:hAnsi="Arial" w:cs="Arial"/>
          <w:color w:val="595959" w:themeColor="text1" w:themeTint="A6"/>
        </w:rPr>
        <w:t xml:space="preserve">-1 long-term </w:t>
      </w:r>
      <w:r w:rsidRPr="0054039C">
        <w:rPr>
          <w:rFonts w:ascii="Arial" w:eastAsia="Times New Roman" w:hAnsi="Arial" w:cs="Arial"/>
          <w:i/>
          <w:color w:val="595959" w:themeColor="text1" w:themeTint="A6"/>
        </w:rPr>
        <w:t>in vitro</w:t>
      </w:r>
      <w:r w:rsidRPr="0054039C">
        <w:rPr>
          <w:rFonts w:ascii="Arial" w:eastAsia="Times New Roman" w:hAnsi="Arial" w:cs="Arial"/>
          <w:color w:val="595959" w:themeColor="text1" w:themeTint="A6"/>
        </w:rPr>
        <w:t xml:space="preserve"> (Figure 3.</w:t>
      </w:r>
      <w:r w:rsidR="00D57D01">
        <w:rPr>
          <w:rFonts w:ascii="Arial" w:eastAsia="Times New Roman" w:hAnsi="Arial" w:cs="Arial"/>
          <w:color w:val="595959" w:themeColor="text1" w:themeTint="A6"/>
        </w:rPr>
        <w:t>3</w:t>
      </w:r>
      <w:r w:rsidR="003932D1">
        <w:rPr>
          <w:rFonts w:ascii="Arial" w:eastAsia="Times New Roman" w:hAnsi="Arial" w:cs="Arial"/>
          <w:color w:val="595959" w:themeColor="text1" w:themeTint="A6"/>
        </w:rPr>
        <w:t>7</w:t>
      </w:r>
      <w:r w:rsidR="00D57D01">
        <w:rPr>
          <w:rFonts w:ascii="Arial" w:eastAsia="Times New Roman" w:hAnsi="Arial" w:cs="Arial"/>
          <w:color w:val="595959" w:themeColor="text1" w:themeTint="A6"/>
        </w:rPr>
        <w:t xml:space="preserve"> A</w:t>
      </w:r>
      <w:r w:rsidRPr="0054039C">
        <w:rPr>
          <w:rFonts w:ascii="Arial" w:eastAsia="Times New Roman" w:hAnsi="Arial" w:cs="Arial"/>
          <w:color w:val="595959" w:themeColor="text1" w:themeTint="A6"/>
        </w:rPr>
        <w:t>). Densitometry of VCAN bands indicated that with TGF</w:t>
      </w:r>
      <w:r w:rsidRPr="0054039C">
        <w:rPr>
          <w:rFonts w:ascii="Arial" w:eastAsia="Times New Roman" w:hAnsi="Arial" w:cs="Arial"/>
          <w:color w:val="595959" w:themeColor="text1" w:themeTint="A6"/>
        </w:rPr>
        <w:sym w:font="Symbol" w:char="F062"/>
      </w:r>
      <w:r w:rsidRPr="0054039C">
        <w:rPr>
          <w:rFonts w:ascii="Arial" w:eastAsia="Times New Roman" w:hAnsi="Arial" w:cs="Arial"/>
          <w:color w:val="595959" w:themeColor="text1" w:themeTint="A6"/>
        </w:rPr>
        <w:t>-1 treatment a significant increase in VCAN was observed with the greatest abundance at the 24 h + 14-day with TGF</w:t>
      </w:r>
      <w:r w:rsidRPr="0054039C">
        <w:rPr>
          <w:rFonts w:ascii="Arial" w:eastAsia="Times New Roman" w:hAnsi="Arial" w:cs="Arial"/>
          <w:color w:val="595959" w:themeColor="text1" w:themeTint="A6"/>
        </w:rPr>
        <w:sym w:font="Symbol" w:char="F062"/>
      </w:r>
      <w:r w:rsidRPr="0054039C">
        <w:rPr>
          <w:rFonts w:ascii="Arial" w:eastAsia="Times New Roman" w:hAnsi="Arial" w:cs="Arial"/>
          <w:color w:val="595959" w:themeColor="text1" w:themeTint="A6"/>
        </w:rPr>
        <w:t xml:space="preserve">-1, with an increase of 9.53 </w:t>
      </w:r>
      <w:r w:rsidRPr="0054039C">
        <w:rPr>
          <w:rFonts w:ascii="Arial" w:eastAsia="Times New Roman" w:hAnsi="Arial" w:cs="Arial"/>
          <w:color w:val="595959" w:themeColor="text1" w:themeTint="A6"/>
        </w:rPr>
        <w:sym w:font="Symbol" w:char="F0B1"/>
      </w:r>
      <w:r w:rsidRPr="0054039C">
        <w:rPr>
          <w:rFonts w:ascii="Arial" w:eastAsia="Times New Roman" w:hAnsi="Arial" w:cs="Arial"/>
          <w:color w:val="595959" w:themeColor="text1" w:themeTint="A6"/>
        </w:rPr>
        <w:t xml:space="preserve"> 2.74, p=0.0005 compared to 24 h + 14-day control samples. Significant increases were also observed at 48 h- and 72 h- + 14-day with TGF</w:t>
      </w:r>
      <w:r w:rsidRPr="0054039C">
        <w:rPr>
          <w:rFonts w:ascii="Arial" w:eastAsia="Times New Roman" w:hAnsi="Arial" w:cs="Arial"/>
          <w:color w:val="595959" w:themeColor="text1" w:themeTint="A6"/>
        </w:rPr>
        <w:sym w:font="Symbol" w:char="F062"/>
      </w:r>
      <w:r w:rsidRPr="0054039C">
        <w:rPr>
          <w:rFonts w:ascii="Arial" w:eastAsia="Times New Roman" w:hAnsi="Arial" w:cs="Arial"/>
          <w:color w:val="595959" w:themeColor="text1" w:themeTint="A6"/>
        </w:rPr>
        <w:t xml:space="preserve">-1 treatment, of 8.56 </w:t>
      </w:r>
      <w:r w:rsidRPr="0054039C">
        <w:rPr>
          <w:rFonts w:ascii="Arial" w:eastAsia="Times New Roman" w:hAnsi="Arial" w:cs="Arial"/>
          <w:color w:val="595959" w:themeColor="text1" w:themeTint="A6"/>
        </w:rPr>
        <w:sym w:font="Symbol" w:char="F0B1"/>
      </w:r>
      <w:r w:rsidRPr="0054039C">
        <w:rPr>
          <w:rFonts w:ascii="Arial" w:eastAsia="Times New Roman" w:hAnsi="Arial" w:cs="Arial"/>
          <w:color w:val="595959" w:themeColor="text1" w:themeTint="A6"/>
        </w:rPr>
        <w:t xml:space="preserve"> 1.74, p=0.0014, and 7.41 </w:t>
      </w:r>
      <w:r w:rsidRPr="0054039C">
        <w:rPr>
          <w:rFonts w:ascii="Arial" w:eastAsia="Times New Roman" w:hAnsi="Arial" w:cs="Arial"/>
          <w:color w:val="595959" w:themeColor="text1" w:themeTint="A6"/>
        </w:rPr>
        <w:sym w:font="Symbol" w:char="F0B1"/>
      </w:r>
      <w:r w:rsidRPr="0054039C">
        <w:rPr>
          <w:rFonts w:ascii="Arial" w:eastAsia="Times New Roman" w:hAnsi="Arial" w:cs="Arial"/>
          <w:color w:val="595959" w:themeColor="text1" w:themeTint="A6"/>
        </w:rPr>
        <w:t xml:space="preserve"> 2.28, p=0.0051 respectively (Figure 3.</w:t>
      </w:r>
      <w:r w:rsidR="00A22D5F">
        <w:rPr>
          <w:rFonts w:ascii="Arial" w:eastAsia="Times New Roman" w:hAnsi="Arial" w:cs="Arial"/>
          <w:color w:val="595959" w:themeColor="text1" w:themeTint="A6"/>
        </w:rPr>
        <w:t>3</w:t>
      </w:r>
      <w:r w:rsidR="003932D1">
        <w:rPr>
          <w:rFonts w:ascii="Arial" w:eastAsia="Times New Roman" w:hAnsi="Arial" w:cs="Arial"/>
          <w:color w:val="595959" w:themeColor="text1" w:themeTint="A6"/>
        </w:rPr>
        <w:t>7</w:t>
      </w:r>
      <w:r w:rsidRPr="0054039C">
        <w:rPr>
          <w:rFonts w:ascii="Arial" w:eastAsia="Times New Roman" w:hAnsi="Arial" w:cs="Arial"/>
          <w:color w:val="595959" w:themeColor="text1" w:themeTint="A6"/>
        </w:rPr>
        <w:t xml:space="preserve"> B). </w:t>
      </w:r>
    </w:p>
    <w:p w14:paraId="069AFD63" w14:textId="672CD52D" w:rsidR="0054039C" w:rsidRPr="0054039C" w:rsidRDefault="0093392B"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r>
        <w:rPr>
          <w:rFonts w:ascii="Arial" w:eastAsia="Times New Roman" w:hAnsi="Arial" w:cs="Arial"/>
          <w:bCs/>
          <w:noProof/>
          <w:color w:val="595959" w:themeColor="text1" w:themeTint="A6"/>
          <w:szCs w:val="24"/>
        </w:rPr>
        <w:drawing>
          <wp:anchor distT="0" distB="0" distL="114300" distR="114300" simplePos="0" relativeHeight="251673867" behindDoc="0" locked="0" layoutInCell="1" allowOverlap="1" wp14:anchorId="2D808F11" wp14:editId="3DFB0BC5">
            <wp:simplePos x="0" y="0"/>
            <wp:positionH relativeFrom="margin">
              <wp:align>right</wp:align>
            </wp:positionH>
            <wp:positionV relativeFrom="paragraph">
              <wp:posOffset>165936</wp:posOffset>
            </wp:positionV>
            <wp:extent cx="4816475" cy="4456430"/>
            <wp:effectExtent l="0" t="0" r="0" b="0"/>
            <wp:wrapNone/>
            <wp:docPr id="5587" name="Picture 5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816475" cy="4456430"/>
                    </a:xfrm>
                    <a:prstGeom prst="rect">
                      <a:avLst/>
                    </a:prstGeom>
                    <a:noFill/>
                  </pic:spPr>
                </pic:pic>
              </a:graphicData>
            </a:graphic>
          </wp:anchor>
        </w:drawing>
      </w:r>
    </w:p>
    <w:p w14:paraId="02F781BB" w14:textId="48A7C491"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6C389056"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5106364B"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765DC02C"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05A24B87"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3E38311E"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0CC112C9"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65FA560D"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4FC410EE"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2FCA5CFE"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015E50A6"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1A4891A7"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6D0860A0"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756FBEDD"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5AFA19B2"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47B8B3C8"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13D5CBA3"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0BF1E6BD"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5A2D8ED1"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r w:rsidRPr="0054039C">
        <w:rPr>
          <w:rFonts w:ascii="Arial" w:hAnsi="Arial" w:cs="Arial"/>
          <w:noProof/>
          <w:color w:val="595959" w:themeColor="text1" w:themeTint="A6"/>
          <w:sz w:val="24"/>
          <w:szCs w:val="24"/>
          <w:lang w:eastAsia="zh-CN"/>
        </w:rPr>
        <mc:AlternateContent>
          <mc:Choice Requires="wps">
            <w:drawing>
              <wp:anchor distT="0" distB="0" distL="114300" distR="114300" simplePos="0" relativeHeight="251658314" behindDoc="0" locked="0" layoutInCell="1" allowOverlap="1" wp14:anchorId="169F8924" wp14:editId="762E5F45">
                <wp:simplePos x="0" y="0"/>
                <wp:positionH relativeFrom="margin">
                  <wp:align>right</wp:align>
                </wp:positionH>
                <wp:positionV relativeFrom="paragraph">
                  <wp:posOffset>240664</wp:posOffset>
                </wp:positionV>
                <wp:extent cx="5724525" cy="1438275"/>
                <wp:effectExtent l="0" t="0" r="9525" b="9525"/>
                <wp:wrapNone/>
                <wp:docPr id="15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1438275"/>
                        </a:xfrm>
                        <a:prstGeom prst="rect">
                          <a:avLst/>
                        </a:prstGeom>
                        <a:solidFill>
                          <a:srgbClr val="FFFFFF"/>
                        </a:solidFill>
                        <a:ln w="9525">
                          <a:noFill/>
                          <a:miter lim="800000"/>
                          <a:headEnd/>
                          <a:tailEnd/>
                        </a:ln>
                      </wps:spPr>
                      <wps:txbx>
                        <w:txbxContent>
                          <w:p w14:paraId="00855BD3" w14:textId="399AB0AA" w:rsidR="008A47AC" w:rsidRDefault="008A47AC" w:rsidP="0054039C">
                            <w:pPr>
                              <w:pStyle w:val="NormalWeb"/>
                              <w:spacing w:after="200"/>
                              <w:jc w:val="both"/>
                              <w:rPr>
                                <w:rFonts w:ascii="Arial Narrow" w:eastAsia="SimSun" w:hAnsi="Arial Narrow" w:cs="Arial"/>
                                <w:b/>
                                <w:bCs/>
                                <w:color w:val="595959"/>
                                <w:kern w:val="24"/>
                                <w:sz w:val="22"/>
                                <w:szCs w:val="22"/>
                              </w:rPr>
                            </w:pPr>
                            <w:r>
                              <w:rPr>
                                <w:rFonts w:ascii="Arial Narrow" w:eastAsia="SimSun" w:hAnsi="Arial Narrow" w:cs="Arial"/>
                                <w:b/>
                                <w:bCs/>
                                <w:color w:val="595959"/>
                                <w:kern w:val="24"/>
                                <w:sz w:val="22"/>
                                <w:szCs w:val="22"/>
                              </w:rPr>
                              <w:t xml:space="preserve">Figure 3.37 Immunoblotting for VCAN abundance in CAF with and without TGFβ-1 stimulation </w:t>
                            </w:r>
                          </w:p>
                          <w:p w14:paraId="17205405" w14:textId="77777777" w:rsidR="008A47AC" w:rsidRPr="00A6564F" w:rsidRDefault="008A47AC" w:rsidP="0054039C">
                            <w:pPr>
                              <w:pStyle w:val="NormalWeb"/>
                              <w:spacing w:after="200" w:line="276" w:lineRule="auto"/>
                              <w:jc w:val="both"/>
                              <w:rPr>
                                <w:rFonts w:ascii="Arial Narrow" w:eastAsia="SimSun" w:hAnsi="Arial Narrow" w:cs="Arial"/>
                                <w:color w:val="595959"/>
                                <w:kern w:val="24"/>
                                <w:sz w:val="22"/>
                              </w:rPr>
                            </w:pPr>
                            <w:r>
                              <w:rPr>
                                <w:rFonts w:ascii="Arial Narrow" w:eastAsia="SimSun" w:hAnsi="Arial Narrow" w:cs="Arial"/>
                                <w:color w:val="595959"/>
                                <w:kern w:val="24"/>
                                <w:sz w:val="22"/>
                              </w:rPr>
                              <w:t xml:space="preserve">CAF 2D monolayers were treated with </w:t>
                            </w:r>
                            <w:r w:rsidRPr="00944EBD">
                              <w:rPr>
                                <w:rFonts w:ascii="Arial Narrow" w:eastAsia="SimSun" w:hAnsi="Arial Narrow" w:cs="Arial"/>
                                <w:color w:val="595959"/>
                                <w:kern w:val="24"/>
                                <w:sz w:val="22"/>
                              </w:rPr>
                              <w:t xml:space="preserve">TGFβ-1 </w:t>
                            </w:r>
                            <w:r>
                              <w:rPr>
                                <w:rFonts w:ascii="Arial Narrow" w:eastAsia="SimSun" w:hAnsi="Arial Narrow" w:cs="Arial"/>
                                <w:color w:val="595959"/>
                                <w:kern w:val="24"/>
                                <w:sz w:val="22"/>
                              </w:rPr>
                              <w:t xml:space="preserve">for up to 72 h + 14 days with VCAN protein levels determined using immunoblotting (A). Densitometry of the resultant bands were measured using ImageJ and the intensity measured relative to GAPDH controls (B).  Data is expressed as relative fold change, with mean ± SD, N=3, n=2, ** denotes p &lt;0.01 and *** p &lt;0.001 analysed by Kruskal-Wallis test with Dunn’s multiple comparison test.  </w:t>
                            </w:r>
                          </w:p>
                          <w:p w14:paraId="4E43F74B" w14:textId="77777777" w:rsidR="008A47AC" w:rsidRPr="00C61619" w:rsidRDefault="008A47AC" w:rsidP="0054039C">
                            <w:pPr>
                              <w:pStyle w:val="NormalWeb"/>
                              <w:spacing w:after="200"/>
                              <w:jc w:val="both"/>
                              <w:rPr>
                                <w:rFonts w:ascii="Arial Narrow" w:eastAsia="SimSun" w:hAnsi="Arial Narrow" w:cs="Arial"/>
                                <w:color w:val="595959"/>
                                <w:kern w:val="24"/>
                                <w:sz w:val="22"/>
                                <w:szCs w:val="22"/>
                              </w:rPr>
                            </w:pPr>
                          </w:p>
                          <w:p w14:paraId="2072D56C" w14:textId="77777777" w:rsidR="008A47AC" w:rsidRPr="00C61619" w:rsidRDefault="008A47AC" w:rsidP="0054039C">
                            <w:pPr>
                              <w:pStyle w:val="NormalWeb"/>
                              <w:spacing w:after="200" w:line="276" w:lineRule="auto"/>
                              <w:jc w:val="both"/>
                              <w:rPr>
                                <w:rFonts w:ascii="Arial Narrow" w:eastAsia="SimSun" w:hAnsi="Arial Narrow" w:cs="Arial"/>
                                <w:color w:val="595959"/>
                                <w:kern w:val="24"/>
                                <w:sz w:val="22"/>
                                <w:szCs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9F8924" id="_x0000_s1113" type="#_x0000_t202" style="position:absolute;left:0;text-align:left;margin-left:399.55pt;margin-top:18.95pt;width:450.75pt;height:113.25pt;z-index:25165831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" stroked="f">
                <v:textbox>
                  <w:txbxContent>
                    <w:p w14:paraId="00855BD3" w14:textId="399AB0AA" w:rsidR="008A47AC" w:rsidRDefault="008A47AC" w:rsidP="0054039C">
                      <w:pPr>
                        <w:pStyle w:val="NormalWeb"/>
                        <w:spacing w:after="200"/>
                        <w:jc w:val="both"/>
                        <w:rPr>
                          <w:rFonts w:ascii="Arial Narrow" w:eastAsia="SimSun" w:hAnsi="Arial Narrow" w:cs="Arial"/>
                          <w:b/>
                          <w:bCs/>
                          <w:color w:val="595959"/>
                          <w:kern w:val="24"/>
                          <w:sz w:val="22"/>
                          <w:szCs w:val="22"/>
                        </w:rPr>
                      </w:pPr>
                      <w:r>
                        <w:rPr>
                          <w:rFonts w:ascii="Arial Narrow" w:eastAsia="SimSun" w:hAnsi="Arial Narrow" w:cs="Arial"/>
                          <w:b/>
                          <w:bCs/>
                          <w:color w:val="595959"/>
                          <w:kern w:val="24"/>
                          <w:sz w:val="22"/>
                          <w:szCs w:val="22"/>
                        </w:rPr>
                        <w:t xml:space="preserve">Figure 3.37 Immunoblotting for VCAN abundance in CAF with and without TGFβ-1 stimulation </w:t>
                      </w:r>
                    </w:p>
                    <w:p w14:paraId="17205405" w14:textId="77777777" w:rsidR="008A47AC" w:rsidRPr="00A6564F" w:rsidRDefault="008A47AC" w:rsidP="0054039C">
                      <w:pPr>
                        <w:pStyle w:val="NormalWeb"/>
                        <w:spacing w:after="200" w:line="276" w:lineRule="auto"/>
                        <w:jc w:val="both"/>
                        <w:rPr>
                          <w:rFonts w:ascii="Arial Narrow" w:eastAsia="SimSun" w:hAnsi="Arial Narrow" w:cs="Arial"/>
                          <w:color w:val="595959"/>
                          <w:kern w:val="24"/>
                          <w:sz w:val="22"/>
                        </w:rPr>
                      </w:pPr>
                      <w:r>
                        <w:rPr>
                          <w:rFonts w:ascii="Arial Narrow" w:eastAsia="SimSun" w:hAnsi="Arial Narrow" w:cs="Arial"/>
                          <w:color w:val="595959"/>
                          <w:kern w:val="24"/>
                          <w:sz w:val="22"/>
                        </w:rPr>
                        <w:t xml:space="preserve">CAF 2D monolayers were treated with </w:t>
                      </w:r>
                      <w:r w:rsidRPr="00944EBD">
                        <w:rPr>
                          <w:rFonts w:ascii="Arial Narrow" w:eastAsia="SimSun" w:hAnsi="Arial Narrow" w:cs="Arial"/>
                          <w:color w:val="595959"/>
                          <w:kern w:val="24"/>
                          <w:sz w:val="22"/>
                        </w:rPr>
                        <w:t xml:space="preserve">TGFβ-1 </w:t>
                      </w:r>
                      <w:r>
                        <w:rPr>
                          <w:rFonts w:ascii="Arial Narrow" w:eastAsia="SimSun" w:hAnsi="Arial Narrow" w:cs="Arial"/>
                          <w:color w:val="595959"/>
                          <w:kern w:val="24"/>
                          <w:sz w:val="22"/>
                        </w:rPr>
                        <w:t xml:space="preserve">for up to 72 h + 14 days with VCAN protein levels determined using immunoblotting (A). Densitometry of the resultant bands were measured using ImageJ and the intensity measured relative to GAPDH controls (B).  Data is expressed as relative fold change, with mean ± SD, N=3, n=2, ** denotes p &lt;0.01 and *** p &lt;0.001 analysed by Kruskal-Wallis test with Dunn’s multiple comparison test.  </w:t>
                      </w:r>
                    </w:p>
                    <w:p w14:paraId="4E43F74B" w14:textId="77777777" w:rsidR="008A47AC" w:rsidRPr="00C61619" w:rsidRDefault="008A47AC" w:rsidP="0054039C">
                      <w:pPr>
                        <w:pStyle w:val="NormalWeb"/>
                        <w:spacing w:after="200"/>
                        <w:jc w:val="both"/>
                        <w:rPr>
                          <w:rFonts w:ascii="Arial Narrow" w:eastAsia="SimSun" w:hAnsi="Arial Narrow" w:cs="Arial"/>
                          <w:color w:val="595959"/>
                          <w:kern w:val="24"/>
                          <w:sz w:val="22"/>
                          <w:szCs w:val="22"/>
                        </w:rPr>
                      </w:pPr>
                    </w:p>
                    <w:p w14:paraId="2072D56C" w14:textId="77777777" w:rsidR="008A47AC" w:rsidRPr="00C61619" w:rsidRDefault="008A47AC" w:rsidP="0054039C">
                      <w:pPr>
                        <w:pStyle w:val="NormalWeb"/>
                        <w:spacing w:after="200" w:line="276" w:lineRule="auto"/>
                        <w:jc w:val="both"/>
                        <w:rPr>
                          <w:rFonts w:ascii="Arial Narrow" w:eastAsia="SimSun" w:hAnsi="Arial Narrow" w:cs="Arial"/>
                          <w:color w:val="595959"/>
                          <w:kern w:val="24"/>
                          <w:sz w:val="22"/>
                          <w:szCs w:val="22"/>
                        </w:rPr>
                      </w:pPr>
                    </w:p>
                  </w:txbxContent>
                </v:textbox>
                <w10:wrap anchorx="margin"/>
              </v:shape>
            </w:pict>
          </mc:Fallback>
        </mc:AlternateContent>
      </w:r>
    </w:p>
    <w:p w14:paraId="20CCBD92"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6991551D"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077B39E4"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1D689913"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50C53F0D"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3A10A4B3"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2B8B2BBD" w14:textId="77777777" w:rsidR="0054039C" w:rsidRPr="0054039C" w:rsidRDefault="0054039C" w:rsidP="0054039C">
      <w:pPr>
        <w:keepNext/>
        <w:keepLines/>
        <w:spacing w:before="40" w:after="0"/>
        <w:outlineLvl w:val="2"/>
        <w:rPr>
          <w:rFonts w:ascii="Arial" w:eastAsia="Times New Roman" w:hAnsi="Arial" w:cs="Arial"/>
          <w:bCs/>
          <w:color w:val="595959" w:themeColor="text1" w:themeTint="A6"/>
          <w:sz w:val="24"/>
          <w:szCs w:val="24"/>
        </w:rPr>
      </w:pPr>
      <w:bookmarkStart w:id="328" w:name="_Toc7107285"/>
      <w:bookmarkStart w:id="329" w:name="_Toc34208391"/>
      <w:r w:rsidRPr="0054039C">
        <w:rPr>
          <w:rFonts w:ascii="Arial" w:eastAsia="Times New Roman" w:hAnsi="Arial" w:cs="Arial"/>
          <w:bCs/>
          <w:color w:val="595959" w:themeColor="text1" w:themeTint="A6"/>
          <w:sz w:val="24"/>
          <w:szCs w:val="24"/>
        </w:rPr>
        <w:lastRenderedPageBreak/>
        <w:t>3.3.5 Immunofluorescent analysis of αSMA stress fibres in oral fibroblasts</w:t>
      </w:r>
      <w:bookmarkEnd w:id="328"/>
      <w:bookmarkEnd w:id="329"/>
    </w:p>
    <w:p w14:paraId="1519BACB"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 w:val="24"/>
          <w:szCs w:val="24"/>
          <w:u w:val="single"/>
        </w:rPr>
      </w:pPr>
    </w:p>
    <w:p w14:paraId="171FBC04" w14:textId="30435043" w:rsidR="0054039C" w:rsidRPr="0054039C" w:rsidRDefault="0054039C" w:rsidP="0054039C">
      <w:pPr>
        <w:autoSpaceDE w:val="0"/>
        <w:autoSpaceDN w:val="0"/>
        <w:adjustRightInd w:val="0"/>
        <w:spacing w:after="0" w:line="480" w:lineRule="auto"/>
        <w:jc w:val="both"/>
        <w:rPr>
          <w:rFonts w:ascii="Arial" w:eastAsia="Times New Roman" w:hAnsi="Arial" w:cs="Arial"/>
          <w:bCs/>
          <w:color w:val="595959" w:themeColor="text1" w:themeTint="A6"/>
          <w:szCs w:val="24"/>
        </w:rPr>
      </w:pPr>
      <w:r w:rsidRPr="0054039C">
        <w:rPr>
          <w:rFonts w:ascii="Arial" w:eastAsia="Times New Roman" w:hAnsi="Arial" w:cs="Arial"/>
          <w:color w:val="595959" w:themeColor="text1" w:themeTint="A6"/>
          <w:szCs w:val="24"/>
        </w:rPr>
        <w:t xml:space="preserve">Myofibroblasts can be identified </w:t>
      </w:r>
      <w:r w:rsidRPr="0054039C">
        <w:rPr>
          <w:rFonts w:ascii="Arial" w:eastAsia="Times New Roman" w:hAnsi="Arial" w:cs="Arial"/>
          <w:i/>
          <w:color w:val="595959" w:themeColor="text1" w:themeTint="A6"/>
          <w:szCs w:val="24"/>
        </w:rPr>
        <w:t>in vitro</w:t>
      </w:r>
      <w:r w:rsidRPr="0054039C">
        <w:rPr>
          <w:rFonts w:ascii="Arial" w:eastAsia="Times New Roman" w:hAnsi="Arial" w:cs="Arial"/>
          <w:color w:val="595959" w:themeColor="text1" w:themeTint="A6"/>
          <w:szCs w:val="24"/>
        </w:rPr>
        <w:t xml:space="preserve"> by visualising their prominent cytoskeletal αSMA stress-fibres using immunofluorescence (IF). IF </w:t>
      </w:r>
      <w:r w:rsidRPr="0054039C">
        <w:rPr>
          <w:rFonts w:ascii="Arial" w:eastAsia="Times New Roman" w:hAnsi="Arial" w:cs="Arial"/>
          <w:bCs/>
          <w:color w:val="595959" w:themeColor="text1" w:themeTint="A6"/>
          <w:szCs w:val="24"/>
        </w:rPr>
        <w:t xml:space="preserve">was performed on NOF and CAF isolated from patients and treated with 5 ng/mL of TGFβ-1 or vehicle control </w:t>
      </w:r>
      <w:r w:rsidR="00171733">
        <w:rPr>
          <w:rFonts w:ascii="Arial" w:eastAsia="Times New Roman" w:hAnsi="Arial" w:cs="Arial"/>
          <w:bCs/>
          <w:color w:val="595959" w:themeColor="text1" w:themeTint="A6"/>
          <w:szCs w:val="24"/>
        </w:rPr>
        <w:t>at</w:t>
      </w:r>
      <w:r w:rsidRPr="0054039C">
        <w:rPr>
          <w:rFonts w:ascii="Arial" w:eastAsia="Times New Roman" w:hAnsi="Arial" w:cs="Arial"/>
          <w:bCs/>
          <w:color w:val="595959" w:themeColor="text1" w:themeTint="A6"/>
          <w:szCs w:val="24"/>
        </w:rPr>
        <w:t xml:space="preserve"> 48 h and after 7 days </w:t>
      </w:r>
      <w:r w:rsidRPr="0054039C">
        <w:rPr>
          <w:rFonts w:ascii="Arial" w:eastAsia="Times New Roman" w:hAnsi="Arial" w:cs="Arial"/>
          <w:bCs/>
          <w:i/>
          <w:color w:val="595959" w:themeColor="text1" w:themeTint="A6"/>
          <w:szCs w:val="24"/>
        </w:rPr>
        <w:t>in vitro</w:t>
      </w:r>
      <w:r w:rsidRPr="0054039C">
        <w:rPr>
          <w:rFonts w:ascii="Arial" w:eastAsia="Times New Roman" w:hAnsi="Arial" w:cs="Arial"/>
          <w:bCs/>
          <w:color w:val="595959" w:themeColor="text1" w:themeTint="A6"/>
          <w:szCs w:val="24"/>
        </w:rPr>
        <w:t xml:space="preserve">. Oral fibroblasts were seeded onto coverslips and then fixed with either methanol or 4% paraformaldehyde, permeabilised and then stained for αSMA using a FITC-conjugated antibody. Negative controls contained no αSMA FITC-conjugated antibody to check for background-fluorescence within the samples. </w:t>
      </w:r>
    </w:p>
    <w:p w14:paraId="377C96C2" w14:textId="77777777" w:rsidR="0054039C" w:rsidRPr="0054039C" w:rsidRDefault="0054039C" w:rsidP="0054039C">
      <w:pPr>
        <w:autoSpaceDE w:val="0"/>
        <w:autoSpaceDN w:val="0"/>
        <w:adjustRightInd w:val="0"/>
        <w:spacing w:after="0" w:line="480" w:lineRule="auto"/>
        <w:jc w:val="both"/>
        <w:rPr>
          <w:rFonts w:ascii="Arial" w:eastAsia="Times New Roman" w:hAnsi="Arial" w:cs="Arial"/>
          <w:bCs/>
          <w:color w:val="595959" w:themeColor="text1" w:themeTint="A6"/>
          <w:szCs w:val="24"/>
        </w:rPr>
      </w:pPr>
    </w:p>
    <w:p w14:paraId="41B057E2" w14:textId="77777777" w:rsidR="0054039C" w:rsidRPr="0054039C" w:rsidRDefault="0054039C" w:rsidP="0054039C">
      <w:pPr>
        <w:tabs>
          <w:tab w:val="left" w:pos="1330"/>
        </w:tabs>
        <w:spacing w:line="360" w:lineRule="auto"/>
        <w:jc w:val="both"/>
        <w:rPr>
          <w:rFonts w:ascii="Arial" w:hAnsi="Arial" w:cs="Arial"/>
          <w:color w:val="595959" w:themeColor="text1" w:themeTint="A6"/>
          <w:sz w:val="24"/>
          <w:szCs w:val="24"/>
        </w:rPr>
      </w:pPr>
    </w:p>
    <w:p w14:paraId="5B33CB3C" w14:textId="77777777" w:rsidR="00C76248" w:rsidRDefault="00C76248" w:rsidP="00C76248">
      <w:pPr>
        <w:pStyle w:val="NormalWeb"/>
        <w:spacing w:after="200"/>
        <w:jc w:val="both"/>
        <w:rPr>
          <w:rFonts w:ascii="Arial Narrow" w:eastAsia="SimSun" w:hAnsi="Arial Narrow" w:cs="Arial"/>
          <w:b/>
          <w:bCs/>
          <w:color w:val="595959"/>
          <w:kern w:val="24"/>
          <w:sz w:val="22"/>
          <w:szCs w:val="22"/>
        </w:rPr>
      </w:pPr>
    </w:p>
    <w:p w14:paraId="596E6680" w14:textId="77777777" w:rsidR="00C76248" w:rsidRDefault="00C76248" w:rsidP="00721037">
      <w:pPr>
        <w:pStyle w:val="NormalWeb"/>
        <w:spacing w:after="200"/>
        <w:jc w:val="both"/>
        <w:rPr>
          <w:rFonts w:ascii="Arial Narrow" w:eastAsia="SimSun" w:hAnsi="Arial Narrow" w:cs="Arial"/>
          <w:b/>
          <w:bCs/>
          <w:color w:val="595959"/>
          <w:kern w:val="24"/>
          <w:sz w:val="22"/>
          <w:szCs w:val="22"/>
        </w:rPr>
      </w:pPr>
    </w:p>
    <w:p w14:paraId="35E660DA" w14:textId="77777777" w:rsidR="00995032" w:rsidRDefault="00995032" w:rsidP="00995032">
      <w:pPr>
        <w:pStyle w:val="NormalWeb"/>
        <w:spacing w:after="200"/>
        <w:jc w:val="both"/>
        <w:rPr>
          <w:rFonts w:ascii="Arial Narrow" w:eastAsia="SimSun" w:hAnsi="Arial Narrow" w:cs="Arial"/>
          <w:b/>
          <w:bCs/>
          <w:color w:val="595959"/>
          <w:kern w:val="24"/>
          <w:sz w:val="22"/>
          <w:szCs w:val="22"/>
        </w:rPr>
      </w:pPr>
    </w:p>
    <w:p w14:paraId="5625BBA8" w14:textId="77777777" w:rsidR="00B40654" w:rsidRDefault="00B40654" w:rsidP="00B40654">
      <w:pPr>
        <w:pStyle w:val="NormalWeb"/>
        <w:spacing w:after="200"/>
        <w:jc w:val="both"/>
        <w:rPr>
          <w:rFonts w:ascii="Arial Narrow" w:eastAsia="SimSun" w:hAnsi="Arial Narrow" w:cs="Arial"/>
          <w:b/>
          <w:bCs/>
          <w:color w:val="595959"/>
          <w:kern w:val="24"/>
          <w:sz w:val="22"/>
          <w:szCs w:val="22"/>
        </w:rPr>
      </w:pPr>
    </w:p>
    <w:p w14:paraId="2A4E389E" w14:textId="27BDCC94" w:rsidR="00683630" w:rsidRDefault="00683630" w:rsidP="00683630">
      <w:pPr>
        <w:pStyle w:val="NormalWeb"/>
        <w:spacing w:after="200"/>
        <w:jc w:val="both"/>
        <w:rPr>
          <w:rFonts w:ascii="Arial Narrow" w:eastAsia="SimSun" w:hAnsi="Arial Narrow" w:cs="Arial"/>
          <w:b/>
          <w:bCs/>
          <w:color w:val="595959"/>
          <w:kern w:val="24"/>
          <w:sz w:val="22"/>
          <w:szCs w:val="22"/>
        </w:rPr>
      </w:pPr>
    </w:p>
    <w:p w14:paraId="6BA49310" w14:textId="77777777" w:rsidR="00683630" w:rsidRDefault="00683630" w:rsidP="00683630">
      <w:pPr>
        <w:pStyle w:val="NormalWeb"/>
        <w:spacing w:after="200"/>
        <w:jc w:val="both"/>
        <w:rPr>
          <w:rFonts w:ascii="Arial Narrow" w:eastAsia="SimSun" w:hAnsi="Arial Narrow" w:cs="Arial"/>
          <w:b/>
          <w:bCs/>
          <w:color w:val="595959"/>
          <w:kern w:val="24"/>
          <w:sz w:val="22"/>
          <w:szCs w:val="22"/>
        </w:rPr>
      </w:pPr>
    </w:p>
    <w:p w14:paraId="06B52639" w14:textId="1A9F2B72" w:rsidR="00613285" w:rsidRDefault="00613285" w:rsidP="00613285">
      <w:pPr>
        <w:pStyle w:val="NormalWeb"/>
        <w:spacing w:after="200"/>
        <w:jc w:val="both"/>
        <w:rPr>
          <w:rFonts w:ascii="Arial Narrow" w:eastAsia="SimSun" w:hAnsi="Arial Narrow" w:cs="Arial"/>
          <w:b/>
          <w:bCs/>
          <w:color w:val="595959"/>
          <w:kern w:val="24"/>
          <w:sz w:val="22"/>
          <w:szCs w:val="22"/>
        </w:rPr>
      </w:pPr>
    </w:p>
    <w:p w14:paraId="675285EF" w14:textId="77777777" w:rsidR="00F274B9" w:rsidRDefault="00F274B9" w:rsidP="00613285">
      <w:pPr>
        <w:pStyle w:val="NormalWeb"/>
        <w:spacing w:after="200"/>
        <w:jc w:val="both"/>
        <w:rPr>
          <w:rFonts w:ascii="Arial Narrow" w:eastAsia="SimSun" w:hAnsi="Arial Narrow" w:cs="Arial"/>
          <w:b/>
          <w:bCs/>
          <w:color w:val="595959"/>
          <w:kern w:val="24"/>
          <w:sz w:val="22"/>
          <w:szCs w:val="22"/>
        </w:rPr>
      </w:pPr>
    </w:p>
    <w:p w14:paraId="662A7AC8" w14:textId="77777777" w:rsidR="00613285" w:rsidRDefault="00613285" w:rsidP="00721037">
      <w:pPr>
        <w:pStyle w:val="NormalWeb"/>
        <w:spacing w:after="200"/>
        <w:jc w:val="both"/>
        <w:rPr>
          <w:rFonts w:ascii="Arial Narrow" w:eastAsia="SimSun" w:hAnsi="Arial Narrow" w:cs="Arial"/>
          <w:b/>
          <w:bCs/>
          <w:color w:val="595959"/>
          <w:kern w:val="24"/>
          <w:sz w:val="22"/>
          <w:szCs w:val="22"/>
        </w:rPr>
      </w:pPr>
    </w:p>
    <w:p w14:paraId="16FEA9A7" w14:textId="77777777" w:rsidR="00721037" w:rsidRDefault="00721037" w:rsidP="002B0296">
      <w:pPr>
        <w:pStyle w:val="NormalWeb"/>
        <w:spacing w:after="200"/>
        <w:jc w:val="both"/>
        <w:rPr>
          <w:rFonts w:ascii="Arial Narrow" w:eastAsia="SimSun" w:hAnsi="Arial Narrow" w:cs="Arial"/>
          <w:b/>
          <w:bCs/>
          <w:color w:val="595959"/>
          <w:kern w:val="24"/>
          <w:sz w:val="22"/>
          <w:szCs w:val="22"/>
        </w:rPr>
      </w:pPr>
    </w:p>
    <w:p w14:paraId="4DB544BA" w14:textId="77777777" w:rsidR="002B0296" w:rsidRDefault="002B0296" w:rsidP="002B0296">
      <w:pPr>
        <w:pStyle w:val="NormalWeb"/>
        <w:spacing w:after="200"/>
        <w:jc w:val="both"/>
        <w:rPr>
          <w:rFonts w:ascii="Arial Narrow" w:eastAsia="SimSun" w:hAnsi="Arial Narrow" w:cs="Arial"/>
          <w:b/>
          <w:bCs/>
          <w:color w:val="595959"/>
          <w:kern w:val="24"/>
          <w:sz w:val="22"/>
          <w:szCs w:val="22"/>
        </w:rPr>
      </w:pPr>
    </w:p>
    <w:p w14:paraId="0AC6FDC8" w14:textId="700097F4" w:rsidR="002B0296" w:rsidRDefault="002B0296" w:rsidP="002B0296">
      <w:pPr>
        <w:pStyle w:val="NormalWeb"/>
        <w:spacing w:after="200"/>
        <w:jc w:val="both"/>
        <w:rPr>
          <w:rFonts w:ascii="Arial Narrow" w:eastAsia="SimSun" w:hAnsi="Arial Narrow" w:cs="Arial"/>
          <w:b/>
          <w:bCs/>
          <w:color w:val="595959"/>
          <w:kern w:val="24"/>
          <w:sz w:val="22"/>
          <w:szCs w:val="22"/>
        </w:rPr>
      </w:pPr>
    </w:p>
    <w:p w14:paraId="5B504193" w14:textId="77777777" w:rsidR="002B0296" w:rsidRDefault="002B0296" w:rsidP="002B0296">
      <w:pPr>
        <w:pStyle w:val="NormalWeb"/>
        <w:spacing w:after="200"/>
        <w:jc w:val="both"/>
        <w:rPr>
          <w:rFonts w:ascii="Arial Narrow" w:eastAsia="SimSun" w:hAnsi="Arial Narrow" w:cs="Arial"/>
          <w:b/>
          <w:bCs/>
          <w:color w:val="595959"/>
          <w:kern w:val="24"/>
          <w:sz w:val="22"/>
          <w:szCs w:val="22"/>
        </w:rPr>
      </w:pPr>
    </w:p>
    <w:p w14:paraId="5B16957E" w14:textId="77777777" w:rsidR="00BE7C54" w:rsidRDefault="00BE7C54" w:rsidP="00BE7C54">
      <w:pPr>
        <w:pStyle w:val="NormalWeb"/>
        <w:spacing w:after="200"/>
        <w:jc w:val="both"/>
      </w:pPr>
    </w:p>
    <w:p w14:paraId="33F48562" w14:textId="174B8B18" w:rsidR="002236AB" w:rsidRDefault="002236AB" w:rsidP="002236AB">
      <w:pPr>
        <w:pStyle w:val="NormalWeb"/>
        <w:spacing w:after="200"/>
        <w:jc w:val="both"/>
      </w:pPr>
    </w:p>
    <w:p w14:paraId="0DB19E01" w14:textId="77777777" w:rsidR="0054039C" w:rsidRPr="0054039C" w:rsidRDefault="0054039C" w:rsidP="0054039C">
      <w:pPr>
        <w:tabs>
          <w:tab w:val="left" w:pos="1330"/>
        </w:tabs>
        <w:spacing w:line="360" w:lineRule="auto"/>
        <w:jc w:val="both"/>
        <w:rPr>
          <w:rFonts w:ascii="Arial" w:hAnsi="Arial" w:cs="Arial"/>
          <w:color w:val="595959" w:themeColor="text1" w:themeTint="A6"/>
          <w:sz w:val="24"/>
          <w:szCs w:val="24"/>
        </w:rPr>
      </w:pPr>
    </w:p>
    <w:p w14:paraId="72073EA3" w14:textId="77777777" w:rsidR="0054039C" w:rsidRPr="0054039C" w:rsidRDefault="0054039C" w:rsidP="0054039C">
      <w:pPr>
        <w:autoSpaceDE w:val="0"/>
        <w:autoSpaceDN w:val="0"/>
        <w:adjustRightInd w:val="0"/>
        <w:spacing w:after="0" w:line="480" w:lineRule="auto"/>
        <w:jc w:val="both"/>
        <w:rPr>
          <w:rFonts w:ascii="Arial" w:eastAsia="Times New Roman" w:hAnsi="Arial" w:cs="Arial"/>
          <w:bCs/>
          <w:color w:val="595959" w:themeColor="text1" w:themeTint="A6"/>
          <w:szCs w:val="24"/>
        </w:rPr>
      </w:pPr>
      <w:bookmarkStart w:id="330" w:name="_Hlk1128475"/>
    </w:p>
    <w:p w14:paraId="1AFAEED9" w14:textId="77777777" w:rsidR="0054039C" w:rsidRPr="0054039C" w:rsidRDefault="0054039C" w:rsidP="0054039C">
      <w:pPr>
        <w:autoSpaceDE w:val="0"/>
        <w:autoSpaceDN w:val="0"/>
        <w:adjustRightInd w:val="0"/>
        <w:spacing w:after="0" w:line="480" w:lineRule="auto"/>
        <w:jc w:val="both"/>
        <w:rPr>
          <w:rFonts w:ascii="Arial" w:eastAsia="Times New Roman" w:hAnsi="Arial" w:cs="Arial"/>
          <w:bCs/>
          <w:color w:val="595959" w:themeColor="text1" w:themeTint="A6"/>
          <w:szCs w:val="24"/>
        </w:rPr>
      </w:pPr>
    </w:p>
    <w:p w14:paraId="27A9C995" w14:textId="77777777" w:rsidR="0054039C" w:rsidRPr="0054039C" w:rsidRDefault="0054039C" w:rsidP="0054039C">
      <w:pPr>
        <w:keepNext/>
        <w:keepLines/>
        <w:spacing w:before="40" w:after="0"/>
        <w:outlineLvl w:val="3"/>
        <w:rPr>
          <w:rFonts w:ascii="Arial" w:eastAsia="Times New Roman" w:hAnsi="Arial" w:cs="Arial"/>
          <w:bCs/>
          <w:i/>
          <w:iCs/>
          <w:color w:val="595959" w:themeColor="text1" w:themeTint="A6"/>
          <w:szCs w:val="24"/>
        </w:rPr>
      </w:pPr>
      <w:bookmarkStart w:id="331" w:name="_Toc7107286"/>
      <w:bookmarkStart w:id="332" w:name="_Toc34208392"/>
      <w:r w:rsidRPr="0054039C">
        <w:rPr>
          <w:rFonts w:ascii="Arial" w:eastAsia="Times New Roman" w:hAnsi="Arial" w:cs="Arial"/>
          <w:bCs/>
          <w:i/>
          <w:iCs/>
          <w:color w:val="595959" w:themeColor="text1" w:themeTint="A6"/>
          <w:szCs w:val="24"/>
        </w:rPr>
        <w:lastRenderedPageBreak/>
        <w:t>3.3.5.1 Immunofluorescence analysis of αSMA stress fibres in normal oral fibroblasts</w:t>
      </w:r>
      <w:bookmarkEnd w:id="331"/>
      <w:bookmarkEnd w:id="332"/>
    </w:p>
    <w:bookmarkEnd w:id="330"/>
    <w:p w14:paraId="37A72F4C" w14:textId="77777777" w:rsidR="0054039C" w:rsidRPr="0054039C" w:rsidRDefault="0054039C" w:rsidP="0054039C">
      <w:pPr>
        <w:autoSpaceDE w:val="0"/>
        <w:autoSpaceDN w:val="0"/>
        <w:adjustRightInd w:val="0"/>
        <w:spacing w:after="0" w:line="360" w:lineRule="auto"/>
        <w:jc w:val="both"/>
        <w:rPr>
          <w:rFonts w:ascii="Arial" w:eastAsia="Times New Roman" w:hAnsi="Arial" w:cs="Arial"/>
          <w:bCs/>
          <w:color w:val="595959" w:themeColor="text1" w:themeTint="A6"/>
          <w:szCs w:val="24"/>
        </w:rPr>
      </w:pPr>
    </w:p>
    <w:p w14:paraId="23CE4C1B" w14:textId="51545031" w:rsidR="0054039C" w:rsidRPr="0054039C" w:rsidRDefault="0054039C" w:rsidP="0054039C">
      <w:pPr>
        <w:tabs>
          <w:tab w:val="left" w:pos="1330"/>
        </w:tabs>
        <w:spacing w:line="480" w:lineRule="auto"/>
        <w:jc w:val="both"/>
        <w:rPr>
          <w:rFonts w:ascii="Arial" w:hAnsi="Arial" w:cs="Arial"/>
          <w:color w:val="595959" w:themeColor="text1" w:themeTint="A6"/>
          <w:szCs w:val="24"/>
        </w:rPr>
      </w:pPr>
      <w:r w:rsidRPr="0054039C">
        <w:rPr>
          <w:rFonts w:ascii="Arial" w:hAnsi="Arial" w:cs="Arial"/>
          <w:bCs/>
          <w:color w:val="595959" w:themeColor="text1" w:themeTint="A6"/>
          <w:szCs w:val="24"/>
        </w:rPr>
        <w:t>NOF showed minimal expression of αSMA in vehicle control treated groups at both 48 h (</w:t>
      </w:r>
      <w:r w:rsidR="008361EB">
        <w:rPr>
          <w:rFonts w:ascii="Arial" w:hAnsi="Arial" w:cs="Arial"/>
          <w:bCs/>
          <w:color w:val="595959" w:themeColor="text1" w:themeTint="A6"/>
          <w:szCs w:val="24"/>
        </w:rPr>
        <w:t>F</w:t>
      </w:r>
      <w:r w:rsidRPr="0054039C">
        <w:rPr>
          <w:rFonts w:ascii="Arial" w:hAnsi="Arial" w:cs="Arial"/>
          <w:bCs/>
          <w:color w:val="595959" w:themeColor="text1" w:themeTint="A6"/>
          <w:szCs w:val="24"/>
        </w:rPr>
        <w:t>igure 3.</w:t>
      </w:r>
      <w:r w:rsidR="008361EB">
        <w:rPr>
          <w:rFonts w:ascii="Arial" w:hAnsi="Arial" w:cs="Arial"/>
          <w:bCs/>
          <w:color w:val="595959" w:themeColor="text1" w:themeTint="A6"/>
          <w:szCs w:val="24"/>
        </w:rPr>
        <w:t>38</w:t>
      </w:r>
      <w:r w:rsidRPr="0054039C">
        <w:rPr>
          <w:rFonts w:ascii="Arial" w:hAnsi="Arial" w:cs="Arial"/>
          <w:bCs/>
          <w:color w:val="595959" w:themeColor="text1" w:themeTint="A6"/>
          <w:szCs w:val="24"/>
        </w:rPr>
        <w:t xml:space="preserve"> A) and after 7 days (</w:t>
      </w:r>
      <w:r w:rsidR="008361EB">
        <w:rPr>
          <w:rFonts w:ascii="Arial" w:hAnsi="Arial" w:cs="Arial"/>
          <w:bCs/>
          <w:color w:val="595959" w:themeColor="text1" w:themeTint="A6"/>
          <w:szCs w:val="24"/>
        </w:rPr>
        <w:t>F</w:t>
      </w:r>
      <w:r w:rsidRPr="0054039C">
        <w:rPr>
          <w:rFonts w:ascii="Arial" w:hAnsi="Arial" w:cs="Arial"/>
          <w:bCs/>
          <w:color w:val="595959" w:themeColor="text1" w:themeTint="A6"/>
          <w:szCs w:val="24"/>
        </w:rPr>
        <w:t>igure 3.</w:t>
      </w:r>
      <w:r w:rsidR="008361EB">
        <w:rPr>
          <w:rFonts w:ascii="Arial" w:hAnsi="Arial" w:cs="Arial"/>
          <w:bCs/>
          <w:color w:val="595959" w:themeColor="text1" w:themeTint="A6"/>
          <w:szCs w:val="24"/>
        </w:rPr>
        <w:t>3</w:t>
      </w:r>
      <w:r w:rsidR="005B479A">
        <w:rPr>
          <w:rFonts w:ascii="Arial" w:hAnsi="Arial" w:cs="Arial"/>
          <w:bCs/>
          <w:color w:val="595959" w:themeColor="text1" w:themeTint="A6"/>
          <w:szCs w:val="24"/>
        </w:rPr>
        <w:t>8</w:t>
      </w:r>
      <w:r w:rsidRPr="0054039C">
        <w:rPr>
          <w:rFonts w:ascii="Arial" w:hAnsi="Arial" w:cs="Arial"/>
          <w:bCs/>
          <w:color w:val="595959" w:themeColor="text1" w:themeTint="A6"/>
          <w:szCs w:val="24"/>
        </w:rPr>
        <w:t xml:space="preserve"> C). The addition of TGFβ-1 induced formation of αSMA stress fibre</w:t>
      </w:r>
      <w:r w:rsidR="0097447B">
        <w:rPr>
          <w:rFonts w:ascii="Arial" w:hAnsi="Arial" w:cs="Arial"/>
          <w:bCs/>
          <w:color w:val="595959" w:themeColor="text1" w:themeTint="A6"/>
          <w:szCs w:val="24"/>
        </w:rPr>
        <w:t>s</w:t>
      </w:r>
      <w:r w:rsidRPr="0054039C">
        <w:rPr>
          <w:rFonts w:ascii="Arial" w:hAnsi="Arial" w:cs="Arial"/>
          <w:bCs/>
          <w:color w:val="595959" w:themeColor="text1" w:themeTint="A6"/>
          <w:szCs w:val="24"/>
        </w:rPr>
        <w:t xml:space="preserve"> after 48 h</w:t>
      </w:r>
      <w:r w:rsidR="001C437D">
        <w:rPr>
          <w:rFonts w:ascii="Arial" w:hAnsi="Arial" w:cs="Arial"/>
          <w:bCs/>
          <w:color w:val="595959" w:themeColor="text1" w:themeTint="A6"/>
          <w:szCs w:val="24"/>
        </w:rPr>
        <w:t>,</w:t>
      </w:r>
      <w:r w:rsidRPr="0054039C">
        <w:rPr>
          <w:rFonts w:ascii="Arial" w:hAnsi="Arial" w:cs="Arial"/>
          <w:bCs/>
          <w:color w:val="595959" w:themeColor="text1" w:themeTint="A6"/>
          <w:szCs w:val="24"/>
        </w:rPr>
        <w:t xml:space="preserve"> indicative of NOF trans-differentiation to myofibroblast (</w:t>
      </w:r>
      <w:r w:rsidR="00740DFA">
        <w:rPr>
          <w:rFonts w:ascii="Arial" w:hAnsi="Arial" w:cs="Arial"/>
          <w:bCs/>
          <w:color w:val="595959" w:themeColor="text1" w:themeTint="A6"/>
          <w:szCs w:val="24"/>
        </w:rPr>
        <w:t>F</w:t>
      </w:r>
      <w:r w:rsidRPr="0054039C">
        <w:rPr>
          <w:rFonts w:ascii="Arial" w:hAnsi="Arial" w:cs="Arial"/>
          <w:bCs/>
          <w:color w:val="595959" w:themeColor="text1" w:themeTint="A6"/>
          <w:szCs w:val="24"/>
        </w:rPr>
        <w:t>igure 3.</w:t>
      </w:r>
      <w:r w:rsidR="008361EB">
        <w:rPr>
          <w:rFonts w:ascii="Arial" w:hAnsi="Arial" w:cs="Arial"/>
          <w:bCs/>
          <w:color w:val="595959" w:themeColor="text1" w:themeTint="A6"/>
          <w:szCs w:val="24"/>
        </w:rPr>
        <w:t>3</w:t>
      </w:r>
      <w:r w:rsidR="005B479A">
        <w:rPr>
          <w:rFonts w:ascii="Arial" w:hAnsi="Arial" w:cs="Arial"/>
          <w:bCs/>
          <w:color w:val="595959" w:themeColor="text1" w:themeTint="A6"/>
          <w:szCs w:val="24"/>
        </w:rPr>
        <w:t>8</w:t>
      </w:r>
      <w:r w:rsidRPr="0054039C">
        <w:rPr>
          <w:rFonts w:ascii="Arial" w:hAnsi="Arial" w:cs="Arial"/>
          <w:bCs/>
          <w:color w:val="595959" w:themeColor="text1" w:themeTint="A6"/>
          <w:szCs w:val="24"/>
        </w:rPr>
        <w:t xml:space="preserve"> B). After 7 days of TGFβ-1 treatment, NOF were still able to induce stress fibre formation, however in general, positive staining was not exhibited for all fibroblasts</w:t>
      </w:r>
      <w:r w:rsidR="0097447B">
        <w:rPr>
          <w:rFonts w:ascii="Arial" w:hAnsi="Arial" w:cs="Arial"/>
          <w:bCs/>
          <w:color w:val="595959" w:themeColor="text1" w:themeTint="A6"/>
          <w:szCs w:val="24"/>
        </w:rPr>
        <w:t xml:space="preserve"> in a culture</w:t>
      </w:r>
      <w:r w:rsidRPr="0054039C">
        <w:rPr>
          <w:rFonts w:ascii="Arial" w:hAnsi="Arial" w:cs="Arial"/>
          <w:bCs/>
          <w:color w:val="595959" w:themeColor="text1" w:themeTint="A6"/>
          <w:szCs w:val="24"/>
        </w:rPr>
        <w:t xml:space="preserve"> (white arrows: Figure 3.</w:t>
      </w:r>
      <w:r w:rsidR="00740DFA">
        <w:rPr>
          <w:rFonts w:ascii="Arial" w:hAnsi="Arial" w:cs="Arial"/>
          <w:bCs/>
          <w:color w:val="595959" w:themeColor="text1" w:themeTint="A6"/>
          <w:szCs w:val="24"/>
        </w:rPr>
        <w:t>3</w:t>
      </w:r>
      <w:r w:rsidR="005B479A">
        <w:rPr>
          <w:rFonts w:ascii="Arial" w:hAnsi="Arial" w:cs="Arial"/>
          <w:bCs/>
          <w:color w:val="595959" w:themeColor="text1" w:themeTint="A6"/>
          <w:szCs w:val="24"/>
        </w:rPr>
        <w:t>8</w:t>
      </w:r>
      <w:r w:rsidRPr="0054039C">
        <w:rPr>
          <w:rFonts w:ascii="Arial" w:hAnsi="Arial" w:cs="Arial"/>
          <w:bCs/>
          <w:color w:val="595959" w:themeColor="text1" w:themeTint="A6"/>
          <w:szCs w:val="24"/>
        </w:rPr>
        <w:t xml:space="preserve"> D).</w:t>
      </w:r>
    </w:p>
    <w:p w14:paraId="3C4A64F3" w14:textId="77777777" w:rsidR="0054039C" w:rsidRPr="0054039C" w:rsidRDefault="0054039C" w:rsidP="0054039C">
      <w:pPr>
        <w:tabs>
          <w:tab w:val="left" w:pos="1330"/>
        </w:tabs>
        <w:spacing w:line="360" w:lineRule="auto"/>
        <w:jc w:val="both"/>
        <w:rPr>
          <w:rFonts w:ascii="Arial" w:hAnsi="Arial" w:cs="Arial"/>
          <w:color w:val="595959" w:themeColor="text1" w:themeTint="A6"/>
          <w:sz w:val="24"/>
          <w:szCs w:val="24"/>
        </w:rPr>
      </w:pPr>
      <w:r w:rsidRPr="0054039C">
        <w:rPr>
          <w:rFonts w:ascii="Arial" w:eastAsia="Times New Roman" w:hAnsi="Arial" w:cs="Arial"/>
          <w:bCs/>
          <w:noProof/>
          <w:color w:val="595959" w:themeColor="text1" w:themeTint="A6"/>
          <w:szCs w:val="24"/>
          <w:lang w:eastAsia="zh-CN"/>
        </w:rPr>
        <w:drawing>
          <wp:anchor distT="0" distB="0" distL="114300" distR="114300" simplePos="0" relativeHeight="251658264" behindDoc="0" locked="0" layoutInCell="1" allowOverlap="1" wp14:anchorId="62254856" wp14:editId="6C09DC84">
            <wp:simplePos x="0" y="0"/>
            <wp:positionH relativeFrom="margin">
              <wp:align>left</wp:align>
            </wp:positionH>
            <wp:positionV relativeFrom="paragraph">
              <wp:posOffset>306705</wp:posOffset>
            </wp:positionV>
            <wp:extent cx="5790445" cy="4231005"/>
            <wp:effectExtent l="0" t="0" r="1270" b="0"/>
            <wp:wrapNone/>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NOF IF.jpg"/>
                    <pic:cNvPicPr/>
                  </pic:nvPicPr>
                  <pic:blipFill>
                    <a:blip r:embed="rId91">
                      <a:extLst>
                        <a:ext uri="{28A0092B-C50C-407E-A947-70E740481C1C}">
                          <a14:useLocalDpi xmlns:a14="http://schemas.microsoft.com/office/drawing/2010/main" val="0"/>
                        </a:ext>
                      </a:extLst>
                    </a:blip>
                    <a:stretch>
                      <a:fillRect/>
                    </a:stretch>
                  </pic:blipFill>
                  <pic:spPr>
                    <a:xfrm>
                      <a:off x="0" y="0"/>
                      <a:ext cx="5790445" cy="4231005"/>
                    </a:xfrm>
                    <a:prstGeom prst="rect">
                      <a:avLst/>
                    </a:prstGeom>
                  </pic:spPr>
                </pic:pic>
              </a:graphicData>
            </a:graphic>
            <wp14:sizeRelH relativeFrom="margin">
              <wp14:pctWidth>0</wp14:pctWidth>
            </wp14:sizeRelH>
            <wp14:sizeRelV relativeFrom="margin">
              <wp14:pctHeight>0</wp14:pctHeight>
            </wp14:sizeRelV>
          </wp:anchor>
        </w:drawing>
      </w:r>
    </w:p>
    <w:p w14:paraId="0D0FA083" w14:textId="77777777" w:rsidR="0054039C" w:rsidRPr="0054039C" w:rsidRDefault="0054039C" w:rsidP="0054039C">
      <w:pPr>
        <w:tabs>
          <w:tab w:val="left" w:pos="1330"/>
        </w:tabs>
        <w:spacing w:line="360" w:lineRule="auto"/>
        <w:jc w:val="both"/>
        <w:rPr>
          <w:rFonts w:ascii="Arial" w:hAnsi="Arial" w:cs="Arial"/>
          <w:color w:val="595959" w:themeColor="text1" w:themeTint="A6"/>
          <w:sz w:val="24"/>
          <w:szCs w:val="24"/>
        </w:rPr>
      </w:pPr>
    </w:p>
    <w:p w14:paraId="2B8D7A16" w14:textId="77777777" w:rsidR="0054039C" w:rsidRPr="0054039C" w:rsidRDefault="0054039C" w:rsidP="0054039C">
      <w:pPr>
        <w:tabs>
          <w:tab w:val="left" w:pos="1330"/>
        </w:tabs>
        <w:spacing w:line="360" w:lineRule="auto"/>
        <w:jc w:val="both"/>
        <w:rPr>
          <w:rFonts w:ascii="Arial" w:hAnsi="Arial" w:cs="Arial"/>
          <w:color w:val="595959" w:themeColor="text1" w:themeTint="A6"/>
          <w:sz w:val="24"/>
          <w:szCs w:val="24"/>
        </w:rPr>
      </w:pPr>
    </w:p>
    <w:p w14:paraId="6D91762E" w14:textId="77777777" w:rsidR="0054039C" w:rsidRPr="0054039C" w:rsidRDefault="0054039C" w:rsidP="0054039C">
      <w:pPr>
        <w:tabs>
          <w:tab w:val="left" w:pos="1330"/>
        </w:tabs>
        <w:spacing w:line="360" w:lineRule="auto"/>
        <w:jc w:val="both"/>
        <w:rPr>
          <w:rFonts w:ascii="Arial" w:hAnsi="Arial" w:cs="Arial"/>
          <w:color w:val="595959" w:themeColor="text1" w:themeTint="A6"/>
          <w:sz w:val="24"/>
          <w:szCs w:val="24"/>
        </w:rPr>
      </w:pPr>
    </w:p>
    <w:p w14:paraId="006FBAE6" w14:textId="77777777" w:rsidR="0054039C" w:rsidRPr="0054039C" w:rsidRDefault="0054039C" w:rsidP="0054039C">
      <w:pPr>
        <w:tabs>
          <w:tab w:val="left" w:pos="1330"/>
        </w:tabs>
        <w:spacing w:line="360" w:lineRule="auto"/>
        <w:jc w:val="both"/>
        <w:rPr>
          <w:rFonts w:ascii="Arial" w:hAnsi="Arial" w:cs="Arial"/>
          <w:color w:val="595959" w:themeColor="text1" w:themeTint="A6"/>
          <w:sz w:val="24"/>
          <w:szCs w:val="24"/>
        </w:rPr>
      </w:pPr>
    </w:p>
    <w:p w14:paraId="5961CA84" w14:textId="77777777" w:rsidR="0054039C" w:rsidRPr="0054039C" w:rsidRDefault="0054039C" w:rsidP="0054039C">
      <w:pPr>
        <w:rPr>
          <w:rFonts w:ascii="Arial" w:hAnsi="Arial" w:cs="Arial"/>
          <w:color w:val="595959" w:themeColor="text1" w:themeTint="A6"/>
          <w:sz w:val="24"/>
          <w:szCs w:val="24"/>
        </w:rPr>
      </w:pPr>
    </w:p>
    <w:p w14:paraId="17A3164E" w14:textId="77777777" w:rsidR="0054039C" w:rsidRPr="0054039C" w:rsidRDefault="0054039C" w:rsidP="0054039C">
      <w:pPr>
        <w:rPr>
          <w:rFonts w:ascii="Arial" w:hAnsi="Arial" w:cs="Arial"/>
          <w:color w:val="595959" w:themeColor="text1" w:themeTint="A6"/>
          <w:sz w:val="24"/>
          <w:szCs w:val="24"/>
        </w:rPr>
      </w:pPr>
    </w:p>
    <w:p w14:paraId="669B5FF0" w14:textId="77777777" w:rsidR="0054039C" w:rsidRPr="0054039C" w:rsidRDefault="0054039C" w:rsidP="0054039C">
      <w:pPr>
        <w:rPr>
          <w:rFonts w:ascii="Arial" w:hAnsi="Arial" w:cs="Arial"/>
          <w:color w:val="595959" w:themeColor="text1" w:themeTint="A6"/>
          <w:sz w:val="24"/>
          <w:szCs w:val="24"/>
        </w:rPr>
      </w:pPr>
    </w:p>
    <w:p w14:paraId="71BC5D77" w14:textId="77777777" w:rsidR="0054039C" w:rsidRPr="0054039C" w:rsidRDefault="0054039C" w:rsidP="0054039C">
      <w:pPr>
        <w:rPr>
          <w:rFonts w:ascii="Arial" w:hAnsi="Arial" w:cs="Arial"/>
          <w:color w:val="595959" w:themeColor="text1" w:themeTint="A6"/>
          <w:sz w:val="24"/>
          <w:szCs w:val="24"/>
        </w:rPr>
      </w:pPr>
      <w:r w:rsidRPr="0054039C">
        <w:rPr>
          <w:rFonts w:ascii="Arial" w:hAnsi="Arial" w:cs="Arial"/>
          <w:noProof/>
          <w:color w:val="595959" w:themeColor="text1" w:themeTint="A6"/>
          <w:sz w:val="24"/>
          <w:szCs w:val="24"/>
          <w:lang w:eastAsia="zh-CN"/>
        </w:rPr>
        <mc:AlternateContent>
          <mc:Choice Requires="wps">
            <w:drawing>
              <wp:anchor distT="0" distB="0" distL="114300" distR="114300" simplePos="0" relativeHeight="251658315" behindDoc="0" locked="0" layoutInCell="1" allowOverlap="1" wp14:anchorId="131BD150" wp14:editId="515DADDC">
                <wp:simplePos x="0" y="0"/>
                <wp:positionH relativeFrom="rightMargin">
                  <wp:posOffset>-352425</wp:posOffset>
                </wp:positionH>
                <wp:positionV relativeFrom="paragraph">
                  <wp:posOffset>226060</wp:posOffset>
                </wp:positionV>
                <wp:extent cx="190500" cy="161925"/>
                <wp:effectExtent l="76200" t="38100" r="19050" b="85725"/>
                <wp:wrapNone/>
                <wp:docPr id="34" name="Isosceles Triangle 34"/>
                <wp:cNvGraphicFramePr/>
                <a:graphic xmlns:a="http://schemas.openxmlformats.org/drawingml/2006/main">
                  <a:graphicData uri="http://schemas.microsoft.com/office/word/2010/wordprocessingShape">
                    <wps:wsp>
                      <wps:cNvSpPr/>
                      <wps:spPr>
                        <a:xfrm>
                          <a:off x="0" y="0"/>
                          <a:ext cx="190500" cy="161925"/>
                        </a:xfrm>
                        <a:prstGeom prst="triangle">
                          <a:avLst/>
                        </a:prstGeom>
                        <a:solidFill>
                          <a:sysClr val="window" lastClr="FFFFFF"/>
                        </a:solidFill>
                        <a:ln w="12700" cap="flat" cmpd="sng" algn="ctr">
                          <a:solidFill>
                            <a:srgbClr val="4472C4">
                              <a:shade val="50000"/>
                            </a:srgbClr>
                          </a:solidFill>
                          <a:prstDash val="solid"/>
                          <a:miter lim="800000"/>
                        </a:ln>
                        <a:effectLst/>
                        <a:scene3d>
                          <a:camera prst="orthographicFront">
                            <a:rot lat="20099998" lon="300000" rev="20099999"/>
                          </a:camera>
                          <a:lightRig rig="threePt" dir="t"/>
                        </a:scene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5427B16F"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34" o:spid="_x0000_s1026" type="#_x0000_t5" style="position:absolute;margin-left:-27.75pt;margin-top:17.8pt;width:15pt;height:12.75pt;z-index:251765760;visibility:visible;mso-wrap-style:square;mso-wrap-distance-left:9pt;mso-wrap-distance-top:0;mso-wrap-distance-right:9pt;mso-wrap-distance-bottom:0;mso-position-horizontal:absolute;mso-position-horizontal-relative:right-margin-area;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" fillcolor="window" strokecolor="#2f528f" strokeweight="1pt">
                <w10:wrap anchorx="margin"/>
              </v:shape>
            </w:pict>
          </mc:Fallback>
        </mc:AlternateContent>
      </w:r>
    </w:p>
    <w:p w14:paraId="625A91EB" w14:textId="77777777" w:rsidR="0054039C" w:rsidRPr="0054039C" w:rsidRDefault="0054039C" w:rsidP="0054039C">
      <w:pPr>
        <w:rPr>
          <w:rFonts w:ascii="Arial" w:hAnsi="Arial" w:cs="Arial"/>
          <w:color w:val="595959" w:themeColor="text1" w:themeTint="A6"/>
          <w:sz w:val="24"/>
          <w:szCs w:val="24"/>
        </w:rPr>
      </w:pPr>
    </w:p>
    <w:p w14:paraId="479CCF98" w14:textId="77777777" w:rsidR="0054039C" w:rsidRPr="0054039C" w:rsidRDefault="0054039C" w:rsidP="0054039C">
      <w:pPr>
        <w:rPr>
          <w:rFonts w:ascii="Arial" w:hAnsi="Arial" w:cs="Arial"/>
          <w:color w:val="595959" w:themeColor="text1" w:themeTint="A6"/>
          <w:sz w:val="24"/>
          <w:szCs w:val="24"/>
        </w:rPr>
      </w:pPr>
    </w:p>
    <w:p w14:paraId="65D4D149" w14:textId="77777777" w:rsidR="0054039C" w:rsidRPr="0054039C" w:rsidRDefault="0054039C" w:rsidP="0054039C">
      <w:pPr>
        <w:rPr>
          <w:rFonts w:ascii="Arial" w:hAnsi="Arial" w:cs="Arial"/>
          <w:color w:val="595959" w:themeColor="text1" w:themeTint="A6"/>
          <w:sz w:val="24"/>
          <w:szCs w:val="24"/>
        </w:rPr>
      </w:pPr>
    </w:p>
    <w:p w14:paraId="306DB9E8" w14:textId="77777777" w:rsidR="0054039C" w:rsidRPr="0054039C" w:rsidRDefault="0054039C" w:rsidP="0054039C">
      <w:pPr>
        <w:rPr>
          <w:rFonts w:ascii="Arial" w:hAnsi="Arial" w:cs="Arial"/>
          <w:color w:val="595959" w:themeColor="text1" w:themeTint="A6"/>
          <w:sz w:val="24"/>
          <w:szCs w:val="24"/>
        </w:rPr>
      </w:pPr>
      <w:r w:rsidRPr="0054039C">
        <w:rPr>
          <w:rFonts w:ascii="Arial" w:hAnsi="Arial" w:cs="Arial"/>
          <w:noProof/>
          <w:color w:val="595959" w:themeColor="text1" w:themeTint="A6"/>
          <w:sz w:val="24"/>
          <w:szCs w:val="24"/>
          <w:lang w:eastAsia="zh-CN"/>
        </w:rPr>
        <mc:AlternateContent>
          <mc:Choice Requires="wps">
            <w:drawing>
              <wp:anchor distT="0" distB="0" distL="114300" distR="114300" simplePos="0" relativeHeight="251658316" behindDoc="0" locked="0" layoutInCell="1" allowOverlap="1" wp14:anchorId="14DC5A23" wp14:editId="11E3BF25">
                <wp:simplePos x="0" y="0"/>
                <wp:positionH relativeFrom="rightMargin">
                  <wp:posOffset>-1435735</wp:posOffset>
                </wp:positionH>
                <wp:positionV relativeFrom="paragraph">
                  <wp:posOffset>101600</wp:posOffset>
                </wp:positionV>
                <wp:extent cx="190500" cy="161925"/>
                <wp:effectExtent l="76200" t="38100" r="19050" b="85725"/>
                <wp:wrapNone/>
                <wp:docPr id="36" name="Isosceles Triangle 36"/>
                <wp:cNvGraphicFramePr/>
                <a:graphic xmlns:a="http://schemas.openxmlformats.org/drawingml/2006/main">
                  <a:graphicData uri="http://schemas.microsoft.com/office/word/2010/wordprocessingShape">
                    <wps:wsp>
                      <wps:cNvSpPr/>
                      <wps:spPr>
                        <a:xfrm>
                          <a:off x="0" y="0"/>
                          <a:ext cx="190500" cy="161925"/>
                        </a:xfrm>
                        <a:prstGeom prst="triangle">
                          <a:avLst/>
                        </a:prstGeom>
                        <a:solidFill>
                          <a:sysClr val="window" lastClr="FFFFFF"/>
                        </a:solidFill>
                        <a:ln w="12700" cap="flat" cmpd="sng" algn="ctr">
                          <a:solidFill>
                            <a:srgbClr val="4472C4">
                              <a:shade val="50000"/>
                            </a:srgbClr>
                          </a:solidFill>
                          <a:prstDash val="solid"/>
                          <a:miter lim="800000"/>
                        </a:ln>
                        <a:effectLst/>
                        <a:scene3d>
                          <a:camera prst="orthographicFront">
                            <a:rot lat="20099998" lon="300000" rev="20099999"/>
                          </a:camera>
                          <a:lightRig rig="threePt" dir="t"/>
                        </a:scene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A67147D" id="Isosceles Triangle 36" o:spid="_x0000_s1026" type="#_x0000_t5" style="position:absolute;margin-left:-113.05pt;margin-top:8pt;width:15pt;height:12.75pt;z-index:251766784;visibility:visible;mso-wrap-style:square;mso-wrap-distance-left:9pt;mso-wrap-distance-top:0;mso-wrap-distance-right:9pt;mso-wrap-distance-bottom:0;mso-position-horizontal:absolute;mso-position-horizontal-relative:right-margin-area;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" fillcolor="window" strokecolor="#2f528f" strokeweight="1pt">
                <w10:wrap anchorx="margin"/>
              </v:shape>
            </w:pict>
          </mc:Fallback>
        </mc:AlternateContent>
      </w:r>
    </w:p>
    <w:p w14:paraId="7C81D1B1" w14:textId="77777777" w:rsidR="0054039C" w:rsidRPr="0054039C" w:rsidRDefault="0054039C" w:rsidP="0054039C">
      <w:pPr>
        <w:rPr>
          <w:rFonts w:ascii="Arial" w:hAnsi="Arial" w:cs="Arial"/>
          <w:color w:val="595959" w:themeColor="text1" w:themeTint="A6"/>
          <w:sz w:val="24"/>
          <w:szCs w:val="24"/>
        </w:rPr>
      </w:pPr>
    </w:p>
    <w:p w14:paraId="1B568065" w14:textId="77777777" w:rsidR="0054039C" w:rsidRPr="0054039C" w:rsidRDefault="0054039C" w:rsidP="0054039C">
      <w:pPr>
        <w:rPr>
          <w:rFonts w:ascii="Arial" w:hAnsi="Arial" w:cs="Arial"/>
          <w:color w:val="595959" w:themeColor="text1" w:themeTint="A6"/>
          <w:sz w:val="24"/>
          <w:szCs w:val="24"/>
        </w:rPr>
      </w:pPr>
    </w:p>
    <w:p w14:paraId="6088575D" w14:textId="77777777" w:rsidR="0054039C" w:rsidRPr="0054039C" w:rsidRDefault="0054039C" w:rsidP="0054039C">
      <w:pPr>
        <w:rPr>
          <w:rFonts w:ascii="Arial" w:hAnsi="Arial" w:cs="Arial"/>
          <w:color w:val="595959" w:themeColor="text1" w:themeTint="A6"/>
          <w:sz w:val="24"/>
          <w:szCs w:val="24"/>
        </w:rPr>
      </w:pPr>
    </w:p>
    <w:p w14:paraId="698C7F39" w14:textId="77777777" w:rsidR="0054039C" w:rsidRPr="0054039C" w:rsidRDefault="0054039C" w:rsidP="0054039C">
      <w:pPr>
        <w:rPr>
          <w:rFonts w:ascii="Arial" w:hAnsi="Arial" w:cs="Arial"/>
          <w:color w:val="595959" w:themeColor="text1" w:themeTint="A6"/>
          <w:sz w:val="24"/>
          <w:szCs w:val="24"/>
        </w:rPr>
      </w:pPr>
      <w:r w:rsidRPr="0054039C">
        <w:rPr>
          <w:rFonts w:ascii="Arial" w:hAnsi="Arial" w:cs="Arial"/>
          <w:noProof/>
          <w:color w:val="595959" w:themeColor="text1" w:themeTint="A6"/>
          <w:sz w:val="24"/>
          <w:szCs w:val="24"/>
          <w:lang w:eastAsia="zh-CN"/>
        </w:rPr>
        <mc:AlternateContent>
          <mc:Choice Requires="wps">
            <w:drawing>
              <wp:anchor distT="0" distB="0" distL="114300" distR="114300" simplePos="0" relativeHeight="251658267" behindDoc="0" locked="0" layoutInCell="1" allowOverlap="1" wp14:anchorId="522D2420" wp14:editId="7D871287">
                <wp:simplePos x="0" y="0"/>
                <wp:positionH relativeFrom="margin">
                  <wp:align>right</wp:align>
                </wp:positionH>
                <wp:positionV relativeFrom="paragraph">
                  <wp:posOffset>53340</wp:posOffset>
                </wp:positionV>
                <wp:extent cx="5753100" cy="1095375"/>
                <wp:effectExtent l="0" t="0" r="0" b="9525"/>
                <wp:wrapNone/>
                <wp:docPr id="3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3100" cy="1095375"/>
                        </a:xfrm>
                        <a:prstGeom prst="rect">
                          <a:avLst/>
                        </a:prstGeom>
                        <a:solidFill>
                          <a:srgbClr val="FFFFFF"/>
                        </a:solidFill>
                        <a:ln w="9525">
                          <a:noFill/>
                          <a:miter lim="800000"/>
                          <a:headEnd/>
                          <a:tailEnd/>
                        </a:ln>
                      </wps:spPr>
                      <wps:txbx>
                        <w:txbxContent>
                          <w:p w14:paraId="6CBBB658" w14:textId="3BEFB7A5" w:rsidR="008A47AC" w:rsidRDefault="008A47AC" w:rsidP="0054039C">
                            <w:pPr>
                              <w:pStyle w:val="NormalWeb"/>
                              <w:spacing w:after="200"/>
                              <w:jc w:val="both"/>
                              <w:rPr>
                                <w:rFonts w:ascii="Arial Narrow" w:eastAsia="SimSun" w:hAnsi="Arial Narrow" w:cs="Arial"/>
                                <w:b/>
                                <w:bCs/>
                                <w:color w:val="595959"/>
                                <w:kern w:val="24"/>
                                <w:sz w:val="22"/>
                                <w:szCs w:val="22"/>
                              </w:rPr>
                            </w:pPr>
                            <w:r>
                              <w:rPr>
                                <w:rFonts w:ascii="Arial Narrow" w:eastAsia="SimSun" w:hAnsi="Arial Narrow" w:cs="Arial"/>
                                <w:b/>
                                <w:bCs/>
                                <w:color w:val="595959"/>
                                <w:kern w:val="24"/>
                                <w:sz w:val="22"/>
                                <w:szCs w:val="22"/>
                              </w:rPr>
                              <w:t xml:space="preserve">Figure 3.38 αSMA stress-fibre formation in normal oral fibroblasts </w:t>
                            </w:r>
                            <w:r w:rsidRPr="00C96F05">
                              <w:rPr>
                                <w:rFonts w:ascii="Arial Narrow" w:eastAsia="SimSun" w:hAnsi="Arial Narrow" w:cs="Arial"/>
                                <w:b/>
                                <w:bCs/>
                                <w:i/>
                                <w:color w:val="595959"/>
                                <w:kern w:val="24"/>
                                <w:sz w:val="22"/>
                                <w:szCs w:val="22"/>
                              </w:rPr>
                              <w:t>in vitro</w:t>
                            </w:r>
                            <w:r>
                              <w:rPr>
                                <w:rFonts w:ascii="Arial Narrow" w:eastAsia="SimSun" w:hAnsi="Arial Narrow" w:cs="Arial"/>
                                <w:b/>
                                <w:bCs/>
                                <w:color w:val="595959"/>
                                <w:kern w:val="24"/>
                                <w:sz w:val="22"/>
                                <w:szCs w:val="22"/>
                              </w:rPr>
                              <w:t xml:space="preserve"> </w:t>
                            </w:r>
                          </w:p>
                          <w:p w14:paraId="784F422E" w14:textId="73A955BF" w:rsidR="008A47AC" w:rsidRPr="00944EBD" w:rsidRDefault="008A47AC" w:rsidP="0054039C">
                            <w:pPr>
                              <w:pStyle w:val="NormalWeb"/>
                              <w:spacing w:after="200" w:line="276" w:lineRule="auto"/>
                              <w:jc w:val="both"/>
                              <w:rPr>
                                <w:rFonts w:ascii="Arial Narrow" w:eastAsia="SimSun" w:hAnsi="Arial Narrow" w:cs="Arial"/>
                                <w:color w:val="595959"/>
                                <w:kern w:val="24"/>
                                <w:sz w:val="22"/>
                              </w:rPr>
                            </w:pPr>
                            <w:r w:rsidRPr="00944EBD">
                              <w:rPr>
                                <w:rFonts w:ascii="Arial Narrow" w:eastAsia="SimSun" w:hAnsi="Arial Narrow" w:cs="Arial"/>
                                <w:color w:val="595959"/>
                                <w:kern w:val="24"/>
                                <w:sz w:val="22"/>
                              </w:rPr>
                              <w:t xml:space="preserve">The expression of FITC-conjugated aSMA stress-fibre formation was analysed </w:t>
                            </w:r>
                            <w:r w:rsidRPr="00944EBD">
                              <w:rPr>
                                <w:rFonts w:ascii="Arial Narrow" w:eastAsia="SimSun" w:hAnsi="Arial Narrow" w:cs="Arial"/>
                                <w:i/>
                                <w:color w:val="595959"/>
                                <w:kern w:val="24"/>
                                <w:sz w:val="22"/>
                              </w:rPr>
                              <w:t>in vitro</w:t>
                            </w:r>
                            <w:r w:rsidRPr="00944EBD">
                              <w:rPr>
                                <w:rFonts w:ascii="Arial Narrow" w:eastAsia="SimSun" w:hAnsi="Arial Narrow" w:cs="Arial"/>
                                <w:color w:val="595959"/>
                                <w:kern w:val="24"/>
                                <w:sz w:val="22"/>
                              </w:rPr>
                              <w:t xml:space="preserve"> with the addition of vehicle control at 48 h and </w:t>
                            </w:r>
                            <w:r w:rsidRPr="00533009">
                              <w:rPr>
                                <w:rFonts w:ascii="Arial Narrow" w:eastAsia="SimSun" w:hAnsi="Arial Narrow" w:cs="Arial"/>
                                <w:color w:val="595959" w:themeColor="text1" w:themeTint="A6"/>
                                <w:kern w:val="24"/>
                                <w:sz w:val="22"/>
                              </w:rPr>
                              <w:t xml:space="preserve">7 days (A + C) and with TGFβ-1 at 48 h and 7 days (B + D) by immunofluorescence analysis in patient NOF. Arrows showing NOF without stress-fibre formation. Scale bar = 20 µm. </w:t>
                            </w:r>
                          </w:p>
                          <w:p w14:paraId="13AAD46D" w14:textId="77777777" w:rsidR="008A47AC" w:rsidRDefault="008A47AC" w:rsidP="0054039C">
                            <w:pPr>
                              <w:pStyle w:val="NormalWeb"/>
                              <w:spacing w:after="200" w:line="276" w:lineRule="auto"/>
                              <w:jc w:val="both"/>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2D2420" id="_x0000_s1114" type="#_x0000_t202" style="position:absolute;margin-left:401.8pt;margin-top:4.2pt;width:453pt;height:86.25pt;z-index:251658267;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" stroked="f">
                <v:textbox>
                  <w:txbxContent>
                    <w:p w14:paraId="6CBBB658" w14:textId="3BEFB7A5" w:rsidR="008A47AC" w:rsidRDefault="008A47AC" w:rsidP="0054039C">
                      <w:pPr>
                        <w:pStyle w:val="NormalWeb"/>
                        <w:spacing w:after="200"/>
                        <w:jc w:val="both"/>
                        <w:rPr>
                          <w:rFonts w:ascii="Arial Narrow" w:eastAsia="SimSun" w:hAnsi="Arial Narrow" w:cs="Arial"/>
                          <w:b/>
                          <w:bCs/>
                          <w:color w:val="595959"/>
                          <w:kern w:val="24"/>
                          <w:sz w:val="22"/>
                          <w:szCs w:val="22"/>
                        </w:rPr>
                      </w:pPr>
                      <w:r>
                        <w:rPr>
                          <w:rFonts w:ascii="Arial Narrow" w:eastAsia="SimSun" w:hAnsi="Arial Narrow" w:cs="Arial"/>
                          <w:b/>
                          <w:bCs/>
                          <w:color w:val="595959"/>
                          <w:kern w:val="24"/>
                          <w:sz w:val="22"/>
                          <w:szCs w:val="22"/>
                        </w:rPr>
                        <w:t xml:space="preserve">Figure 3.38 αSMA stress-fibre formation in normal oral fibroblasts </w:t>
                      </w:r>
                      <w:r w:rsidRPr="00C96F05">
                        <w:rPr>
                          <w:rFonts w:ascii="Arial Narrow" w:eastAsia="SimSun" w:hAnsi="Arial Narrow" w:cs="Arial"/>
                          <w:b/>
                          <w:bCs/>
                          <w:i/>
                          <w:color w:val="595959"/>
                          <w:kern w:val="24"/>
                          <w:sz w:val="22"/>
                          <w:szCs w:val="22"/>
                        </w:rPr>
                        <w:t>in vitro</w:t>
                      </w:r>
                      <w:r>
                        <w:rPr>
                          <w:rFonts w:ascii="Arial Narrow" w:eastAsia="SimSun" w:hAnsi="Arial Narrow" w:cs="Arial"/>
                          <w:b/>
                          <w:bCs/>
                          <w:color w:val="595959"/>
                          <w:kern w:val="24"/>
                          <w:sz w:val="22"/>
                          <w:szCs w:val="22"/>
                        </w:rPr>
                        <w:t xml:space="preserve"> </w:t>
                      </w:r>
                    </w:p>
                    <w:p w14:paraId="784F422E" w14:textId="73A955BF" w:rsidR="008A47AC" w:rsidRPr="00944EBD" w:rsidRDefault="008A47AC" w:rsidP="0054039C">
                      <w:pPr>
                        <w:pStyle w:val="NormalWeb"/>
                        <w:spacing w:after="200" w:line="276" w:lineRule="auto"/>
                        <w:jc w:val="both"/>
                        <w:rPr>
                          <w:rFonts w:ascii="Arial Narrow" w:eastAsia="SimSun" w:hAnsi="Arial Narrow" w:cs="Arial"/>
                          <w:color w:val="595959"/>
                          <w:kern w:val="24"/>
                          <w:sz w:val="22"/>
                        </w:rPr>
                      </w:pPr>
                      <w:r w:rsidRPr="00944EBD">
                        <w:rPr>
                          <w:rFonts w:ascii="Arial Narrow" w:eastAsia="SimSun" w:hAnsi="Arial Narrow" w:cs="Arial"/>
                          <w:color w:val="595959"/>
                          <w:kern w:val="24"/>
                          <w:sz w:val="22"/>
                        </w:rPr>
                        <w:t xml:space="preserve">The expression of FITC-conjugated </w:t>
                      </w:r>
                      <w:proofErr w:type="spellStart"/>
                      <w:r w:rsidRPr="00944EBD">
                        <w:rPr>
                          <w:rFonts w:ascii="Arial Narrow" w:eastAsia="SimSun" w:hAnsi="Arial Narrow" w:cs="Arial"/>
                          <w:color w:val="595959"/>
                          <w:kern w:val="24"/>
                          <w:sz w:val="22"/>
                        </w:rPr>
                        <w:t>aSMA</w:t>
                      </w:r>
                      <w:proofErr w:type="spellEnd"/>
                      <w:r w:rsidRPr="00944EBD">
                        <w:rPr>
                          <w:rFonts w:ascii="Arial Narrow" w:eastAsia="SimSun" w:hAnsi="Arial Narrow" w:cs="Arial"/>
                          <w:color w:val="595959"/>
                          <w:kern w:val="24"/>
                          <w:sz w:val="22"/>
                        </w:rPr>
                        <w:t xml:space="preserve"> stress-fibre formation was analysed </w:t>
                      </w:r>
                      <w:r w:rsidRPr="00944EBD">
                        <w:rPr>
                          <w:rFonts w:ascii="Arial Narrow" w:eastAsia="SimSun" w:hAnsi="Arial Narrow" w:cs="Arial"/>
                          <w:i/>
                          <w:color w:val="595959"/>
                          <w:kern w:val="24"/>
                          <w:sz w:val="22"/>
                        </w:rPr>
                        <w:t>in vitro</w:t>
                      </w:r>
                      <w:r w:rsidRPr="00944EBD">
                        <w:rPr>
                          <w:rFonts w:ascii="Arial Narrow" w:eastAsia="SimSun" w:hAnsi="Arial Narrow" w:cs="Arial"/>
                          <w:color w:val="595959"/>
                          <w:kern w:val="24"/>
                          <w:sz w:val="22"/>
                        </w:rPr>
                        <w:t xml:space="preserve"> with the addition of vehicle control at 48 h and </w:t>
                      </w:r>
                      <w:r w:rsidRPr="00533009">
                        <w:rPr>
                          <w:rFonts w:ascii="Arial Narrow" w:eastAsia="SimSun" w:hAnsi="Arial Narrow" w:cs="Arial"/>
                          <w:color w:val="595959" w:themeColor="text1" w:themeTint="A6"/>
                          <w:kern w:val="24"/>
                          <w:sz w:val="22"/>
                        </w:rPr>
                        <w:t xml:space="preserve">7 days (A + C) and with TGFβ-1 at 48 h and 7 days (B + D) by immunofluorescence analysis in patient NOF. Arrows showing NOF without stress-fibre formation. Scale bar = 20 µm. </w:t>
                      </w:r>
                    </w:p>
                    <w:p w14:paraId="13AAD46D" w14:textId="77777777" w:rsidR="008A47AC" w:rsidRDefault="008A47AC" w:rsidP="0054039C">
                      <w:pPr>
                        <w:pStyle w:val="NormalWeb"/>
                        <w:spacing w:after="200" w:line="276" w:lineRule="auto"/>
                        <w:jc w:val="both"/>
                      </w:pPr>
                    </w:p>
                  </w:txbxContent>
                </v:textbox>
                <w10:wrap anchorx="margin"/>
              </v:shape>
            </w:pict>
          </mc:Fallback>
        </mc:AlternateContent>
      </w:r>
    </w:p>
    <w:p w14:paraId="4DF991E3" w14:textId="77777777" w:rsidR="0054039C" w:rsidRPr="0054039C" w:rsidRDefault="0054039C" w:rsidP="0054039C">
      <w:pPr>
        <w:rPr>
          <w:rFonts w:ascii="Arial" w:hAnsi="Arial" w:cs="Arial"/>
          <w:color w:val="595959" w:themeColor="text1" w:themeTint="A6"/>
          <w:sz w:val="24"/>
          <w:szCs w:val="24"/>
        </w:rPr>
      </w:pPr>
    </w:p>
    <w:p w14:paraId="7A5E85AE" w14:textId="77777777" w:rsidR="0054039C" w:rsidRPr="0054039C" w:rsidRDefault="0054039C" w:rsidP="0054039C">
      <w:pPr>
        <w:rPr>
          <w:rFonts w:ascii="Arial" w:hAnsi="Arial" w:cs="Arial"/>
          <w:color w:val="595959" w:themeColor="text1" w:themeTint="A6"/>
          <w:sz w:val="24"/>
          <w:szCs w:val="24"/>
        </w:rPr>
      </w:pPr>
    </w:p>
    <w:p w14:paraId="173B6AB6" w14:textId="77777777" w:rsidR="0054039C" w:rsidRPr="0054039C" w:rsidRDefault="0054039C" w:rsidP="0054039C">
      <w:pPr>
        <w:rPr>
          <w:rFonts w:ascii="Arial" w:hAnsi="Arial" w:cs="Arial"/>
          <w:color w:val="595959" w:themeColor="text1" w:themeTint="A6"/>
          <w:sz w:val="24"/>
          <w:szCs w:val="24"/>
        </w:rPr>
      </w:pPr>
    </w:p>
    <w:p w14:paraId="5D797D64" w14:textId="77777777" w:rsidR="0054039C" w:rsidRPr="0054039C" w:rsidRDefault="0054039C" w:rsidP="0054039C">
      <w:pPr>
        <w:rPr>
          <w:rFonts w:ascii="Arial" w:hAnsi="Arial" w:cs="Arial"/>
          <w:color w:val="595959" w:themeColor="text1" w:themeTint="A6"/>
          <w:sz w:val="24"/>
          <w:szCs w:val="24"/>
        </w:rPr>
      </w:pPr>
    </w:p>
    <w:bookmarkStart w:id="333" w:name="_Toc7107287"/>
    <w:bookmarkStart w:id="334" w:name="_Toc34208393"/>
    <w:p w14:paraId="6F77BC97" w14:textId="77777777" w:rsidR="0054039C" w:rsidRPr="0054039C" w:rsidRDefault="0054039C" w:rsidP="0054039C">
      <w:pPr>
        <w:keepNext/>
        <w:keepLines/>
        <w:spacing w:before="40" w:after="0"/>
        <w:outlineLvl w:val="3"/>
        <w:rPr>
          <w:rFonts w:ascii="Arial" w:eastAsiaTheme="majorEastAsia" w:hAnsi="Arial" w:cs="Arial"/>
          <w:bCs/>
          <w:i/>
          <w:iCs/>
          <w:color w:val="595959" w:themeColor="text1" w:themeTint="A6"/>
          <w:szCs w:val="24"/>
        </w:rPr>
      </w:pPr>
      <w:r w:rsidRPr="0054039C">
        <w:rPr>
          <w:rFonts w:ascii="Arial" w:eastAsiaTheme="majorEastAsia" w:hAnsi="Arial" w:cs="Arial"/>
          <w:i/>
          <w:iCs/>
          <w:noProof/>
          <w:color w:val="595959" w:themeColor="text1" w:themeTint="A6"/>
          <w:sz w:val="24"/>
          <w:szCs w:val="24"/>
          <w:lang w:eastAsia="zh-CN"/>
        </w:rPr>
        <w:lastRenderedPageBreak/>
        <mc:AlternateContent>
          <mc:Choice Requires="wps">
            <w:drawing>
              <wp:anchor distT="0" distB="0" distL="114300" distR="114300" simplePos="0" relativeHeight="251658313" behindDoc="0" locked="0" layoutInCell="1" allowOverlap="1" wp14:anchorId="43A9204D" wp14:editId="57F5193D">
                <wp:simplePos x="0" y="0"/>
                <wp:positionH relativeFrom="margin">
                  <wp:posOffset>0</wp:posOffset>
                </wp:positionH>
                <wp:positionV relativeFrom="paragraph">
                  <wp:posOffset>-24536400</wp:posOffset>
                </wp:positionV>
                <wp:extent cx="6330950" cy="990600"/>
                <wp:effectExtent l="0" t="0" r="0" b="0"/>
                <wp:wrapNone/>
                <wp:docPr id="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30950" cy="990600"/>
                        </a:xfrm>
                        <a:prstGeom prst="rect">
                          <a:avLst/>
                        </a:prstGeom>
                        <a:solidFill>
                          <a:srgbClr val="FFFFFF"/>
                        </a:solidFill>
                        <a:ln w="9525">
                          <a:noFill/>
                          <a:miter lim="800000"/>
                          <a:headEnd/>
                          <a:tailEnd/>
                        </a:ln>
                      </wps:spPr>
                      <wps:txbx>
                        <w:txbxContent>
                          <w:p w14:paraId="01A74BC8" w14:textId="77777777" w:rsidR="008A47AC" w:rsidRDefault="008A47AC" w:rsidP="0054039C">
                            <w:pPr>
                              <w:pStyle w:val="NormalWeb"/>
                              <w:spacing w:after="200"/>
                              <w:jc w:val="both"/>
                            </w:pPr>
                            <w:r>
                              <w:rPr>
                                <w:rFonts w:ascii="Arial Narrow" w:eastAsia="SimSun" w:hAnsi="Arial Narrow" w:cs="Arial"/>
                                <w:b/>
                                <w:bCs/>
                                <w:color w:val="595959"/>
                                <w:kern w:val="24"/>
                                <w:sz w:val="22"/>
                                <w:szCs w:val="22"/>
                              </w:rPr>
                              <w:t>Figure 3.42 VCAN protein abundance in CAF long-term</w:t>
                            </w:r>
                          </w:p>
                          <w:p w14:paraId="0A12F3AD" w14:textId="77777777" w:rsidR="008A47AC" w:rsidRPr="00C61619" w:rsidRDefault="008A47AC" w:rsidP="0054039C">
                            <w:pPr>
                              <w:pStyle w:val="NormalWeb"/>
                              <w:spacing w:after="200" w:line="276" w:lineRule="auto"/>
                              <w:jc w:val="both"/>
                              <w:rPr>
                                <w:rFonts w:ascii="Arial Narrow" w:eastAsia="SimSun" w:hAnsi="Arial Narrow" w:cs="Arial"/>
                                <w:color w:val="595959"/>
                                <w:kern w:val="24"/>
                                <w:sz w:val="22"/>
                                <w:szCs w:val="22"/>
                              </w:rPr>
                            </w:pPr>
                            <w:r>
                              <w:rPr>
                                <w:rFonts w:ascii="Arial Narrow" w:eastAsia="SimSun" w:hAnsi="Arial Narrow" w:cs="Arial"/>
                                <w:color w:val="595959"/>
                                <w:kern w:val="24"/>
                                <w:sz w:val="22"/>
                                <w:szCs w:val="22"/>
                              </w:rPr>
                              <w:t xml:space="preserve"> A representative immunoblot of </w:t>
                            </w:r>
                            <w:r>
                              <w:rPr>
                                <w:rFonts w:ascii="Arial Narrow" w:eastAsia="SimSun" w:hAnsi="Arial Narrow" w:cs="Arial"/>
                                <w:bCs/>
                                <w:color w:val="595959"/>
                                <w:kern w:val="24"/>
                                <w:sz w:val="22"/>
                                <w:szCs w:val="22"/>
                              </w:rPr>
                              <w:t xml:space="preserve">VCAN </w:t>
                            </w:r>
                            <w:r>
                              <w:rPr>
                                <w:rFonts w:ascii="Arial Narrow" w:eastAsia="SimSun" w:hAnsi="Arial Narrow" w:cs="Arial"/>
                                <w:color w:val="595959"/>
                                <w:kern w:val="24"/>
                                <w:sz w:val="22"/>
                                <w:szCs w:val="22"/>
                              </w:rPr>
                              <w:t xml:space="preserve">protein abundance in CAF long-term with and without TGFβ-1 p to 72 h + 14-days </w:t>
                            </w:r>
                            <w:r w:rsidRPr="00426AE8">
                              <w:rPr>
                                <w:rFonts w:ascii="Arial Narrow" w:eastAsia="SimSun" w:hAnsi="Arial Narrow" w:cs="Arial"/>
                                <w:i/>
                                <w:color w:val="595959"/>
                                <w:kern w:val="24"/>
                                <w:sz w:val="22"/>
                                <w:szCs w:val="22"/>
                              </w:rPr>
                              <w:t>in vitro</w:t>
                            </w:r>
                            <w:r>
                              <w:rPr>
                                <w:rFonts w:ascii="Arial Narrow" w:eastAsia="SimSun" w:hAnsi="Arial Narrow" w:cs="Arial"/>
                                <w:color w:val="595959"/>
                                <w:kern w:val="24"/>
                                <w:sz w:val="22"/>
                                <w:szCs w:val="22"/>
                              </w:rPr>
                              <w:t xml:space="preserve"> (A). Densitometry of </w:t>
                            </w:r>
                            <w:r>
                              <w:rPr>
                                <w:rFonts w:ascii="Arial Narrow" w:eastAsia="SimSun" w:hAnsi="Arial Narrow" w:cs="Arial"/>
                                <w:bCs/>
                                <w:color w:val="595959"/>
                                <w:kern w:val="24"/>
                                <w:sz w:val="22"/>
                                <w:szCs w:val="22"/>
                              </w:rPr>
                              <w:t>VCAN s</w:t>
                            </w:r>
                            <w:r>
                              <w:rPr>
                                <w:rFonts w:ascii="Arial Narrow" w:eastAsia="SimSun" w:hAnsi="Arial Narrow" w:cs="Arial"/>
                                <w:color w:val="595959"/>
                                <w:kern w:val="24"/>
                                <w:sz w:val="22"/>
                                <w:szCs w:val="22"/>
                              </w:rPr>
                              <w:t>howed a significant increased abundance with treatment of 2 ng/mL TGFβ-1 up to 72 h + 14 days compared to basal level expressions in CAF populations (B). (N=2, n=2).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A9204D" id="_x0000_s1115" type="#_x0000_t202" style="position:absolute;margin-left:0;margin-top:-1932pt;width:498.5pt;height:78pt;z-index:25165831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" stroked="f">
                <v:textbox>
                  <w:txbxContent>
                    <w:p w14:paraId="01A74BC8" w14:textId="77777777" w:rsidR="008A47AC" w:rsidRDefault="008A47AC" w:rsidP="0054039C">
                      <w:pPr>
                        <w:pStyle w:val="NormalWeb"/>
                        <w:spacing w:after="200"/>
                        <w:jc w:val="both"/>
                      </w:pPr>
                      <w:r>
                        <w:rPr>
                          <w:rFonts w:ascii="Arial Narrow" w:eastAsia="SimSun" w:hAnsi="Arial Narrow" w:cs="Arial"/>
                          <w:b/>
                          <w:bCs/>
                          <w:color w:val="595959"/>
                          <w:kern w:val="24"/>
                          <w:sz w:val="22"/>
                          <w:szCs w:val="22"/>
                        </w:rPr>
                        <w:t>Figure 3.42 VCAN protein abundance in CAF long-term</w:t>
                      </w:r>
                    </w:p>
                    <w:p w14:paraId="0A12F3AD" w14:textId="77777777" w:rsidR="008A47AC" w:rsidRPr="00C61619" w:rsidRDefault="008A47AC" w:rsidP="0054039C">
                      <w:pPr>
                        <w:pStyle w:val="NormalWeb"/>
                        <w:spacing w:after="200" w:line="276" w:lineRule="auto"/>
                        <w:jc w:val="both"/>
                        <w:rPr>
                          <w:rFonts w:ascii="Arial Narrow" w:eastAsia="SimSun" w:hAnsi="Arial Narrow" w:cs="Arial"/>
                          <w:color w:val="595959"/>
                          <w:kern w:val="24"/>
                          <w:sz w:val="22"/>
                          <w:szCs w:val="22"/>
                        </w:rPr>
                      </w:pPr>
                      <w:r>
                        <w:rPr>
                          <w:rFonts w:ascii="Arial Narrow" w:eastAsia="SimSun" w:hAnsi="Arial Narrow" w:cs="Arial"/>
                          <w:color w:val="595959"/>
                          <w:kern w:val="24"/>
                          <w:sz w:val="22"/>
                          <w:szCs w:val="22"/>
                        </w:rPr>
                        <w:t xml:space="preserve"> A representative </w:t>
                      </w:r>
                      <w:proofErr w:type="gramStart"/>
                      <w:r>
                        <w:rPr>
                          <w:rFonts w:ascii="Arial Narrow" w:eastAsia="SimSun" w:hAnsi="Arial Narrow" w:cs="Arial"/>
                          <w:color w:val="595959"/>
                          <w:kern w:val="24"/>
                          <w:sz w:val="22"/>
                          <w:szCs w:val="22"/>
                        </w:rPr>
                        <w:t>immunoblot</w:t>
                      </w:r>
                      <w:proofErr w:type="gramEnd"/>
                      <w:r>
                        <w:rPr>
                          <w:rFonts w:ascii="Arial Narrow" w:eastAsia="SimSun" w:hAnsi="Arial Narrow" w:cs="Arial"/>
                          <w:color w:val="595959"/>
                          <w:kern w:val="24"/>
                          <w:sz w:val="22"/>
                          <w:szCs w:val="22"/>
                        </w:rPr>
                        <w:t xml:space="preserve"> of </w:t>
                      </w:r>
                      <w:r>
                        <w:rPr>
                          <w:rFonts w:ascii="Arial Narrow" w:eastAsia="SimSun" w:hAnsi="Arial Narrow" w:cs="Arial"/>
                          <w:bCs/>
                          <w:color w:val="595959"/>
                          <w:kern w:val="24"/>
                          <w:sz w:val="22"/>
                          <w:szCs w:val="22"/>
                        </w:rPr>
                        <w:t xml:space="preserve">VCAN </w:t>
                      </w:r>
                      <w:r>
                        <w:rPr>
                          <w:rFonts w:ascii="Arial Narrow" w:eastAsia="SimSun" w:hAnsi="Arial Narrow" w:cs="Arial"/>
                          <w:color w:val="595959"/>
                          <w:kern w:val="24"/>
                          <w:sz w:val="22"/>
                          <w:szCs w:val="22"/>
                        </w:rPr>
                        <w:t xml:space="preserve">protein abundance in CAF long-term with and without TGFβ-1 p to 72 h + 14-days </w:t>
                      </w:r>
                      <w:r w:rsidRPr="00426AE8">
                        <w:rPr>
                          <w:rFonts w:ascii="Arial Narrow" w:eastAsia="SimSun" w:hAnsi="Arial Narrow" w:cs="Arial"/>
                          <w:i/>
                          <w:color w:val="595959"/>
                          <w:kern w:val="24"/>
                          <w:sz w:val="22"/>
                          <w:szCs w:val="22"/>
                        </w:rPr>
                        <w:t>in vitro</w:t>
                      </w:r>
                      <w:r>
                        <w:rPr>
                          <w:rFonts w:ascii="Arial Narrow" w:eastAsia="SimSun" w:hAnsi="Arial Narrow" w:cs="Arial"/>
                          <w:color w:val="595959"/>
                          <w:kern w:val="24"/>
                          <w:sz w:val="22"/>
                          <w:szCs w:val="22"/>
                        </w:rPr>
                        <w:t xml:space="preserve"> (A). Densitometry of </w:t>
                      </w:r>
                      <w:r>
                        <w:rPr>
                          <w:rFonts w:ascii="Arial Narrow" w:eastAsia="SimSun" w:hAnsi="Arial Narrow" w:cs="Arial"/>
                          <w:bCs/>
                          <w:color w:val="595959"/>
                          <w:kern w:val="24"/>
                          <w:sz w:val="22"/>
                          <w:szCs w:val="22"/>
                        </w:rPr>
                        <w:t>VCAN s</w:t>
                      </w:r>
                      <w:r>
                        <w:rPr>
                          <w:rFonts w:ascii="Arial Narrow" w:eastAsia="SimSun" w:hAnsi="Arial Narrow" w:cs="Arial"/>
                          <w:color w:val="595959"/>
                          <w:kern w:val="24"/>
                          <w:sz w:val="22"/>
                          <w:szCs w:val="22"/>
                        </w:rPr>
                        <w:t>howed a significant increased abundance with treatment of 2 ng/mL TGFβ-1 up to 72 h + 14 days compared to basal level expressions in CAF populations (B). (N=2, n=2).</w:t>
                      </w:r>
                    </w:p>
                  </w:txbxContent>
                </v:textbox>
                <w10:wrap anchorx="margin"/>
              </v:shape>
            </w:pict>
          </mc:Fallback>
        </mc:AlternateContent>
      </w:r>
      <w:r w:rsidRPr="0054039C">
        <w:rPr>
          <w:rFonts w:ascii="Arial" w:eastAsiaTheme="majorEastAsia" w:hAnsi="Arial" w:cs="Arial"/>
          <w:bCs/>
          <w:i/>
          <w:iCs/>
          <w:color w:val="595959" w:themeColor="text1" w:themeTint="A6"/>
          <w:szCs w:val="24"/>
        </w:rPr>
        <w:t>3.3.5.2 Immunofluorescence analysis of αSMA stress fibres in cancer-associated fibroblasts</w:t>
      </w:r>
      <w:bookmarkEnd w:id="333"/>
      <w:bookmarkEnd w:id="334"/>
    </w:p>
    <w:p w14:paraId="5F8AEA6F" w14:textId="77777777" w:rsidR="0054039C" w:rsidRPr="0054039C" w:rsidRDefault="0054039C" w:rsidP="0054039C">
      <w:pPr>
        <w:rPr>
          <w:rFonts w:ascii="Arial" w:hAnsi="Arial" w:cs="Arial"/>
          <w:color w:val="595959" w:themeColor="text1" w:themeTint="A6"/>
          <w:sz w:val="24"/>
          <w:szCs w:val="24"/>
        </w:rPr>
      </w:pPr>
    </w:p>
    <w:p w14:paraId="6F508EA5" w14:textId="7FC97A3D" w:rsidR="0054039C" w:rsidRPr="0054039C" w:rsidRDefault="0054039C" w:rsidP="0054039C">
      <w:pPr>
        <w:spacing w:line="480" w:lineRule="auto"/>
        <w:jc w:val="both"/>
        <w:rPr>
          <w:rFonts w:ascii="Arial" w:hAnsi="Arial" w:cs="Arial"/>
          <w:bCs/>
          <w:color w:val="595959" w:themeColor="text1" w:themeTint="A6"/>
        </w:rPr>
      </w:pPr>
      <w:r w:rsidRPr="0054039C">
        <w:rPr>
          <w:rFonts w:ascii="Arial" w:hAnsi="Arial" w:cs="Arial"/>
          <w:bCs/>
          <w:color w:val="595959" w:themeColor="text1" w:themeTint="A6"/>
        </w:rPr>
        <w:t>In contrast to NOF, CAF expressed readily detectable basal level of αSMA stress fibre formation and prominent elongation of filaments, both in the vehicle control groups (Figure 3.</w:t>
      </w:r>
      <w:r w:rsidR="00740DFA">
        <w:rPr>
          <w:rFonts w:ascii="Arial" w:hAnsi="Arial" w:cs="Arial"/>
          <w:bCs/>
          <w:color w:val="595959" w:themeColor="text1" w:themeTint="A6"/>
        </w:rPr>
        <w:t xml:space="preserve">39 </w:t>
      </w:r>
      <w:r w:rsidRPr="0054039C">
        <w:rPr>
          <w:rFonts w:ascii="Arial" w:hAnsi="Arial" w:cs="Arial"/>
          <w:bCs/>
          <w:color w:val="595959" w:themeColor="text1" w:themeTint="A6"/>
        </w:rPr>
        <w:t>A + C) and with TGFβ-1 supplementation (Figure 3.</w:t>
      </w:r>
      <w:r w:rsidR="00740DFA">
        <w:rPr>
          <w:rFonts w:ascii="Arial" w:hAnsi="Arial" w:cs="Arial"/>
          <w:bCs/>
          <w:color w:val="595959" w:themeColor="text1" w:themeTint="A6"/>
        </w:rPr>
        <w:t>3</w:t>
      </w:r>
      <w:r w:rsidR="005B479A">
        <w:rPr>
          <w:rFonts w:ascii="Arial" w:hAnsi="Arial" w:cs="Arial"/>
          <w:bCs/>
          <w:color w:val="595959" w:themeColor="text1" w:themeTint="A6"/>
        </w:rPr>
        <w:t>9</w:t>
      </w:r>
      <w:r w:rsidRPr="0054039C">
        <w:rPr>
          <w:rFonts w:ascii="Arial" w:hAnsi="Arial" w:cs="Arial"/>
          <w:bCs/>
          <w:color w:val="595959" w:themeColor="text1" w:themeTint="A6"/>
        </w:rPr>
        <w:t xml:space="preserve"> B + D) at both 48 h and 7 days </w:t>
      </w:r>
      <w:r w:rsidRPr="0054039C">
        <w:rPr>
          <w:rFonts w:ascii="Arial" w:hAnsi="Arial" w:cs="Arial"/>
          <w:bCs/>
          <w:i/>
          <w:color w:val="595959" w:themeColor="text1" w:themeTint="A6"/>
        </w:rPr>
        <w:t>in vitro</w:t>
      </w:r>
      <w:r w:rsidRPr="0054039C">
        <w:rPr>
          <w:rFonts w:ascii="Arial" w:hAnsi="Arial" w:cs="Arial"/>
          <w:bCs/>
          <w:color w:val="595959" w:themeColor="text1" w:themeTint="A6"/>
        </w:rPr>
        <w:t xml:space="preserve"> (Figure 3.</w:t>
      </w:r>
      <w:r w:rsidR="00740DFA">
        <w:rPr>
          <w:rFonts w:ascii="Arial" w:hAnsi="Arial" w:cs="Arial"/>
          <w:bCs/>
          <w:color w:val="595959" w:themeColor="text1" w:themeTint="A6"/>
        </w:rPr>
        <w:t>3</w:t>
      </w:r>
      <w:r w:rsidR="005B479A">
        <w:rPr>
          <w:rFonts w:ascii="Arial" w:hAnsi="Arial" w:cs="Arial"/>
          <w:bCs/>
          <w:color w:val="595959" w:themeColor="text1" w:themeTint="A6"/>
        </w:rPr>
        <w:t>9</w:t>
      </w:r>
      <w:r w:rsidRPr="0054039C">
        <w:rPr>
          <w:rFonts w:ascii="Arial" w:hAnsi="Arial" w:cs="Arial"/>
          <w:bCs/>
          <w:color w:val="595959" w:themeColor="text1" w:themeTint="A6"/>
        </w:rPr>
        <w:t xml:space="preserve"> A-D). This emphasises their myofibroblastic phenotype without the requirement for additional growth factor supplementation. </w:t>
      </w:r>
    </w:p>
    <w:p w14:paraId="007D467B" w14:textId="77777777" w:rsidR="0054039C" w:rsidRPr="0054039C" w:rsidRDefault="0054039C" w:rsidP="0054039C">
      <w:pPr>
        <w:rPr>
          <w:rFonts w:ascii="Arial" w:hAnsi="Arial" w:cs="Arial"/>
          <w:color w:val="595959" w:themeColor="text1" w:themeTint="A6"/>
          <w:sz w:val="24"/>
          <w:szCs w:val="24"/>
        </w:rPr>
      </w:pPr>
    </w:p>
    <w:p w14:paraId="61059DF2" w14:textId="77777777" w:rsidR="0054039C" w:rsidRPr="0054039C" w:rsidRDefault="0054039C" w:rsidP="0054039C">
      <w:pPr>
        <w:rPr>
          <w:rFonts w:ascii="Arial" w:hAnsi="Arial" w:cs="Arial"/>
          <w:color w:val="595959" w:themeColor="text1" w:themeTint="A6"/>
          <w:sz w:val="24"/>
          <w:szCs w:val="24"/>
        </w:rPr>
      </w:pPr>
      <w:r w:rsidRPr="0054039C">
        <w:rPr>
          <w:rFonts w:ascii="Arial" w:hAnsi="Arial" w:cs="Arial"/>
          <w:noProof/>
          <w:color w:val="595959" w:themeColor="text1" w:themeTint="A6"/>
          <w:sz w:val="24"/>
          <w:szCs w:val="24"/>
          <w:lang w:eastAsia="zh-CN"/>
        </w:rPr>
        <w:drawing>
          <wp:anchor distT="0" distB="0" distL="114300" distR="114300" simplePos="0" relativeHeight="251658317" behindDoc="0" locked="0" layoutInCell="1" allowOverlap="1" wp14:anchorId="6C132C07" wp14:editId="70D6208F">
            <wp:simplePos x="0" y="0"/>
            <wp:positionH relativeFrom="margin">
              <wp:align>left</wp:align>
            </wp:positionH>
            <wp:positionV relativeFrom="paragraph">
              <wp:posOffset>201930</wp:posOffset>
            </wp:positionV>
            <wp:extent cx="5771430" cy="4162425"/>
            <wp:effectExtent l="0" t="0" r="1270" b="0"/>
            <wp:wrapNone/>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CAF IF.jpg"/>
                    <pic:cNvPicPr/>
                  </pic:nvPicPr>
                  <pic:blipFill>
                    <a:blip r:embed="rId92">
                      <a:extLst>
                        <a:ext uri="{28A0092B-C50C-407E-A947-70E740481C1C}">
                          <a14:useLocalDpi xmlns:a14="http://schemas.microsoft.com/office/drawing/2010/main" val="0"/>
                        </a:ext>
                      </a:extLst>
                    </a:blip>
                    <a:stretch>
                      <a:fillRect/>
                    </a:stretch>
                  </pic:blipFill>
                  <pic:spPr>
                    <a:xfrm>
                      <a:off x="0" y="0"/>
                      <a:ext cx="5771430" cy="4162425"/>
                    </a:xfrm>
                    <a:prstGeom prst="rect">
                      <a:avLst/>
                    </a:prstGeom>
                  </pic:spPr>
                </pic:pic>
              </a:graphicData>
            </a:graphic>
            <wp14:sizeRelH relativeFrom="margin">
              <wp14:pctWidth>0</wp14:pctWidth>
            </wp14:sizeRelH>
            <wp14:sizeRelV relativeFrom="margin">
              <wp14:pctHeight>0</wp14:pctHeight>
            </wp14:sizeRelV>
          </wp:anchor>
        </w:drawing>
      </w:r>
    </w:p>
    <w:p w14:paraId="2F892EC6" w14:textId="77777777" w:rsidR="0054039C" w:rsidRPr="0054039C" w:rsidRDefault="0054039C" w:rsidP="0054039C">
      <w:pPr>
        <w:tabs>
          <w:tab w:val="left" w:pos="1590"/>
        </w:tabs>
        <w:rPr>
          <w:rFonts w:ascii="Arial" w:hAnsi="Arial" w:cs="Arial"/>
          <w:color w:val="595959" w:themeColor="text1" w:themeTint="A6"/>
          <w:sz w:val="24"/>
          <w:szCs w:val="24"/>
        </w:rPr>
      </w:pPr>
      <w:r w:rsidRPr="0054039C">
        <w:rPr>
          <w:rFonts w:ascii="Arial" w:hAnsi="Arial" w:cs="Arial"/>
          <w:color w:val="595959" w:themeColor="text1" w:themeTint="A6"/>
          <w:sz w:val="24"/>
          <w:szCs w:val="24"/>
        </w:rPr>
        <w:tab/>
      </w:r>
    </w:p>
    <w:p w14:paraId="3CD42969" w14:textId="77777777" w:rsidR="0054039C" w:rsidRPr="0054039C" w:rsidRDefault="0054039C" w:rsidP="0054039C">
      <w:pPr>
        <w:tabs>
          <w:tab w:val="left" w:pos="1590"/>
        </w:tabs>
        <w:rPr>
          <w:rFonts w:ascii="Arial" w:hAnsi="Arial" w:cs="Arial"/>
          <w:color w:val="595959" w:themeColor="text1" w:themeTint="A6"/>
          <w:sz w:val="24"/>
          <w:szCs w:val="24"/>
        </w:rPr>
      </w:pPr>
    </w:p>
    <w:p w14:paraId="324585ED" w14:textId="77777777" w:rsidR="0054039C" w:rsidRPr="0054039C" w:rsidRDefault="0054039C" w:rsidP="0054039C">
      <w:pPr>
        <w:tabs>
          <w:tab w:val="left" w:pos="1590"/>
        </w:tabs>
        <w:rPr>
          <w:rFonts w:ascii="Arial" w:hAnsi="Arial" w:cs="Arial"/>
          <w:color w:val="595959" w:themeColor="text1" w:themeTint="A6"/>
          <w:sz w:val="24"/>
          <w:szCs w:val="24"/>
        </w:rPr>
      </w:pPr>
    </w:p>
    <w:p w14:paraId="302F9457" w14:textId="77777777" w:rsidR="0054039C" w:rsidRPr="0054039C" w:rsidRDefault="0054039C" w:rsidP="0054039C">
      <w:pPr>
        <w:tabs>
          <w:tab w:val="left" w:pos="1590"/>
        </w:tabs>
        <w:rPr>
          <w:rFonts w:ascii="Arial" w:hAnsi="Arial" w:cs="Arial"/>
          <w:color w:val="595959" w:themeColor="text1" w:themeTint="A6"/>
          <w:sz w:val="24"/>
          <w:szCs w:val="24"/>
        </w:rPr>
      </w:pPr>
    </w:p>
    <w:p w14:paraId="2C5A8CC6" w14:textId="77777777" w:rsidR="0054039C" w:rsidRPr="0054039C" w:rsidRDefault="0054039C" w:rsidP="0054039C">
      <w:pPr>
        <w:tabs>
          <w:tab w:val="left" w:pos="1590"/>
        </w:tabs>
        <w:rPr>
          <w:rFonts w:ascii="Arial" w:hAnsi="Arial" w:cs="Arial"/>
          <w:color w:val="595959" w:themeColor="text1" w:themeTint="A6"/>
          <w:sz w:val="24"/>
          <w:szCs w:val="24"/>
        </w:rPr>
      </w:pPr>
    </w:p>
    <w:p w14:paraId="28D74021" w14:textId="77777777" w:rsidR="0054039C" w:rsidRPr="0054039C" w:rsidRDefault="0054039C" w:rsidP="0054039C">
      <w:pPr>
        <w:rPr>
          <w:rFonts w:ascii="Arial" w:hAnsi="Arial" w:cs="Arial"/>
          <w:sz w:val="24"/>
          <w:szCs w:val="24"/>
        </w:rPr>
      </w:pPr>
    </w:p>
    <w:p w14:paraId="64C3EE4E" w14:textId="77777777" w:rsidR="0054039C" w:rsidRPr="0054039C" w:rsidRDefault="0054039C" w:rsidP="0054039C">
      <w:pPr>
        <w:rPr>
          <w:rFonts w:ascii="Arial" w:hAnsi="Arial" w:cs="Arial"/>
          <w:sz w:val="24"/>
          <w:szCs w:val="24"/>
        </w:rPr>
      </w:pPr>
    </w:p>
    <w:p w14:paraId="4B9A08A4" w14:textId="77777777" w:rsidR="0054039C" w:rsidRPr="0054039C" w:rsidRDefault="0054039C" w:rsidP="0054039C">
      <w:pPr>
        <w:rPr>
          <w:rFonts w:ascii="Arial" w:hAnsi="Arial" w:cs="Arial"/>
          <w:sz w:val="24"/>
          <w:szCs w:val="24"/>
        </w:rPr>
      </w:pPr>
    </w:p>
    <w:p w14:paraId="6F4A6167" w14:textId="77777777" w:rsidR="0054039C" w:rsidRPr="0054039C" w:rsidRDefault="0054039C" w:rsidP="0054039C">
      <w:pPr>
        <w:rPr>
          <w:rFonts w:ascii="Arial" w:hAnsi="Arial" w:cs="Arial"/>
          <w:sz w:val="24"/>
          <w:szCs w:val="24"/>
        </w:rPr>
      </w:pPr>
    </w:p>
    <w:p w14:paraId="1387A6DB" w14:textId="77777777" w:rsidR="0054039C" w:rsidRPr="0054039C" w:rsidRDefault="0054039C" w:rsidP="0054039C">
      <w:pPr>
        <w:rPr>
          <w:rFonts w:ascii="Arial" w:hAnsi="Arial" w:cs="Arial"/>
          <w:sz w:val="24"/>
          <w:szCs w:val="24"/>
        </w:rPr>
      </w:pPr>
    </w:p>
    <w:p w14:paraId="5618CB8A" w14:textId="77777777" w:rsidR="0054039C" w:rsidRPr="0054039C" w:rsidRDefault="0054039C" w:rsidP="0054039C">
      <w:pPr>
        <w:rPr>
          <w:rFonts w:ascii="Arial" w:hAnsi="Arial" w:cs="Arial"/>
          <w:sz w:val="24"/>
          <w:szCs w:val="24"/>
        </w:rPr>
      </w:pPr>
    </w:p>
    <w:p w14:paraId="10455EE1" w14:textId="77777777" w:rsidR="0054039C" w:rsidRPr="0054039C" w:rsidRDefault="0054039C" w:rsidP="0054039C">
      <w:pPr>
        <w:rPr>
          <w:rFonts w:ascii="Arial" w:hAnsi="Arial" w:cs="Arial"/>
          <w:sz w:val="24"/>
          <w:szCs w:val="24"/>
        </w:rPr>
      </w:pPr>
    </w:p>
    <w:p w14:paraId="505586E0" w14:textId="77777777" w:rsidR="0054039C" w:rsidRPr="0054039C" w:rsidRDefault="0054039C" w:rsidP="0054039C">
      <w:pPr>
        <w:rPr>
          <w:rFonts w:ascii="Arial" w:hAnsi="Arial" w:cs="Arial"/>
          <w:sz w:val="24"/>
          <w:szCs w:val="24"/>
        </w:rPr>
      </w:pPr>
    </w:p>
    <w:p w14:paraId="7C240E7F" w14:textId="77777777" w:rsidR="0054039C" w:rsidRPr="0054039C" w:rsidRDefault="0054039C" w:rsidP="0054039C">
      <w:pPr>
        <w:rPr>
          <w:rFonts w:ascii="Arial" w:hAnsi="Arial" w:cs="Arial"/>
          <w:sz w:val="24"/>
          <w:szCs w:val="24"/>
        </w:rPr>
      </w:pPr>
    </w:p>
    <w:p w14:paraId="0E4D1726" w14:textId="77777777" w:rsidR="0054039C" w:rsidRPr="0054039C" w:rsidRDefault="0054039C" w:rsidP="0054039C">
      <w:pPr>
        <w:rPr>
          <w:rFonts w:ascii="Arial" w:hAnsi="Arial" w:cs="Arial"/>
          <w:sz w:val="24"/>
          <w:szCs w:val="24"/>
        </w:rPr>
      </w:pPr>
    </w:p>
    <w:p w14:paraId="3E7DCDC5" w14:textId="77777777" w:rsidR="0054039C" w:rsidRPr="0054039C" w:rsidRDefault="0054039C" w:rsidP="0054039C">
      <w:pPr>
        <w:rPr>
          <w:rFonts w:ascii="Arial" w:hAnsi="Arial" w:cs="Arial"/>
          <w:sz w:val="24"/>
          <w:szCs w:val="24"/>
        </w:rPr>
      </w:pPr>
      <w:r w:rsidRPr="0054039C">
        <w:rPr>
          <w:rFonts w:ascii="Arial" w:hAnsi="Arial" w:cs="Arial"/>
          <w:noProof/>
          <w:color w:val="595959" w:themeColor="text1" w:themeTint="A6"/>
          <w:sz w:val="24"/>
          <w:szCs w:val="24"/>
          <w:lang w:eastAsia="zh-CN"/>
        </w:rPr>
        <mc:AlternateContent>
          <mc:Choice Requires="wps">
            <w:drawing>
              <wp:anchor distT="0" distB="0" distL="114300" distR="114300" simplePos="0" relativeHeight="251658286" behindDoc="0" locked="0" layoutInCell="1" allowOverlap="1" wp14:anchorId="5A2B296D" wp14:editId="61AC0143">
                <wp:simplePos x="0" y="0"/>
                <wp:positionH relativeFrom="margin">
                  <wp:posOffset>16510</wp:posOffset>
                </wp:positionH>
                <wp:positionV relativeFrom="paragraph">
                  <wp:posOffset>171450</wp:posOffset>
                </wp:positionV>
                <wp:extent cx="5724525" cy="1009403"/>
                <wp:effectExtent l="0" t="0" r="9525" b="635"/>
                <wp:wrapNone/>
                <wp:docPr id="15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1009403"/>
                        </a:xfrm>
                        <a:prstGeom prst="rect">
                          <a:avLst/>
                        </a:prstGeom>
                        <a:solidFill>
                          <a:srgbClr val="FFFFFF"/>
                        </a:solidFill>
                        <a:ln w="9525">
                          <a:noFill/>
                          <a:miter lim="800000"/>
                          <a:headEnd/>
                          <a:tailEnd/>
                        </a:ln>
                      </wps:spPr>
                      <wps:txbx>
                        <w:txbxContent>
                          <w:p w14:paraId="6A00779B" w14:textId="1EFD546F" w:rsidR="008A47AC" w:rsidRDefault="008A47AC" w:rsidP="0054039C">
                            <w:pPr>
                              <w:pStyle w:val="NormalWeb"/>
                              <w:spacing w:after="200"/>
                              <w:jc w:val="both"/>
                              <w:rPr>
                                <w:rFonts w:ascii="Arial Narrow" w:eastAsia="SimSun" w:hAnsi="Arial Narrow" w:cs="Arial"/>
                                <w:b/>
                                <w:bCs/>
                                <w:color w:val="595959"/>
                                <w:kern w:val="24"/>
                                <w:sz w:val="22"/>
                                <w:szCs w:val="22"/>
                              </w:rPr>
                            </w:pPr>
                            <w:r>
                              <w:rPr>
                                <w:rFonts w:ascii="Arial Narrow" w:eastAsia="SimSun" w:hAnsi="Arial Narrow" w:cs="Arial"/>
                                <w:b/>
                                <w:bCs/>
                                <w:color w:val="595959"/>
                                <w:kern w:val="24"/>
                                <w:sz w:val="22"/>
                                <w:szCs w:val="22"/>
                              </w:rPr>
                              <w:t xml:space="preserve">Figure 3.39 αSMA stress-fibre formation in oral cancer-associated fibroblasts </w:t>
                            </w:r>
                            <w:r w:rsidRPr="00C96F05">
                              <w:rPr>
                                <w:rFonts w:ascii="Arial Narrow" w:eastAsia="SimSun" w:hAnsi="Arial Narrow" w:cs="Arial"/>
                                <w:b/>
                                <w:bCs/>
                                <w:i/>
                                <w:color w:val="595959"/>
                                <w:kern w:val="24"/>
                                <w:sz w:val="22"/>
                                <w:szCs w:val="22"/>
                              </w:rPr>
                              <w:t>in vitro</w:t>
                            </w:r>
                            <w:r>
                              <w:rPr>
                                <w:rFonts w:ascii="Arial Narrow" w:eastAsia="SimSun" w:hAnsi="Arial Narrow" w:cs="Arial"/>
                                <w:b/>
                                <w:bCs/>
                                <w:color w:val="595959"/>
                                <w:kern w:val="24"/>
                                <w:sz w:val="22"/>
                                <w:szCs w:val="22"/>
                              </w:rPr>
                              <w:t xml:space="preserve"> </w:t>
                            </w:r>
                          </w:p>
                          <w:p w14:paraId="2EF95688" w14:textId="77777777" w:rsidR="008A47AC" w:rsidRPr="00944EBD" w:rsidRDefault="008A47AC" w:rsidP="0054039C">
                            <w:pPr>
                              <w:pStyle w:val="NormalWeb"/>
                              <w:spacing w:after="200" w:line="276" w:lineRule="auto"/>
                              <w:jc w:val="both"/>
                              <w:rPr>
                                <w:rFonts w:ascii="Arial Narrow" w:eastAsia="SimSun" w:hAnsi="Arial Narrow" w:cs="Arial"/>
                                <w:color w:val="595959"/>
                                <w:kern w:val="24"/>
                                <w:sz w:val="22"/>
                              </w:rPr>
                            </w:pPr>
                            <w:r w:rsidRPr="00944EBD">
                              <w:rPr>
                                <w:rFonts w:ascii="Arial Narrow" w:eastAsia="SimSun" w:hAnsi="Arial Narrow" w:cs="Arial"/>
                                <w:color w:val="595959"/>
                                <w:kern w:val="24"/>
                                <w:sz w:val="22"/>
                              </w:rPr>
                              <w:t xml:space="preserve">The expression of FITC-conjugated aSMA stress-fibre formation was analysed </w:t>
                            </w:r>
                            <w:r w:rsidRPr="00944EBD">
                              <w:rPr>
                                <w:rFonts w:ascii="Arial Narrow" w:eastAsia="SimSun" w:hAnsi="Arial Narrow" w:cs="Arial"/>
                                <w:i/>
                                <w:color w:val="595959"/>
                                <w:kern w:val="24"/>
                                <w:sz w:val="22"/>
                              </w:rPr>
                              <w:t>in vitro</w:t>
                            </w:r>
                            <w:r w:rsidRPr="00944EBD">
                              <w:rPr>
                                <w:rFonts w:ascii="Arial Narrow" w:eastAsia="SimSun" w:hAnsi="Arial Narrow" w:cs="Arial"/>
                                <w:color w:val="595959"/>
                                <w:kern w:val="24"/>
                                <w:sz w:val="22"/>
                              </w:rPr>
                              <w:t xml:space="preserve"> with the addition of vehicle control at 48 h and 7 days (A + C) and TGFβ-1 at 48 h and 7 days (B + D) by immunofluorescence analysis in patient CAF. Scale bar = 20 µm.</w:t>
                            </w:r>
                          </w:p>
                          <w:p w14:paraId="2E7959B4" w14:textId="77777777" w:rsidR="008A47AC" w:rsidRDefault="008A47AC" w:rsidP="0054039C">
                            <w:pPr>
                              <w:pStyle w:val="NormalWeb"/>
                              <w:spacing w:after="200" w:line="276" w:lineRule="auto"/>
                              <w:jc w:val="both"/>
                              <w:rPr>
                                <w:rFonts w:ascii="Arial Narrow" w:eastAsia="SimSun" w:hAnsi="Arial Narrow" w:cs="Arial"/>
                                <w:color w:val="595959"/>
                                <w:kern w:val="24"/>
                              </w:rPr>
                            </w:pPr>
                          </w:p>
                          <w:p w14:paraId="00730E02" w14:textId="77777777" w:rsidR="008A47AC" w:rsidRDefault="008A47AC" w:rsidP="0054039C">
                            <w:pPr>
                              <w:pStyle w:val="NormalWeb"/>
                              <w:spacing w:after="200" w:line="276" w:lineRule="auto"/>
                              <w:jc w:val="both"/>
                              <w:rPr>
                                <w:rFonts w:ascii="Arial Narrow" w:eastAsia="SimSun" w:hAnsi="Arial Narrow" w:cs="Arial"/>
                                <w:color w:val="595959"/>
                                <w:kern w:val="24"/>
                              </w:rPr>
                            </w:pPr>
                          </w:p>
                          <w:p w14:paraId="58ED1E5E" w14:textId="77777777" w:rsidR="008A47AC" w:rsidRPr="00AE10F9" w:rsidRDefault="008A47AC" w:rsidP="0054039C">
                            <w:pPr>
                              <w:pStyle w:val="NormalWeb"/>
                              <w:spacing w:after="200" w:line="276" w:lineRule="auto"/>
                              <w:jc w:val="both"/>
                              <w:rPr>
                                <w:rFonts w:ascii="Arial Narrow" w:eastAsia="SimSun" w:hAnsi="Arial Narrow" w:cs="Arial"/>
                                <w:color w:val="595959"/>
                                <w:kern w:val="24"/>
                              </w:rPr>
                            </w:pPr>
                          </w:p>
                          <w:p w14:paraId="1BB2EC78" w14:textId="77777777" w:rsidR="008A47AC" w:rsidRDefault="008A47AC" w:rsidP="0054039C">
                            <w:pPr>
                              <w:pStyle w:val="NormalWeb"/>
                              <w:spacing w:after="200" w:line="276" w:lineRule="auto"/>
                              <w:jc w:val="both"/>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2B296D" id="_x0000_s1116" type="#_x0000_t202" style="position:absolute;margin-left:1.3pt;margin-top:13.5pt;width:450.75pt;height:79.5pt;z-index:25165828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" stroked="f">
                <v:textbox>
                  <w:txbxContent>
                    <w:p w14:paraId="6A00779B" w14:textId="1EFD546F" w:rsidR="008A47AC" w:rsidRDefault="008A47AC" w:rsidP="0054039C">
                      <w:pPr>
                        <w:pStyle w:val="NormalWeb"/>
                        <w:spacing w:after="200"/>
                        <w:jc w:val="both"/>
                        <w:rPr>
                          <w:rFonts w:ascii="Arial Narrow" w:eastAsia="SimSun" w:hAnsi="Arial Narrow" w:cs="Arial"/>
                          <w:b/>
                          <w:bCs/>
                          <w:color w:val="595959"/>
                          <w:kern w:val="24"/>
                          <w:sz w:val="22"/>
                          <w:szCs w:val="22"/>
                        </w:rPr>
                      </w:pPr>
                      <w:r>
                        <w:rPr>
                          <w:rFonts w:ascii="Arial Narrow" w:eastAsia="SimSun" w:hAnsi="Arial Narrow" w:cs="Arial"/>
                          <w:b/>
                          <w:bCs/>
                          <w:color w:val="595959"/>
                          <w:kern w:val="24"/>
                          <w:sz w:val="22"/>
                          <w:szCs w:val="22"/>
                        </w:rPr>
                        <w:t xml:space="preserve">Figure 3.39 αSMA stress-fibre formation in oral cancer-associated fibroblasts </w:t>
                      </w:r>
                      <w:r w:rsidRPr="00C96F05">
                        <w:rPr>
                          <w:rFonts w:ascii="Arial Narrow" w:eastAsia="SimSun" w:hAnsi="Arial Narrow" w:cs="Arial"/>
                          <w:b/>
                          <w:bCs/>
                          <w:i/>
                          <w:color w:val="595959"/>
                          <w:kern w:val="24"/>
                          <w:sz w:val="22"/>
                          <w:szCs w:val="22"/>
                        </w:rPr>
                        <w:t>in vitro</w:t>
                      </w:r>
                      <w:r>
                        <w:rPr>
                          <w:rFonts w:ascii="Arial Narrow" w:eastAsia="SimSun" w:hAnsi="Arial Narrow" w:cs="Arial"/>
                          <w:b/>
                          <w:bCs/>
                          <w:color w:val="595959"/>
                          <w:kern w:val="24"/>
                          <w:sz w:val="22"/>
                          <w:szCs w:val="22"/>
                        </w:rPr>
                        <w:t xml:space="preserve"> </w:t>
                      </w:r>
                    </w:p>
                    <w:p w14:paraId="2EF95688" w14:textId="77777777" w:rsidR="008A47AC" w:rsidRPr="00944EBD" w:rsidRDefault="008A47AC" w:rsidP="0054039C">
                      <w:pPr>
                        <w:pStyle w:val="NormalWeb"/>
                        <w:spacing w:after="200" w:line="276" w:lineRule="auto"/>
                        <w:jc w:val="both"/>
                        <w:rPr>
                          <w:rFonts w:ascii="Arial Narrow" w:eastAsia="SimSun" w:hAnsi="Arial Narrow" w:cs="Arial"/>
                          <w:color w:val="595959"/>
                          <w:kern w:val="24"/>
                          <w:sz w:val="22"/>
                        </w:rPr>
                      </w:pPr>
                      <w:r w:rsidRPr="00944EBD">
                        <w:rPr>
                          <w:rFonts w:ascii="Arial Narrow" w:eastAsia="SimSun" w:hAnsi="Arial Narrow" w:cs="Arial"/>
                          <w:color w:val="595959"/>
                          <w:kern w:val="24"/>
                          <w:sz w:val="22"/>
                        </w:rPr>
                        <w:t xml:space="preserve">The expression of FITC-conjugated </w:t>
                      </w:r>
                      <w:proofErr w:type="spellStart"/>
                      <w:r w:rsidRPr="00944EBD">
                        <w:rPr>
                          <w:rFonts w:ascii="Arial Narrow" w:eastAsia="SimSun" w:hAnsi="Arial Narrow" w:cs="Arial"/>
                          <w:color w:val="595959"/>
                          <w:kern w:val="24"/>
                          <w:sz w:val="22"/>
                        </w:rPr>
                        <w:t>aSMA</w:t>
                      </w:r>
                      <w:proofErr w:type="spellEnd"/>
                      <w:r w:rsidRPr="00944EBD">
                        <w:rPr>
                          <w:rFonts w:ascii="Arial Narrow" w:eastAsia="SimSun" w:hAnsi="Arial Narrow" w:cs="Arial"/>
                          <w:color w:val="595959"/>
                          <w:kern w:val="24"/>
                          <w:sz w:val="22"/>
                        </w:rPr>
                        <w:t xml:space="preserve"> stress-fibre formation was analysed </w:t>
                      </w:r>
                      <w:r w:rsidRPr="00944EBD">
                        <w:rPr>
                          <w:rFonts w:ascii="Arial Narrow" w:eastAsia="SimSun" w:hAnsi="Arial Narrow" w:cs="Arial"/>
                          <w:i/>
                          <w:color w:val="595959"/>
                          <w:kern w:val="24"/>
                          <w:sz w:val="22"/>
                        </w:rPr>
                        <w:t>in vitro</w:t>
                      </w:r>
                      <w:r w:rsidRPr="00944EBD">
                        <w:rPr>
                          <w:rFonts w:ascii="Arial Narrow" w:eastAsia="SimSun" w:hAnsi="Arial Narrow" w:cs="Arial"/>
                          <w:color w:val="595959"/>
                          <w:kern w:val="24"/>
                          <w:sz w:val="22"/>
                        </w:rPr>
                        <w:t xml:space="preserve"> with the addition of vehicle control at 48 h and 7 days (A + C) and TGFβ-1 at 48 h and 7 days (B + D) by immunofluorescence analysis in patient CAF. Scale bar = 20 µm.</w:t>
                      </w:r>
                    </w:p>
                    <w:p w14:paraId="2E7959B4" w14:textId="77777777" w:rsidR="008A47AC" w:rsidRDefault="008A47AC" w:rsidP="0054039C">
                      <w:pPr>
                        <w:pStyle w:val="NormalWeb"/>
                        <w:spacing w:after="200" w:line="276" w:lineRule="auto"/>
                        <w:jc w:val="both"/>
                        <w:rPr>
                          <w:rFonts w:ascii="Arial Narrow" w:eastAsia="SimSun" w:hAnsi="Arial Narrow" w:cs="Arial"/>
                          <w:color w:val="595959"/>
                          <w:kern w:val="24"/>
                        </w:rPr>
                      </w:pPr>
                    </w:p>
                    <w:p w14:paraId="00730E02" w14:textId="77777777" w:rsidR="008A47AC" w:rsidRDefault="008A47AC" w:rsidP="0054039C">
                      <w:pPr>
                        <w:pStyle w:val="NormalWeb"/>
                        <w:spacing w:after="200" w:line="276" w:lineRule="auto"/>
                        <w:jc w:val="both"/>
                        <w:rPr>
                          <w:rFonts w:ascii="Arial Narrow" w:eastAsia="SimSun" w:hAnsi="Arial Narrow" w:cs="Arial"/>
                          <w:color w:val="595959"/>
                          <w:kern w:val="24"/>
                        </w:rPr>
                      </w:pPr>
                    </w:p>
                    <w:p w14:paraId="58ED1E5E" w14:textId="77777777" w:rsidR="008A47AC" w:rsidRPr="00AE10F9" w:rsidRDefault="008A47AC" w:rsidP="0054039C">
                      <w:pPr>
                        <w:pStyle w:val="NormalWeb"/>
                        <w:spacing w:after="200" w:line="276" w:lineRule="auto"/>
                        <w:jc w:val="both"/>
                        <w:rPr>
                          <w:rFonts w:ascii="Arial Narrow" w:eastAsia="SimSun" w:hAnsi="Arial Narrow" w:cs="Arial"/>
                          <w:color w:val="595959"/>
                          <w:kern w:val="24"/>
                        </w:rPr>
                      </w:pPr>
                    </w:p>
                    <w:p w14:paraId="1BB2EC78" w14:textId="77777777" w:rsidR="008A47AC" w:rsidRDefault="008A47AC" w:rsidP="0054039C">
                      <w:pPr>
                        <w:pStyle w:val="NormalWeb"/>
                        <w:spacing w:after="200" w:line="276" w:lineRule="auto"/>
                        <w:jc w:val="both"/>
                      </w:pPr>
                    </w:p>
                  </w:txbxContent>
                </v:textbox>
                <w10:wrap anchorx="margin"/>
              </v:shape>
            </w:pict>
          </mc:Fallback>
        </mc:AlternateContent>
      </w:r>
    </w:p>
    <w:p w14:paraId="7B4BC48C" w14:textId="77777777" w:rsidR="0054039C" w:rsidRPr="0054039C" w:rsidRDefault="0054039C" w:rsidP="0054039C">
      <w:pPr>
        <w:rPr>
          <w:rFonts w:ascii="Arial" w:hAnsi="Arial" w:cs="Arial"/>
          <w:color w:val="595959" w:themeColor="text1" w:themeTint="A6"/>
          <w:sz w:val="24"/>
          <w:szCs w:val="24"/>
        </w:rPr>
      </w:pPr>
    </w:p>
    <w:p w14:paraId="24C021BA" w14:textId="77777777" w:rsidR="0054039C" w:rsidRPr="0054039C" w:rsidRDefault="0054039C" w:rsidP="0054039C">
      <w:pPr>
        <w:rPr>
          <w:rFonts w:ascii="Arial" w:hAnsi="Arial" w:cs="Arial"/>
          <w:sz w:val="24"/>
          <w:szCs w:val="24"/>
        </w:rPr>
      </w:pPr>
    </w:p>
    <w:p w14:paraId="79DAA193" w14:textId="77777777" w:rsidR="0054039C" w:rsidRPr="0054039C" w:rsidRDefault="0054039C" w:rsidP="0054039C">
      <w:pPr>
        <w:rPr>
          <w:rFonts w:ascii="Arial" w:hAnsi="Arial" w:cs="Arial"/>
          <w:sz w:val="24"/>
          <w:szCs w:val="24"/>
        </w:rPr>
      </w:pPr>
    </w:p>
    <w:p w14:paraId="53758FC5" w14:textId="77777777" w:rsidR="0054039C" w:rsidRPr="0054039C" w:rsidRDefault="0054039C" w:rsidP="0054039C">
      <w:pPr>
        <w:rPr>
          <w:rFonts w:ascii="Arial" w:hAnsi="Arial" w:cs="Arial"/>
          <w:sz w:val="24"/>
          <w:szCs w:val="24"/>
        </w:rPr>
      </w:pPr>
    </w:p>
    <w:p w14:paraId="60194CB6" w14:textId="77777777" w:rsidR="0054039C" w:rsidRPr="0054039C" w:rsidRDefault="0054039C" w:rsidP="0054039C">
      <w:pPr>
        <w:tabs>
          <w:tab w:val="left" w:pos="1350"/>
        </w:tabs>
        <w:spacing w:line="480" w:lineRule="auto"/>
        <w:jc w:val="both"/>
        <w:rPr>
          <w:rFonts w:ascii="Arial" w:hAnsi="Arial" w:cs="Arial"/>
          <w:color w:val="595959" w:themeColor="text1" w:themeTint="A6"/>
          <w:szCs w:val="24"/>
        </w:rPr>
      </w:pPr>
      <w:bookmarkStart w:id="335" w:name="_Toc7107288"/>
    </w:p>
    <w:p w14:paraId="45A0BB48" w14:textId="2FCE840B" w:rsidR="0054039C" w:rsidRDefault="0054039C" w:rsidP="001F0077">
      <w:pPr>
        <w:pStyle w:val="Heading3"/>
        <w:spacing w:line="480" w:lineRule="auto"/>
        <w:jc w:val="both"/>
        <w:rPr>
          <w:rFonts w:ascii="Arial" w:hAnsi="Arial" w:cs="Arial"/>
          <w:bCs/>
          <w:color w:val="595959" w:themeColor="text1" w:themeTint="A6"/>
        </w:rPr>
      </w:pPr>
      <w:bookmarkStart w:id="336" w:name="_Toc34208394"/>
      <w:bookmarkStart w:id="337" w:name="OLE_LINK19"/>
      <w:r w:rsidRPr="0054039C">
        <w:rPr>
          <w:rFonts w:ascii="Arial" w:hAnsi="Arial" w:cs="Arial"/>
          <w:bCs/>
          <w:color w:val="595959" w:themeColor="text1" w:themeTint="A6"/>
        </w:rPr>
        <w:lastRenderedPageBreak/>
        <w:t xml:space="preserve">3.3.6 Investigation of the effects of stromal </w:t>
      </w:r>
      <w:r w:rsidR="00FC1073">
        <w:rPr>
          <w:rFonts w:ascii="Arial" w:hAnsi="Arial" w:cs="Arial"/>
          <w:bCs/>
          <w:color w:val="595959" w:themeColor="text1" w:themeTint="A6"/>
        </w:rPr>
        <w:t xml:space="preserve">modifying </w:t>
      </w:r>
      <w:r w:rsidRPr="0054039C">
        <w:rPr>
          <w:rFonts w:ascii="Arial" w:hAnsi="Arial" w:cs="Arial"/>
          <w:bCs/>
          <w:color w:val="595959" w:themeColor="text1" w:themeTint="A6"/>
        </w:rPr>
        <w:t>drugs on</w:t>
      </w:r>
      <w:r w:rsidR="00B92392">
        <w:rPr>
          <w:rFonts w:ascii="Arial" w:hAnsi="Arial" w:cs="Arial"/>
          <w:bCs/>
          <w:color w:val="595959" w:themeColor="text1" w:themeTint="A6"/>
        </w:rPr>
        <w:t xml:space="preserve"> myofibroblast </w:t>
      </w:r>
      <w:r w:rsidRPr="0054039C">
        <w:rPr>
          <w:rFonts w:ascii="Arial" w:hAnsi="Arial" w:cs="Arial"/>
          <w:bCs/>
          <w:color w:val="595959" w:themeColor="text1" w:themeTint="A6"/>
        </w:rPr>
        <w:t>phenotype in 2D monolayers</w:t>
      </w:r>
      <w:bookmarkEnd w:id="336"/>
    </w:p>
    <w:p w14:paraId="20AC7736" w14:textId="77777777" w:rsidR="00252835" w:rsidRPr="00252835" w:rsidRDefault="00252835" w:rsidP="00252835"/>
    <w:p w14:paraId="423D98D7" w14:textId="427E7733" w:rsidR="0054039C" w:rsidRPr="0054039C" w:rsidRDefault="0054039C" w:rsidP="0054039C">
      <w:pPr>
        <w:tabs>
          <w:tab w:val="left" w:pos="1350"/>
        </w:tabs>
        <w:spacing w:line="480" w:lineRule="auto"/>
        <w:jc w:val="both"/>
        <w:rPr>
          <w:rFonts w:ascii="Arial" w:hAnsi="Arial" w:cs="Arial"/>
          <w:bCs/>
          <w:color w:val="595959" w:themeColor="text1" w:themeTint="A6"/>
        </w:rPr>
      </w:pPr>
      <w:r w:rsidRPr="0054039C">
        <w:rPr>
          <w:rFonts w:ascii="Arial" w:hAnsi="Arial" w:cs="Arial"/>
          <w:bCs/>
          <w:color w:val="595959" w:themeColor="text1" w:themeTint="A6"/>
        </w:rPr>
        <w:t xml:space="preserve">The effects of stromal targeted therapeutics, Scriptaid; a HDAC inhibitor and Batimastat; a </w:t>
      </w:r>
      <w:r w:rsidRPr="00533009">
        <w:rPr>
          <w:rFonts w:ascii="Arial" w:hAnsi="Arial" w:cs="Arial"/>
          <w:bCs/>
          <w:color w:val="595959" w:themeColor="text1" w:themeTint="A6"/>
        </w:rPr>
        <w:t>broad spec</w:t>
      </w:r>
      <w:r w:rsidR="00A761B9" w:rsidRPr="00533009">
        <w:rPr>
          <w:rFonts w:ascii="Arial" w:hAnsi="Arial" w:cs="Arial"/>
          <w:bCs/>
          <w:color w:val="595959" w:themeColor="text1" w:themeTint="A6"/>
        </w:rPr>
        <w:t>trum</w:t>
      </w:r>
      <w:r w:rsidRPr="00533009">
        <w:rPr>
          <w:rFonts w:ascii="Arial" w:hAnsi="Arial" w:cs="Arial"/>
          <w:bCs/>
          <w:color w:val="595959" w:themeColor="text1" w:themeTint="A6"/>
        </w:rPr>
        <w:t xml:space="preserve"> MMP inhibitor, alone and in combination </w:t>
      </w:r>
      <w:r w:rsidRPr="0054039C">
        <w:rPr>
          <w:rFonts w:ascii="Arial" w:hAnsi="Arial" w:cs="Arial"/>
          <w:bCs/>
          <w:color w:val="595959" w:themeColor="text1" w:themeTint="A6"/>
        </w:rPr>
        <w:t>with TGFβ-1 were investigated to examine their role in inhibitin</w:t>
      </w:r>
      <w:r w:rsidR="00E65CD3">
        <w:rPr>
          <w:rFonts w:ascii="Arial" w:hAnsi="Arial" w:cs="Arial"/>
          <w:bCs/>
          <w:color w:val="595959" w:themeColor="text1" w:themeTint="A6"/>
        </w:rPr>
        <w:t xml:space="preserve">g myofibroblast phenotype </w:t>
      </w:r>
      <w:r w:rsidRPr="0054039C">
        <w:rPr>
          <w:rFonts w:ascii="Arial" w:hAnsi="Arial" w:cs="Arial"/>
          <w:bCs/>
          <w:color w:val="595959" w:themeColor="text1" w:themeTint="A6"/>
        </w:rPr>
        <w:t>in 2D monolayers of NOF and CAF</w:t>
      </w:r>
      <w:r w:rsidR="00597587">
        <w:rPr>
          <w:rFonts w:ascii="Arial" w:hAnsi="Arial" w:cs="Arial"/>
          <w:bCs/>
          <w:color w:val="595959" w:themeColor="text1" w:themeTint="A6"/>
        </w:rPr>
        <w:t xml:space="preserve"> at 48 h</w:t>
      </w:r>
      <w:r w:rsidRPr="0054039C">
        <w:rPr>
          <w:rFonts w:ascii="Arial" w:hAnsi="Arial" w:cs="Arial"/>
          <w:bCs/>
          <w:color w:val="595959" w:themeColor="text1" w:themeTint="A6"/>
        </w:rPr>
        <w:t xml:space="preserve">. </w:t>
      </w:r>
      <w:r w:rsidR="004543D8">
        <w:rPr>
          <w:rFonts w:ascii="Arial" w:hAnsi="Arial" w:cs="Arial"/>
          <w:bCs/>
          <w:color w:val="595959" w:themeColor="text1" w:themeTint="A6"/>
        </w:rPr>
        <w:t xml:space="preserve">This inhibition was analysed by performing qPCR and immunoblotting </w:t>
      </w:r>
      <w:r w:rsidR="00B037C5">
        <w:rPr>
          <w:rFonts w:ascii="Arial" w:hAnsi="Arial" w:cs="Arial"/>
          <w:bCs/>
          <w:color w:val="595959" w:themeColor="text1" w:themeTint="A6"/>
        </w:rPr>
        <w:t>for</w:t>
      </w:r>
      <w:r w:rsidRPr="0054039C">
        <w:rPr>
          <w:rFonts w:ascii="Arial" w:hAnsi="Arial" w:cs="Arial"/>
          <w:bCs/>
          <w:color w:val="595959" w:themeColor="text1" w:themeTint="A6"/>
        </w:rPr>
        <w:t xml:space="preserve"> three key</w:t>
      </w:r>
      <w:r w:rsidR="00CB1127">
        <w:rPr>
          <w:rFonts w:ascii="Arial" w:hAnsi="Arial" w:cs="Arial"/>
          <w:bCs/>
          <w:color w:val="595959" w:themeColor="text1" w:themeTint="A6"/>
        </w:rPr>
        <w:t xml:space="preserve"> </w:t>
      </w:r>
      <w:r w:rsidR="00E65CD3">
        <w:rPr>
          <w:rFonts w:ascii="Arial" w:hAnsi="Arial" w:cs="Arial"/>
          <w:bCs/>
          <w:color w:val="595959" w:themeColor="text1" w:themeTint="A6"/>
        </w:rPr>
        <w:t>markers</w:t>
      </w:r>
      <w:r w:rsidRPr="0054039C">
        <w:rPr>
          <w:rFonts w:ascii="Arial" w:hAnsi="Arial" w:cs="Arial"/>
          <w:bCs/>
          <w:color w:val="595959" w:themeColor="text1" w:themeTint="A6"/>
        </w:rPr>
        <w:t xml:space="preserve"> (αSMA, COL1A1 and FN1-EDA) previously shown in</w:t>
      </w:r>
      <w:r w:rsidR="00FB58B8">
        <w:rPr>
          <w:rFonts w:ascii="Arial" w:hAnsi="Arial" w:cs="Arial"/>
          <w:bCs/>
          <w:color w:val="595959" w:themeColor="text1" w:themeTint="A6"/>
        </w:rPr>
        <w:t xml:space="preserve"> </w:t>
      </w:r>
      <w:r w:rsidRPr="0054039C">
        <w:rPr>
          <w:rFonts w:ascii="Arial" w:hAnsi="Arial" w:cs="Arial"/>
          <w:bCs/>
          <w:color w:val="595959" w:themeColor="text1" w:themeTint="A6"/>
        </w:rPr>
        <w:t>this chapter to be</w:t>
      </w:r>
      <w:r w:rsidR="00754E82">
        <w:rPr>
          <w:rFonts w:ascii="Arial" w:hAnsi="Arial" w:cs="Arial"/>
          <w:bCs/>
          <w:color w:val="595959" w:themeColor="text1" w:themeTint="A6"/>
        </w:rPr>
        <w:t xml:space="preserve"> significantly</w:t>
      </w:r>
      <w:r w:rsidRPr="0054039C">
        <w:rPr>
          <w:rFonts w:ascii="Arial" w:hAnsi="Arial" w:cs="Arial"/>
          <w:bCs/>
          <w:color w:val="595959" w:themeColor="text1" w:themeTint="A6"/>
        </w:rPr>
        <w:t xml:space="preserve"> upregulated in response to </w:t>
      </w:r>
      <w:r w:rsidR="00FC1073">
        <w:rPr>
          <w:rFonts w:ascii="Arial" w:hAnsi="Arial" w:cs="Arial"/>
          <w:bCs/>
          <w:color w:val="595959" w:themeColor="text1" w:themeTint="A6"/>
        </w:rPr>
        <w:t>TGFβ-1</w:t>
      </w:r>
      <w:r w:rsidR="004543D8">
        <w:rPr>
          <w:rFonts w:ascii="Arial" w:hAnsi="Arial" w:cs="Arial"/>
          <w:bCs/>
          <w:color w:val="595959" w:themeColor="text1" w:themeTint="A6"/>
        </w:rPr>
        <w:t xml:space="preserve"> </w:t>
      </w:r>
      <w:r w:rsidRPr="0054039C">
        <w:rPr>
          <w:rFonts w:ascii="Arial" w:hAnsi="Arial" w:cs="Arial"/>
          <w:bCs/>
          <w:i/>
          <w:iCs/>
          <w:color w:val="595959" w:themeColor="text1" w:themeTint="A6"/>
        </w:rPr>
        <w:t>in vitro</w:t>
      </w:r>
      <w:r w:rsidR="008E3EBA">
        <w:rPr>
          <w:rFonts w:ascii="Arial" w:hAnsi="Arial" w:cs="Arial"/>
          <w:bCs/>
          <w:i/>
          <w:iCs/>
          <w:color w:val="595959" w:themeColor="text1" w:themeTint="A6"/>
        </w:rPr>
        <w:t>,</w:t>
      </w:r>
      <w:r w:rsidR="00CB1127">
        <w:rPr>
          <w:rFonts w:ascii="Arial" w:hAnsi="Arial" w:cs="Arial"/>
          <w:bCs/>
          <w:i/>
          <w:iCs/>
          <w:color w:val="595959" w:themeColor="text1" w:themeTint="A6"/>
        </w:rPr>
        <w:t xml:space="preserve"> </w:t>
      </w:r>
      <w:r w:rsidR="00CB1127">
        <w:rPr>
          <w:rFonts w:ascii="Arial" w:hAnsi="Arial" w:cs="Arial"/>
          <w:bCs/>
          <w:color w:val="595959" w:themeColor="text1" w:themeTint="A6"/>
        </w:rPr>
        <w:t xml:space="preserve">and </w:t>
      </w:r>
      <w:r w:rsidR="00945C03">
        <w:rPr>
          <w:rFonts w:ascii="Arial" w:hAnsi="Arial" w:cs="Arial"/>
          <w:bCs/>
          <w:color w:val="595959" w:themeColor="text1" w:themeTint="A6"/>
        </w:rPr>
        <w:t>indicative of a myofibroblastic phenotype.</w:t>
      </w:r>
      <w:r w:rsidR="00ED782D">
        <w:rPr>
          <w:rFonts w:ascii="Arial" w:hAnsi="Arial" w:cs="Arial"/>
          <w:bCs/>
          <w:i/>
          <w:iCs/>
          <w:color w:val="595959" w:themeColor="text1" w:themeTint="A6"/>
        </w:rPr>
        <w:t xml:space="preserve"> </w:t>
      </w:r>
      <w:r w:rsidR="004543D8">
        <w:rPr>
          <w:rFonts w:ascii="Arial" w:hAnsi="Arial" w:cs="Arial"/>
          <w:bCs/>
          <w:color w:val="595959" w:themeColor="text1" w:themeTint="A6"/>
        </w:rPr>
        <w:t>This analysis</w:t>
      </w:r>
      <w:r w:rsidR="00945C03">
        <w:rPr>
          <w:rFonts w:ascii="Arial" w:hAnsi="Arial" w:cs="Arial"/>
          <w:bCs/>
          <w:color w:val="595959" w:themeColor="text1" w:themeTint="A6"/>
        </w:rPr>
        <w:t xml:space="preserve"> here</w:t>
      </w:r>
      <w:r w:rsidR="004543D8">
        <w:rPr>
          <w:rFonts w:ascii="Arial" w:hAnsi="Arial" w:cs="Arial"/>
          <w:bCs/>
          <w:color w:val="595959" w:themeColor="text1" w:themeTint="A6"/>
        </w:rPr>
        <w:t xml:space="preserve"> will provide a preliminary assessment of drug response in 2D, before further testing on </w:t>
      </w:r>
      <w:r w:rsidRPr="0054039C">
        <w:rPr>
          <w:rFonts w:ascii="Arial" w:hAnsi="Arial" w:cs="Arial"/>
          <w:bCs/>
          <w:color w:val="595959" w:themeColor="text1" w:themeTint="A6"/>
        </w:rPr>
        <w:t>fibroblast-derived matrices</w:t>
      </w:r>
      <w:r w:rsidR="00FB58B8">
        <w:rPr>
          <w:rFonts w:ascii="Arial" w:hAnsi="Arial" w:cs="Arial"/>
          <w:bCs/>
          <w:color w:val="595959" w:themeColor="text1" w:themeTint="A6"/>
        </w:rPr>
        <w:t xml:space="preserve"> (FDM)</w:t>
      </w:r>
      <w:r w:rsidRPr="0054039C">
        <w:rPr>
          <w:rFonts w:ascii="Arial" w:hAnsi="Arial" w:cs="Arial"/>
          <w:bCs/>
          <w:color w:val="595959" w:themeColor="text1" w:themeTint="A6"/>
        </w:rPr>
        <w:t>, developed and discussed in</w:t>
      </w:r>
      <w:r w:rsidR="004543D8">
        <w:rPr>
          <w:rFonts w:ascii="Arial" w:hAnsi="Arial" w:cs="Arial"/>
          <w:bCs/>
          <w:color w:val="595959" w:themeColor="text1" w:themeTint="A6"/>
        </w:rPr>
        <w:t xml:space="preserve"> the subsequent chapter</w:t>
      </w:r>
      <w:r w:rsidRPr="0054039C">
        <w:rPr>
          <w:rFonts w:ascii="Arial" w:hAnsi="Arial" w:cs="Arial"/>
          <w:bCs/>
          <w:color w:val="595959" w:themeColor="text1" w:themeTint="A6"/>
        </w:rPr>
        <w:t xml:space="preserve">. </w:t>
      </w:r>
      <w:r w:rsidR="009E2E56">
        <w:rPr>
          <w:rFonts w:ascii="Arial" w:hAnsi="Arial" w:cs="Arial"/>
          <w:bCs/>
          <w:color w:val="595959" w:themeColor="text1" w:themeTint="A6"/>
        </w:rPr>
        <w:t>The concentration of TGFβ-1 used was 10 ng/mL,</w:t>
      </w:r>
      <w:r w:rsidR="006669A8">
        <w:rPr>
          <w:rFonts w:ascii="Arial" w:hAnsi="Arial" w:cs="Arial"/>
          <w:bCs/>
          <w:color w:val="595959" w:themeColor="text1" w:themeTint="A6"/>
        </w:rPr>
        <w:t xml:space="preserve"> </w:t>
      </w:r>
      <w:r w:rsidR="009E2E56">
        <w:rPr>
          <w:rFonts w:ascii="Arial" w:hAnsi="Arial" w:cs="Arial"/>
          <w:bCs/>
          <w:color w:val="595959" w:themeColor="text1" w:themeTint="A6"/>
        </w:rPr>
        <w:t xml:space="preserve">the </w:t>
      </w:r>
      <w:r w:rsidR="006669A8">
        <w:rPr>
          <w:rFonts w:ascii="Arial" w:hAnsi="Arial" w:cs="Arial"/>
          <w:bCs/>
          <w:color w:val="595959" w:themeColor="text1" w:themeTint="A6"/>
        </w:rPr>
        <w:t xml:space="preserve">same </w:t>
      </w:r>
      <w:r w:rsidR="009E2E56">
        <w:rPr>
          <w:rFonts w:ascii="Arial" w:hAnsi="Arial" w:cs="Arial"/>
          <w:bCs/>
          <w:color w:val="595959" w:themeColor="text1" w:themeTint="A6"/>
        </w:rPr>
        <w:t>concentration used in other studies using these inhibitors</w:t>
      </w:r>
      <w:r w:rsidR="00654FCC">
        <w:rPr>
          <w:rFonts w:ascii="Arial" w:hAnsi="Arial" w:cs="Arial"/>
          <w:bCs/>
          <w:color w:val="595959" w:themeColor="text1" w:themeTint="A6"/>
        </w:rPr>
        <w:t xml:space="preserve"> (</w:t>
      </w:r>
      <w:r w:rsidR="00D322C5">
        <w:rPr>
          <w:rFonts w:ascii="Arial" w:hAnsi="Arial" w:cs="Arial"/>
          <w:bCs/>
          <w:color w:val="595959" w:themeColor="text1" w:themeTint="A6"/>
        </w:rPr>
        <w:t xml:space="preserve">Kim </w:t>
      </w:r>
      <w:r w:rsidR="00D322C5" w:rsidRPr="00D322C5">
        <w:rPr>
          <w:rFonts w:ascii="Arial" w:hAnsi="Arial" w:cs="Arial"/>
          <w:bCs/>
          <w:i/>
          <w:iCs/>
          <w:color w:val="595959" w:themeColor="text1" w:themeTint="A6"/>
        </w:rPr>
        <w:t>et al.,</w:t>
      </w:r>
      <w:r w:rsidR="00D322C5">
        <w:rPr>
          <w:rFonts w:ascii="Arial" w:hAnsi="Arial" w:cs="Arial"/>
          <w:bCs/>
          <w:color w:val="595959" w:themeColor="text1" w:themeTint="A6"/>
        </w:rPr>
        <w:t xml:space="preserve"> 2018</w:t>
      </w:r>
      <w:r w:rsidR="002D6275">
        <w:rPr>
          <w:rFonts w:ascii="Arial" w:hAnsi="Arial" w:cs="Arial"/>
          <w:bCs/>
          <w:color w:val="595959" w:themeColor="text1" w:themeTint="A6"/>
        </w:rPr>
        <w:t>, Brown, 2009</w:t>
      </w:r>
      <w:r w:rsidR="00654FCC">
        <w:rPr>
          <w:rFonts w:ascii="Arial" w:hAnsi="Arial" w:cs="Arial"/>
          <w:bCs/>
          <w:color w:val="595959" w:themeColor="text1" w:themeTint="A6"/>
        </w:rPr>
        <w:t>)</w:t>
      </w:r>
      <w:r w:rsidR="009E2E56">
        <w:rPr>
          <w:rFonts w:ascii="Arial" w:hAnsi="Arial" w:cs="Arial"/>
          <w:bCs/>
          <w:color w:val="595959" w:themeColor="text1" w:themeTint="A6"/>
        </w:rPr>
        <w:t xml:space="preserve">. </w:t>
      </w:r>
      <w:r w:rsidR="00FD1BCC">
        <w:rPr>
          <w:rFonts w:ascii="Arial" w:hAnsi="Arial" w:cs="Arial"/>
          <w:bCs/>
          <w:color w:val="595959" w:themeColor="text1" w:themeTint="A6"/>
        </w:rPr>
        <w:t>Fold changes were relative to the housekeeping gene U6 and</w:t>
      </w:r>
      <w:r w:rsidR="00E90340">
        <w:rPr>
          <w:rFonts w:ascii="Arial" w:hAnsi="Arial" w:cs="Arial"/>
          <w:bCs/>
          <w:color w:val="595959" w:themeColor="text1" w:themeTint="A6"/>
        </w:rPr>
        <w:t xml:space="preserve"> </w:t>
      </w:r>
      <w:r w:rsidR="00FD1BCC">
        <w:rPr>
          <w:rFonts w:ascii="Arial" w:hAnsi="Arial" w:cs="Arial"/>
          <w:bCs/>
          <w:color w:val="595959" w:themeColor="text1" w:themeTint="A6"/>
        </w:rPr>
        <w:t xml:space="preserve">normalised </w:t>
      </w:r>
      <w:r w:rsidR="00E90340">
        <w:rPr>
          <w:rFonts w:ascii="Arial" w:hAnsi="Arial" w:cs="Arial"/>
          <w:bCs/>
          <w:color w:val="595959" w:themeColor="text1" w:themeTint="A6"/>
        </w:rPr>
        <w:t xml:space="preserve">relative to </w:t>
      </w:r>
      <w:r w:rsidR="00B564E7">
        <w:rPr>
          <w:rFonts w:ascii="Arial" w:hAnsi="Arial" w:cs="Arial"/>
          <w:bCs/>
          <w:color w:val="595959" w:themeColor="text1" w:themeTint="A6"/>
        </w:rPr>
        <w:t>4</w:t>
      </w:r>
      <w:r w:rsidR="00EB1E8D">
        <w:rPr>
          <w:rFonts w:ascii="Arial" w:hAnsi="Arial" w:cs="Arial"/>
          <w:bCs/>
          <w:color w:val="595959" w:themeColor="text1" w:themeTint="A6"/>
        </w:rPr>
        <w:t>8</w:t>
      </w:r>
      <w:r w:rsidR="00B564E7">
        <w:rPr>
          <w:rFonts w:ascii="Arial" w:hAnsi="Arial" w:cs="Arial"/>
          <w:bCs/>
          <w:color w:val="595959" w:themeColor="text1" w:themeTint="A6"/>
        </w:rPr>
        <w:t xml:space="preserve"> h </w:t>
      </w:r>
      <w:r w:rsidR="00E90340">
        <w:rPr>
          <w:rFonts w:ascii="Arial" w:hAnsi="Arial" w:cs="Arial"/>
          <w:bCs/>
          <w:color w:val="595959" w:themeColor="text1" w:themeTint="A6"/>
        </w:rPr>
        <w:t>vehicle control treated samples</w:t>
      </w:r>
      <w:r w:rsidR="00597587">
        <w:rPr>
          <w:rFonts w:ascii="Arial" w:hAnsi="Arial" w:cs="Arial"/>
          <w:bCs/>
          <w:color w:val="595959" w:themeColor="text1" w:themeTint="A6"/>
        </w:rPr>
        <w:t xml:space="preserve">. </w:t>
      </w:r>
    </w:p>
    <w:p w14:paraId="0E687D90" w14:textId="13660499" w:rsidR="0054039C" w:rsidRDefault="0054039C" w:rsidP="001F0077">
      <w:pPr>
        <w:pStyle w:val="Heading4"/>
        <w:spacing w:line="480" w:lineRule="auto"/>
        <w:jc w:val="both"/>
        <w:rPr>
          <w:rFonts w:ascii="Arial" w:hAnsi="Arial" w:cs="Arial"/>
          <w:color w:val="595959" w:themeColor="text1" w:themeTint="A6"/>
        </w:rPr>
      </w:pPr>
      <w:bookmarkStart w:id="338" w:name="_Toc34208395"/>
      <w:r w:rsidRPr="0054039C">
        <w:rPr>
          <w:rFonts w:ascii="Arial" w:hAnsi="Arial" w:cs="Arial"/>
          <w:color w:val="595959" w:themeColor="text1" w:themeTint="A6"/>
        </w:rPr>
        <w:t>3.3.6.1 αSMA gene expression in NOF and CAF in response to treatment with stromal-targeting drugs</w:t>
      </w:r>
      <w:bookmarkEnd w:id="338"/>
    </w:p>
    <w:p w14:paraId="4BCB1AFA" w14:textId="77777777" w:rsidR="00252835" w:rsidRPr="00252835" w:rsidRDefault="00252835" w:rsidP="00252835"/>
    <w:p w14:paraId="3880F2EC" w14:textId="1D66C0F2" w:rsidR="00F02A96" w:rsidRDefault="00283ED4" w:rsidP="0054039C">
      <w:pPr>
        <w:tabs>
          <w:tab w:val="left" w:pos="1350"/>
        </w:tabs>
        <w:spacing w:line="480" w:lineRule="auto"/>
        <w:jc w:val="both"/>
        <w:rPr>
          <w:rFonts w:ascii="Arial" w:hAnsi="Arial" w:cs="Arial"/>
          <w:color w:val="595959" w:themeColor="text1" w:themeTint="A6"/>
        </w:rPr>
      </w:pPr>
      <w:r>
        <w:rPr>
          <w:rFonts w:ascii="Arial" w:hAnsi="Arial" w:cs="Arial"/>
          <w:color w:val="595959" w:themeColor="text1" w:themeTint="A6"/>
        </w:rPr>
        <w:t xml:space="preserve">In NOF cultures, </w:t>
      </w:r>
      <w:r w:rsidR="0054039C" w:rsidRPr="0054039C">
        <w:rPr>
          <w:rFonts w:ascii="Arial" w:hAnsi="Arial" w:cs="Arial"/>
          <w:color w:val="595959" w:themeColor="text1" w:themeTint="A6"/>
        </w:rPr>
        <w:t xml:space="preserve">Scriptaid or Batimastat </w:t>
      </w:r>
      <w:r w:rsidR="00654FCC">
        <w:rPr>
          <w:rFonts w:ascii="Arial" w:hAnsi="Arial" w:cs="Arial"/>
          <w:color w:val="595959" w:themeColor="text1" w:themeTint="A6"/>
        </w:rPr>
        <w:t xml:space="preserve">treatment for 48 h </w:t>
      </w:r>
      <w:r w:rsidR="0054039C" w:rsidRPr="0054039C">
        <w:rPr>
          <w:rFonts w:ascii="Arial" w:hAnsi="Arial" w:cs="Arial"/>
          <w:color w:val="595959" w:themeColor="text1" w:themeTint="A6"/>
        </w:rPr>
        <w:t>in the absence of TGFβ-1</w:t>
      </w:r>
      <w:r w:rsidR="00844FDB">
        <w:rPr>
          <w:rFonts w:ascii="Arial" w:hAnsi="Arial" w:cs="Arial"/>
          <w:color w:val="595959" w:themeColor="text1" w:themeTint="A6"/>
        </w:rPr>
        <w:t xml:space="preserve"> </w:t>
      </w:r>
      <w:r w:rsidR="00DE16C0">
        <w:rPr>
          <w:rFonts w:ascii="Arial" w:hAnsi="Arial" w:cs="Arial"/>
          <w:color w:val="595959" w:themeColor="text1" w:themeTint="A6"/>
        </w:rPr>
        <w:t>caused</w:t>
      </w:r>
      <w:r w:rsidR="003D32DB">
        <w:rPr>
          <w:rFonts w:ascii="Arial" w:hAnsi="Arial" w:cs="Arial"/>
          <w:color w:val="595959" w:themeColor="text1" w:themeTint="A6"/>
        </w:rPr>
        <w:t xml:space="preserve"> no </w:t>
      </w:r>
      <w:r w:rsidR="00A916CA">
        <w:rPr>
          <w:rFonts w:ascii="Arial" w:hAnsi="Arial" w:cs="Arial"/>
          <w:color w:val="595959" w:themeColor="text1" w:themeTint="A6"/>
        </w:rPr>
        <w:t xml:space="preserve">difference </w:t>
      </w:r>
      <w:r w:rsidR="006E719C">
        <w:rPr>
          <w:rFonts w:ascii="Arial" w:hAnsi="Arial" w:cs="Arial"/>
          <w:color w:val="595959" w:themeColor="text1" w:themeTint="A6"/>
        </w:rPr>
        <w:t xml:space="preserve">in </w:t>
      </w:r>
      <w:r w:rsidR="00082B04">
        <w:rPr>
          <w:rFonts w:ascii="Arial" w:hAnsi="Arial" w:cs="Arial"/>
          <w:color w:val="595959" w:themeColor="text1" w:themeTint="A6"/>
        </w:rPr>
        <w:t xml:space="preserve">αSMA </w:t>
      </w:r>
      <w:r w:rsidR="006E719C">
        <w:rPr>
          <w:rFonts w:ascii="Arial" w:hAnsi="Arial" w:cs="Arial"/>
          <w:color w:val="595959" w:themeColor="text1" w:themeTint="A6"/>
        </w:rPr>
        <w:t xml:space="preserve">expression </w:t>
      </w:r>
      <w:r w:rsidR="00A916CA">
        <w:rPr>
          <w:rFonts w:ascii="Arial" w:hAnsi="Arial" w:cs="Arial"/>
          <w:color w:val="595959" w:themeColor="text1" w:themeTint="A6"/>
        </w:rPr>
        <w:t xml:space="preserve">compared to vehicle control treated </w:t>
      </w:r>
      <w:r w:rsidR="009C4CE1">
        <w:rPr>
          <w:rFonts w:ascii="Arial" w:hAnsi="Arial" w:cs="Arial"/>
          <w:color w:val="595959" w:themeColor="text1" w:themeTint="A6"/>
        </w:rPr>
        <w:t>NO</w:t>
      </w:r>
      <w:r w:rsidR="00654FCC">
        <w:rPr>
          <w:rFonts w:ascii="Arial" w:hAnsi="Arial" w:cs="Arial"/>
          <w:color w:val="595959" w:themeColor="text1" w:themeTint="A6"/>
        </w:rPr>
        <w:t>F</w:t>
      </w:r>
      <w:r w:rsidR="00A916CA">
        <w:rPr>
          <w:rFonts w:ascii="Arial" w:hAnsi="Arial" w:cs="Arial"/>
          <w:color w:val="595959" w:themeColor="text1" w:themeTint="A6"/>
        </w:rPr>
        <w:t xml:space="preserve"> </w:t>
      </w:r>
      <w:r w:rsidR="00963A05">
        <w:rPr>
          <w:rFonts w:ascii="Arial" w:hAnsi="Arial" w:cs="Arial"/>
          <w:color w:val="595959" w:themeColor="text1" w:themeTint="A6"/>
        </w:rPr>
        <w:t>(Figure 3.</w:t>
      </w:r>
      <w:r w:rsidR="003C2E8B">
        <w:rPr>
          <w:rFonts w:ascii="Arial" w:hAnsi="Arial" w:cs="Arial"/>
          <w:color w:val="595959" w:themeColor="text1" w:themeTint="A6"/>
        </w:rPr>
        <w:t>4</w:t>
      </w:r>
      <w:r w:rsidR="00A167FC">
        <w:rPr>
          <w:rFonts w:ascii="Arial" w:hAnsi="Arial" w:cs="Arial"/>
          <w:color w:val="595959" w:themeColor="text1" w:themeTint="A6"/>
        </w:rPr>
        <w:t>0</w:t>
      </w:r>
      <w:r w:rsidR="00963A05">
        <w:rPr>
          <w:rFonts w:ascii="Arial" w:hAnsi="Arial" w:cs="Arial"/>
          <w:color w:val="595959" w:themeColor="text1" w:themeTint="A6"/>
        </w:rPr>
        <w:t xml:space="preserve"> A)</w:t>
      </w:r>
      <w:r w:rsidR="009C4CE1">
        <w:rPr>
          <w:rFonts w:ascii="Arial" w:hAnsi="Arial" w:cs="Arial"/>
          <w:color w:val="595959" w:themeColor="text1" w:themeTint="A6"/>
        </w:rPr>
        <w:t>.</w:t>
      </w:r>
      <w:r w:rsidR="0054039C" w:rsidRPr="0054039C">
        <w:rPr>
          <w:rFonts w:ascii="Arial" w:hAnsi="Arial" w:cs="Arial"/>
          <w:color w:val="595959" w:themeColor="text1" w:themeTint="A6"/>
        </w:rPr>
        <w:t xml:space="preserve"> </w:t>
      </w:r>
      <w:r w:rsidR="00C9086B">
        <w:rPr>
          <w:rFonts w:ascii="Arial" w:hAnsi="Arial" w:cs="Arial"/>
          <w:color w:val="595959" w:themeColor="text1" w:themeTint="A6"/>
        </w:rPr>
        <w:t xml:space="preserve">Scriptaid in combination with TGFβ-1 </w:t>
      </w:r>
      <w:r w:rsidR="00BF66FC">
        <w:rPr>
          <w:rFonts w:ascii="Arial" w:hAnsi="Arial" w:cs="Arial"/>
          <w:color w:val="595959" w:themeColor="text1" w:themeTint="A6"/>
        </w:rPr>
        <w:t xml:space="preserve">abrogated αSMA expression </w:t>
      </w:r>
      <w:r w:rsidR="00C9086B">
        <w:rPr>
          <w:rFonts w:ascii="Arial" w:hAnsi="Arial" w:cs="Arial"/>
          <w:color w:val="595959" w:themeColor="text1" w:themeTint="A6"/>
        </w:rPr>
        <w:t>with a</w:t>
      </w:r>
      <w:r w:rsidR="006D03F9">
        <w:rPr>
          <w:rFonts w:ascii="Arial" w:hAnsi="Arial" w:cs="Arial"/>
          <w:color w:val="595959" w:themeColor="text1" w:themeTint="A6"/>
        </w:rPr>
        <w:t xml:space="preserve"> ~2-fold reduction </w:t>
      </w:r>
      <w:r w:rsidR="002B200E">
        <w:rPr>
          <w:rFonts w:ascii="Arial" w:hAnsi="Arial" w:cs="Arial"/>
          <w:color w:val="595959" w:themeColor="text1" w:themeTint="A6"/>
        </w:rPr>
        <w:t>(</w:t>
      </w:r>
      <w:r w:rsidR="00C9086B">
        <w:rPr>
          <w:rFonts w:ascii="Arial" w:hAnsi="Arial" w:cs="Arial"/>
          <w:color w:val="595959" w:themeColor="text1" w:themeTint="A6"/>
        </w:rPr>
        <w:t xml:space="preserve">19.72 ± </w:t>
      </w:r>
      <w:r w:rsidR="00825AB0">
        <w:rPr>
          <w:rFonts w:ascii="Arial" w:hAnsi="Arial" w:cs="Arial"/>
          <w:color w:val="595959" w:themeColor="text1" w:themeTint="A6"/>
        </w:rPr>
        <w:t>10.86</w:t>
      </w:r>
      <w:r w:rsidR="002B200E">
        <w:rPr>
          <w:rFonts w:ascii="Arial" w:hAnsi="Arial" w:cs="Arial"/>
          <w:color w:val="595959" w:themeColor="text1" w:themeTint="A6"/>
        </w:rPr>
        <w:t>)</w:t>
      </w:r>
      <w:r w:rsidR="00825AB0">
        <w:rPr>
          <w:rFonts w:ascii="Arial" w:hAnsi="Arial" w:cs="Arial"/>
          <w:color w:val="595959" w:themeColor="text1" w:themeTint="A6"/>
        </w:rPr>
        <w:t xml:space="preserve"> compared to TGFβ-1 alone</w:t>
      </w:r>
      <w:r w:rsidR="002B200E">
        <w:rPr>
          <w:rFonts w:ascii="Arial" w:hAnsi="Arial" w:cs="Arial"/>
          <w:color w:val="595959" w:themeColor="text1" w:themeTint="A6"/>
        </w:rPr>
        <w:t xml:space="preserve"> (</w:t>
      </w:r>
      <w:r w:rsidR="0054602B">
        <w:rPr>
          <w:rFonts w:ascii="Arial" w:hAnsi="Arial" w:cs="Arial"/>
          <w:color w:val="595959" w:themeColor="text1" w:themeTint="A6"/>
        </w:rPr>
        <w:t xml:space="preserve">45.67 ± </w:t>
      </w:r>
      <w:r w:rsidR="00F23F2F">
        <w:rPr>
          <w:rFonts w:ascii="Arial" w:hAnsi="Arial" w:cs="Arial"/>
          <w:color w:val="595959" w:themeColor="text1" w:themeTint="A6"/>
        </w:rPr>
        <w:t>21.87)</w:t>
      </w:r>
      <w:r w:rsidR="00643E73">
        <w:rPr>
          <w:rFonts w:ascii="Arial" w:hAnsi="Arial" w:cs="Arial"/>
          <w:color w:val="595959" w:themeColor="text1" w:themeTint="A6"/>
        </w:rPr>
        <w:t>, p=</w:t>
      </w:r>
      <w:r w:rsidR="007F6312">
        <w:rPr>
          <w:rFonts w:ascii="Arial" w:hAnsi="Arial" w:cs="Arial"/>
          <w:color w:val="595959" w:themeColor="text1" w:themeTint="A6"/>
        </w:rPr>
        <w:t>0.0263</w:t>
      </w:r>
      <w:r w:rsidR="00825AB0">
        <w:rPr>
          <w:rFonts w:ascii="Arial" w:hAnsi="Arial" w:cs="Arial"/>
          <w:color w:val="595959" w:themeColor="text1" w:themeTint="A6"/>
        </w:rPr>
        <w:t xml:space="preserve">. A significant ~7-fold reduction in </w:t>
      </w:r>
      <w:r w:rsidR="00825AB0" w:rsidRPr="0054039C">
        <w:rPr>
          <w:rFonts w:ascii="Arial" w:hAnsi="Arial" w:cs="Arial"/>
          <w:color w:val="595959" w:themeColor="text1" w:themeTint="A6"/>
        </w:rPr>
        <w:t>αSMA</w:t>
      </w:r>
      <w:r w:rsidR="00825AB0">
        <w:rPr>
          <w:rFonts w:ascii="Arial" w:hAnsi="Arial" w:cs="Arial"/>
          <w:color w:val="595959" w:themeColor="text1" w:themeTint="A6"/>
        </w:rPr>
        <w:t xml:space="preserve"> expression </w:t>
      </w:r>
      <w:r w:rsidR="007676D6">
        <w:rPr>
          <w:rFonts w:ascii="Arial" w:hAnsi="Arial" w:cs="Arial"/>
          <w:color w:val="595959" w:themeColor="text1" w:themeTint="A6"/>
        </w:rPr>
        <w:t xml:space="preserve">was observed for NOF treated with Batimastat and TGFβ-1 </w:t>
      </w:r>
      <w:r w:rsidR="00B249B6">
        <w:rPr>
          <w:rFonts w:ascii="Arial" w:hAnsi="Arial" w:cs="Arial"/>
          <w:color w:val="595959" w:themeColor="text1" w:themeTint="A6"/>
        </w:rPr>
        <w:t xml:space="preserve">(6.18 ± </w:t>
      </w:r>
      <w:r w:rsidR="00240855">
        <w:rPr>
          <w:rFonts w:ascii="Arial" w:hAnsi="Arial" w:cs="Arial"/>
          <w:color w:val="595959" w:themeColor="text1" w:themeTint="A6"/>
        </w:rPr>
        <w:t xml:space="preserve">5.84) </w:t>
      </w:r>
      <w:r w:rsidR="007676D6">
        <w:rPr>
          <w:rFonts w:ascii="Arial" w:hAnsi="Arial" w:cs="Arial"/>
          <w:color w:val="595959" w:themeColor="text1" w:themeTint="A6"/>
        </w:rPr>
        <w:t>in combination therapy</w:t>
      </w:r>
      <w:r w:rsidR="00240855">
        <w:rPr>
          <w:rFonts w:ascii="Arial" w:hAnsi="Arial" w:cs="Arial"/>
          <w:color w:val="595959" w:themeColor="text1" w:themeTint="A6"/>
        </w:rPr>
        <w:t>, p=</w:t>
      </w:r>
      <w:r w:rsidR="00CD7691">
        <w:rPr>
          <w:rFonts w:ascii="Arial" w:hAnsi="Arial" w:cs="Arial"/>
          <w:color w:val="595959" w:themeColor="text1" w:themeTint="A6"/>
        </w:rPr>
        <w:t>0.0016</w:t>
      </w:r>
      <w:r w:rsidR="007676D6">
        <w:rPr>
          <w:rFonts w:ascii="Arial" w:hAnsi="Arial" w:cs="Arial"/>
          <w:color w:val="595959" w:themeColor="text1" w:themeTint="A6"/>
        </w:rPr>
        <w:t xml:space="preserve">. </w:t>
      </w:r>
      <w:r w:rsidR="005F02E7">
        <w:rPr>
          <w:rFonts w:ascii="Arial" w:hAnsi="Arial" w:cs="Arial"/>
          <w:color w:val="595959" w:themeColor="text1" w:themeTint="A6"/>
        </w:rPr>
        <w:t xml:space="preserve">In </w:t>
      </w:r>
      <w:r w:rsidR="00A71097">
        <w:rPr>
          <w:rFonts w:ascii="Arial" w:hAnsi="Arial" w:cs="Arial"/>
          <w:color w:val="595959" w:themeColor="text1" w:themeTint="A6"/>
        </w:rPr>
        <w:t xml:space="preserve">contrast to NOF, </w:t>
      </w:r>
      <w:r w:rsidR="005F02E7">
        <w:rPr>
          <w:rFonts w:ascii="Arial" w:hAnsi="Arial" w:cs="Arial"/>
          <w:color w:val="595959" w:themeColor="text1" w:themeTint="A6"/>
        </w:rPr>
        <w:t xml:space="preserve">CAF </w:t>
      </w:r>
      <w:r w:rsidR="007676D6">
        <w:rPr>
          <w:rFonts w:ascii="Arial" w:hAnsi="Arial" w:cs="Arial"/>
          <w:color w:val="595959" w:themeColor="text1" w:themeTint="A6"/>
        </w:rPr>
        <w:t xml:space="preserve">cultures treated with Scriptaid in combination with </w:t>
      </w:r>
      <w:bookmarkStart w:id="339" w:name="OLE_LINK2"/>
      <w:r w:rsidR="007676D6">
        <w:rPr>
          <w:rFonts w:ascii="Arial" w:hAnsi="Arial" w:cs="Arial"/>
          <w:color w:val="595959" w:themeColor="text1" w:themeTint="A6"/>
        </w:rPr>
        <w:t>TGFβ-1</w:t>
      </w:r>
      <w:bookmarkEnd w:id="339"/>
      <w:r w:rsidR="007676D6">
        <w:rPr>
          <w:rFonts w:ascii="Arial" w:hAnsi="Arial" w:cs="Arial"/>
          <w:color w:val="595959" w:themeColor="text1" w:themeTint="A6"/>
        </w:rPr>
        <w:t xml:space="preserve">, </w:t>
      </w:r>
      <w:r w:rsidR="009649C7">
        <w:rPr>
          <w:rFonts w:ascii="Arial" w:hAnsi="Arial" w:cs="Arial"/>
          <w:color w:val="595959" w:themeColor="text1" w:themeTint="A6"/>
        </w:rPr>
        <w:t>induced</w:t>
      </w:r>
      <w:r w:rsidR="00A71097">
        <w:rPr>
          <w:rFonts w:ascii="Arial" w:hAnsi="Arial" w:cs="Arial"/>
          <w:color w:val="595959" w:themeColor="text1" w:themeTint="A6"/>
        </w:rPr>
        <w:t xml:space="preserve"> </w:t>
      </w:r>
      <w:r w:rsidR="007676D6">
        <w:rPr>
          <w:rFonts w:ascii="Arial" w:hAnsi="Arial" w:cs="Arial"/>
          <w:color w:val="595959" w:themeColor="text1" w:themeTint="A6"/>
        </w:rPr>
        <w:t xml:space="preserve">no significant changes </w:t>
      </w:r>
      <w:r w:rsidR="000076AE">
        <w:rPr>
          <w:rFonts w:ascii="Arial" w:hAnsi="Arial" w:cs="Arial"/>
          <w:color w:val="595959" w:themeColor="text1" w:themeTint="A6"/>
        </w:rPr>
        <w:t xml:space="preserve">in </w:t>
      </w:r>
      <w:r w:rsidR="005B6B57" w:rsidRPr="0054039C">
        <w:rPr>
          <w:rFonts w:ascii="Arial" w:hAnsi="Arial" w:cs="Arial"/>
          <w:color w:val="595959" w:themeColor="text1" w:themeTint="A6"/>
        </w:rPr>
        <w:t>αSMA</w:t>
      </w:r>
      <w:r w:rsidR="005B6B57">
        <w:rPr>
          <w:rFonts w:ascii="Arial" w:hAnsi="Arial" w:cs="Arial"/>
          <w:color w:val="595959" w:themeColor="text1" w:themeTint="A6"/>
        </w:rPr>
        <w:t xml:space="preserve"> expression compared to TGFβ-1</w:t>
      </w:r>
      <w:r w:rsidR="00FF4048">
        <w:rPr>
          <w:rFonts w:ascii="Arial" w:hAnsi="Arial" w:cs="Arial"/>
          <w:color w:val="595959" w:themeColor="text1" w:themeTint="A6"/>
        </w:rPr>
        <w:t xml:space="preserve"> treatment</w:t>
      </w:r>
      <w:r w:rsidR="005B6B57">
        <w:rPr>
          <w:rFonts w:ascii="Arial" w:hAnsi="Arial" w:cs="Arial"/>
          <w:color w:val="595959" w:themeColor="text1" w:themeTint="A6"/>
        </w:rPr>
        <w:t xml:space="preserve"> alone (</w:t>
      </w:r>
      <w:r w:rsidR="0054039C" w:rsidRPr="0054039C">
        <w:rPr>
          <w:rFonts w:ascii="Arial" w:hAnsi="Arial" w:cs="Arial"/>
          <w:color w:val="595959" w:themeColor="text1" w:themeTint="A6"/>
        </w:rPr>
        <w:t>Figure 3.</w:t>
      </w:r>
      <w:r w:rsidR="00793836">
        <w:rPr>
          <w:rFonts w:ascii="Arial" w:hAnsi="Arial" w:cs="Arial"/>
          <w:color w:val="595959" w:themeColor="text1" w:themeTint="A6"/>
        </w:rPr>
        <w:t>4</w:t>
      </w:r>
      <w:r w:rsidR="00A167FC">
        <w:rPr>
          <w:rFonts w:ascii="Arial" w:hAnsi="Arial" w:cs="Arial"/>
          <w:color w:val="595959" w:themeColor="text1" w:themeTint="A6"/>
        </w:rPr>
        <w:t xml:space="preserve">0 </w:t>
      </w:r>
      <w:r w:rsidR="0054039C" w:rsidRPr="0054039C">
        <w:rPr>
          <w:rFonts w:ascii="Arial" w:hAnsi="Arial" w:cs="Arial"/>
          <w:color w:val="595959" w:themeColor="text1" w:themeTint="A6"/>
        </w:rPr>
        <w:t>B).</w:t>
      </w:r>
      <w:r w:rsidR="00BD03AD">
        <w:rPr>
          <w:rFonts w:ascii="Arial" w:hAnsi="Arial" w:cs="Arial"/>
          <w:color w:val="595959" w:themeColor="text1" w:themeTint="A6"/>
        </w:rPr>
        <w:t xml:space="preserve"> Batimastat in the presence of TGFβ-1</w:t>
      </w:r>
      <w:r w:rsidR="0068501A">
        <w:rPr>
          <w:rFonts w:ascii="Arial" w:hAnsi="Arial" w:cs="Arial"/>
          <w:color w:val="595959" w:themeColor="text1" w:themeTint="A6"/>
        </w:rPr>
        <w:t xml:space="preserve"> (0.66 ± 0.34</w:t>
      </w:r>
      <w:r w:rsidR="00BD03AD">
        <w:rPr>
          <w:rFonts w:ascii="Arial" w:hAnsi="Arial" w:cs="Arial"/>
          <w:color w:val="595959" w:themeColor="text1" w:themeTint="A6"/>
        </w:rPr>
        <w:t xml:space="preserve">, reduced αSMA expression </w:t>
      </w:r>
      <w:r w:rsidR="003929C3">
        <w:rPr>
          <w:rFonts w:ascii="Arial" w:hAnsi="Arial" w:cs="Arial"/>
          <w:color w:val="595959" w:themeColor="text1" w:themeTint="A6"/>
        </w:rPr>
        <w:t>by 7-fold</w:t>
      </w:r>
      <w:r w:rsidR="00276B21">
        <w:rPr>
          <w:rFonts w:ascii="Arial" w:hAnsi="Arial" w:cs="Arial"/>
          <w:color w:val="595959" w:themeColor="text1" w:themeTint="A6"/>
        </w:rPr>
        <w:t>, compared to CAF cultures treated with TGFβ-1 alone (</w:t>
      </w:r>
      <w:r w:rsidR="006D721C">
        <w:rPr>
          <w:rFonts w:ascii="Arial" w:hAnsi="Arial" w:cs="Arial"/>
          <w:color w:val="595959" w:themeColor="text1" w:themeTint="A6"/>
        </w:rPr>
        <w:t>1.28 ± 0.39), p=</w:t>
      </w:r>
      <w:r w:rsidR="00F02A96">
        <w:rPr>
          <w:rFonts w:ascii="Arial" w:hAnsi="Arial" w:cs="Arial"/>
          <w:color w:val="595959" w:themeColor="text1" w:themeTint="A6"/>
        </w:rPr>
        <w:t xml:space="preserve">0.0141. </w:t>
      </w:r>
    </w:p>
    <w:p w14:paraId="1E0FD619" w14:textId="66BE85B1" w:rsidR="004543D8" w:rsidRPr="0054039C" w:rsidRDefault="00644ABE" w:rsidP="0054039C">
      <w:pPr>
        <w:tabs>
          <w:tab w:val="left" w:pos="1350"/>
        </w:tabs>
        <w:spacing w:line="480" w:lineRule="auto"/>
        <w:jc w:val="both"/>
        <w:rPr>
          <w:rFonts w:ascii="Arial" w:hAnsi="Arial" w:cs="Arial"/>
          <w:color w:val="595959" w:themeColor="text1" w:themeTint="A6"/>
        </w:rPr>
      </w:pPr>
      <w:r>
        <w:rPr>
          <w:rFonts w:ascii="Arial" w:hAnsi="Arial" w:cs="Arial"/>
          <w:noProof/>
          <w:color w:val="595959" w:themeColor="text1" w:themeTint="A6"/>
        </w:rPr>
        <w:lastRenderedPageBreak/>
        <w:drawing>
          <wp:anchor distT="0" distB="0" distL="114300" distR="114300" simplePos="0" relativeHeight="251658496" behindDoc="0" locked="0" layoutInCell="1" allowOverlap="1" wp14:anchorId="4FD47F65" wp14:editId="361BB32A">
            <wp:simplePos x="0" y="0"/>
            <wp:positionH relativeFrom="margin">
              <wp:align>center</wp:align>
            </wp:positionH>
            <wp:positionV relativeFrom="paragraph">
              <wp:posOffset>12700</wp:posOffset>
            </wp:positionV>
            <wp:extent cx="3932555" cy="7266940"/>
            <wp:effectExtent l="0" t="0" r="0" b="0"/>
            <wp:wrapNone/>
            <wp:docPr id="5305" name="Picture 5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932555" cy="7266940"/>
                    </a:xfrm>
                    <a:prstGeom prst="rect">
                      <a:avLst/>
                    </a:prstGeom>
                    <a:noFill/>
                  </pic:spPr>
                </pic:pic>
              </a:graphicData>
            </a:graphic>
          </wp:anchor>
        </w:drawing>
      </w:r>
    </w:p>
    <w:p w14:paraId="1FCAB1C9" w14:textId="12DF911F" w:rsidR="0054039C" w:rsidRPr="0054039C" w:rsidRDefault="0054039C" w:rsidP="0054039C">
      <w:pPr>
        <w:tabs>
          <w:tab w:val="left" w:pos="1350"/>
        </w:tabs>
        <w:spacing w:line="480" w:lineRule="auto"/>
        <w:jc w:val="both"/>
        <w:rPr>
          <w:rFonts w:ascii="Arial" w:hAnsi="Arial" w:cs="Arial"/>
          <w:color w:val="595959" w:themeColor="text1" w:themeTint="A6"/>
        </w:rPr>
      </w:pPr>
    </w:p>
    <w:p w14:paraId="3E131F32" w14:textId="3946A897" w:rsidR="0054039C" w:rsidRPr="0054039C" w:rsidRDefault="0054039C" w:rsidP="0054039C">
      <w:pPr>
        <w:tabs>
          <w:tab w:val="left" w:pos="1350"/>
        </w:tabs>
        <w:spacing w:line="480" w:lineRule="auto"/>
        <w:jc w:val="both"/>
        <w:rPr>
          <w:rFonts w:ascii="Arial" w:hAnsi="Arial" w:cs="Arial"/>
          <w:color w:val="595959" w:themeColor="text1" w:themeTint="A6"/>
        </w:rPr>
      </w:pPr>
    </w:p>
    <w:p w14:paraId="7EA09D53" w14:textId="77777777" w:rsidR="0054039C" w:rsidRPr="0054039C" w:rsidRDefault="0054039C" w:rsidP="0054039C">
      <w:pPr>
        <w:tabs>
          <w:tab w:val="left" w:pos="1350"/>
        </w:tabs>
        <w:spacing w:line="480" w:lineRule="auto"/>
        <w:jc w:val="both"/>
        <w:rPr>
          <w:rFonts w:ascii="Arial" w:hAnsi="Arial" w:cs="Arial"/>
          <w:color w:val="595959" w:themeColor="text1" w:themeTint="A6"/>
        </w:rPr>
      </w:pPr>
    </w:p>
    <w:p w14:paraId="72C06306" w14:textId="77777777" w:rsidR="0054039C" w:rsidRPr="0054039C" w:rsidRDefault="0054039C" w:rsidP="0054039C">
      <w:pPr>
        <w:tabs>
          <w:tab w:val="left" w:pos="1350"/>
        </w:tabs>
        <w:spacing w:line="480" w:lineRule="auto"/>
        <w:jc w:val="both"/>
        <w:rPr>
          <w:rFonts w:ascii="Arial" w:hAnsi="Arial" w:cs="Arial"/>
          <w:color w:val="595959" w:themeColor="text1" w:themeTint="A6"/>
        </w:rPr>
      </w:pPr>
    </w:p>
    <w:p w14:paraId="59A3D058" w14:textId="77777777" w:rsidR="0054039C" w:rsidRPr="0054039C" w:rsidRDefault="0054039C" w:rsidP="0054039C">
      <w:pPr>
        <w:tabs>
          <w:tab w:val="left" w:pos="1350"/>
        </w:tabs>
        <w:spacing w:line="480" w:lineRule="auto"/>
        <w:jc w:val="both"/>
        <w:rPr>
          <w:rFonts w:ascii="Arial" w:hAnsi="Arial" w:cs="Arial"/>
          <w:color w:val="595959" w:themeColor="text1" w:themeTint="A6"/>
        </w:rPr>
      </w:pPr>
    </w:p>
    <w:p w14:paraId="7C7CA0D9" w14:textId="77777777" w:rsidR="0054039C" w:rsidRPr="0054039C" w:rsidRDefault="0054039C" w:rsidP="0054039C">
      <w:pPr>
        <w:tabs>
          <w:tab w:val="left" w:pos="1350"/>
        </w:tabs>
        <w:spacing w:line="480" w:lineRule="auto"/>
        <w:jc w:val="both"/>
        <w:rPr>
          <w:rFonts w:ascii="Arial" w:hAnsi="Arial" w:cs="Arial"/>
          <w:color w:val="595959" w:themeColor="text1" w:themeTint="A6"/>
        </w:rPr>
      </w:pPr>
    </w:p>
    <w:p w14:paraId="54339FB7" w14:textId="77777777" w:rsidR="0054039C" w:rsidRPr="0054039C" w:rsidRDefault="0054039C" w:rsidP="0054039C">
      <w:pPr>
        <w:tabs>
          <w:tab w:val="left" w:pos="1350"/>
        </w:tabs>
        <w:spacing w:line="480" w:lineRule="auto"/>
        <w:jc w:val="both"/>
        <w:rPr>
          <w:rFonts w:ascii="Arial" w:hAnsi="Arial" w:cs="Arial"/>
          <w:color w:val="595959" w:themeColor="text1" w:themeTint="A6"/>
        </w:rPr>
      </w:pPr>
    </w:p>
    <w:p w14:paraId="3C40845C" w14:textId="77777777" w:rsidR="00762196" w:rsidRDefault="00762196" w:rsidP="0054039C">
      <w:pPr>
        <w:tabs>
          <w:tab w:val="left" w:pos="1350"/>
        </w:tabs>
        <w:spacing w:line="480" w:lineRule="auto"/>
        <w:jc w:val="both"/>
        <w:rPr>
          <w:rFonts w:ascii="Arial" w:hAnsi="Arial" w:cs="Arial"/>
          <w:b/>
          <w:color w:val="595959" w:themeColor="text1" w:themeTint="A6"/>
        </w:rPr>
      </w:pPr>
    </w:p>
    <w:p w14:paraId="51CFF101" w14:textId="4DC60A9D" w:rsidR="00762196" w:rsidRDefault="00762196" w:rsidP="0054039C">
      <w:pPr>
        <w:tabs>
          <w:tab w:val="left" w:pos="1350"/>
        </w:tabs>
        <w:spacing w:line="480" w:lineRule="auto"/>
        <w:jc w:val="both"/>
        <w:rPr>
          <w:rFonts w:ascii="Arial" w:hAnsi="Arial" w:cs="Arial"/>
          <w:b/>
          <w:color w:val="595959" w:themeColor="text1" w:themeTint="A6"/>
        </w:rPr>
      </w:pPr>
    </w:p>
    <w:p w14:paraId="41921502" w14:textId="77BC5EDE" w:rsidR="005B6B57" w:rsidRDefault="005B6B57" w:rsidP="0054039C">
      <w:pPr>
        <w:tabs>
          <w:tab w:val="left" w:pos="1350"/>
        </w:tabs>
        <w:spacing w:line="480" w:lineRule="auto"/>
        <w:jc w:val="both"/>
        <w:rPr>
          <w:rFonts w:ascii="Arial" w:hAnsi="Arial" w:cs="Arial"/>
          <w:b/>
          <w:color w:val="595959" w:themeColor="text1" w:themeTint="A6"/>
        </w:rPr>
      </w:pPr>
    </w:p>
    <w:p w14:paraId="10905DBE" w14:textId="77777777" w:rsidR="005B6B57" w:rsidRDefault="005B6B57" w:rsidP="0054039C">
      <w:pPr>
        <w:tabs>
          <w:tab w:val="left" w:pos="1350"/>
        </w:tabs>
        <w:spacing w:line="480" w:lineRule="auto"/>
        <w:jc w:val="both"/>
        <w:rPr>
          <w:rFonts w:ascii="Arial" w:hAnsi="Arial" w:cs="Arial"/>
          <w:b/>
          <w:color w:val="595959" w:themeColor="text1" w:themeTint="A6"/>
        </w:rPr>
      </w:pPr>
    </w:p>
    <w:p w14:paraId="70548F26" w14:textId="77777777" w:rsidR="00762196" w:rsidRDefault="00762196" w:rsidP="0054039C">
      <w:pPr>
        <w:tabs>
          <w:tab w:val="left" w:pos="1350"/>
        </w:tabs>
        <w:spacing w:line="480" w:lineRule="auto"/>
        <w:jc w:val="both"/>
        <w:rPr>
          <w:rFonts w:ascii="Arial" w:hAnsi="Arial" w:cs="Arial"/>
          <w:b/>
          <w:color w:val="595959" w:themeColor="text1" w:themeTint="A6"/>
        </w:rPr>
      </w:pPr>
    </w:p>
    <w:p w14:paraId="08B6A9FE" w14:textId="77777777" w:rsidR="00762196" w:rsidRDefault="00762196" w:rsidP="0054039C">
      <w:pPr>
        <w:tabs>
          <w:tab w:val="left" w:pos="1350"/>
        </w:tabs>
        <w:spacing w:line="480" w:lineRule="auto"/>
        <w:jc w:val="both"/>
        <w:rPr>
          <w:rFonts w:ascii="Arial" w:hAnsi="Arial" w:cs="Arial"/>
          <w:b/>
          <w:color w:val="595959" w:themeColor="text1" w:themeTint="A6"/>
        </w:rPr>
      </w:pPr>
    </w:p>
    <w:p w14:paraId="4D353102" w14:textId="77777777" w:rsidR="00762196" w:rsidRDefault="00762196" w:rsidP="0054039C">
      <w:pPr>
        <w:tabs>
          <w:tab w:val="left" w:pos="1350"/>
        </w:tabs>
        <w:spacing w:line="480" w:lineRule="auto"/>
        <w:jc w:val="both"/>
        <w:rPr>
          <w:rFonts w:ascii="Arial" w:hAnsi="Arial" w:cs="Arial"/>
          <w:b/>
          <w:color w:val="595959" w:themeColor="text1" w:themeTint="A6"/>
        </w:rPr>
      </w:pPr>
    </w:p>
    <w:p w14:paraId="58ED6BC6" w14:textId="5FB52042" w:rsidR="00762196" w:rsidRDefault="00762196" w:rsidP="0054039C">
      <w:pPr>
        <w:tabs>
          <w:tab w:val="left" w:pos="1350"/>
        </w:tabs>
        <w:spacing w:line="480" w:lineRule="auto"/>
        <w:jc w:val="both"/>
        <w:rPr>
          <w:rFonts w:ascii="Arial" w:hAnsi="Arial" w:cs="Arial"/>
          <w:b/>
          <w:color w:val="595959" w:themeColor="text1" w:themeTint="A6"/>
        </w:rPr>
      </w:pPr>
    </w:p>
    <w:p w14:paraId="16870E49" w14:textId="77777777" w:rsidR="00644ABE" w:rsidRDefault="00644ABE" w:rsidP="0054039C">
      <w:pPr>
        <w:tabs>
          <w:tab w:val="left" w:pos="1350"/>
        </w:tabs>
        <w:spacing w:line="480" w:lineRule="auto"/>
        <w:jc w:val="both"/>
        <w:rPr>
          <w:rFonts w:ascii="Arial" w:hAnsi="Arial" w:cs="Arial"/>
          <w:b/>
          <w:color w:val="595959" w:themeColor="text1" w:themeTint="A6"/>
        </w:rPr>
      </w:pPr>
    </w:p>
    <w:p w14:paraId="5B83051F" w14:textId="069C37F2" w:rsidR="0054039C" w:rsidRPr="0054039C" w:rsidRDefault="00FF4048" w:rsidP="0054039C">
      <w:pPr>
        <w:tabs>
          <w:tab w:val="left" w:pos="1350"/>
        </w:tabs>
        <w:spacing w:line="480" w:lineRule="auto"/>
        <w:jc w:val="both"/>
        <w:rPr>
          <w:rFonts w:ascii="Arial" w:hAnsi="Arial" w:cs="Arial"/>
          <w:b/>
          <w:color w:val="595959" w:themeColor="text1" w:themeTint="A6"/>
        </w:rPr>
      </w:pPr>
      <w:r w:rsidRPr="0054039C">
        <w:rPr>
          <w:rFonts w:ascii="Arial" w:hAnsi="Arial" w:cs="Arial"/>
          <w:noProof/>
          <w:color w:val="595959" w:themeColor="text1" w:themeTint="A6"/>
          <w:sz w:val="24"/>
          <w:szCs w:val="24"/>
          <w:lang w:eastAsia="zh-CN"/>
        </w:rPr>
        <mc:AlternateContent>
          <mc:Choice Requires="wps">
            <w:drawing>
              <wp:anchor distT="0" distB="0" distL="114300" distR="114300" simplePos="0" relativeHeight="251658326" behindDoc="0" locked="0" layoutInCell="1" allowOverlap="1" wp14:anchorId="45773AFC" wp14:editId="3D290993">
                <wp:simplePos x="0" y="0"/>
                <wp:positionH relativeFrom="margin">
                  <wp:align>right</wp:align>
                </wp:positionH>
                <wp:positionV relativeFrom="paragraph">
                  <wp:posOffset>57549</wp:posOffset>
                </wp:positionV>
                <wp:extent cx="5724525" cy="1346200"/>
                <wp:effectExtent l="0" t="0" r="9525" b="6350"/>
                <wp:wrapNone/>
                <wp:docPr id="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1346200"/>
                        </a:xfrm>
                        <a:prstGeom prst="rect">
                          <a:avLst/>
                        </a:prstGeom>
                        <a:solidFill>
                          <a:srgbClr val="FFFFFF"/>
                        </a:solidFill>
                        <a:ln w="9525">
                          <a:noFill/>
                          <a:miter lim="800000"/>
                          <a:headEnd/>
                          <a:tailEnd/>
                        </a:ln>
                      </wps:spPr>
                      <wps:txbx>
                        <w:txbxContent>
                          <w:p w14:paraId="72393CED" w14:textId="31B35A41" w:rsidR="008A47AC" w:rsidRDefault="008A47AC" w:rsidP="0054039C">
                            <w:pPr>
                              <w:pStyle w:val="NormalWeb"/>
                              <w:spacing w:after="200"/>
                              <w:jc w:val="both"/>
                              <w:rPr>
                                <w:rFonts w:ascii="Arial Narrow" w:eastAsia="SimSun" w:hAnsi="Arial Narrow" w:cs="Arial"/>
                                <w:b/>
                                <w:bCs/>
                                <w:color w:val="595959"/>
                                <w:kern w:val="24"/>
                                <w:sz w:val="22"/>
                                <w:szCs w:val="22"/>
                              </w:rPr>
                            </w:pPr>
                            <w:r>
                              <w:rPr>
                                <w:rFonts w:ascii="Arial Narrow" w:eastAsia="SimSun" w:hAnsi="Arial Narrow" w:cs="Arial"/>
                                <w:b/>
                                <w:bCs/>
                                <w:color w:val="595959"/>
                                <w:kern w:val="24"/>
                                <w:sz w:val="22"/>
                                <w:szCs w:val="22"/>
                              </w:rPr>
                              <w:t xml:space="preserve">Figure 3.40 αSMA gene expression in NOF and CAF in response to Scriptaid and Batimastat treatment with and without TGFβ-1 stimulation </w:t>
                            </w:r>
                          </w:p>
                          <w:p w14:paraId="18E357A5" w14:textId="67F721BE" w:rsidR="008A47AC" w:rsidRPr="00944EBD" w:rsidRDefault="008A47AC" w:rsidP="0054039C">
                            <w:pPr>
                              <w:pStyle w:val="NormalWeb"/>
                              <w:spacing w:after="200" w:line="276" w:lineRule="auto"/>
                              <w:jc w:val="both"/>
                              <w:rPr>
                                <w:rFonts w:ascii="Arial Narrow" w:eastAsia="SimSun" w:hAnsi="Arial Narrow" w:cs="Arial"/>
                                <w:color w:val="595959"/>
                                <w:kern w:val="24"/>
                                <w:sz w:val="22"/>
                              </w:rPr>
                            </w:pPr>
                            <w:r>
                              <w:rPr>
                                <w:rFonts w:ascii="Arial Narrow" w:eastAsia="SimSun" w:hAnsi="Arial Narrow" w:cs="Arial"/>
                                <w:color w:val="595959"/>
                                <w:kern w:val="24"/>
                                <w:sz w:val="22"/>
                              </w:rPr>
                              <w:t xml:space="preserve">NOF (A) and CAF (B) 2D monolayers were treated with the inhibitors Scriptaid and Batimastat (10 ng/mL) in the presence or absence of </w:t>
                            </w:r>
                            <w:r w:rsidRPr="00944EBD">
                              <w:rPr>
                                <w:rFonts w:ascii="Arial Narrow" w:eastAsia="SimSun" w:hAnsi="Arial Narrow" w:cs="Arial"/>
                                <w:color w:val="595959"/>
                                <w:kern w:val="24"/>
                                <w:sz w:val="22"/>
                              </w:rPr>
                              <w:t xml:space="preserve">TGFβ-1 </w:t>
                            </w:r>
                            <w:r>
                              <w:rPr>
                                <w:rFonts w:ascii="Arial Narrow" w:eastAsia="SimSun" w:hAnsi="Arial Narrow" w:cs="Arial"/>
                                <w:color w:val="595959"/>
                                <w:kern w:val="24"/>
                                <w:sz w:val="22"/>
                              </w:rPr>
                              <w:t xml:space="preserve">for 48 h and the gene expression for </w:t>
                            </w:r>
                            <w:r w:rsidRPr="00944EBD">
                              <w:rPr>
                                <w:rFonts w:ascii="Arial Narrow" w:eastAsia="SimSun" w:hAnsi="Arial Narrow" w:cs="Arial"/>
                                <w:color w:val="595959"/>
                                <w:kern w:val="24"/>
                                <w:sz w:val="22"/>
                              </w:rPr>
                              <w:t>aSMA</w:t>
                            </w:r>
                            <w:r>
                              <w:rPr>
                                <w:rFonts w:ascii="Arial Narrow" w:eastAsia="SimSun" w:hAnsi="Arial Narrow" w:cs="Arial"/>
                                <w:color w:val="595959"/>
                                <w:kern w:val="24"/>
                                <w:sz w:val="22"/>
                              </w:rPr>
                              <w:t xml:space="preserve"> determined by qPCR. Data is expressed as fold change relative to housekeeping gene U6, with mean ± SD, N=3, n=2, * denotes p &lt;0.05, and **p &lt;0.01 analysed by unpaired student’s T-test. </w:t>
                            </w:r>
                          </w:p>
                          <w:p w14:paraId="64A61F0B" w14:textId="77777777" w:rsidR="008A47AC" w:rsidRDefault="008A47AC" w:rsidP="0054039C">
                            <w:pPr>
                              <w:pStyle w:val="NormalWeb"/>
                              <w:spacing w:after="200" w:line="276" w:lineRule="auto"/>
                              <w:jc w:val="both"/>
                              <w:rPr>
                                <w:rFonts w:ascii="Arial Narrow" w:eastAsia="SimSun" w:hAnsi="Arial Narrow" w:cs="Arial"/>
                                <w:color w:val="595959"/>
                                <w:kern w:val="24"/>
                              </w:rPr>
                            </w:pPr>
                          </w:p>
                          <w:p w14:paraId="5401DB7C" w14:textId="77777777" w:rsidR="008A47AC" w:rsidRDefault="008A47AC" w:rsidP="0054039C">
                            <w:pPr>
                              <w:pStyle w:val="NormalWeb"/>
                              <w:spacing w:after="200" w:line="276" w:lineRule="auto"/>
                              <w:jc w:val="both"/>
                              <w:rPr>
                                <w:rFonts w:ascii="Arial Narrow" w:eastAsia="SimSun" w:hAnsi="Arial Narrow" w:cs="Arial"/>
                                <w:color w:val="595959"/>
                                <w:kern w:val="24"/>
                              </w:rPr>
                            </w:pPr>
                          </w:p>
                          <w:p w14:paraId="664E12DD" w14:textId="77777777" w:rsidR="008A47AC" w:rsidRPr="00AE10F9" w:rsidRDefault="008A47AC" w:rsidP="0054039C">
                            <w:pPr>
                              <w:pStyle w:val="NormalWeb"/>
                              <w:spacing w:after="200" w:line="276" w:lineRule="auto"/>
                              <w:jc w:val="both"/>
                              <w:rPr>
                                <w:rFonts w:ascii="Arial Narrow" w:eastAsia="SimSun" w:hAnsi="Arial Narrow" w:cs="Arial"/>
                                <w:color w:val="595959"/>
                                <w:kern w:val="24"/>
                              </w:rPr>
                            </w:pPr>
                          </w:p>
                          <w:p w14:paraId="5C369AED" w14:textId="77777777" w:rsidR="008A47AC" w:rsidRDefault="008A47AC" w:rsidP="0054039C">
                            <w:pPr>
                              <w:pStyle w:val="NormalWeb"/>
                              <w:spacing w:after="200" w:line="276" w:lineRule="auto"/>
                              <w:jc w:val="both"/>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773AFC" id="_x0000_s1117" type="#_x0000_t202" style="position:absolute;left:0;text-align:left;margin-left:399.55pt;margin-top:4.55pt;width:450.75pt;height:106pt;z-index:25165832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" stroked="f">
                <v:textbox>
                  <w:txbxContent>
                    <w:p w14:paraId="72393CED" w14:textId="31B35A41" w:rsidR="008A47AC" w:rsidRDefault="008A47AC" w:rsidP="0054039C">
                      <w:pPr>
                        <w:pStyle w:val="NormalWeb"/>
                        <w:spacing w:after="200"/>
                        <w:jc w:val="both"/>
                        <w:rPr>
                          <w:rFonts w:ascii="Arial Narrow" w:eastAsia="SimSun" w:hAnsi="Arial Narrow" w:cs="Arial"/>
                          <w:b/>
                          <w:bCs/>
                          <w:color w:val="595959"/>
                          <w:kern w:val="24"/>
                          <w:sz w:val="22"/>
                          <w:szCs w:val="22"/>
                        </w:rPr>
                      </w:pPr>
                      <w:r>
                        <w:rPr>
                          <w:rFonts w:ascii="Arial Narrow" w:eastAsia="SimSun" w:hAnsi="Arial Narrow" w:cs="Arial"/>
                          <w:b/>
                          <w:bCs/>
                          <w:color w:val="595959"/>
                          <w:kern w:val="24"/>
                          <w:sz w:val="22"/>
                          <w:szCs w:val="22"/>
                        </w:rPr>
                        <w:t xml:space="preserve">Figure 3.40 αSMA gene expression in NOF and CAF in response to Scriptaid and Batimastat treatment with and without TGFβ-1 stimulation </w:t>
                      </w:r>
                    </w:p>
                    <w:p w14:paraId="18E357A5" w14:textId="67F721BE" w:rsidR="008A47AC" w:rsidRPr="00944EBD" w:rsidRDefault="008A47AC" w:rsidP="0054039C">
                      <w:pPr>
                        <w:pStyle w:val="NormalWeb"/>
                        <w:spacing w:after="200" w:line="276" w:lineRule="auto"/>
                        <w:jc w:val="both"/>
                        <w:rPr>
                          <w:rFonts w:ascii="Arial Narrow" w:eastAsia="SimSun" w:hAnsi="Arial Narrow" w:cs="Arial"/>
                          <w:color w:val="595959"/>
                          <w:kern w:val="24"/>
                          <w:sz w:val="22"/>
                        </w:rPr>
                      </w:pPr>
                      <w:r>
                        <w:rPr>
                          <w:rFonts w:ascii="Arial Narrow" w:eastAsia="SimSun" w:hAnsi="Arial Narrow" w:cs="Arial"/>
                          <w:color w:val="595959"/>
                          <w:kern w:val="24"/>
                          <w:sz w:val="22"/>
                        </w:rPr>
                        <w:t xml:space="preserve">NOF (A) and CAF (B) 2D monolayers were treated with the inhibitors Scriptaid and Batimastat (10 ng/mL) in the presence or absence of </w:t>
                      </w:r>
                      <w:r w:rsidRPr="00944EBD">
                        <w:rPr>
                          <w:rFonts w:ascii="Arial Narrow" w:eastAsia="SimSun" w:hAnsi="Arial Narrow" w:cs="Arial"/>
                          <w:color w:val="595959"/>
                          <w:kern w:val="24"/>
                          <w:sz w:val="22"/>
                        </w:rPr>
                        <w:t xml:space="preserve">TGFβ-1 </w:t>
                      </w:r>
                      <w:r>
                        <w:rPr>
                          <w:rFonts w:ascii="Arial Narrow" w:eastAsia="SimSun" w:hAnsi="Arial Narrow" w:cs="Arial"/>
                          <w:color w:val="595959"/>
                          <w:kern w:val="24"/>
                          <w:sz w:val="22"/>
                        </w:rPr>
                        <w:t xml:space="preserve">for 48 h and the gene expression for </w:t>
                      </w:r>
                      <w:proofErr w:type="spellStart"/>
                      <w:r w:rsidRPr="00944EBD">
                        <w:rPr>
                          <w:rFonts w:ascii="Arial Narrow" w:eastAsia="SimSun" w:hAnsi="Arial Narrow" w:cs="Arial"/>
                          <w:color w:val="595959"/>
                          <w:kern w:val="24"/>
                          <w:sz w:val="22"/>
                        </w:rPr>
                        <w:t>aSMA</w:t>
                      </w:r>
                      <w:proofErr w:type="spellEnd"/>
                      <w:r>
                        <w:rPr>
                          <w:rFonts w:ascii="Arial Narrow" w:eastAsia="SimSun" w:hAnsi="Arial Narrow" w:cs="Arial"/>
                          <w:color w:val="595959"/>
                          <w:kern w:val="24"/>
                          <w:sz w:val="22"/>
                        </w:rPr>
                        <w:t xml:space="preserve"> determined by qPCR. Data is expressed as fold change relative to housekeeping gene U6, with mean ± SD, N=3, n=2, * denotes p &lt;0.05, and **p &lt;0.01 analysed by unpaired student’s T-test. </w:t>
                      </w:r>
                    </w:p>
                    <w:p w14:paraId="64A61F0B" w14:textId="77777777" w:rsidR="008A47AC" w:rsidRDefault="008A47AC" w:rsidP="0054039C">
                      <w:pPr>
                        <w:pStyle w:val="NormalWeb"/>
                        <w:spacing w:after="200" w:line="276" w:lineRule="auto"/>
                        <w:jc w:val="both"/>
                        <w:rPr>
                          <w:rFonts w:ascii="Arial Narrow" w:eastAsia="SimSun" w:hAnsi="Arial Narrow" w:cs="Arial"/>
                          <w:color w:val="595959"/>
                          <w:kern w:val="24"/>
                        </w:rPr>
                      </w:pPr>
                    </w:p>
                    <w:p w14:paraId="5401DB7C" w14:textId="77777777" w:rsidR="008A47AC" w:rsidRDefault="008A47AC" w:rsidP="0054039C">
                      <w:pPr>
                        <w:pStyle w:val="NormalWeb"/>
                        <w:spacing w:after="200" w:line="276" w:lineRule="auto"/>
                        <w:jc w:val="both"/>
                        <w:rPr>
                          <w:rFonts w:ascii="Arial Narrow" w:eastAsia="SimSun" w:hAnsi="Arial Narrow" w:cs="Arial"/>
                          <w:color w:val="595959"/>
                          <w:kern w:val="24"/>
                        </w:rPr>
                      </w:pPr>
                    </w:p>
                    <w:p w14:paraId="664E12DD" w14:textId="77777777" w:rsidR="008A47AC" w:rsidRPr="00AE10F9" w:rsidRDefault="008A47AC" w:rsidP="0054039C">
                      <w:pPr>
                        <w:pStyle w:val="NormalWeb"/>
                        <w:spacing w:after="200" w:line="276" w:lineRule="auto"/>
                        <w:jc w:val="both"/>
                        <w:rPr>
                          <w:rFonts w:ascii="Arial Narrow" w:eastAsia="SimSun" w:hAnsi="Arial Narrow" w:cs="Arial"/>
                          <w:color w:val="595959"/>
                          <w:kern w:val="24"/>
                        </w:rPr>
                      </w:pPr>
                    </w:p>
                    <w:p w14:paraId="5C369AED" w14:textId="77777777" w:rsidR="008A47AC" w:rsidRDefault="008A47AC" w:rsidP="0054039C">
                      <w:pPr>
                        <w:pStyle w:val="NormalWeb"/>
                        <w:spacing w:after="200" w:line="276" w:lineRule="auto"/>
                        <w:jc w:val="both"/>
                      </w:pPr>
                    </w:p>
                  </w:txbxContent>
                </v:textbox>
                <w10:wrap anchorx="margin"/>
              </v:shape>
            </w:pict>
          </mc:Fallback>
        </mc:AlternateContent>
      </w:r>
    </w:p>
    <w:p w14:paraId="4C6867B4" w14:textId="709B0859" w:rsidR="0054039C" w:rsidRPr="0054039C" w:rsidRDefault="0054039C" w:rsidP="0054039C">
      <w:pPr>
        <w:tabs>
          <w:tab w:val="left" w:pos="1350"/>
        </w:tabs>
        <w:spacing w:line="480" w:lineRule="auto"/>
        <w:jc w:val="both"/>
        <w:rPr>
          <w:rFonts w:ascii="Arial" w:hAnsi="Arial" w:cs="Arial"/>
          <w:color w:val="595959" w:themeColor="text1" w:themeTint="A6"/>
        </w:rPr>
      </w:pPr>
    </w:p>
    <w:p w14:paraId="5C5F3E61" w14:textId="4CED94F2" w:rsidR="0054039C" w:rsidRPr="0054039C" w:rsidRDefault="0054039C" w:rsidP="0054039C">
      <w:pPr>
        <w:tabs>
          <w:tab w:val="left" w:pos="1350"/>
        </w:tabs>
        <w:spacing w:line="480" w:lineRule="auto"/>
        <w:jc w:val="both"/>
        <w:rPr>
          <w:rFonts w:ascii="Arial" w:hAnsi="Arial" w:cs="Arial"/>
          <w:color w:val="595959" w:themeColor="text1" w:themeTint="A6"/>
        </w:rPr>
      </w:pPr>
    </w:p>
    <w:p w14:paraId="4E4281BF" w14:textId="77777777" w:rsidR="003646A2" w:rsidRDefault="003646A2" w:rsidP="0054039C">
      <w:pPr>
        <w:tabs>
          <w:tab w:val="left" w:pos="1350"/>
        </w:tabs>
        <w:spacing w:line="480" w:lineRule="auto"/>
        <w:jc w:val="both"/>
        <w:rPr>
          <w:rFonts w:ascii="Arial" w:hAnsi="Arial" w:cs="Arial"/>
          <w:color w:val="595959" w:themeColor="text1" w:themeTint="A6"/>
        </w:rPr>
      </w:pPr>
      <w:bookmarkStart w:id="340" w:name="OLE_LINK18"/>
    </w:p>
    <w:p w14:paraId="163763EC" w14:textId="43DAB213" w:rsidR="0054039C" w:rsidRDefault="0054039C" w:rsidP="00183B6F">
      <w:pPr>
        <w:pStyle w:val="Heading4"/>
        <w:rPr>
          <w:rFonts w:ascii="Arial" w:hAnsi="Arial" w:cs="Arial"/>
          <w:color w:val="595959" w:themeColor="text1" w:themeTint="A6"/>
        </w:rPr>
      </w:pPr>
      <w:bookmarkStart w:id="341" w:name="_Toc34208396"/>
      <w:r w:rsidRPr="0054039C">
        <w:rPr>
          <w:rFonts w:ascii="Arial" w:hAnsi="Arial" w:cs="Arial"/>
          <w:color w:val="595959" w:themeColor="text1" w:themeTint="A6"/>
        </w:rPr>
        <w:lastRenderedPageBreak/>
        <w:t xml:space="preserve">3.3.6.2 </w:t>
      </w:r>
      <w:bookmarkStart w:id="342" w:name="OLE_LINK17"/>
      <w:r w:rsidRPr="0054039C">
        <w:rPr>
          <w:rFonts w:ascii="Arial" w:hAnsi="Arial" w:cs="Arial"/>
          <w:color w:val="595959" w:themeColor="text1" w:themeTint="A6"/>
        </w:rPr>
        <w:t xml:space="preserve">αSMA abundance </w:t>
      </w:r>
      <w:bookmarkEnd w:id="342"/>
      <w:r w:rsidRPr="0054039C">
        <w:rPr>
          <w:rFonts w:ascii="Arial" w:hAnsi="Arial" w:cs="Arial"/>
          <w:color w:val="595959" w:themeColor="text1" w:themeTint="A6"/>
        </w:rPr>
        <w:t>in NOF and CAF in response to stromal-targeting drugs</w:t>
      </w:r>
      <w:bookmarkEnd w:id="341"/>
      <w:r w:rsidRPr="0054039C">
        <w:rPr>
          <w:rFonts w:ascii="Arial" w:hAnsi="Arial" w:cs="Arial"/>
          <w:color w:val="595959" w:themeColor="text1" w:themeTint="A6"/>
        </w:rPr>
        <w:t xml:space="preserve"> </w:t>
      </w:r>
    </w:p>
    <w:p w14:paraId="37EE6E33" w14:textId="77777777" w:rsidR="00183B6F" w:rsidRPr="00183B6F" w:rsidRDefault="00183B6F" w:rsidP="00183B6F"/>
    <w:bookmarkEnd w:id="340"/>
    <w:p w14:paraId="1A5DBEB7" w14:textId="74802C07" w:rsidR="00AB3153" w:rsidRDefault="0054039C" w:rsidP="0054039C">
      <w:pPr>
        <w:tabs>
          <w:tab w:val="left" w:pos="1350"/>
        </w:tabs>
        <w:spacing w:line="480" w:lineRule="auto"/>
        <w:jc w:val="both"/>
        <w:rPr>
          <w:rFonts w:ascii="Arial" w:hAnsi="Arial" w:cs="Arial"/>
          <w:color w:val="595959" w:themeColor="text1" w:themeTint="A6"/>
        </w:rPr>
      </w:pPr>
      <w:r w:rsidRPr="0054039C">
        <w:rPr>
          <w:rFonts w:ascii="Arial" w:hAnsi="Arial" w:cs="Arial"/>
          <w:color w:val="595959" w:themeColor="text1" w:themeTint="A6"/>
        </w:rPr>
        <w:t xml:space="preserve">Scriptaid </w:t>
      </w:r>
      <w:r w:rsidR="00054A25">
        <w:rPr>
          <w:rFonts w:ascii="Arial" w:hAnsi="Arial" w:cs="Arial"/>
          <w:color w:val="595959" w:themeColor="text1" w:themeTint="A6"/>
        </w:rPr>
        <w:t xml:space="preserve">treatment in </w:t>
      </w:r>
      <w:r w:rsidR="00140069" w:rsidRPr="0054039C">
        <w:rPr>
          <w:rFonts w:ascii="Arial" w:hAnsi="Arial" w:cs="Arial"/>
          <w:color w:val="595959" w:themeColor="text1" w:themeTint="A6"/>
        </w:rPr>
        <w:t xml:space="preserve">combination with TGFβ-1 </w:t>
      </w:r>
      <w:r w:rsidR="00054A25">
        <w:rPr>
          <w:rFonts w:ascii="Arial" w:hAnsi="Arial" w:cs="Arial"/>
          <w:color w:val="595959" w:themeColor="text1" w:themeTint="A6"/>
        </w:rPr>
        <w:t>in</w:t>
      </w:r>
      <w:r w:rsidR="00AB3153">
        <w:rPr>
          <w:rFonts w:ascii="Arial" w:hAnsi="Arial" w:cs="Arial"/>
          <w:color w:val="595959" w:themeColor="text1" w:themeTint="A6"/>
        </w:rPr>
        <w:t xml:space="preserve"> NOF cultures </w:t>
      </w:r>
      <w:r w:rsidR="00EE5570">
        <w:rPr>
          <w:rFonts w:ascii="Arial" w:hAnsi="Arial" w:cs="Arial"/>
          <w:color w:val="595959" w:themeColor="text1" w:themeTint="A6"/>
        </w:rPr>
        <w:t xml:space="preserve">induced a </w:t>
      </w:r>
      <w:r w:rsidR="00AB3153">
        <w:rPr>
          <w:rFonts w:ascii="Arial" w:hAnsi="Arial" w:cs="Arial"/>
          <w:color w:val="595959" w:themeColor="text1" w:themeTint="A6"/>
        </w:rPr>
        <w:t>significant</w:t>
      </w:r>
      <w:r w:rsidR="00EE5570">
        <w:rPr>
          <w:rFonts w:ascii="Arial" w:hAnsi="Arial" w:cs="Arial"/>
          <w:color w:val="595959" w:themeColor="text1" w:themeTint="A6"/>
        </w:rPr>
        <w:t xml:space="preserve"> ~2-fold</w:t>
      </w:r>
      <w:r w:rsidR="00AB3153">
        <w:rPr>
          <w:rFonts w:ascii="Arial" w:hAnsi="Arial" w:cs="Arial"/>
          <w:color w:val="595959" w:themeColor="text1" w:themeTint="A6"/>
        </w:rPr>
        <w:t xml:space="preserve"> </w:t>
      </w:r>
      <w:r w:rsidRPr="0054039C">
        <w:rPr>
          <w:rFonts w:ascii="Arial" w:hAnsi="Arial" w:cs="Arial"/>
          <w:color w:val="595959" w:themeColor="text1" w:themeTint="A6"/>
        </w:rPr>
        <w:t>reduc</w:t>
      </w:r>
      <w:r w:rsidR="00EE5570">
        <w:rPr>
          <w:rFonts w:ascii="Arial" w:hAnsi="Arial" w:cs="Arial"/>
          <w:color w:val="595959" w:themeColor="text1" w:themeTint="A6"/>
        </w:rPr>
        <w:t xml:space="preserve">tion in </w:t>
      </w:r>
      <w:r w:rsidR="00AB3153" w:rsidRPr="0054039C">
        <w:rPr>
          <w:rFonts w:ascii="Arial" w:hAnsi="Arial" w:cs="Arial"/>
          <w:color w:val="595959" w:themeColor="text1" w:themeTint="A6"/>
        </w:rPr>
        <w:t>αSMA</w:t>
      </w:r>
      <w:r w:rsidRPr="0054039C">
        <w:rPr>
          <w:rFonts w:ascii="Arial" w:hAnsi="Arial" w:cs="Arial"/>
          <w:color w:val="595959" w:themeColor="text1" w:themeTint="A6"/>
        </w:rPr>
        <w:t xml:space="preserve"> protein abundance </w:t>
      </w:r>
      <w:r w:rsidR="00C1790E">
        <w:rPr>
          <w:rFonts w:ascii="Arial" w:hAnsi="Arial" w:cs="Arial"/>
          <w:color w:val="595959" w:themeColor="text1" w:themeTint="A6"/>
        </w:rPr>
        <w:t>(2.44</w:t>
      </w:r>
      <w:r w:rsidR="00AB3153" w:rsidRPr="0054039C">
        <w:rPr>
          <w:rFonts w:ascii="Arial" w:hAnsi="Arial" w:cs="Arial"/>
          <w:color w:val="595959" w:themeColor="text1" w:themeTint="A6"/>
        </w:rPr>
        <w:t xml:space="preserve"> ± 0.4</w:t>
      </w:r>
      <w:r w:rsidR="00C1790E">
        <w:rPr>
          <w:rFonts w:ascii="Arial" w:hAnsi="Arial" w:cs="Arial"/>
          <w:color w:val="595959" w:themeColor="text1" w:themeTint="A6"/>
        </w:rPr>
        <w:t>3)</w:t>
      </w:r>
      <w:r w:rsidR="00AB3153" w:rsidRPr="0054039C">
        <w:rPr>
          <w:rFonts w:ascii="Arial" w:hAnsi="Arial" w:cs="Arial"/>
          <w:color w:val="595959" w:themeColor="text1" w:themeTint="A6"/>
        </w:rPr>
        <w:t xml:space="preserve">, </w:t>
      </w:r>
      <w:r w:rsidRPr="0054039C">
        <w:rPr>
          <w:rFonts w:ascii="Arial" w:hAnsi="Arial" w:cs="Arial"/>
          <w:color w:val="595959" w:themeColor="text1" w:themeTint="A6"/>
        </w:rPr>
        <w:t xml:space="preserve">compared to </w:t>
      </w:r>
      <w:bookmarkStart w:id="343" w:name="OLE_LINK16"/>
      <w:r w:rsidRPr="0054039C">
        <w:rPr>
          <w:rFonts w:ascii="Arial" w:hAnsi="Arial" w:cs="Arial"/>
          <w:color w:val="595959" w:themeColor="text1" w:themeTint="A6"/>
        </w:rPr>
        <w:t>TGFβ-1 treated</w:t>
      </w:r>
      <w:r w:rsidR="004112CF">
        <w:rPr>
          <w:rFonts w:ascii="Arial" w:hAnsi="Arial" w:cs="Arial"/>
          <w:color w:val="595959" w:themeColor="text1" w:themeTint="A6"/>
        </w:rPr>
        <w:t xml:space="preserve"> NOF</w:t>
      </w:r>
      <w:r w:rsidR="00AB3153">
        <w:rPr>
          <w:rFonts w:ascii="Arial" w:hAnsi="Arial" w:cs="Arial"/>
          <w:color w:val="595959" w:themeColor="text1" w:themeTint="A6"/>
        </w:rPr>
        <w:t xml:space="preserve"> </w:t>
      </w:r>
      <w:bookmarkEnd w:id="343"/>
      <w:r w:rsidR="004112CF">
        <w:rPr>
          <w:rFonts w:ascii="Arial" w:hAnsi="Arial" w:cs="Arial"/>
          <w:color w:val="595959" w:themeColor="text1" w:themeTint="A6"/>
        </w:rPr>
        <w:t>(</w:t>
      </w:r>
      <w:r w:rsidR="00AB3153">
        <w:rPr>
          <w:rFonts w:ascii="Arial" w:hAnsi="Arial" w:cs="Arial"/>
          <w:color w:val="595959" w:themeColor="text1" w:themeTint="A6"/>
        </w:rPr>
        <w:t xml:space="preserve">5.25 </w:t>
      </w:r>
      <w:r w:rsidR="00AB3153" w:rsidRPr="0054039C">
        <w:rPr>
          <w:rFonts w:ascii="Arial" w:hAnsi="Arial" w:cs="Arial"/>
          <w:color w:val="595959" w:themeColor="text1" w:themeTint="A6"/>
        </w:rPr>
        <w:t>±</w:t>
      </w:r>
      <w:r w:rsidR="00AB3153">
        <w:rPr>
          <w:rFonts w:ascii="Arial" w:hAnsi="Arial" w:cs="Arial"/>
          <w:color w:val="595959" w:themeColor="text1" w:themeTint="A6"/>
        </w:rPr>
        <w:t xml:space="preserve"> 0.83</w:t>
      </w:r>
      <w:r w:rsidR="004112CF">
        <w:rPr>
          <w:rFonts w:ascii="Arial" w:hAnsi="Arial" w:cs="Arial"/>
          <w:color w:val="595959" w:themeColor="text1" w:themeTint="A6"/>
        </w:rPr>
        <w:t>)</w:t>
      </w:r>
      <w:r w:rsidR="002F20F3">
        <w:rPr>
          <w:rFonts w:ascii="Arial" w:hAnsi="Arial" w:cs="Arial"/>
          <w:color w:val="595959" w:themeColor="text1" w:themeTint="A6"/>
        </w:rPr>
        <w:t xml:space="preserve">, </w:t>
      </w:r>
      <w:r w:rsidR="002F20F3" w:rsidRPr="0054039C">
        <w:rPr>
          <w:rFonts w:ascii="Arial" w:hAnsi="Arial" w:cs="Arial"/>
          <w:color w:val="595959" w:themeColor="text1" w:themeTint="A6"/>
        </w:rPr>
        <w:t>p=0.0</w:t>
      </w:r>
      <w:r w:rsidR="002F20F3">
        <w:rPr>
          <w:rFonts w:ascii="Arial" w:hAnsi="Arial" w:cs="Arial"/>
          <w:color w:val="595959" w:themeColor="text1" w:themeTint="A6"/>
        </w:rPr>
        <w:t>0</w:t>
      </w:r>
      <w:r w:rsidR="00F318DE">
        <w:rPr>
          <w:rFonts w:ascii="Arial" w:hAnsi="Arial" w:cs="Arial"/>
          <w:color w:val="595959" w:themeColor="text1" w:themeTint="A6"/>
        </w:rPr>
        <w:t>63</w:t>
      </w:r>
      <w:r w:rsidR="002F20F3">
        <w:rPr>
          <w:rFonts w:ascii="Arial" w:hAnsi="Arial" w:cs="Arial"/>
          <w:color w:val="595959" w:themeColor="text1" w:themeTint="A6"/>
        </w:rPr>
        <w:t xml:space="preserve"> </w:t>
      </w:r>
      <w:r w:rsidR="00AB3153">
        <w:rPr>
          <w:rFonts w:ascii="Arial" w:hAnsi="Arial" w:cs="Arial"/>
          <w:color w:val="595959" w:themeColor="text1" w:themeTint="A6"/>
        </w:rPr>
        <w:t>(Figure 3.</w:t>
      </w:r>
      <w:r w:rsidR="00793836">
        <w:rPr>
          <w:rFonts w:ascii="Arial" w:hAnsi="Arial" w:cs="Arial"/>
          <w:color w:val="595959" w:themeColor="text1" w:themeTint="A6"/>
        </w:rPr>
        <w:t>4</w:t>
      </w:r>
      <w:r w:rsidR="00CA0F2D">
        <w:rPr>
          <w:rFonts w:ascii="Arial" w:hAnsi="Arial" w:cs="Arial"/>
          <w:color w:val="595959" w:themeColor="text1" w:themeTint="A6"/>
        </w:rPr>
        <w:t>1</w:t>
      </w:r>
      <w:r w:rsidR="002F20F3">
        <w:rPr>
          <w:rFonts w:ascii="Arial" w:hAnsi="Arial" w:cs="Arial"/>
          <w:color w:val="595959" w:themeColor="text1" w:themeTint="A6"/>
        </w:rPr>
        <w:t xml:space="preserve"> A i + B ii</w:t>
      </w:r>
      <w:r w:rsidR="00AB3153">
        <w:rPr>
          <w:rFonts w:ascii="Arial" w:hAnsi="Arial" w:cs="Arial"/>
          <w:color w:val="595959" w:themeColor="text1" w:themeTint="A6"/>
        </w:rPr>
        <w:t>)</w:t>
      </w:r>
      <w:r w:rsidRPr="0054039C">
        <w:rPr>
          <w:rFonts w:ascii="Arial" w:hAnsi="Arial" w:cs="Arial"/>
          <w:color w:val="595959" w:themeColor="text1" w:themeTint="A6"/>
        </w:rPr>
        <w:t>.</w:t>
      </w:r>
      <w:r w:rsidR="00A377B1">
        <w:rPr>
          <w:rFonts w:ascii="Arial" w:hAnsi="Arial" w:cs="Arial"/>
          <w:color w:val="595959" w:themeColor="text1" w:themeTint="A6"/>
        </w:rPr>
        <w:t xml:space="preserve"> </w:t>
      </w:r>
      <w:r w:rsidRPr="0054039C">
        <w:rPr>
          <w:rFonts w:ascii="Arial" w:hAnsi="Arial" w:cs="Arial"/>
          <w:color w:val="595959" w:themeColor="text1" w:themeTint="A6"/>
        </w:rPr>
        <w:t>Batimastat</w:t>
      </w:r>
      <w:r w:rsidR="00A377B1">
        <w:rPr>
          <w:rFonts w:ascii="Arial" w:hAnsi="Arial" w:cs="Arial"/>
          <w:color w:val="595959" w:themeColor="text1" w:themeTint="A6"/>
        </w:rPr>
        <w:t xml:space="preserve"> in combination </w:t>
      </w:r>
      <w:r w:rsidR="00AB3153">
        <w:rPr>
          <w:rFonts w:ascii="Arial" w:hAnsi="Arial" w:cs="Arial"/>
          <w:color w:val="595959" w:themeColor="text1" w:themeTint="A6"/>
        </w:rPr>
        <w:t xml:space="preserve">therapy with </w:t>
      </w:r>
      <w:r w:rsidR="00AB3153" w:rsidRPr="0054039C">
        <w:rPr>
          <w:rFonts w:ascii="Arial" w:hAnsi="Arial" w:cs="Arial"/>
          <w:color w:val="595959" w:themeColor="text1" w:themeTint="A6"/>
        </w:rPr>
        <w:t>TGFβ-1</w:t>
      </w:r>
      <w:r w:rsidR="00A377B1">
        <w:rPr>
          <w:rFonts w:ascii="Arial" w:hAnsi="Arial" w:cs="Arial"/>
          <w:color w:val="595959" w:themeColor="text1" w:themeTint="A6"/>
        </w:rPr>
        <w:t xml:space="preserve"> </w:t>
      </w:r>
      <w:r w:rsidR="000B46C2">
        <w:rPr>
          <w:rFonts w:ascii="Arial" w:hAnsi="Arial" w:cs="Arial"/>
          <w:color w:val="595959" w:themeColor="text1" w:themeTint="A6"/>
        </w:rPr>
        <w:t xml:space="preserve">also </w:t>
      </w:r>
      <w:r w:rsidR="000C3995">
        <w:rPr>
          <w:rFonts w:ascii="Arial" w:hAnsi="Arial" w:cs="Arial"/>
          <w:color w:val="595959" w:themeColor="text1" w:themeTint="A6"/>
        </w:rPr>
        <w:t>exhibited</w:t>
      </w:r>
      <w:r w:rsidR="00A377B1">
        <w:rPr>
          <w:rFonts w:ascii="Arial" w:hAnsi="Arial" w:cs="Arial"/>
          <w:color w:val="595959" w:themeColor="text1" w:themeTint="A6"/>
        </w:rPr>
        <w:t xml:space="preserve"> </w:t>
      </w:r>
      <w:r w:rsidR="000C3995">
        <w:rPr>
          <w:rFonts w:ascii="Arial" w:hAnsi="Arial" w:cs="Arial"/>
          <w:color w:val="595959" w:themeColor="text1" w:themeTint="A6"/>
        </w:rPr>
        <w:t xml:space="preserve">a </w:t>
      </w:r>
      <w:r w:rsidR="00A377B1">
        <w:rPr>
          <w:rFonts w:ascii="Arial" w:hAnsi="Arial" w:cs="Arial"/>
          <w:color w:val="595959" w:themeColor="text1" w:themeTint="A6"/>
        </w:rPr>
        <w:t>significant</w:t>
      </w:r>
      <w:r w:rsidR="00AB3153" w:rsidRPr="0054039C">
        <w:rPr>
          <w:rFonts w:ascii="Arial" w:hAnsi="Arial" w:cs="Arial"/>
          <w:color w:val="595959" w:themeColor="text1" w:themeTint="A6"/>
        </w:rPr>
        <w:t xml:space="preserve"> </w:t>
      </w:r>
      <w:r w:rsidR="000C3995">
        <w:rPr>
          <w:rFonts w:ascii="Arial" w:hAnsi="Arial" w:cs="Arial"/>
          <w:color w:val="595959" w:themeColor="text1" w:themeTint="A6"/>
        </w:rPr>
        <w:t>reduction</w:t>
      </w:r>
      <w:r w:rsidR="00AB3153">
        <w:rPr>
          <w:rFonts w:ascii="Arial" w:hAnsi="Arial" w:cs="Arial"/>
          <w:color w:val="595959" w:themeColor="text1" w:themeTint="A6"/>
        </w:rPr>
        <w:t xml:space="preserve"> </w:t>
      </w:r>
      <w:r w:rsidR="002F20F3">
        <w:rPr>
          <w:rFonts w:ascii="Arial" w:hAnsi="Arial" w:cs="Arial"/>
          <w:color w:val="595959" w:themeColor="text1" w:themeTint="A6"/>
        </w:rPr>
        <w:t>i</w:t>
      </w:r>
      <w:r w:rsidR="00AB3153">
        <w:rPr>
          <w:rFonts w:ascii="Arial" w:hAnsi="Arial" w:cs="Arial"/>
          <w:color w:val="595959" w:themeColor="text1" w:themeTint="A6"/>
        </w:rPr>
        <w:t xml:space="preserve">n </w:t>
      </w:r>
      <w:r w:rsidR="00AB3153" w:rsidRPr="0054039C">
        <w:rPr>
          <w:rFonts w:ascii="Arial" w:hAnsi="Arial" w:cs="Arial"/>
          <w:color w:val="595959" w:themeColor="text1" w:themeTint="A6"/>
        </w:rPr>
        <w:t>αSMA</w:t>
      </w:r>
      <w:r w:rsidR="00AB3153">
        <w:rPr>
          <w:rFonts w:ascii="Arial" w:hAnsi="Arial" w:cs="Arial"/>
          <w:color w:val="595959" w:themeColor="text1" w:themeTint="A6"/>
        </w:rPr>
        <w:t xml:space="preserve"> abundance</w:t>
      </w:r>
      <w:r w:rsidR="005E1EDF">
        <w:rPr>
          <w:rFonts w:ascii="Arial" w:hAnsi="Arial" w:cs="Arial"/>
          <w:color w:val="595959" w:themeColor="text1" w:themeTint="A6"/>
        </w:rPr>
        <w:t xml:space="preserve"> (</w:t>
      </w:r>
      <w:r w:rsidR="00AC550A">
        <w:rPr>
          <w:rFonts w:ascii="Arial" w:hAnsi="Arial" w:cs="Arial"/>
          <w:color w:val="595959" w:themeColor="text1" w:themeTint="A6"/>
        </w:rPr>
        <w:t xml:space="preserve">3.10 ± 0.39) </w:t>
      </w:r>
      <w:r w:rsidR="000B46C2">
        <w:rPr>
          <w:rFonts w:ascii="Arial" w:hAnsi="Arial" w:cs="Arial"/>
          <w:color w:val="595959" w:themeColor="text1" w:themeTint="A6"/>
        </w:rPr>
        <w:t xml:space="preserve">compared to </w:t>
      </w:r>
      <w:r w:rsidR="000B46C2" w:rsidRPr="0054039C">
        <w:rPr>
          <w:rFonts w:ascii="Arial" w:hAnsi="Arial" w:cs="Arial"/>
          <w:color w:val="595959" w:themeColor="text1" w:themeTint="A6"/>
        </w:rPr>
        <w:t>TGFβ-1 treated</w:t>
      </w:r>
      <w:r w:rsidR="000B46C2">
        <w:rPr>
          <w:rFonts w:ascii="Arial" w:hAnsi="Arial" w:cs="Arial"/>
          <w:color w:val="595959" w:themeColor="text1" w:themeTint="A6"/>
        </w:rPr>
        <w:t xml:space="preserve"> NOF</w:t>
      </w:r>
      <w:r w:rsidR="00931F4D">
        <w:rPr>
          <w:rFonts w:ascii="Arial" w:hAnsi="Arial" w:cs="Arial"/>
          <w:color w:val="595959" w:themeColor="text1" w:themeTint="A6"/>
        </w:rPr>
        <w:t xml:space="preserve">. </w:t>
      </w:r>
    </w:p>
    <w:p w14:paraId="51B8C4DF" w14:textId="71BD1E0C" w:rsidR="0054039C" w:rsidRDefault="008252F0" w:rsidP="0054039C">
      <w:pPr>
        <w:tabs>
          <w:tab w:val="left" w:pos="1350"/>
        </w:tabs>
        <w:spacing w:line="480" w:lineRule="auto"/>
        <w:jc w:val="both"/>
        <w:rPr>
          <w:rFonts w:ascii="Arial" w:hAnsi="Arial" w:cs="Arial"/>
          <w:color w:val="595959" w:themeColor="text1" w:themeTint="A6"/>
        </w:rPr>
      </w:pPr>
      <w:r>
        <w:rPr>
          <w:rFonts w:ascii="Arial" w:hAnsi="Arial" w:cs="Arial"/>
          <w:color w:val="595959" w:themeColor="text1" w:themeTint="A6"/>
        </w:rPr>
        <w:t xml:space="preserve">In </w:t>
      </w:r>
      <w:r w:rsidR="0054039C" w:rsidRPr="0054039C">
        <w:rPr>
          <w:rFonts w:ascii="Arial" w:hAnsi="Arial" w:cs="Arial"/>
          <w:color w:val="595959" w:themeColor="text1" w:themeTint="A6"/>
        </w:rPr>
        <w:t xml:space="preserve">CAF cultures, treatment </w:t>
      </w:r>
      <w:r w:rsidR="00D44184">
        <w:rPr>
          <w:rFonts w:ascii="Arial" w:hAnsi="Arial" w:cs="Arial"/>
          <w:color w:val="595959" w:themeColor="text1" w:themeTint="A6"/>
        </w:rPr>
        <w:t>with</w:t>
      </w:r>
      <w:r w:rsidR="00733D2C">
        <w:rPr>
          <w:rFonts w:ascii="Arial" w:hAnsi="Arial" w:cs="Arial"/>
          <w:color w:val="595959" w:themeColor="text1" w:themeTint="A6"/>
        </w:rPr>
        <w:t xml:space="preserve"> </w:t>
      </w:r>
      <w:r w:rsidR="0054039C" w:rsidRPr="0054039C">
        <w:rPr>
          <w:rFonts w:ascii="Arial" w:hAnsi="Arial" w:cs="Arial"/>
          <w:color w:val="595959" w:themeColor="text1" w:themeTint="A6"/>
        </w:rPr>
        <w:t xml:space="preserve">Scriptaid </w:t>
      </w:r>
      <w:r w:rsidR="00106958">
        <w:rPr>
          <w:rFonts w:ascii="Arial" w:hAnsi="Arial" w:cs="Arial"/>
          <w:color w:val="595959" w:themeColor="text1" w:themeTint="A6"/>
        </w:rPr>
        <w:t xml:space="preserve">in combination </w:t>
      </w:r>
      <w:r w:rsidR="00733D2C">
        <w:rPr>
          <w:rFonts w:ascii="Arial" w:hAnsi="Arial" w:cs="Arial"/>
          <w:color w:val="595959" w:themeColor="text1" w:themeTint="A6"/>
        </w:rPr>
        <w:t xml:space="preserve">with </w:t>
      </w:r>
      <w:r w:rsidR="00733D2C" w:rsidRPr="0054039C">
        <w:rPr>
          <w:rFonts w:ascii="Arial" w:hAnsi="Arial" w:cs="Arial"/>
          <w:color w:val="595959" w:themeColor="text1" w:themeTint="A6"/>
        </w:rPr>
        <w:t xml:space="preserve">TGFβ-1 </w:t>
      </w:r>
      <w:r w:rsidR="002F20F3">
        <w:rPr>
          <w:rFonts w:ascii="Arial" w:hAnsi="Arial" w:cs="Arial"/>
          <w:color w:val="595959" w:themeColor="text1" w:themeTint="A6"/>
        </w:rPr>
        <w:t xml:space="preserve">did not alter </w:t>
      </w:r>
      <w:bookmarkStart w:id="344" w:name="OLE_LINK4"/>
      <w:r w:rsidR="0054039C" w:rsidRPr="0054039C">
        <w:rPr>
          <w:rFonts w:ascii="Arial" w:hAnsi="Arial" w:cs="Arial"/>
          <w:color w:val="595959" w:themeColor="text1" w:themeTint="A6"/>
        </w:rPr>
        <w:t>αSMA</w:t>
      </w:r>
      <w:bookmarkEnd w:id="344"/>
      <w:r w:rsidR="0054039C" w:rsidRPr="0054039C">
        <w:rPr>
          <w:rFonts w:ascii="Arial" w:hAnsi="Arial" w:cs="Arial"/>
          <w:color w:val="595959" w:themeColor="text1" w:themeTint="A6"/>
        </w:rPr>
        <w:t xml:space="preserve"> abundance</w:t>
      </w:r>
      <w:r w:rsidR="002F20F3">
        <w:rPr>
          <w:rFonts w:ascii="Arial" w:hAnsi="Arial" w:cs="Arial"/>
          <w:color w:val="595959" w:themeColor="text1" w:themeTint="A6"/>
        </w:rPr>
        <w:t xml:space="preserve"> compared to </w:t>
      </w:r>
      <w:r w:rsidR="002F20F3" w:rsidRPr="0054039C">
        <w:rPr>
          <w:rFonts w:ascii="Arial" w:hAnsi="Arial" w:cs="Arial"/>
          <w:color w:val="595959" w:themeColor="text1" w:themeTint="A6"/>
        </w:rPr>
        <w:t>TGFβ-1</w:t>
      </w:r>
      <w:r w:rsidR="002F20F3">
        <w:rPr>
          <w:rFonts w:ascii="Arial" w:hAnsi="Arial" w:cs="Arial"/>
          <w:color w:val="595959" w:themeColor="text1" w:themeTint="A6"/>
        </w:rPr>
        <w:t xml:space="preserve"> treatment alone (Figure 3.</w:t>
      </w:r>
      <w:r w:rsidR="00793836">
        <w:rPr>
          <w:rFonts w:ascii="Arial" w:hAnsi="Arial" w:cs="Arial"/>
          <w:color w:val="595959" w:themeColor="text1" w:themeTint="A6"/>
        </w:rPr>
        <w:t>4</w:t>
      </w:r>
      <w:r w:rsidR="00CA0F2D">
        <w:rPr>
          <w:rFonts w:ascii="Arial" w:hAnsi="Arial" w:cs="Arial"/>
          <w:color w:val="595959" w:themeColor="text1" w:themeTint="A6"/>
        </w:rPr>
        <w:t>1</w:t>
      </w:r>
      <w:r w:rsidR="002F20F3">
        <w:rPr>
          <w:rFonts w:ascii="Arial" w:hAnsi="Arial" w:cs="Arial"/>
          <w:color w:val="595959" w:themeColor="text1" w:themeTint="A6"/>
        </w:rPr>
        <w:t xml:space="preserve"> A i + B ii)</w:t>
      </w:r>
      <w:r w:rsidR="00733D2C">
        <w:rPr>
          <w:rFonts w:ascii="Arial" w:hAnsi="Arial" w:cs="Arial"/>
          <w:color w:val="595959" w:themeColor="text1" w:themeTint="A6"/>
        </w:rPr>
        <w:t xml:space="preserve">. </w:t>
      </w:r>
      <w:r w:rsidR="0054039C" w:rsidRPr="0054039C">
        <w:rPr>
          <w:rFonts w:ascii="Arial" w:hAnsi="Arial" w:cs="Arial"/>
          <w:color w:val="595959" w:themeColor="text1" w:themeTint="A6"/>
        </w:rPr>
        <w:t xml:space="preserve"> </w:t>
      </w:r>
      <w:r w:rsidR="00733D2C">
        <w:rPr>
          <w:rFonts w:ascii="Arial" w:hAnsi="Arial" w:cs="Arial"/>
          <w:color w:val="595959" w:themeColor="text1" w:themeTint="A6"/>
        </w:rPr>
        <w:t xml:space="preserve">Only </w:t>
      </w:r>
      <w:r w:rsidR="0054039C" w:rsidRPr="0054039C">
        <w:rPr>
          <w:rFonts w:ascii="Arial" w:hAnsi="Arial" w:cs="Arial"/>
          <w:color w:val="595959" w:themeColor="text1" w:themeTint="A6"/>
        </w:rPr>
        <w:t xml:space="preserve">Batimastat in combination with TGFβ-1 caused a significant </w:t>
      </w:r>
      <w:r w:rsidR="00733D2C">
        <w:rPr>
          <w:rFonts w:ascii="Arial" w:hAnsi="Arial" w:cs="Arial"/>
          <w:color w:val="595959" w:themeColor="text1" w:themeTint="A6"/>
        </w:rPr>
        <w:t xml:space="preserve">~4-fold </w:t>
      </w:r>
      <w:r w:rsidR="0054039C" w:rsidRPr="0054039C">
        <w:rPr>
          <w:rFonts w:ascii="Arial" w:hAnsi="Arial" w:cs="Arial"/>
          <w:color w:val="595959" w:themeColor="text1" w:themeTint="A6"/>
        </w:rPr>
        <w:t xml:space="preserve">reduction in </w:t>
      </w:r>
      <w:r w:rsidR="001351E8" w:rsidRPr="0054039C">
        <w:rPr>
          <w:rFonts w:ascii="Arial" w:hAnsi="Arial" w:cs="Arial"/>
          <w:color w:val="595959" w:themeColor="text1" w:themeTint="A6"/>
        </w:rPr>
        <w:t xml:space="preserve">αSMA </w:t>
      </w:r>
      <w:r w:rsidR="0054039C" w:rsidRPr="0054039C">
        <w:rPr>
          <w:rFonts w:ascii="Arial" w:hAnsi="Arial" w:cs="Arial"/>
          <w:color w:val="595959" w:themeColor="text1" w:themeTint="A6"/>
        </w:rPr>
        <w:t>abundance, with a mean fold-change of 1.01 ± 0.57 compared to TGFβ-1 alone</w:t>
      </w:r>
      <w:r w:rsidR="00733D2C">
        <w:rPr>
          <w:rFonts w:ascii="Arial" w:hAnsi="Arial" w:cs="Arial"/>
          <w:color w:val="595959" w:themeColor="text1" w:themeTint="A6"/>
        </w:rPr>
        <w:t>, 4.47</w:t>
      </w:r>
      <w:r w:rsidR="00B564E7">
        <w:rPr>
          <w:rFonts w:ascii="Arial" w:hAnsi="Arial" w:cs="Arial"/>
          <w:color w:val="595959" w:themeColor="text1" w:themeTint="A6"/>
        </w:rPr>
        <w:t xml:space="preserve"> </w:t>
      </w:r>
      <w:r w:rsidR="00733D2C" w:rsidRPr="0054039C">
        <w:rPr>
          <w:rFonts w:ascii="Arial" w:hAnsi="Arial" w:cs="Arial"/>
          <w:color w:val="595959" w:themeColor="text1" w:themeTint="A6"/>
        </w:rPr>
        <w:t>±</w:t>
      </w:r>
      <w:r w:rsidR="00733D2C">
        <w:rPr>
          <w:rFonts w:ascii="Arial" w:hAnsi="Arial" w:cs="Arial"/>
          <w:color w:val="595959" w:themeColor="text1" w:themeTint="A6"/>
        </w:rPr>
        <w:t xml:space="preserve"> 1.01,</w:t>
      </w:r>
      <w:r w:rsidR="0054039C" w:rsidRPr="0054039C">
        <w:rPr>
          <w:rFonts w:ascii="Arial" w:hAnsi="Arial" w:cs="Arial"/>
          <w:color w:val="595959" w:themeColor="text1" w:themeTint="A6"/>
        </w:rPr>
        <w:t xml:space="preserve"> p=0.0</w:t>
      </w:r>
      <w:r w:rsidR="009B5DB1">
        <w:rPr>
          <w:rFonts w:ascii="Arial" w:hAnsi="Arial" w:cs="Arial"/>
          <w:color w:val="595959" w:themeColor="text1" w:themeTint="A6"/>
        </w:rPr>
        <w:t>157</w:t>
      </w:r>
      <w:r w:rsidR="0054039C" w:rsidRPr="0054039C">
        <w:rPr>
          <w:rFonts w:ascii="Arial" w:hAnsi="Arial" w:cs="Arial"/>
          <w:color w:val="595959" w:themeColor="text1" w:themeTint="A6"/>
        </w:rPr>
        <w:t xml:space="preserve">. </w:t>
      </w:r>
    </w:p>
    <w:p w14:paraId="21E27A2E" w14:textId="77777777" w:rsidR="00563BED" w:rsidRPr="0054039C" w:rsidRDefault="00563BED" w:rsidP="0054039C">
      <w:pPr>
        <w:tabs>
          <w:tab w:val="left" w:pos="1350"/>
        </w:tabs>
        <w:spacing w:line="480" w:lineRule="auto"/>
        <w:jc w:val="both"/>
        <w:rPr>
          <w:rFonts w:ascii="Arial" w:hAnsi="Arial" w:cs="Arial"/>
          <w:color w:val="595959" w:themeColor="text1" w:themeTint="A6"/>
        </w:rPr>
      </w:pPr>
    </w:p>
    <w:p w14:paraId="2BBCA81F" w14:textId="6054B5D8" w:rsidR="0054039C" w:rsidRDefault="0054039C" w:rsidP="0054039C">
      <w:pPr>
        <w:tabs>
          <w:tab w:val="left" w:pos="1350"/>
        </w:tabs>
        <w:spacing w:line="480" w:lineRule="auto"/>
        <w:jc w:val="both"/>
        <w:rPr>
          <w:rFonts w:ascii="Arial" w:hAnsi="Arial" w:cs="Arial"/>
          <w:color w:val="595959" w:themeColor="text1" w:themeTint="A6"/>
        </w:rPr>
      </w:pPr>
    </w:p>
    <w:p w14:paraId="2CD117F4" w14:textId="77777777" w:rsidR="00931F4D" w:rsidRDefault="00931F4D" w:rsidP="0054039C">
      <w:pPr>
        <w:tabs>
          <w:tab w:val="left" w:pos="1350"/>
        </w:tabs>
        <w:spacing w:line="480" w:lineRule="auto"/>
        <w:jc w:val="both"/>
        <w:rPr>
          <w:rFonts w:ascii="Arial" w:hAnsi="Arial" w:cs="Arial"/>
          <w:color w:val="595959" w:themeColor="text1" w:themeTint="A6"/>
        </w:rPr>
      </w:pPr>
    </w:p>
    <w:p w14:paraId="0B16C2C8" w14:textId="108F70C2" w:rsidR="003E0305" w:rsidRDefault="003E0305" w:rsidP="0054039C">
      <w:pPr>
        <w:tabs>
          <w:tab w:val="left" w:pos="1350"/>
        </w:tabs>
        <w:spacing w:line="480" w:lineRule="auto"/>
        <w:jc w:val="both"/>
        <w:rPr>
          <w:rFonts w:ascii="Arial" w:hAnsi="Arial" w:cs="Arial"/>
          <w:color w:val="595959" w:themeColor="text1" w:themeTint="A6"/>
        </w:rPr>
      </w:pPr>
    </w:p>
    <w:p w14:paraId="69E585FC" w14:textId="77777777" w:rsidR="00A377B1" w:rsidRDefault="00A377B1" w:rsidP="0054039C">
      <w:pPr>
        <w:tabs>
          <w:tab w:val="left" w:pos="1350"/>
        </w:tabs>
        <w:spacing w:line="480" w:lineRule="auto"/>
        <w:jc w:val="both"/>
        <w:rPr>
          <w:rFonts w:ascii="Arial" w:hAnsi="Arial" w:cs="Arial"/>
          <w:color w:val="595959" w:themeColor="text1" w:themeTint="A6"/>
        </w:rPr>
      </w:pPr>
    </w:p>
    <w:p w14:paraId="0E80800C" w14:textId="77777777" w:rsidR="003E0305" w:rsidRPr="0054039C" w:rsidRDefault="003E0305" w:rsidP="0054039C">
      <w:pPr>
        <w:tabs>
          <w:tab w:val="left" w:pos="1350"/>
        </w:tabs>
        <w:spacing w:line="480" w:lineRule="auto"/>
        <w:jc w:val="both"/>
        <w:rPr>
          <w:rFonts w:ascii="Arial" w:hAnsi="Arial" w:cs="Arial"/>
          <w:color w:val="595959" w:themeColor="text1" w:themeTint="A6"/>
        </w:rPr>
      </w:pPr>
    </w:p>
    <w:p w14:paraId="7F8A8034" w14:textId="77777777" w:rsidR="0054039C" w:rsidRPr="0054039C" w:rsidRDefault="0054039C" w:rsidP="0054039C">
      <w:pPr>
        <w:tabs>
          <w:tab w:val="left" w:pos="1350"/>
        </w:tabs>
        <w:spacing w:line="480" w:lineRule="auto"/>
        <w:jc w:val="both"/>
        <w:rPr>
          <w:rFonts w:ascii="Arial" w:hAnsi="Arial" w:cs="Arial"/>
          <w:color w:val="595959" w:themeColor="text1" w:themeTint="A6"/>
        </w:rPr>
      </w:pPr>
    </w:p>
    <w:p w14:paraId="7F654E03" w14:textId="77777777" w:rsidR="0054039C" w:rsidRPr="0054039C" w:rsidRDefault="0054039C" w:rsidP="0054039C">
      <w:pPr>
        <w:tabs>
          <w:tab w:val="left" w:pos="1350"/>
        </w:tabs>
        <w:spacing w:line="480" w:lineRule="auto"/>
        <w:jc w:val="both"/>
        <w:rPr>
          <w:rFonts w:ascii="Arial" w:hAnsi="Arial" w:cs="Arial"/>
          <w:color w:val="595959" w:themeColor="text1" w:themeTint="A6"/>
        </w:rPr>
      </w:pPr>
    </w:p>
    <w:p w14:paraId="6C6EC47F" w14:textId="77777777" w:rsidR="0054039C" w:rsidRPr="0054039C" w:rsidRDefault="0054039C" w:rsidP="0054039C">
      <w:pPr>
        <w:tabs>
          <w:tab w:val="left" w:pos="1350"/>
        </w:tabs>
        <w:spacing w:line="480" w:lineRule="auto"/>
        <w:jc w:val="both"/>
        <w:rPr>
          <w:rFonts w:ascii="Arial" w:hAnsi="Arial" w:cs="Arial"/>
          <w:color w:val="595959" w:themeColor="text1" w:themeTint="A6"/>
        </w:rPr>
      </w:pPr>
    </w:p>
    <w:p w14:paraId="70751C44" w14:textId="5EDBA6F4" w:rsidR="0054039C" w:rsidRDefault="0054039C" w:rsidP="0054039C">
      <w:pPr>
        <w:tabs>
          <w:tab w:val="left" w:pos="1350"/>
        </w:tabs>
        <w:spacing w:line="480" w:lineRule="auto"/>
        <w:jc w:val="both"/>
        <w:rPr>
          <w:rFonts w:ascii="Arial" w:hAnsi="Arial" w:cs="Arial"/>
          <w:color w:val="595959" w:themeColor="text1" w:themeTint="A6"/>
        </w:rPr>
      </w:pPr>
    </w:p>
    <w:p w14:paraId="2BA0B7F5" w14:textId="4FBDF943" w:rsidR="002F20F3" w:rsidRDefault="002F20F3" w:rsidP="0054039C">
      <w:pPr>
        <w:tabs>
          <w:tab w:val="left" w:pos="1350"/>
        </w:tabs>
        <w:spacing w:line="480" w:lineRule="auto"/>
        <w:jc w:val="both"/>
        <w:rPr>
          <w:rFonts w:ascii="Arial" w:hAnsi="Arial" w:cs="Arial"/>
          <w:color w:val="595959" w:themeColor="text1" w:themeTint="A6"/>
        </w:rPr>
      </w:pPr>
    </w:p>
    <w:p w14:paraId="46104F37" w14:textId="77777777" w:rsidR="002F20F3" w:rsidRPr="0054039C" w:rsidRDefault="002F20F3" w:rsidP="0054039C">
      <w:pPr>
        <w:tabs>
          <w:tab w:val="left" w:pos="1350"/>
        </w:tabs>
        <w:spacing w:line="480" w:lineRule="auto"/>
        <w:jc w:val="both"/>
        <w:rPr>
          <w:rFonts w:ascii="Arial" w:hAnsi="Arial" w:cs="Arial"/>
          <w:color w:val="595959" w:themeColor="text1" w:themeTint="A6"/>
        </w:rPr>
      </w:pPr>
    </w:p>
    <w:p w14:paraId="57CA5EB4" w14:textId="7C50D32A" w:rsidR="0054039C" w:rsidRPr="0054039C" w:rsidRDefault="0054039C" w:rsidP="0054039C">
      <w:pPr>
        <w:tabs>
          <w:tab w:val="left" w:pos="1350"/>
        </w:tabs>
        <w:spacing w:line="480" w:lineRule="auto"/>
        <w:jc w:val="both"/>
        <w:rPr>
          <w:rFonts w:ascii="Arial" w:hAnsi="Arial" w:cs="Arial"/>
          <w:color w:val="595959" w:themeColor="text1" w:themeTint="A6"/>
        </w:rPr>
      </w:pPr>
    </w:p>
    <w:p w14:paraId="099FFEEE" w14:textId="03FA42E6" w:rsidR="0054039C" w:rsidRPr="0054039C" w:rsidRDefault="0054039C" w:rsidP="0054039C">
      <w:pPr>
        <w:tabs>
          <w:tab w:val="left" w:pos="1350"/>
        </w:tabs>
        <w:spacing w:line="480" w:lineRule="auto"/>
        <w:jc w:val="both"/>
        <w:rPr>
          <w:rFonts w:ascii="Arial" w:hAnsi="Arial" w:cs="Arial"/>
          <w:color w:val="595959" w:themeColor="text1" w:themeTint="A6"/>
        </w:rPr>
      </w:pPr>
    </w:p>
    <w:p w14:paraId="5A039447" w14:textId="0EDABA4D" w:rsidR="0054039C" w:rsidRPr="0054039C" w:rsidRDefault="0054039C" w:rsidP="0054039C">
      <w:pPr>
        <w:tabs>
          <w:tab w:val="left" w:pos="1350"/>
        </w:tabs>
        <w:spacing w:line="480" w:lineRule="auto"/>
        <w:jc w:val="both"/>
        <w:rPr>
          <w:rFonts w:ascii="Arial" w:hAnsi="Arial" w:cs="Arial"/>
          <w:color w:val="595959" w:themeColor="text1" w:themeTint="A6"/>
        </w:rPr>
      </w:pPr>
    </w:p>
    <w:p w14:paraId="565C3AE3" w14:textId="74066341" w:rsidR="0054039C" w:rsidRPr="0054039C" w:rsidRDefault="00E40DBA" w:rsidP="0054039C">
      <w:pPr>
        <w:tabs>
          <w:tab w:val="left" w:pos="1350"/>
        </w:tabs>
        <w:spacing w:line="480" w:lineRule="auto"/>
        <w:jc w:val="both"/>
        <w:rPr>
          <w:rFonts w:ascii="Arial" w:hAnsi="Arial" w:cs="Arial"/>
          <w:color w:val="595959" w:themeColor="text1" w:themeTint="A6"/>
        </w:rPr>
      </w:pPr>
      <w:r>
        <w:rPr>
          <w:rFonts w:ascii="Arial" w:hAnsi="Arial" w:cs="Arial"/>
          <w:noProof/>
          <w:color w:val="595959" w:themeColor="text1" w:themeTint="A6"/>
        </w:rPr>
        <w:drawing>
          <wp:anchor distT="0" distB="0" distL="114300" distR="114300" simplePos="0" relativeHeight="251676939" behindDoc="0" locked="0" layoutInCell="1" allowOverlap="1" wp14:anchorId="77CBB7A7" wp14:editId="042F4FDD">
            <wp:simplePos x="0" y="0"/>
            <wp:positionH relativeFrom="column">
              <wp:posOffset>0</wp:posOffset>
            </wp:positionH>
            <wp:positionV relativeFrom="paragraph">
              <wp:posOffset>-3609</wp:posOffset>
            </wp:positionV>
            <wp:extent cx="7254875" cy="5157470"/>
            <wp:effectExtent l="0" t="0" r="0" b="0"/>
            <wp:wrapNone/>
            <wp:docPr id="5590" name="Picture 5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7254875" cy="5157470"/>
                    </a:xfrm>
                    <a:prstGeom prst="rect">
                      <a:avLst/>
                    </a:prstGeom>
                    <a:noFill/>
                  </pic:spPr>
                </pic:pic>
              </a:graphicData>
            </a:graphic>
          </wp:anchor>
        </w:drawing>
      </w:r>
    </w:p>
    <w:p w14:paraId="2B4C012A" w14:textId="29C134E7" w:rsidR="0054039C" w:rsidRPr="0054039C" w:rsidRDefault="0054039C" w:rsidP="0054039C">
      <w:pPr>
        <w:tabs>
          <w:tab w:val="left" w:pos="1350"/>
        </w:tabs>
        <w:spacing w:line="480" w:lineRule="auto"/>
        <w:jc w:val="both"/>
        <w:rPr>
          <w:rFonts w:ascii="Arial" w:hAnsi="Arial" w:cs="Arial"/>
          <w:color w:val="595959" w:themeColor="text1" w:themeTint="A6"/>
        </w:rPr>
      </w:pPr>
    </w:p>
    <w:p w14:paraId="1DD574E9" w14:textId="77777777" w:rsidR="0054039C" w:rsidRPr="0054039C" w:rsidRDefault="0054039C" w:rsidP="0054039C">
      <w:pPr>
        <w:tabs>
          <w:tab w:val="left" w:pos="1350"/>
        </w:tabs>
        <w:spacing w:line="480" w:lineRule="auto"/>
        <w:jc w:val="both"/>
        <w:rPr>
          <w:rFonts w:ascii="Arial" w:hAnsi="Arial" w:cs="Arial"/>
          <w:color w:val="595959" w:themeColor="text1" w:themeTint="A6"/>
        </w:rPr>
      </w:pPr>
    </w:p>
    <w:p w14:paraId="20F2E184" w14:textId="639903D9" w:rsidR="0054039C" w:rsidRPr="0054039C" w:rsidRDefault="0054039C" w:rsidP="0054039C">
      <w:pPr>
        <w:tabs>
          <w:tab w:val="left" w:pos="1350"/>
        </w:tabs>
        <w:spacing w:line="480" w:lineRule="auto"/>
        <w:jc w:val="both"/>
        <w:rPr>
          <w:rFonts w:ascii="Arial" w:hAnsi="Arial" w:cs="Arial"/>
          <w:color w:val="595959" w:themeColor="text1" w:themeTint="A6"/>
        </w:rPr>
      </w:pPr>
    </w:p>
    <w:p w14:paraId="20C25AC0" w14:textId="77777777" w:rsidR="0054039C" w:rsidRPr="0054039C" w:rsidRDefault="0054039C" w:rsidP="0054039C">
      <w:pPr>
        <w:tabs>
          <w:tab w:val="left" w:pos="1350"/>
        </w:tabs>
        <w:spacing w:line="480" w:lineRule="auto"/>
        <w:jc w:val="both"/>
        <w:rPr>
          <w:rFonts w:ascii="Arial" w:hAnsi="Arial" w:cs="Arial"/>
          <w:color w:val="595959" w:themeColor="text1" w:themeTint="A6"/>
        </w:rPr>
      </w:pPr>
    </w:p>
    <w:p w14:paraId="5B202A66" w14:textId="77777777" w:rsidR="0054039C" w:rsidRPr="0054039C" w:rsidRDefault="0054039C" w:rsidP="0054039C">
      <w:pPr>
        <w:tabs>
          <w:tab w:val="left" w:pos="1350"/>
        </w:tabs>
        <w:spacing w:line="480" w:lineRule="auto"/>
        <w:jc w:val="both"/>
        <w:rPr>
          <w:rFonts w:ascii="Arial" w:hAnsi="Arial" w:cs="Arial"/>
          <w:color w:val="595959" w:themeColor="text1" w:themeTint="A6"/>
        </w:rPr>
      </w:pPr>
    </w:p>
    <w:p w14:paraId="7C078329" w14:textId="77777777" w:rsidR="0054039C" w:rsidRPr="0054039C" w:rsidRDefault="0054039C" w:rsidP="0054039C">
      <w:pPr>
        <w:tabs>
          <w:tab w:val="left" w:pos="1350"/>
        </w:tabs>
        <w:spacing w:line="480" w:lineRule="auto"/>
        <w:jc w:val="both"/>
        <w:rPr>
          <w:rFonts w:ascii="Arial" w:hAnsi="Arial" w:cs="Arial"/>
          <w:color w:val="595959" w:themeColor="text1" w:themeTint="A6"/>
        </w:rPr>
      </w:pPr>
    </w:p>
    <w:p w14:paraId="473FC29E" w14:textId="77777777" w:rsidR="0054039C" w:rsidRPr="0054039C" w:rsidRDefault="0054039C" w:rsidP="0054039C">
      <w:pPr>
        <w:tabs>
          <w:tab w:val="left" w:pos="1350"/>
        </w:tabs>
        <w:spacing w:line="480" w:lineRule="auto"/>
        <w:jc w:val="both"/>
        <w:rPr>
          <w:rFonts w:ascii="Arial" w:hAnsi="Arial" w:cs="Arial"/>
          <w:color w:val="595959" w:themeColor="text1" w:themeTint="A6"/>
        </w:rPr>
      </w:pPr>
    </w:p>
    <w:p w14:paraId="7419F1A6" w14:textId="77777777" w:rsidR="0054039C" w:rsidRPr="0054039C" w:rsidRDefault="0054039C" w:rsidP="0054039C">
      <w:pPr>
        <w:tabs>
          <w:tab w:val="left" w:pos="1350"/>
        </w:tabs>
        <w:spacing w:line="480" w:lineRule="auto"/>
        <w:jc w:val="both"/>
        <w:rPr>
          <w:rFonts w:ascii="Arial" w:hAnsi="Arial" w:cs="Arial"/>
          <w:color w:val="595959" w:themeColor="text1" w:themeTint="A6"/>
        </w:rPr>
      </w:pPr>
    </w:p>
    <w:p w14:paraId="22586DBC" w14:textId="77777777" w:rsidR="0054039C" w:rsidRPr="0054039C" w:rsidRDefault="0054039C" w:rsidP="0054039C">
      <w:pPr>
        <w:tabs>
          <w:tab w:val="left" w:pos="1350"/>
        </w:tabs>
        <w:spacing w:line="480" w:lineRule="auto"/>
        <w:jc w:val="both"/>
        <w:rPr>
          <w:rFonts w:ascii="Arial" w:hAnsi="Arial" w:cs="Arial"/>
          <w:color w:val="595959" w:themeColor="text1" w:themeTint="A6"/>
        </w:rPr>
      </w:pPr>
    </w:p>
    <w:p w14:paraId="357685A9" w14:textId="77777777" w:rsidR="0054039C" w:rsidRPr="0054039C" w:rsidRDefault="0054039C" w:rsidP="0054039C">
      <w:pPr>
        <w:tabs>
          <w:tab w:val="left" w:pos="1350"/>
        </w:tabs>
        <w:spacing w:line="480" w:lineRule="auto"/>
        <w:jc w:val="both"/>
        <w:rPr>
          <w:rFonts w:ascii="Arial" w:hAnsi="Arial" w:cs="Arial"/>
          <w:color w:val="595959" w:themeColor="text1" w:themeTint="A6"/>
        </w:rPr>
      </w:pPr>
    </w:p>
    <w:p w14:paraId="1EF27F5C" w14:textId="0888A9FE" w:rsidR="0054039C" w:rsidRPr="0054039C" w:rsidRDefault="0054039C" w:rsidP="0054039C">
      <w:pPr>
        <w:tabs>
          <w:tab w:val="left" w:pos="1350"/>
        </w:tabs>
        <w:spacing w:line="480" w:lineRule="auto"/>
        <w:jc w:val="both"/>
        <w:rPr>
          <w:rFonts w:ascii="Arial" w:hAnsi="Arial" w:cs="Arial"/>
          <w:color w:val="595959" w:themeColor="text1" w:themeTint="A6"/>
        </w:rPr>
      </w:pPr>
    </w:p>
    <w:p w14:paraId="580CB387" w14:textId="2E45A020" w:rsidR="0054039C" w:rsidRPr="0054039C" w:rsidRDefault="008252F0" w:rsidP="0054039C">
      <w:pPr>
        <w:tabs>
          <w:tab w:val="left" w:pos="1350"/>
        </w:tabs>
        <w:spacing w:line="480" w:lineRule="auto"/>
        <w:jc w:val="both"/>
        <w:rPr>
          <w:rFonts w:ascii="Arial" w:hAnsi="Arial" w:cs="Arial"/>
          <w:color w:val="595959" w:themeColor="text1" w:themeTint="A6"/>
        </w:rPr>
      </w:pPr>
      <w:r w:rsidRPr="0054039C">
        <w:rPr>
          <w:rFonts w:ascii="Arial" w:hAnsi="Arial" w:cs="Arial"/>
          <w:noProof/>
          <w:color w:val="595959" w:themeColor="text1" w:themeTint="A6"/>
          <w:sz w:val="24"/>
          <w:szCs w:val="24"/>
          <w:lang w:eastAsia="zh-CN"/>
        </w:rPr>
        <mc:AlternateContent>
          <mc:Choice Requires="wps">
            <w:drawing>
              <wp:anchor distT="0" distB="0" distL="114300" distR="114300" simplePos="0" relativeHeight="251658327" behindDoc="0" locked="0" layoutInCell="1" allowOverlap="1" wp14:anchorId="76D043D5" wp14:editId="27192A46">
                <wp:simplePos x="0" y="0"/>
                <wp:positionH relativeFrom="margin">
                  <wp:posOffset>-11661</wp:posOffset>
                </wp:positionH>
                <wp:positionV relativeFrom="paragraph">
                  <wp:posOffset>206317</wp:posOffset>
                </wp:positionV>
                <wp:extent cx="5724525" cy="1600200"/>
                <wp:effectExtent l="0" t="0" r="9525" b="0"/>
                <wp:wrapNone/>
                <wp:docPr id="2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1600200"/>
                        </a:xfrm>
                        <a:prstGeom prst="rect">
                          <a:avLst/>
                        </a:prstGeom>
                        <a:solidFill>
                          <a:srgbClr val="FFFFFF"/>
                        </a:solidFill>
                        <a:ln w="9525">
                          <a:noFill/>
                          <a:miter lim="800000"/>
                          <a:headEnd/>
                          <a:tailEnd/>
                        </a:ln>
                      </wps:spPr>
                      <wps:txbx>
                        <w:txbxContent>
                          <w:p w14:paraId="459D41CF" w14:textId="6C230176" w:rsidR="008A47AC" w:rsidRDefault="008A47AC" w:rsidP="0054039C">
                            <w:pPr>
                              <w:pStyle w:val="NormalWeb"/>
                              <w:spacing w:after="200"/>
                              <w:jc w:val="both"/>
                              <w:rPr>
                                <w:rFonts w:ascii="Arial Narrow" w:eastAsia="SimSun" w:hAnsi="Arial Narrow" w:cs="Arial"/>
                                <w:b/>
                                <w:bCs/>
                                <w:color w:val="595959"/>
                                <w:kern w:val="24"/>
                                <w:sz w:val="22"/>
                                <w:szCs w:val="22"/>
                              </w:rPr>
                            </w:pPr>
                            <w:r>
                              <w:rPr>
                                <w:rFonts w:ascii="Arial Narrow" w:eastAsia="SimSun" w:hAnsi="Arial Narrow" w:cs="Arial"/>
                                <w:b/>
                                <w:bCs/>
                                <w:color w:val="595959"/>
                                <w:kern w:val="24"/>
                                <w:sz w:val="22"/>
                                <w:szCs w:val="22"/>
                              </w:rPr>
                              <w:t xml:space="preserve">Figure 3.41 Immunoblotting for αSMA abundance in NOF and CAF in response to Scriptaid and Batimastat treatment with and without TGFβ-1 stimulation </w:t>
                            </w:r>
                          </w:p>
                          <w:p w14:paraId="3CF27957" w14:textId="2EC54C9B" w:rsidR="008A47AC" w:rsidRPr="00944EBD" w:rsidRDefault="008A47AC" w:rsidP="0054039C">
                            <w:pPr>
                              <w:pStyle w:val="NormalWeb"/>
                              <w:spacing w:after="200" w:line="276" w:lineRule="auto"/>
                              <w:jc w:val="both"/>
                              <w:rPr>
                                <w:rFonts w:ascii="Arial Narrow" w:eastAsia="SimSun" w:hAnsi="Arial Narrow" w:cs="Arial"/>
                                <w:color w:val="595959"/>
                                <w:kern w:val="24"/>
                                <w:sz w:val="22"/>
                              </w:rPr>
                            </w:pPr>
                            <w:r>
                              <w:rPr>
                                <w:rFonts w:ascii="Arial Narrow" w:eastAsia="SimSun" w:hAnsi="Arial Narrow" w:cs="Arial"/>
                                <w:color w:val="595959"/>
                                <w:kern w:val="24"/>
                                <w:sz w:val="22"/>
                              </w:rPr>
                              <w:t xml:space="preserve">NOF (A) and CAF (B) 2D monolayers were treated with the inhibitors Scriptaid and Batimastat in the presence or absence of </w:t>
                            </w:r>
                            <w:r w:rsidRPr="00944EBD">
                              <w:rPr>
                                <w:rFonts w:ascii="Arial Narrow" w:eastAsia="SimSun" w:hAnsi="Arial Narrow" w:cs="Arial"/>
                                <w:color w:val="595959"/>
                                <w:kern w:val="24"/>
                                <w:sz w:val="22"/>
                              </w:rPr>
                              <w:t xml:space="preserve">TGFβ-1 </w:t>
                            </w:r>
                            <w:r>
                              <w:rPr>
                                <w:rFonts w:ascii="Arial Narrow" w:eastAsia="SimSun" w:hAnsi="Arial Narrow" w:cs="Arial"/>
                                <w:color w:val="595959"/>
                                <w:kern w:val="24"/>
                                <w:sz w:val="22"/>
                              </w:rPr>
                              <w:t xml:space="preserve">for 48 h and </w:t>
                            </w:r>
                            <w:r w:rsidRPr="00944EBD">
                              <w:rPr>
                                <w:rFonts w:ascii="Arial Narrow" w:eastAsia="SimSun" w:hAnsi="Arial Narrow" w:cs="Arial"/>
                                <w:color w:val="595959"/>
                                <w:kern w:val="24"/>
                                <w:sz w:val="22"/>
                              </w:rPr>
                              <w:t>aSMA</w:t>
                            </w:r>
                            <w:r>
                              <w:rPr>
                                <w:rFonts w:ascii="Arial Narrow" w:eastAsia="SimSun" w:hAnsi="Arial Narrow" w:cs="Arial"/>
                                <w:color w:val="595959"/>
                                <w:kern w:val="24"/>
                                <w:sz w:val="22"/>
                              </w:rPr>
                              <w:t xml:space="preserve"> protein levels determined using immunoblotting. Densitometry of the resultant bands were measured using ImageJ and intensity measured relative to GAPDH controls. Data is expressed as relative fold change, with mean ± SD, N=3, n=2, * denotes p &lt;0.05 and ** p &lt;0.01 analysed by unpaired Student’s T-test. </w:t>
                            </w:r>
                          </w:p>
                          <w:p w14:paraId="3D25E1F6" w14:textId="77777777" w:rsidR="008A47AC" w:rsidRDefault="008A47AC" w:rsidP="0054039C">
                            <w:pPr>
                              <w:pStyle w:val="NormalWeb"/>
                              <w:spacing w:after="200" w:line="276" w:lineRule="auto"/>
                              <w:jc w:val="both"/>
                              <w:rPr>
                                <w:rFonts w:ascii="Arial Narrow" w:eastAsia="SimSun" w:hAnsi="Arial Narrow" w:cs="Arial"/>
                                <w:color w:val="595959"/>
                                <w:kern w:val="24"/>
                              </w:rPr>
                            </w:pPr>
                          </w:p>
                          <w:p w14:paraId="715A6EA9" w14:textId="77777777" w:rsidR="008A47AC" w:rsidRDefault="008A47AC" w:rsidP="0054039C">
                            <w:pPr>
                              <w:pStyle w:val="NormalWeb"/>
                              <w:spacing w:after="200" w:line="276" w:lineRule="auto"/>
                              <w:jc w:val="both"/>
                              <w:rPr>
                                <w:rFonts w:ascii="Arial Narrow" w:eastAsia="SimSun" w:hAnsi="Arial Narrow" w:cs="Arial"/>
                                <w:color w:val="595959"/>
                                <w:kern w:val="24"/>
                              </w:rPr>
                            </w:pPr>
                          </w:p>
                          <w:p w14:paraId="3554307F" w14:textId="77777777" w:rsidR="008A47AC" w:rsidRPr="00AE10F9" w:rsidRDefault="008A47AC" w:rsidP="0054039C">
                            <w:pPr>
                              <w:pStyle w:val="NormalWeb"/>
                              <w:spacing w:after="200" w:line="276" w:lineRule="auto"/>
                              <w:jc w:val="both"/>
                              <w:rPr>
                                <w:rFonts w:ascii="Arial Narrow" w:eastAsia="SimSun" w:hAnsi="Arial Narrow" w:cs="Arial"/>
                                <w:color w:val="595959"/>
                                <w:kern w:val="24"/>
                              </w:rPr>
                            </w:pPr>
                          </w:p>
                          <w:p w14:paraId="79D54F93" w14:textId="77777777" w:rsidR="008A47AC" w:rsidRDefault="008A47AC" w:rsidP="0054039C">
                            <w:pPr>
                              <w:pStyle w:val="NormalWeb"/>
                              <w:spacing w:after="200" w:line="276" w:lineRule="auto"/>
                              <w:jc w:val="both"/>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D043D5" id="_x0000_s1118" type="#_x0000_t202" style="position:absolute;left:0;text-align:left;margin-left:-.9pt;margin-top:16.25pt;width:450.75pt;height:126pt;z-index:25165832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" stroked="f">
                <v:textbox>
                  <w:txbxContent>
                    <w:p w14:paraId="459D41CF" w14:textId="6C230176" w:rsidR="008A47AC" w:rsidRDefault="008A47AC" w:rsidP="0054039C">
                      <w:pPr>
                        <w:pStyle w:val="NormalWeb"/>
                        <w:spacing w:after="200"/>
                        <w:jc w:val="both"/>
                        <w:rPr>
                          <w:rFonts w:ascii="Arial Narrow" w:eastAsia="SimSun" w:hAnsi="Arial Narrow" w:cs="Arial"/>
                          <w:b/>
                          <w:bCs/>
                          <w:color w:val="595959"/>
                          <w:kern w:val="24"/>
                          <w:sz w:val="22"/>
                          <w:szCs w:val="22"/>
                        </w:rPr>
                      </w:pPr>
                      <w:r>
                        <w:rPr>
                          <w:rFonts w:ascii="Arial Narrow" w:eastAsia="SimSun" w:hAnsi="Arial Narrow" w:cs="Arial"/>
                          <w:b/>
                          <w:bCs/>
                          <w:color w:val="595959"/>
                          <w:kern w:val="24"/>
                          <w:sz w:val="22"/>
                          <w:szCs w:val="22"/>
                        </w:rPr>
                        <w:t xml:space="preserve">Figure 3.41 Immunoblotting for αSMA abundance in NOF and CAF in response to Scriptaid and Batimastat treatment with and without TGFβ-1 stimulation </w:t>
                      </w:r>
                    </w:p>
                    <w:p w14:paraId="3CF27957" w14:textId="2EC54C9B" w:rsidR="008A47AC" w:rsidRPr="00944EBD" w:rsidRDefault="008A47AC" w:rsidP="0054039C">
                      <w:pPr>
                        <w:pStyle w:val="NormalWeb"/>
                        <w:spacing w:after="200" w:line="276" w:lineRule="auto"/>
                        <w:jc w:val="both"/>
                        <w:rPr>
                          <w:rFonts w:ascii="Arial Narrow" w:eastAsia="SimSun" w:hAnsi="Arial Narrow" w:cs="Arial"/>
                          <w:color w:val="595959"/>
                          <w:kern w:val="24"/>
                          <w:sz w:val="22"/>
                        </w:rPr>
                      </w:pPr>
                      <w:r>
                        <w:rPr>
                          <w:rFonts w:ascii="Arial Narrow" w:eastAsia="SimSun" w:hAnsi="Arial Narrow" w:cs="Arial"/>
                          <w:color w:val="595959"/>
                          <w:kern w:val="24"/>
                          <w:sz w:val="22"/>
                        </w:rPr>
                        <w:t xml:space="preserve">NOF (A) and CAF (B) 2D monolayers were treated with the inhibitors Scriptaid and Batimastat in the presence or absence of </w:t>
                      </w:r>
                      <w:r w:rsidRPr="00944EBD">
                        <w:rPr>
                          <w:rFonts w:ascii="Arial Narrow" w:eastAsia="SimSun" w:hAnsi="Arial Narrow" w:cs="Arial"/>
                          <w:color w:val="595959"/>
                          <w:kern w:val="24"/>
                          <w:sz w:val="22"/>
                        </w:rPr>
                        <w:t xml:space="preserve">TGFβ-1 </w:t>
                      </w:r>
                      <w:r>
                        <w:rPr>
                          <w:rFonts w:ascii="Arial Narrow" w:eastAsia="SimSun" w:hAnsi="Arial Narrow" w:cs="Arial"/>
                          <w:color w:val="595959"/>
                          <w:kern w:val="24"/>
                          <w:sz w:val="22"/>
                        </w:rPr>
                        <w:t xml:space="preserve">for 48 h and </w:t>
                      </w:r>
                      <w:proofErr w:type="spellStart"/>
                      <w:r w:rsidRPr="00944EBD">
                        <w:rPr>
                          <w:rFonts w:ascii="Arial Narrow" w:eastAsia="SimSun" w:hAnsi="Arial Narrow" w:cs="Arial"/>
                          <w:color w:val="595959"/>
                          <w:kern w:val="24"/>
                          <w:sz w:val="22"/>
                        </w:rPr>
                        <w:t>aSMA</w:t>
                      </w:r>
                      <w:proofErr w:type="spellEnd"/>
                      <w:r>
                        <w:rPr>
                          <w:rFonts w:ascii="Arial Narrow" w:eastAsia="SimSun" w:hAnsi="Arial Narrow" w:cs="Arial"/>
                          <w:color w:val="595959"/>
                          <w:kern w:val="24"/>
                          <w:sz w:val="22"/>
                        </w:rPr>
                        <w:t xml:space="preserve"> protein levels determined using immunoblotting. Densitometry of the resultant bands were measured using ImageJ and intensity measured relative to GAPDH controls. Data is expressed as relative fold change, with mean ± SD, N=3, n=2, * denotes p &lt;0.05 and ** p &lt;0.01 analysed by unpaired Student’s T-test. </w:t>
                      </w:r>
                    </w:p>
                    <w:p w14:paraId="3D25E1F6" w14:textId="77777777" w:rsidR="008A47AC" w:rsidRDefault="008A47AC" w:rsidP="0054039C">
                      <w:pPr>
                        <w:pStyle w:val="NormalWeb"/>
                        <w:spacing w:after="200" w:line="276" w:lineRule="auto"/>
                        <w:jc w:val="both"/>
                        <w:rPr>
                          <w:rFonts w:ascii="Arial Narrow" w:eastAsia="SimSun" w:hAnsi="Arial Narrow" w:cs="Arial"/>
                          <w:color w:val="595959"/>
                          <w:kern w:val="24"/>
                        </w:rPr>
                      </w:pPr>
                    </w:p>
                    <w:p w14:paraId="715A6EA9" w14:textId="77777777" w:rsidR="008A47AC" w:rsidRDefault="008A47AC" w:rsidP="0054039C">
                      <w:pPr>
                        <w:pStyle w:val="NormalWeb"/>
                        <w:spacing w:after="200" w:line="276" w:lineRule="auto"/>
                        <w:jc w:val="both"/>
                        <w:rPr>
                          <w:rFonts w:ascii="Arial Narrow" w:eastAsia="SimSun" w:hAnsi="Arial Narrow" w:cs="Arial"/>
                          <w:color w:val="595959"/>
                          <w:kern w:val="24"/>
                        </w:rPr>
                      </w:pPr>
                    </w:p>
                    <w:p w14:paraId="3554307F" w14:textId="77777777" w:rsidR="008A47AC" w:rsidRPr="00AE10F9" w:rsidRDefault="008A47AC" w:rsidP="0054039C">
                      <w:pPr>
                        <w:pStyle w:val="NormalWeb"/>
                        <w:spacing w:after="200" w:line="276" w:lineRule="auto"/>
                        <w:jc w:val="both"/>
                        <w:rPr>
                          <w:rFonts w:ascii="Arial Narrow" w:eastAsia="SimSun" w:hAnsi="Arial Narrow" w:cs="Arial"/>
                          <w:color w:val="595959"/>
                          <w:kern w:val="24"/>
                        </w:rPr>
                      </w:pPr>
                    </w:p>
                    <w:p w14:paraId="79D54F93" w14:textId="77777777" w:rsidR="008A47AC" w:rsidRDefault="008A47AC" w:rsidP="0054039C">
                      <w:pPr>
                        <w:pStyle w:val="NormalWeb"/>
                        <w:spacing w:after="200" w:line="276" w:lineRule="auto"/>
                        <w:jc w:val="both"/>
                      </w:pPr>
                    </w:p>
                  </w:txbxContent>
                </v:textbox>
                <w10:wrap anchorx="margin"/>
              </v:shape>
            </w:pict>
          </mc:Fallback>
        </mc:AlternateContent>
      </w:r>
    </w:p>
    <w:p w14:paraId="7A502A57" w14:textId="54E690DD" w:rsidR="0054039C" w:rsidRPr="0054039C" w:rsidRDefault="0054039C" w:rsidP="0054039C">
      <w:pPr>
        <w:tabs>
          <w:tab w:val="left" w:pos="1350"/>
        </w:tabs>
        <w:spacing w:line="480" w:lineRule="auto"/>
        <w:jc w:val="both"/>
        <w:rPr>
          <w:rFonts w:ascii="Arial" w:hAnsi="Arial" w:cs="Arial"/>
          <w:color w:val="595959" w:themeColor="text1" w:themeTint="A6"/>
        </w:rPr>
      </w:pPr>
    </w:p>
    <w:p w14:paraId="707545D0" w14:textId="0DD48D83" w:rsidR="0054039C" w:rsidRPr="0054039C" w:rsidRDefault="0054039C" w:rsidP="0054039C">
      <w:pPr>
        <w:tabs>
          <w:tab w:val="left" w:pos="1350"/>
        </w:tabs>
        <w:spacing w:line="480" w:lineRule="auto"/>
        <w:jc w:val="both"/>
        <w:rPr>
          <w:rFonts w:ascii="Arial" w:hAnsi="Arial" w:cs="Arial"/>
          <w:color w:val="595959" w:themeColor="text1" w:themeTint="A6"/>
        </w:rPr>
      </w:pPr>
    </w:p>
    <w:p w14:paraId="5E04204A" w14:textId="77777777" w:rsidR="0054039C" w:rsidRPr="0054039C" w:rsidRDefault="0054039C" w:rsidP="0054039C">
      <w:pPr>
        <w:tabs>
          <w:tab w:val="left" w:pos="1350"/>
        </w:tabs>
        <w:spacing w:line="480" w:lineRule="auto"/>
        <w:jc w:val="both"/>
        <w:rPr>
          <w:rFonts w:ascii="Arial" w:hAnsi="Arial" w:cs="Arial"/>
          <w:color w:val="595959" w:themeColor="text1" w:themeTint="A6"/>
        </w:rPr>
      </w:pPr>
    </w:p>
    <w:p w14:paraId="5F57AE18" w14:textId="77777777" w:rsidR="0054039C" w:rsidRPr="0054039C" w:rsidRDefault="0054039C" w:rsidP="0054039C">
      <w:pPr>
        <w:tabs>
          <w:tab w:val="left" w:pos="1350"/>
        </w:tabs>
        <w:spacing w:line="480" w:lineRule="auto"/>
        <w:jc w:val="both"/>
        <w:rPr>
          <w:rFonts w:ascii="Arial" w:hAnsi="Arial" w:cs="Arial"/>
          <w:color w:val="595959" w:themeColor="text1" w:themeTint="A6"/>
        </w:rPr>
      </w:pPr>
    </w:p>
    <w:p w14:paraId="41BEA82F" w14:textId="197B77FA" w:rsidR="0054039C" w:rsidRDefault="0054039C" w:rsidP="0054039C">
      <w:pPr>
        <w:tabs>
          <w:tab w:val="left" w:pos="1350"/>
        </w:tabs>
        <w:spacing w:line="480" w:lineRule="auto"/>
        <w:jc w:val="both"/>
        <w:rPr>
          <w:rFonts w:ascii="Arial" w:hAnsi="Arial" w:cs="Arial"/>
          <w:color w:val="595959" w:themeColor="text1" w:themeTint="A6"/>
        </w:rPr>
      </w:pPr>
    </w:p>
    <w:p w14:paraId="30B67269" w14:textId="77777777" w:rsidR="00762196" w:rsidRPr="0054039C" w:rsidRDefault="00762196" w:rsidP="0054039C">
      <w:pPr>
        <w:tabs>
          <w:tab w:val="left" w:pos="1350"/>
        </w:tabs>
        <w:spacing w:line="480" w:lineRule="auto"/>
        <w:jc w:val="both"/>
        <w:rPr>
          <w:rFonts w:ascii="Arial" w:hAnsi="Arial" w:cs="Arial"/>
          <w:color w:val="595959" w:themeColor="text1" w:themeTint="A6"/>
        </w:rPr>
      </w:pPr>
    </w:p>
    <w:p w14:paraId="4A46E844" w14:textId="51067890" w:rsidR="0054039C" w:rsidRDefault="0054039C" w:rsidP="00183B6F">
      <w:pPr>
        <w:pStyle w:val="Heading4"/>
        <w:rPr>
          <w:rFonts w:ascii="Arial" w:hAnsi="Arial" w:cs="Arial"/>
          <w:color w:val="595959" w:themeColor="text1" w:themeTint="A6"/>
        </w:rPr>
      </w:pPr>
      <w:bookmarkStart w:id="345" w:name="_Toc34208397"/>
      <w:bookmarkStart w:id="346" w:name="OLE_LINK20"/>
      <w:r w:rsidRPr="0054039C">
        <w:rPr>
          <w:rFonts w:ascii="Arial" w:hAnsi="Arial" w:cs="Arial"/>
          <w:color w:val="595959" w:themeColor="text1" w:themeTint="A6"/>
        </w:rPr>
        <w:lastRenderedPageBreak/>
        <w:t>3.3.6.3 FN1-EDA expression in NOF and CAF in response to stromal-targeting drugs</w:t>
      </w:r>
      <w:bookmarkEnd w:id="345"/>
    </w:p>
    <w:p w14:paraId="004C0495" w14:textId="77777777" w:rsidR="00183B6F" w:rsidRPr="00183B6F" w:rsidRDefault="00183B6F" w:rsidP="00183B6F"/>
    <w:bookmarkEnd w:id="346"/>
    <w:p w14:paraId="31839E1E" w14:textId="6F719D06" w:rsidR="00395C10" w:rsidRDefault="0054039C" w:rsidP="0054039C">
      <w:pPr>
        <w:tabs>
          <w:tab w:val="left" w:pos="1350"/>
        </w:tabs>
        <w:spacing w:line="480" w:lineRule="auto"/>
        <w:jc w:val="both"/>
        <w:rPr>
          <w:rFonts w:ascii="Arial" w:hAnsi="Arial" w:cs="Arial"/>
          <w:color w:val="595959" w:themeColor="text1" w:themeTint="A6"/>
        </w:rPr>
      </w:pPr>
      <w:r w:rsidRPr="0054039C">
        <w:rPr>
          <w:rFonts w:ascii="Arial" w:hAnsi="Arial" w:cs="Arial"/>
          <w:color w:val="595959" w:themeColor="text1" w:themeTint="A6"/>
        </w:rPr>
        <w:t>Treatment o</w:t>
      </w:r>
      <w:r w:rsidR="00395C10">
        <w:rPr>
          <w:rFonts w:ascii="Arial" w:hAnsi="Arial" w:cs="Arial"/>
          <w:color w:val="595959" w:themeColor="text1" w:themeTint="A6"/>
        </w:rPr>
        <w:t>f</w:t>
      </w:r>
      <w:r w:rsidRPr="0054039C">
        <w:rPr>
          <w:rFonts w:ascii="Arial" w:hAnsi="Arial" w:cs="Arial"/>
          <w:color w:val="595959" w:themeColor="text1" w:themeTint="A6"/>
        </w:rPr>
        <w:t xml:space="preserve"> NOF</w:t>
      </w:r>
      <w:r w:rsidR="003401B1">
        <w:rPr>
          <w:rFonts w:ascii="Arial" w:hAnsi="Arial" w:cs="Arial"/>
          <w:color w:val="595959" w:themeColor="text1" w:themeTint="A6"/>
        </w:rPr>
        <w:t xml:space="preserve"> </w:t>
      </w:r>
      <w:r w:rsidRPr="0054039C">
        <w:rPr>
          <w:rFonts w:ascii="Arial" w:hAnsi="Arial" w:cs="Arial"/>
          <w:color w:val="595959" w:themeColor="text1" w:themeTint="A6"/>
        </w:rPr>
        <w:t>cultures with Batimastat alone significantly reduced the expression of FN1-EDA</w:t>
      </w:r>
      <w:r w:rsidR="00F232C6">
        <w:rPr>
          <w:rFonts w:ascii="Arial" w:hAnsi="Arial" w:cs="Arial"/>
          <w:color w:val="595959" w:themeColor="text1" w:themeTint="A6"/>
        </w:rPr>
        <w:t xml:space="preserve"> </w:t>
      </w:r>
      <w:r w:rsidR="00DB0E2E">
        <w:rPr>
          <w:rFonts w:ascii="Arial" w:hAnsi="Arial" w:cs="Arial"/>
          <w:color w:val="595959" w:themeColor="text1" w:themeTint="A6"/>
        </w:rPr>
        <w:t>by</w:t>
      </w:r>
      <w:r w:rsidR="00F232C6">
        <w:rPr>
          <w:rFonts w:ascii="Arial" w:hAnsi="Arial" w:cs="Arial"/>
          <w:color w:val="595959" w:themeColor="text1" w:themeTint="A6"/>
        </w:rPr>
        <w:t xml:space="preserve"> ~3-</w:t>
      </w:r>
      <w:r w:rsidRPr="0054039C">
        <w:rPr>
          <w:rFonts w:ascii="Arial" w:hAnsi="Arial" w:cs="Arial"/>
          <w:color w:val="595959" w:themeColor="text1" w:themeTint="A6"/>
        </w:rPr>
        <w:t>fold</w:t>
      </w:r>
      <w:r w:rsidR="00F232C6">
        <w:rPr>
          <w:rFonts w:ascii="Arial" w:hAnsi="Arial" w:cs="Arial"/>
          <w:color w:val="595959" w:themeColor="text1" w:themeTint="A6"/>
        </w:rPr>
        <w:t xml:space="preserve"> (</w:t>
      </w:r>
      <w:r w:rsidRPr="0054039C">
        <w:rPr>
          <w:rFonts w:ascii="Arial" w:hAnsi="Arial" w:cs="Arial"/>
          <w:color w:val="595959" w:themeColor="text1" w:themeTint="A6"/>
        </w:rPr>
        <w:t xml:space="preserve">0.31 </w:t>
      </w:r>
      <w:bookmarkStart w:id="347" w:name="OLE_LINK12"/>
      <w:r w:rsidRPr="0054039C">
        <w:rPr>
          <w:rFonts w:ascii="Arial" w:hAnsi="Arial" w:cs="Arial"/>
          <w:color w:val="595959" w:themeColor="text1" w:themeTint="A6"/>
        </w:rPr>
        <w:t>±</w:t>
      </w:r>
      <w:bookmarkEnd w:id="347"/>
      <w:r w:rsidRPr="0054039C">
        <w:rPr>
          <w:rFonts w:ascii="Arial" w:hAnsi="Arial" w:cs="Arial"/>
          <w:color w:val="595959" w:themeColor="text1" w:themeTint="A6"/>
        </w:rPr>
        <w:t xml:space="preserve"> 0.37</w:t>
      </w:r>
      <w:r w:rsidR="00F232C6">
        <w:rPr>
          <w:rFonts w:ascii="Arial" w:hAnsi="Arial" w:cs="Arial"/>
          <w:color w:val="595959" w:themeColor="text1" w:themeTint="A6"/>
        </w:rPr>
        <w:t>)</w:t>
      </w:r>
      <w:r w:rsidR="00395C10">
        <w:rPr>
          <w:rFonts w:ascii="Arial" w:hAnsi="Arial" w:cs="Arial"/>
          <w:color w:val="595959" w:themeColor="text1" w:themeTint="A6"/>
        </w:rPr>
        <w:t xml:space="preserve"> </w:t>
      </w:r>
      <w:r w:rsidRPr="0054039C">
        <w:rPr>
          <w:rFonts w:ascii="Arial" w:hAnsi="Arial" w:cs="Arial"/>
          <w:color w:val="595959" w:themeColor="text1" w:themeTint="A6"/>
        </w:rPr>
        <w:t>compared to</w:t>
      </w:r>
      <w:r w:rsidR="00F232C6">
        <w:rPr>
          <w:rFonts w:ascii="Arial" w:hAnsi="Arial" w:cs="Arial"/>
          <w:color w:val="595959" w:themeColor="text1" w:themeTint="A6"/>
        </w:rPr>
        <w:t xml:space="preserve"> NOF </w:t>
      </w:r>
      <w:r w:rsidR="00AC51A1">
        <w:rPr>
          <w:rFonts w:ascii="Arial" w:hAnsi="Arial" w:cs="Arial"/>
          <w:color w:val="595959" w:themeColor="text1" w:themeTint="A6"/>
        </w:rPr>
        <w:t xml:space="preserve">vehicle control </w:t>
      </w:r>
      <w:r w:rsidRPr="0054039C">
        <w:rPr>
          <w:rFonts w:ascii="Arial" w:hAnsi="Arial" w:cs="Arial"/>
          <w:color w:val="595959" w:themeColor="text1" w:themeTint="A6"/>
        </w:rPr>
        <w:t>samples</w:t>
      </w:r>
      <w:r w:rsidR="0093790D">
        <w:rPr>
          <w:rFonts w:ascii="Arial" w:hAnsi="Arial" w:cs="Arial"/>
          <w:color w:val="595959" w:themeColor="text1" w:themeTint="A6"/>
        </w:rPr>
        <w:t>, p=0.0010</w:t>
      </w:r>
      <w:r w:rsidR="005C52A1">
        <w:rPr>
          <w:rFonts w:ascii="Arial" w:hAnsi="Arial" w:cs="Arial"/>
          <w:color w:val="595959" w:themeColor="text1" w:themeTint="A6"/>
        </w:rPr>
        <w:t>.</w:t>
      </w:r>
      <w:r w:rsidRPr="0054039C">
        <w:rPr>
          <w:rFonts w:ascii="Arial" w:hAnsi="Arial" w:cs="Arial"/>
          <w:color w:val="595959" w:themeColor="text1" w:themeTint="A6"/>
        </w:rPr>
        <w:t xml:space="preserve"> </w:t>
      </w:r>
      <w:r w:rsidR="00A05C9D">
        <w:rPr>
          <w:rFonts w:ascii="Arial" w:hAnsi="Arial" w:cs="Arial"/>
          <w:color w:val="595959" w:themeColor="text1" w:themeTint="A6"/>
        </w:rPr>
        <w:t>Scriptaid</w:t>
      </w:r>
      <w:r w:rsidR="00DB0E2E">
        <w:rPr>
          <w:rFonts w:ascii="Arial" w:hAnsi="Arial" w:cs="Arial"/>
          <w:color w:val="595959" w:themeColor="text1" w:themeTint="A6"/>
        </w:rPr>
        <w:t xml:space="preserve"> in </w:t>
      </w:r>
      <w:r w:rsidRPr="0054039C">
        <w:rPr>
          <w:rFonts w:ascii="Arial" w:hAnsi="Arial" w:cs="Arial"/>
          <w:color w:val="595959" w:themeColor="text1" w:themeTint="A6"/>
        </w:rPr>
        <w:t xml:space="preserve">combination with TGFβ-1 </w:t>
      </w:r>
      <w:r w:rsidR="00DB0E2E">
        <w:rPr>
          <w:rFonts w:ascii="Arial" w:hAnsi="Arial" w:cs="Arial"/>
          <w:color w:val="595959" w:themeColor="text1" w:themeTint="A6"/>
        </w:rPr>
        <w:t xml:space="preserve">reduced </w:t>
      </w:r>
      <w:r w:rsidRPr="0054039C">
        <w:rPr>
          <w:rFonts w:ascii="Arial" w:hAnsi="Arial" w:cs="Arial"/>
          <w:color w:val="595959" w:themeColor="text1" w:themeTint="A6"/>
        </w:rPr>
        <w:t>FN1-EDA expression</w:t>
      </w:r>
      <w:r w:rsidR="004F1050">
        <w:rPr>
          <w:rFonts w:ascii="Arial" w:hAnsi="Arial" w:cs="Arial"/>
          <w:color w:val="595959" w:themeColor="text1" w:themeTint="A6"/>
        </w:rPr>
        <w:t xml:space="preserve"> (3.92 </w:t>
      </w:r>
      <w:r w:rsidR="00CD6EBE">
        <w:rPr>
          <w:rFonts w:ascii="Arial" w:hAnsi="Arial" w:cs="Arial"/>
          <w:color w:val="595959" w:themeColor="text1" w:themeTint="A6"/>
        </w:rPr>
        <w:t xml:space="preserve">± </w:t>
      </w:r>
      <w:r w:rsidR="004F1050">
        <w:rPr>
          <w:rFonts w:ascii="Arial" w:hAnsi="Arial" w:cs="Arial"/>
          <w:color w:val="595959" w:themeColor="text1" w:themeTint="A6"/>
        </w:rPr>
        <w:t>2.</w:t>
      </w:r>
      <w:r w:rsidR="00CD6EBE">
        <w:rPr>
          <w:rFonts w:ascii="Arial" w:hAnsi="Arial" w:cs="Arial"/>
          <w:color w:val="595959" w:themeColor="text1" w:themeTint="A6"/>
        </w:rPr>
        <w:t xml:space="preserve">25) </w:t>
      </w:r>
      <w:r w:rsidR="00395C10">
        <w:rPr>
          <w:rFonts w:ascii="Arial" w:hAnsi="Arial" w:cs="Arial"/>
          <w:color w:val="595959" w:themeColor="text1" w:themeTint="A6"/>
        </w:rPr>
        <w:t xml:space="preserve">compared to </w:t>
      </w:r>
      <w:r w:rsidRPr="0054039C">
        <w:rPr>
          <w:rFonts w:ascii="Arial" w:hAnsi="Arial" w:cs="Arial"/>
          <w:color w:val="595959" w:themeColor="text1" w:themeTint="A6"/>
        </w:rPr>
        <w:t xml:space="preserve">TGFβ-1 treatment </w:t>
      </w:r>
      <w:r w:rsidR="00CD6EBE">
        <w:rPr>
          <w:rFonts w:ascii="Arial" w:hAnsi="Arial" w:cs="Arial"/>
          <w:color w:val="595959" w:themeColor="text1" w:themeTint="A6"/>
        </w:rPr>
        <w:t xml:space="preserve">alone </w:t>
      </w:r>
      <w:r w:rsidRPr="0054039C">
        <w:rPr>
          <w:rFonts w:ascii="Arial" w:hAnsi="Arial" w:cs="Arial"/>
          <w:color w:val="595959" w:themeColor="text1" w:themeTint="A6"/>
        </w:rPr>
        <w:t>at 48 h</w:t>
      </w:r>
      <w:r w:rsidR="00CD6EBE">
        <w:rPr>
          <w:rFonts w:ascii="Arial" w:hAnsi="Arial" w:cs="Arial"/>
          <w:color w:val="595959" w:themeColor="text1" w:themeTint="A6"/>
        </w:rPr>
        <w:t>, p=</w:t>
      </w:r>
      <w:r w:rsidR="00A05C9D">
        <w:rPr>
          <w:rFonts w:ascii="Arial" w:hAnsi="Arial" w:cs="Arial"/>
          <w:color w:val="595959" w:themeColor="text1" w:themeTint="A6"/>
        </w:rPr>
        <w:t>0.0008</w:t>
      </w:r>
      <w:r w:rsidR="00A30684">
        <w:rPr>
          <w:rFonts w:ascii="Arial" w:hAnsi="Arial" w:cs="Arial"/>
          <w:color w:val="595959" w:themeColor="text1" w:themeTint="A6"/>
        </w:rPr>
        <w:t xml:space="preserve"> </w:t>
      </w:r>
      <w:bookmarkStart w:id="348" w:name="OLE_LINK13"/>
      <w:r w:rsidR="00A30684">
        <w:rPr>
          <w:rFonts w:ascii="Arial" w:hAnsi="Arial" w:cs="Arial"/>
          <w:color w:val="595959" w:themeColor="text1" w:themeTint="A6"/>
        </w:rPr>
        <w:t xml:space="preserve">(Figure </w:t>
      </w:r>
      <w:r w:rsidR="007510F0">
        <w:rPr>
          <w:rFonts w:ascii="Arial" w:hAnsi="Arial" w:cs="Arial"/>
          <w:color w:val="595959" w:themeColor="text1" w:themeTint="A6"/>
        </w:rPr>
        <w:t>3.</w:t>
      </w:r>
      <w:r w:rsidR="007A7C33">
        <w:rPr>
          <w:rFonts w:ascii="Arial" w:hAnsi="Arial" w:cs="Arial"/>
          <w:color w:val="595959" w:themeColor="text1" w:themeTint="A6"/>
        </w:rPr>
        <w:t>4</w:t>
      </w:r>
      <w:r w:rsidR="007510F0">
        <w:rPr>
          <w:rFonts w:ascii="Arial" w:hAnsi="Arial" w:cs="Arial"/>
          <w:color w:val="595959" w:themeColor="text1" w:themeTint="A6"/>
        </w:rPr>
        <w:t xml:space="preserve">2 </w:t>
      </w:r>
      <w:r w:rsidR="00A30684">
        <w:rPr>
          <w:rFonts w:ascii="Arial" w:hAnsi="Arial" w:cs="Arial"/>
          <w:color w:val="595959" w:themeColor="text1" w:themeTint="A6"/>
        </w:rPr>
        <w:t>A i + B i).</w:t>
      </w:r>
      <w:bookmarkEnd w:id="348"/>
      <w:r w:rsidR="00DB2021">
        <w:rPr>
          <w:rFonts w:ascii="Arial" w:hAnsi="Arial" w:cs="Arial"/>
          <w:color w:val="595959" w:themeColor="text1" w:themeTint="A6"/>
        </w:rPr>
        <w:t xml:space="preserve"> However, Batimastat in combination with TGFβ-1 induced no significant changes in FN1-EDA expression compared to TGFβ-1 treatment alone. </w:t>
      </w:r>
    </w:p>
    <w:p w14:paraId="23F5AD62" w14:textId="10B2E681" w:rsidR="0054039C" w:rsidRDefault="00395C10" w:rsidP="0054039C">
      <w:pPr>
        <w:tabs>
          <w:tab w:val="left" w:pos="1350"/>
        </w:tabs>
        <w:spacing w:line="480" w:lineRule="auto"/>
        <w:jc w:val="both"/>
        <w:rPr>
          <w:rFonts w:ascii="Arial" w:hAnsi="Arial" w:cs="Arial"/>
          <w:color w:val="595959" w:themeColor="text1" w:themeTint="A6"/>
        </w:rPr>
      </w:pPr>
      <w:r>
        <w:rPr>
          <w:rFonts w:ascii="Arial" w:hAnsi="Arial" w:cs="Arial"/>
          <w:color w:val="595959" w:themeColor="text1" w:themeTint="A6"/>
        </w:rPr>
        <w:t xml:space="preserve">In CAF cultures </w:t>
      </w:r>
      <w:r w:rsidR="00F302E9">
        <w:rPr>
          <w:rFonts w:ascii="Arial" w:hAnsi="Arial" w:cs="Arial"/>
          <w:color w:val="595959" w:themeColor="text1" w:themeTint="A6"/>
        </w:rPr>
        <w:t>t</w:t>
      </w:r>
      <w:r w:rsidR="0054039C" w:rsidRPr="0054039C">
        <w:rPr>
          <w:rFonts w:ascii="Arial" w:hAnsi="Arial" w:cs="Arial"/>
          <w:color w:val="595959" w:themeColor="text1" w:themeTint="A6"/>
        </w:rPr>
        <w:t xml:space="preserve">he addition of Scriptaid or Batimastat alone </w:t>
      </w:r>
      <w:r w:rsidR="00F302E9">
        <w:rPr>
          <w:rFonts w:ascii="Arial" w:hAnsi="Arial" w:cs="Arial"/>
          <w:color w:val="595959" w:themeColor="text1" w:themeTint="A6"/>
        </w:rPr>
        <w:t xml:space="preserve">had no significant effects on FN1-EDA expression at 48 h when comparing to </w:t>
      </w:r>
      <w:r w:rsidR="00063772">
        <w:rPr>
          <w:rFonts w:ascii="Arial" w:hAnsi="Arial" w:cs="Arial"/>
          <w:color w:val="595959" w:themeColor="text1" w:themeTint="A6"/>
        </w:rPr>
        <w:t>control</w:t>
      </w:r>
      <w:r w:rsidR="00F302E9">
        <w:rPr>
          <w:rFonts w:ascii="Arial" w:hAnsi="Arial" w:cs="Arial"/>
          <w:color w:val="595959" w:themeColor="text1" w:themeTint="A6"/>
        </w:rPr>
        <w:t xml:space="preserve">. However, in combination therapy with </w:t>
      </w:r>
      <w:r w:rsidR="00F302E9" w:rsidRPr="0054039C">
        <w:rPr>
          <w:rFonts w:ascii="Arial" w:hAnsi="Arial" w:cs="Arial"/>
          <w:color w:val="595959" w:themeColor="text1" w:themeTint="A6"/>
        </w:rPr>
        <w:t>TGFβ-1</w:t>
      </w:r>
      <w:r w:rsidR="00F302E9">
        <w:rPr>
          <w:rFonts w:ascii="Arial" w:hAnsi="Arial" w:cs="Arial"/>
          <w:color w:val="595959" w:themeColor="text1" w:themeTint="A6"/>
        </w:rPr>
        <w:t xml:space="preserve">, a significant ~2-fold and ~3-fold reduction in FN1-EDA expression was observed with means of </w:t>
      </w:r>
      <w:r w:rsidR="0054039C" w:rsidRPr="0054039C">
        <w:rPr>
          <w:rFonts w:ascii="Arial" w:hAnsi="Arial" w:cs="Arial"/>
          <w:color w:val="595959" w:themeColor="text1" w:themeTint="A6"/>
        </w:rPr>
        <w:t>0.79 ± 0.61, p=0.</w:t>
      </w:r>
      <w:r w:rsidR="00B92392">
        <w:rPr>
          <w:rFonts w:ascii="Arial" w:hAnsi="Arial" w:cs="Arial"/>
          <w:color w:val="595959" w:themeColor="text1" w:themeTint="A6"/>
        </w:rPr>
        <w:t>0463</w:t>
      </w:r>
      <w:r w:rsidR="0054039C" w:rsidRPr="0054039C">
        <w:rPr>
          <w:rFonts w:ascii="Arial" w:hAnsi="Arial" w:cs="Arial"/>
          <w:color w:val="595959" w:themeColor="text1" w:themeTint="A6"/>
        </w:rPr>
        <w:t xml:space="preserve"> for Scriptaid </w:t>
      </w:r>
      <w:r w:rsidR="00B92392">
        <w:rPr>
          <w:rFonts w:ascii="Arial" w:hAnsi="Arial" w:cs="Arial"/>
          <w:color w:val="595959" w:themeColor="text1" w:themeTint="A6"/>
        </w:rPr>
        <w:t xml:space="preserve">+ </w:t>
      </w:r>
      <w:r w:rsidR="0054039C" w:rsidRPr="0054039C">
        <w:rPr>
          <w:rFonts w:ascii="Arial" w:hAnsi="Arial" w:cs="Arial"/>
          <w:color w:val="595959" w:themeColor="text1" w:themeTint="A6"/>
        </w:rPr>
        <w:t>TGFβ-1 and 0.50 ± 0.27 for Batimastat and TGFβ-1</w:t>
      </w:r>
      <w:r w:rsidR="00B92392">
        <w:rPr>
          <w:rFonts w:ascii="Arial" w:hAnsi="Arial" w:cs="Arial"/>
          <w:color w:val="595959" w:themeColor="text1" w:themeTint="A6"/>
        </w:rPr>
        <w:t xml:space="preserve">, </w:t>
      </w:r>
      <w:r w:rsidR="0054039C" w:rsidRPr="0054039C">
        <w:rPr>
          <w:rFonts w:ascii="Arial" w:hAnsi="Arial" w:cs="Arial"/>
          <w:color w:val="595959" w:themeColor="text1" w:themeTint="A6"/>
        </w:rPr>
        <w:t>p=0.00</w:t>
      </w:r>
      <w:r w:rsidR="00B92392">
        <w:rPr>
          <w:rFonts w:ascii="Arial" w:hAnsi="Arial" w:cs="Arial"/>
          <w:color w:val="595959" w:themeColor="text1" w:themeTint="A6"/>
        </w:rPr>
        <w:t>29</w:t>
      </w:r>
      <w:r w:rsidR="0054039C" w:rsidRPr="0054039C">
        <w:rPr>
          <w:rFonts w:ascii="Arial" w:hAnsi="Arial" w:cs="Arial"/>
          <w:color w:val="595959" w:themeColor="text1" w:themeTint="A6"/>
        </w:rPr>
        <w:t xml:space="preserve"> compared to TGFβ-1 treated cultures</w:t>
      </w:r>
      <w:r w:rsidR="00A30684">
        <w:rPr>
          <w:rFonts w:ascii="Arial" w:hAnsi="Arial" w:cs="Arial"/>
          <w:color w:val="595959" w:themeColor="text1" w:themeTint="A6"/>
        </w:rPr>
        <w:t xml:space="preserve"> (Figure </w:t>
      </w:r>
      <w:r w:rsidR="007510F0">
        <w:rPr>
          <w:rFonts w:ascii="Arial" w:hAnsi="Arial" w:cs="Arial"/>
          <w:color w:val="595959" w:themeColor="text1" w:themeTint="A6"/>
        </w:rPr>
        <w:t>3.</w:t>
      </w:r>
      <w:r w:rsidR="007A7C33">
        <w:rPr>
          <w:rFonts w:ascii="Arial" w:hAnsi="Arial" w:cs="Arial"/>
          <w:color w:val="595959" w:themeColor="text1" w:themeTint="A6"/>
        </w:rPr>
        <w:t>4</w:t>
      </w:r>
      <w:r w:rsidR="007510F0">
        <w:rPr>
          <w:rFonts w:ascii="Arial" w:hAnsi="Arial" w:cs="Arial"/>
          <w:color w:val="595959" w:themeColor="text1" w:themeTint="A6"/>
        </w:rPr>
        <w:t>2</w:t>
      </w:r>
      <w:r w:rsidR="00A30684">
        <w:rPr>
          <w:rFonts w:ascii="Arial" w:hAnsi="Arial" w:cs="Arial"/>
          <w:color w:val="595959" w:themeColor="text1" w:themeTint="A6"/>
        </w:rPr>
        <w:t xml:space="preserve"> A ii + B ii)</w:t>
      </w:r>
      <w:r w:rsidR="0054039C" w:rsidRPr="0054039C">
        <w:rPr>
          <w:rFonts w:ascii="Arial" w:hAnsi="Arial" w:cs="Arial"/>
          <w:color w:val="595959" w:themeColor="text1" w:themeTint="A6"/>
        </w:rPr>
        <w:t xml:space="preserve">. </w:t>
      </w:r>
    </w:p>
    <w:p w14:paraId="47C99731" w14:textId="1BBA1F73" w:rsidR="00F302E9" w:rsidRDefault="00F302E9" w:rsidP="0054039C">
      <w:pPr>
        <w:tabs>
          <w:tab w:val="left" w:pos="1350"/>
        </w:tabs>
        <w:spacing w:line="480" w:lineRule="auto"/>
        <w:jc w:val="both"/>
        <w:rPr>
          <w:rFonts w:ascii="Arial" w:hAnsi="Arial" w:cs="Arial"/>
          <w:color w:val="595959" w:themeColor="text1" w:themeTint="A6"/>
        </w:rPr>
      </w:pPr>
    </w:p>
    <w:p w14:paraId="4E5540CA" w14:textId="77777777" w:rsidR="00F302E9" w:rsidRPr="0054039C" w:rsidRDefault="00F302E9" w:rsidP="0054039C">
      <w:pPr>
        <w:tabs>
          <w:tab w:val="left" w:pos="1350"/>
        </w:tabs>
        <w:spacing w:line="480" w:lineRule="auto"/>
        <w:jc w:val="both"/>
        <w:rPr>
          <w:rFonts w:ascii="Arial" w:hAnsi="Arial" w:cs="Arial"/>
          <w:color w:val="595959" w:themeColor="text1" w:themeTint="A6"/>
        </w:rPr>
      </w:pPr>
    </w:p>
    <w:p w14:paraId="23093F9A" w14:textId="14A3263D" w:rsidR="0054039C" w:rsidRDefault="0054039C" w:rsidP="0054039C">
      <w:pPr>
        <w:tabs>
          <w:tab w:val="left" w:pos="1350"/>
        </w:tabs>
        <w:spacing w:line="480" w:lineRule="auto"/>
        <w:jc w:val="both"/>
        <w:rPr>
          <w:rFonts w:ascii="Arial" w:hAnsi="Arial" w:cs="Arial"/>
          <w:color w:val="595959" w:themeColor="text1" w:themeTint="A6"/>
        </w:rPr>
      </w:pPr>
    </w:p>
    <w:p w14:paraId="51FEAA6E" w14:textId="31DD279C" w:rsidR="00E2634E" w:rsidRDefault="00E2634E" w:rsidP="0054039C">
      <w:pPr>
        <w:tabs>
          <w:tab w:val="left" w:pos="1350"/>
        </w:tabs>
        <w:spacing w:line="480" w:lineRule="auto"/>
        <w:jc w:val="both"/>
        <w:rPr>
          <w:rFonts w:ascii="Arial" w:hAnsi="Arial" w:cs="Arial"/>
          <w:color w:val="595959" w:themeColor="text1" w:themeTint="A6"/>
        </w:rPr>
      </w:pPr>
    </w:p>
    <w:p w14:paraId="0C4569DC" w14:textId="095536E0" w:rsidR="00E2634E" w:rsidRDefault="00E2634E" w:rsidP="0054039C">
      <w:pPr>
        <w:tabs>
          <w:tab w:val="left" w:pos="1350"/>
        </w:tabs>
        <w:spacing w:line="480" w:lineRule="auto"/>
        <w:jc w:val="both"/>
        <w:rPr>
          <w:rFonts w:ascii="Arial" w:hAnsi="Arial" w:cs="Arial"/>
          <w:color w:val="595959" w:themeColor="text1" w:themeTint="A6"/>
        </w:rPr>
      </w:pPr>
    </w:p>
    <w:p w14:paraId="2526F0B7" w14:textId="77777777" w:rsidR="0093790D" w:rsidRDefault="0093790D" w:rsidP="0054039C">
      <w:pPr>
        <w:tabs>
          <w:tab w:val="left" w:pos="1350"/>
        </w:tabs>
        <w:spacing w:line="480" w:lineRule="auto"/>
        <w:jc w:val="both"/>
        <w:rPr>
          <w:rFonts w:ascii="Arial" w:hAnsi="Arial" w:cs="Arial"/>
          <w:color w:val="595959" w:themeColor="text1" w:themeTint="A6"/>
        </w:rPr>
      </w:pPr>
    </w:p>
    <w:p w14:paraId="7BF3F562" w14:textId="5919BAEB" w:rsidR="00E2634E" w:rsidRDefault="00E2634E" w:rsidP="0054039C">
      <w:pPr>
        <w:tabs>
          <w:tab w:val="left" w:pos="1350"/>
        </w:tabs>
        <w:spacing w:line="480" w:lineRule="auto"/>
        <w:jc w:val="both"/>
        <w:rPr>
          <w:rFonts w:ascii="Arial" w:hAnsi="Arial" w:cs="Arial"/>
          <w:color w:val="595959" w:themeColor="text1" w:themeTint="A6"/>
        </w:rPr>
      </w:pPr>
    </w:p>
    <w:p w14:paraId="4B24AF33" w14:textId="77777777" w:rsidR="00E2634E" w:rsidRPr="0054039C" w:rsidRDefault="00E2634E" w:rsidP="0054039C">
      <w:pPr>
        <w:tabs>
          <w:tab w:val="left" w:pos="1350"/>
        </w:tabs>
        <w:spacing w:line="480" w:lineRule="auto"/>
        <w:jc w:val="both"/>
        <w:rPr>
          <w:rFonts w:ascii="Arial" w:hAnsi="Arial" w:cs="Arial"/>
          <w:color w:val="595959" w:themeColor="text1" w:themeTint="A6"/>
        </w:rPr>
      </w:pPr>
    </w:p>
    <w:p w14:paraId="34D9B6DC" w14:textId="77777777" w:rsidR="0054039C" w:rsidRPr="0054039C" w:rsidRDefault="0054039C" w:rsidP="0054039C">
      <w:pPr>
        <w:tabs>
          <w:tab w:val="left" w:pos="1350"/>
        </w:tabs>
        <w:spacing w:line="480" w:lineRule="auto"/>
        <w:jc w:val="both"/>
        <w:rPr>
          <w:rFonts w:ascii="Arial" w:hAnsi="Arial" w:cs="Arial"/>
          <w:color w:val="595959" w:themeColor="text1" w:themeTint="A6"/>
        </w:rPr>
      </w:pPr>
    </w:p>
    <w:p w14:paraId="1F48ED71" w14:textId="77777777" w:rsidR="0054039C" w:rsidRPr="0054039C" w:rsidRDefault="0054039C" w:rsidP="0054039C">
      <w:pPr>
        <w:tabs>
          <w:tab w:val="left" w:pos="1350"/>
        </w:tabs>
        <w:spacing w:line="480" w:lineRule="auto"/>
        <w:jc w:val="both"/>
        <w:rPr>
          <w:rFonts w:ascii="Arial" w:hAnsi="Arial" w:cs="Arial"/>
          <w:color w:val="595959" w:themeColor="text1" w:themeTint="A6"/>
        </w:rPr>
      </w:pPr>
    </w:p>
    <w:p w14:paraId="49658C1F" w14:textId="77777777" w:rsidR="0054039C" w:rsidRPr="0054039C" w:rsidRDefault="0054039C" w:rsidP="0054039C">
      <w:pPr>
        <w:tabs>
          <w:tab w:val="left" w:pos="1350"/>
        </w:tabs>
        <w:spacing w:line="480" w:lineRule="auto"/>
        <w:jc w:val="both"/>
        <w:rPr>
          <w:rFonts w:ascii="Arial" w:hAnsi="Arial" w:cs="Arial"/>
          <w:color w:val="595959" w:themeColor="text1" w:themeTint="A6"/>
        </w:rPr>
      </w:pPr>
    </w:p>
    <w:p w14:paraId="57BD6D75" w14:textId="77777777" w:rsidR="0054039C" w:rsidRPr="0054039C" w:rsidRDefault="0054039C" w:rsidP="0054039C">
      <w:pPr>
        <w:tabs>
          <w:tab w:val="left" w:pos="1350"/>
        </w:tabs>
        <w:spacing w:line="480" w:lineRule="auto"/>
        <w:jc w:val="both"/>
        <w:rPr>
          <w:rFonts w:ascii="Arial" w:hAnsi="Arial" w:cs="Arial"/>
          <w:color w:val="595959" w:themeColor="text1" w:themeTint="A6"/>
        </w:rPr>
      </w:pPr>
    </w:p>
    <w:p w14:paraId="191D066F" w14:textId="256C6EF8" w:rsidR="0054039C" w:rsidRPr="0054039C" w:rsidRDefault="00BC69CF" w:rsidP="0054039C">
      <w:pPr>
        <w:tabs>
          <w:tab w:val="left" w:pos="1350"/>
        </w:tabs>
        <w:spacing w:line="480" w:lineRule="auto"/>
        <w:jc w:val="both"/>
        <w:rPr>
          <w:rFonts w:ascii="Arial" w:hAnsi="Arial" w:cs="Arial"/>
          <w:color w:val="595959" w:themeColor="text1" w:themeTint="A6"/>
        </w:rPr>
      </w:pPr>
      <w:r>
        <w:rPr>
          <w:rFonts w:ascii="Arial" w:hAnsi="Arial" w:cs="Arial"/>
          <w:noProof/>
          <w:color w:val="595959" w:themeColor="text1" w:themeTint="A6"/>
        </w:rPr>
        <w:drawing>
          <wp:anchor distT="0" distB="0" distL="114300" distR="114300" simplePos="0" relativeHeight="251658497" behindDoc="0" locked="0" layoutInCell="1" allowOverlap="1" wp14:anchorId="4FC0E28C" wp14:editId="4329520F">
            <wp:simplePos x="0" y="0"/>
            <wp:positionH relativeFrom="margin">
              <wp:align>center</wp:align>
            </wp:positionH>
            <wp:positionV relativeFrom="paragraph">
              <wp:posOffset>-226336</wp:posOffset>
            </wp:positionV>
            <wp:extent cx="3558012" cy="6768792"/>
            <wp:effectExtent l="0" t="0" r="0" b="0"/>
            <wp:wrapNone/>
            <wp:docPr id="5310" name="Picture 5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558012" cy="6768792"/>
                    </a:xfrm>
                    <a:prstGeom prst="rect">
                      <a:avLst/>
                    </a:prstGeom>
                    <a:noFill/>
                  </pic:spPr>
                </pic:pic>
              </a:graphicData>
            </a:graphic>
            <wp14:sizeRelH relativeFrom="margin">
              <wp14:pctWidth>0</wp14:pctWidth>
            </wp14:sizeRelH>
            <wp14:sizeRelV relativeFrom="margin">
              <wp14:pctHeight>0</wp14:pctHeight>
            </wp14:sizeRelV>
          </wp:anchor>
        </w:drawing>
      </w:r>
    </w:p>
    <w:p w14:paraId="098C9D81" w14:textId="32FF770A" w:rsidR="0054039C" w:rsidRPr="0054039C" w:rsidRDefault="0054039C" w:rsidP="0054039C">
      <w:pPr>
        <w:tabs>
          <w:tab w:val="left" w:pos="1350"/>
        </w:tabs>
        <w:spacing w:line="480" w:lineRule="auto"/>
        <w:jc w:val="both"/>
        <w:rPr>
          <w:rFonts w:ascii="Arial" w:hAnsi="Arial" w:cs="Arial"/>
          <w:color w:val="595959" w:themeColor="text1" w:themeTint="A6"/>
        </w:rPr>
      </w:pPr>
    </w:p>
    <w:p w14:paraId="728314C8" w14:textId="50FA17B6" w:rsidR="0054039C" w:rsidRPr="0054039C" w:rsidRDefault="0054039C" w:rsidP="0054039C">
      <w:pPr>
        <w:tabs>
          <w:tab w:val="left" w:pos="1350"/>
        </w:tabs>
        <w:spacing w:line="480" w:lineRule="auto"/>
        <w:jc w:val="both"/>
        <w:rPr>
          <w:rFonts w:ascii="Arial" w:hAnsi="Arial" w:cs="Arial"/>
          <w:color w:val="595959" w:themeColor="text1" w:themeTint="A6"/>
        </w:rPr>
      </w:pPr>
      <w:r w:rsidRPr="0054039C">
        <w:rPr>
          <w:rFonts w:ascii="Arial" w:hAnsi="Arial" w:cs="Arial"/>
          <w:color w:val="595959" w:themeColor="text1" w:themeTint="A6"/>
        </w:rPr>
        <w:t xml:space="preserve"> </w:t>
      </w:r>
    </w:p>
    <w:p w14:paraId="29C14254" w14:textId="77777777" w:rsidR="0054039C" w:rsidRPr="0054039C" w:rsidRDefault="0054039C" w:rsidP="0054039C">
      <w:pPr>
        <w:tabs>
          <w:tab w:val="left" w:pos="1350"/>
        </w:tabs>
        <w:spacing w:line="480" w:lineRule="auto"/>
        <w:jc w:val="both"/>
        <w:rPr>
          <w:rFonts w:ascii="Arial" w:hAnsi="Arial" w:cs="Arial"/>
          <w:color w:val="595959" w:themeColor="text1" w:themeTint="A6"/>
        </w:rPr>
      </w:pPr>
    </w:p>
    <w:p w14:paraId="761A6C26" w14:textId="77777777" w:rsidR="0054039C" w:rsidRPr="0054039C" w:rsidRDefault="0054039C" w:rsidP="0054039C">
      <w:pPr>
        <w:tabs>
          <w:tab w:val="left" w:pos="1350"/>
        </w:tabs>
        <w:spacing w:line="480" w:lineRule="auto"/>
        <w:jc w:val="both"/>
        <w:rPr>
          <w:rFonts w:ascii="Arial" w:hAnsi="Arial" w:cs="Arial"/>
          <w:color w:val="595959" w:themeColor="text1" w:themeTint="A6"/>
        </w:rPr>
      </w:pPr>
    </w:p>
    <w:p w14:paraId="6EB3F3A0" w14:textId="77777777" w:rsidR="0054039C" w:rsidRPr="0054039C" w:rsidRDefault="0054039C" w:rsidP="0054039C">
      <w:pPr>
        <w:tabs>
          <w:tab w:val="left" w:pos="1350"/>
        </w:tabs>
        <w:spacing w:line="480" w:lineRule="auto"/>
        <w:jc w:val="both"/>
        <w:rPr>
          <w:rFonts w:ascii="Arial" w:hAnsi="Arial" w:cs="Arial"/>
          <w:color w:val="595959" w:themeColor="text1" w:themeTint="A6"/>
        </w:rPr>
      </w:pPr>
    </w:p>
    <w:p w14:paraId="08962ADA" w14:textId="77777777" w:rsidR="0054039C" w:rsidRPr="0054039C" w:rsidRDefault="0054039C" w:rsidP="0054039C">
      <w:pPr>
        <w:tabs>
          <w:tab w:val="left" w:pos="1350"/>
        </w:tabs>
        <w:spacing w:line="480" w:lineRule="auto"/>
        <w:jc w:val="both"/>
        <w:rPr>
          <w:rFonts w:ascii="Arial" w:hAnsi="Arial" w:cs="Arial"/>
          <w:color w:val="595959" w:themeColor="text1" w:themeTint="A6"/>
        </w:rPr>
      </w:pPr>
    </w:p>
    <w:p w14:paraId="03F6AC10" w14:textId="77777777" w:rsidR="0054039C" w:rsidRPr="0054039C" w:rsidRDefault="0054039C" w:rsidP="0054039C">
      <w:pPr>
        <w:tabs>
          <w:tab w:val="left" w:pos="1350"/>
        </w:tabs>
        <w:spacing w:line="480" w:lineRule="auto"/>
        <w:jc w:val="both"/>
        <w:rPr>
          <w:rFonts w:ascii="Arial" w:hAnsi="Arial" w:cs="Arial"/>
          <w:color w:val="595959" w:themeColor="text1" w:themeTint="A6"/>
        </w:rPr>
      </w:pPr>
    </w:p>
    <w:p w14:paraId="2933A480" w14:textId="6D0A5B50" w:rsidR="0054039C" w:rsidRDefault="0054039C" w:rsidP="0054039C">
      <w:pPr>
        <w:tabs>
          <w:tab w:val="left" w:pos="1350"/>
        </w:tabs>
        <w:spacing w:line="480" w:lineRule="auto"/>
        <w:jc w:val="both"/>
        <w:rPr>
          <w:rFonts w:ascii="Arial" w:hAnsi="Arial" w:cs="Arial"/>
          <w:color w:val="595959" w:themeColor="text1" w:themeTint="A6"/>
        </w:rPr>
      </w:pPr>
    </w:p>
    <w:p w14:paraId="415DF783" w14:textId="2D9EA48B" w:rsidR="00762196" w:rsidRDefault="00762196" w:rsidP="0054039C">
      <w:pPr>
        <w:tabs>
          <w:tab w:val="left" w:pos="1350"/>
        </w:tabs>
        <w:spacing w:line="480" w:lineRule="auto"/>
        <w:jc w:val="both"/>
        <w:rPr>
          <w:rFonts w:ascii="Arial" w:hAnsi="Arial" w:cs="Arial"/>
          <w:color w:val="595959" w:themeColor="text1" w:themeTint="A6"/>
        </w:rPr>
      </w:pPr>
    </w:p>
    <w:p w14:paraId="3A1B4568" w14:textId="4342899D" w:rsidR="00762196" w:rsidRDefault="00762196" w:rsidP="0054039C">
      <w:pPr>
        <w:tabs>
          <w:tab w:val="left" w:pos="1350"/>
        </w:tabs>
        <w:spacing w:line="480" w:lineRule="auto"/>
        <w:jc w:val="both"/>
        <w:rPr>
          <w:rFonts w:ascii="Arial" w:hAnsi="Arial" w:cs="Arial"/>
          <w:color w:val="595959" w:themeColor="text1" w:themeTint="A6"/>
        </w:rPr>
      </w:pPr>
    </w:p>
    <w:p w14:paraId="6AA615EA" w14:textId="00A38F99" w:rsidR="00762196" w:rsidRDefault="00762196" w:rsidP="0054039C">
      <w:pPr>
        <w:tabs>
          <w:tab w:val="left" w:pos="1350"/>
        </w:tabs>
        <w:spacing w:line="480" w:lineRule="auto"/>
        <w:jc w:val="both"/>
        <w:rPr>
          <w:rFonts w:ascii="Arial" w:hAnsi="Arial" w:cs="Arial"/>
          <w:color w:val="595959" w:themeColor="text1" w:themeTint="A6"/>
        </w:rPr>
      </w:pPr>
    </w:p>
    <w:p w14:paraId="1DC88F0A" w14:textId="32243DCA" w:rsidR="00762196" w:rsidRDefault="00762196" w:rsidP="0054039C">
      <w:pPr>
        <w:tabs>
          <w:tab w:val="left" w:pos="1350"/>
        </w:tabs>
        <w:spacing w:line="480" w:lineRule="auto"/>
        <w:jc w:val="both"/>
        <w:rPr>
          <w:rFonts w:ascii="Arial" w:hAnsi="Arial" w:cs="Arial"/>
          <w:color w:val="595959" w:themeColor="text1" w:themeTint="A6"/>
        </w:rPr>
      </w:pPr>
    </w:p>
    <w:p w14:paraId="3363347B" w14:textId="7FE11674" w:rsidR="00762196" w:rsidRDefault="00762196" w:rsidP="0054039C">
      <w:pPr>
        <w:tabs>
          <w:tab w:val="left" w:pos="1350"/>
        </w:tabs>
        <w:spacing w:line="480" w:lineRule="auto"/>
        <w:jc w:val="both"/>
        <w:rPr>
          <w:rFonts w:ascii="Arial" w:hAnsi="Arial" w:cs="Arial"/>
          <w:color w:val="595959" w:themeColor="text1" w:themeTint="A6"/>
        </w:rPr>
      </w:pPr>
    </w:p>
    <w:p w14:paraId="7927586F" w14:textId="75789F52" w:rsidR="00762196" w:rsidRDefault="00762196" w:rsidP="0054039C">
      <w:pPr>
        <w:tabs>
          <w:tab w:val="left" w:pos="1350"/>
        </w:tabs>
        <w:spacing w:line="480" w:lineRule="auto"/>
        <w:jc w:val="both"/>
        <w:rPr>
          <w:rFonts w:ascii="Arial" w:hAnsi="Arial" w:cs="Arial"/>
          <w:color w:val="595959" w:themeColor="text1" w:themeTint="A6"/>
        </w:rPr>
      </w:pPr>
    </w:p>
    <w:p w14:paraId="2F84F684" w14:textId="1073D116" w:rsidR="00762196" w:rsidRPr="0054039C" w:rsidRDefault="00BC69CF" w:rsidP="0054039C">
      <w:pPr>
        <w:tabs>
          <w:tab w:val="left" w:pos="1350"/>
        </w:tabs>
        <w:spacing w:line="480" w:lineRule="auto"/>
        <w:jc w:val="both"/>
        <w:rPr>
          <w:rFonts w:ascii="Arial" w:hAnsi="Arial" w:cs="Arial"/>
          <w:color w:val="595959" w:themeColor="text1" w:themeTint="A6"/>
        </w:rPr>
      </w:pPr>
      <w:r w:rsidRPr="0054039C">
        <w:rPr>
          <w:rFonts w:ascii="Arial" w:hAnsi="Arial" w:cs="Arial"/>
          <w:noProof/>
          <w:color w:val="595959" w:themeColor="text1" w:themeTint="A6"/>
          <w:sz w:val="24"/>
          <w:szCs w:val="24"/>
          <w:lang w:eastAsia="zh-CN"/>
        </w:rPr>
        <mc:AlternateContent>
          <mc:Choice Requires="wps">
            <w:drawing>
              <wp:anchor distT="0" distB="0" distL="114300" distR="114300" simplePos="0" relativeHeight="251658328" behindDoc="0" locked="0" layoutInCell="1" allowOverlap="1" wp14:anchorId="61920312" wp14:editId="4628E4D3">
                <wp:simplePos x="0" y="0"/>
                <wp:positionH relativeFrom="margin">
                  <wp:align>right</wp:align>
                </wp:positionH>
                <wp:positionV relativeFrom="paragraph">
                  <wp:posOffset>419924</wp:posOffset>
                </wp:positionV>
                <wp:extent cx="5724525" cy="1285592"/>
                <wp:effectExtent l="0" t="0" r="9525" b="0"/>
                <wp:wrapNone/>
                <wp:docPr id="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1285592"/>
                        </a:xfrm>
                        <a:prstGeom prst="rect">
                          <a:avLst/>
                        </a:prstGeom>
                        <a:solidFill>
                          <a:srgbClr val="FFFFFF"/>
                        </a:solidFill>
                        <a:ln w="9525">
                          <a:noFill/>
                          <a:miter lim="800000"/>
                          <a:headEnd/>
                          <a:tailEnd/>
                        </a:ln>
                      </wps:spPr>
                      <wps:txbx>
                        <w:txbxContent>
                          <w:p w14:paraId="3E903FD0" w14:textId="1AEDB848" w:rsidR="008A47AC" w:rsidRDefault="008A47AC" w:rsidP="0054039C">
                            <w:pPr>
                              <w:pStyle w:val="NormalWeb"/>
                              <w:spacing w:after="200"/>
                              <w:jc w:val="both"/>
                              <w:rPr>
                                <w:rFonts w:ascii="Arial Narrow" w:eastAsia="SimSun" w:hAnsi="Arial Narrow" w:cs="Arial"/>
                                <w:b/>
                                <w:bCs/>
                                <w:color w:val="595959"/>
                                <w:kern w:val="24"/>
                                <w:sz w:val="22"/>
                                <w:szCs w:val="22"/>
                              </w:rPr>
                            </w:pPr>
                            <w:r>
                              <w:rPr>
                                <w:rFonts w:ascii="Arial Narrow" w:eastAsia="SimSun" w:hAnsi="Arial Narrow" w:cs="Arial"/>
                                <w:b/>
                                <w:bCs/>
                                <w:color w:val="595959"/>
                                <w:kern w:val="24"/>
                                <w:sz w:val="22"/>
                                <w:szCs w:val="22"/>
                              </w:rPr>
                              <w:t xml:space="preserve">Figure 3.42 FN1-EDA gene expression in NOF and CAF in response to Scriptaid and Batimastat treatment with and without TGFβ-1 stimulation </w:t>
                            </w:r>
                          </w:p>
                          <w:p w14:paraId="3EECDEBC" w14:textId="0928D7AB" w:rsidR="008A47AC" w:rsidRPr="00944EBD" w:rsidRDefault="008A47AC" w:rsidP="0054039C">
                            <w:pPr>
                              <w:pStyle w:val="NormalWeb"/>
                              <w:spacing w:after="200" w:line="276" w:lineRule="auto"/>
                              <w:jc w:val="both"/>
                              <w:rPr>
                                <w:rFonts w:ascii="Arial Narrow" w:eastAsia="SimSun" w:hAnsi="Arial Narrow" w:cs="Arial"/>
                                <w:color w:val="595959"/>
                                <w:kern w:val="24"/>
                                <w:sz w:val="22"/>
                              </w:rPr>
                            </w:pPr>
                            <w:r>
                              <w:rPr>
                                <w:rFonts w:ascii="Arial Narrow" w:eastAsia="SimSun" w:hAnsi="Arial Narrow" w:cs="Arial"/>
                                <w:color w:val="595959"/>
                                <w:kern w:val="24"/>
                                <w:sz w:val="22"/>
                              </w:rPr>
                              <w:t xml:space="preserve">NOF (A) and CAF (B) 2D monolayers were treated with the inhibitors Scriptaid and Batimastat in the presence or absence of </w:t>
                            </w:r>
                            <w:r w:rsidRPr="00944EBD">
                              <w:rPr>
                                <w:rFonts w:ascii="Arial Narrow" w:eastAsia="SimSun" w:hAnsi="Arial Narrow" w:cs="Arial"/>
                                <w:color w:val="595959"/>
                                <w:kern w:val="24"/>
                                <w:sz w:val="22"/>
                              </w:rPr>
                              <w:t xml:space="preserve">TGFβ-1 </w:t>
                            </w:r>
                            <w:r>
                              <w:rPr>
                                <w:rFonts w:ascii="Arial Narrow" w:eastAsia="SimSun" w:hAnsi="Arial Narrow" w:cs="Arial"/>
                                <w:color w:val="595959"/>
                                <w:kern w:val="24"/>
                                <w:sz w:val="22"/>
                              </w:rPr>
                              <w:t xml:space="preserve">for 48 h and the gene expression for FN1-EDA determined by qPCR. Data is expressed as fold change relative to housekeeping gene U6, with mean ± SD, N=3, n=2, * denotes p &lt;0.05, ** p &lt;0.01, and *** p &lt;0.001 analysed by unpaired Student’s T-test. </w:t>
                            </w:r>
                          </w:p>
                          <w:p w14:paraId="2029B9C6" w14:textId="77777777" w:rsidR="008A47AC" w:rsidRDefault="008A47AC" w:rsidP="0054039C">
                            <w:pPr>
                              <w:pStyle w:val="NormalWeb"/>
                              <w:spacing w:after="200" w:line="276" w:lineRule="auto"/>
                              <w:jc w:val="both"/>
                              <w:rPr>
                                <w:rFonts w:ascii="Arial Narrow" w:eastAsia="SimSun" w:hAnsi="Arial Narrow" w:cs="Arial"/>
                                <w:color w:val="595959"/>
                                <w:kern w:val="24"/>
                              </w:rPr>
                            </w:pPr>
                          </w:p>
                          <w:p w14:paraId="7BC8B4D9" w14:textId="77777777" w:rsidR="008A47AC" w:rsidRDefault="008A47AC" w:rsidP="0054039C">
                            <w:pPr>
                              <w:pStyle w:val="NormalWeb"/>
                              <w:spacing w:after="200" w:line="276" w:lineRule="auto"/>
                              <w:jc w:val="both"/>
                              <w:rPr>
                                <w:rFonts w:ascii="Arial Narrow" w:eastAsia="SimSun" w:hAnsi="Arial Narrow" w:cs="Arial"/>
                                <w:color w:val="595959"/>
                                <w:kern w:val="24"/>
                              </w:rPr>
                            </w:pPr>
                          </w:p>
                          <w:p w14:paraId="5DCED374" w14:textId="77777777" w:rsidR="008A47AC" w:rsidRPr="00AE10F9" w:rsidRDefault="008A47AC" w:rsidP="0054039C">
                            <w:pPr>
                              <w:pStyle w:val="NormalWeb"/>
                              <w:spacing w:after="200" w:line="276" w:lineRule="auto"/>
                              <w:jc w:val="both"/>
                              <w:rPr>
                                <w:rFonts w:ascii="Arial Narrow" w:eastAsia="SimSun" w:hAnsi="Arial Narrow" w:cs="Arial"/>
                                <w:color w:val="595959"/>
                                <w:kern w:val="24"/>
                              </w:rPr>
                            </w:pPr>
                          </w:p>
                          <w:p w14:paraId="6292F543" w14:textId="77777777" w:rsidR="008A47AC" w:rsidRDefault="008A47AC" w:rsidP="0054039C">
                            <w:pPr>
                              <w:pStyle w:val="NormalWeb"/>
                              <w:spacing w:after="200" w:line="276" w:lineRule="auto"/>
                              <w:jc w:val="both"/>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920312" id="_x0000_s1119" type="#_x0000_t202" style="position:absolute;left:0;text-align:left;margin-left:399.55pt;margin-top:33.05pt;width:450.75pt;height:101.25pt;z-index:2516583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" stroked="f">
                <v:textbox>
                  <w:txbxContent>
                    <w:p w14:paraId="3E903FD0" w14:textId="1AEDB848" w:rsidR="008A47AC" w:rsidRDefault="008A47AC" w:rsidP="0054039C">
                      <w:pPr>
                        <w:pStyle w:val="NormalWeb"/>
                        <w:spacing w:after="200"/>
                        <w:jc w:val="both"/>
                        <w:rPr>
                          <w:rFonts w:ascii="Arial Narrow" w:eastAsia="SimSun" w:hAnsi="Arial Narrow" w:cs="Arial"/>
                          <w:b/>
                          <w:bCs/>
                          <w:color w:val="595959"/>
                          <w:kern w:val="24"/>
                          <w:sz w:val="22"/>
                          <w:szCs w:val="22"/>
                        </w:rPr>
                      </w:pPr>
                      <w:r>
                        <w:rPr>
                          <w:rFonts w:ascii="Arial Narrow" w:eastAsia="SimSun" w:hAnsi="Arial Narrow" w:cs="Arial"/>
                          <w:b/>
                          <w:bCs/>
                          <w:color w:val="595959"/>
                          <w:kern w:val="24"/>
                          <w:sz w:val="22"/>
                          <w:szCs w:val="22"/>
                        </w:rPr>
                        <w:t xml:space="preserve">Figure 3.42 FN1-EDA gene expression in NOF and CAF in response to Scriptaid and Batimastat treatment with and without TGFβ-1 stimulation </w:t>
                      </w:r>
                    </w:p>
                    <w:p w14:paraId="3EECDEBC" w14:textId="0928D7AB" w:rsidR="008A47AC" w:rsidRPr="00944EBD" w:rsidRDefault="008A47AC" w:rsidP="0054039C">
                      <w:pPr>
                        <w:pStyle w:val="NormalWeb"/>
                        <w:spacing w:after="200" w:line="276" w:lineRule="auto"/>
                        <w:jc w:val="both"/>
                        <w:rPr>
                          <w:rFonts w:ascii="Arial Narrow" w:eastAsia="SimSun" w:hAnsi="Arial Narrow" w:cs="Arial"/>
                          <w:color w:val="595959"/>
                          <w:kern w:val="24"/>
                          <w:sz w:val="22"/>
                        </w:rPr>
                      </w:pPr>
                      <w:r>
                        <w:rPr>
                          <w:rFonts w:ascii="Arial Narrow" w:eastAsia="SimSun" w:hAnsi="Arial Narrow" w:cs="Arial"/>
                          <w:color w:val="595959"/>
                          <w:kern w:val="24"/>
                          <w:sz w:val="22"/>
                        </w:rPr>
                        <w:t xml:space="preserve">NOF (A) and CAF (B) 2D monolayers were treated with the inhibitors Scriptaid and Batimastat in the presence or absence of </w:t>
                      </w:r>
                      <w:r w:rsidRPr="00944EBD">
                        <w:rPr>
                          <w:rFonts w:ascii="Arial Narrow" w:eastAsia="SimSun" w:hAnsi="Arial Narrow" w:cs="Arial"/>
                          <w:color w:val="595959"/>
                          <w:kern w:val="24"/>
                          <w:sz w:val="22"/>
                        </w:rPr>
                        <w:t xml:space="preserve">TGFβ-1 </w:t>
                      </w:r>
                      <w:r>
                        <w:rPr>
                          <w:rFonts w:ascii="Arial Narrow" w:eastAsia="SimSun" w:hAnsi="Arial Narrow" w:cs="Arial"/>
                          <w:color w:val="595959"/>
                          <w:kern w:val="24"/>
                          <w:sz w:val="22"/>
                        </w:rPr>
                        <w:t xml:space="preserve">for 48 h and the gene expression for FN1-EDA determined by qPCR. Data is expressed as fold change relative to housekeeping gene U6, with mean ± SD, N=3, n=2, * denotes p &lt;0.05, ** p &lt;0.01, and *** p &lt;0.001 analysed by unpaired Student’s T-test. </w:t>
                      </w:r>
                    </w:p>
                    <w:p w14:paraId="2029B9C6" w14:textId="77777777" w:rsidR="008A47AC" w:rsidRDefault="008A47AC" w:rsidP="0054039C">
                      <w:pPr>
                        <w:pStyle w:val="NormalWeb"/>
                        <w:spacing w:after="200" w:line="276" w:lineRule="auto"/>
                        <w:jc w:val="both"/>
                        <w:rPr>
                          <w:rFonts w:ascii="Arial Narrow" w:eastAsia="SimSun" w:hAnsi="Arial Narrow" w:cs="Arial"/>
                          <w:color w:val="595959"/>
                          <w:kern w:val="24"/>
                        </w:rPr>
                      </w:pPr>
                    </w:p>
                    <w:p w14:paraId="7BC8B4D9" w14:textId="77777777" w:rsidR="008A47AC" w:rsidRDefault="008A47AC" w:rsidP="0054039C">
                      <w:pPr>
                        <w:pStyle w:val="NormalWeb"/>
                        <w:spacing w:after="200" w:line="276" w:lineRule="auto"/>
                        <w:jc w:val="both"/>
                        <w:rPr>
                          <w:rFonts w:ascii="Arial Narrow" w:eastAsia="SimSun" w:hAnsi="Arial Narrow" w:cs="Arial"/>
                          <w:color w:val="595959"/>
                          <w:kern w:val="24"/>
                        </w:rPr>
                      </w:pPr>
                    </w:p>
                    <w:p w14:paraId="5DCED374" w14:textId="77777777" w:rsidR="008A47AC" w:rsidRPr="00AE10F9" w:rsidRDefault="008A47AC" w:rsidP="0054039C">
                      <w:pPr>
                        <w:pStyle w:val="NormalWeb"/>
                        <w:spacing w:after="200" w:line="276" w:lineRule="auto"/>
                        <w:jc w:val="both"/>
                        <w:rPr>
                          <w:rFonts w:ascii="Arial Narrow" w:eastAsia="SimSun" w:hAnsi="Arial Narrow" w:cs="Arial"/>
                          <w:color w:val="595959"/>
                          <w:kern w:val="24"/>
                        </w:rPr>
                      </w:pPr>
                    </w:p>
                    <w:p w14:paraId="6292F543" w14:textId="77777777" w:rsidR="008A47AC" w:rsidRDefault="008A47AC" w:rsidP="0054039C">
                      <w:pPr>
                        <w:pStyle w:val="NormalWeb"/>
                        <w:spacing w:after="200" w:line="276" w:lineRule="auto"/>
                        <w:jc w:val="both"/>
                      </w:pPr>
                    </w:p>
                  </w:txbxContent>
                </v:textbox>
                <w10:wrap anchorx="margin"/>
              </v:shape>
            </w:pict>
          </mc:Fallback>
        </mc:AlternateContent>
      </w:r>
    </w:p>
    <w:p w14:paraId="3D3A8F4D" w14:textId="7974C9EF" w:rsidR="0054039C" w:rsidRPr="0054039C" w:rsidRDefault="0054039C" w:rsidP="0054039C">
      <w:pPr>
        <w:tabs>
          <w:tab w:val="left" w:pos="1350"/>
        </w:tabs>
        <w:spacing w:line="480" w:lineRule="auto"/>
        <w:jc w:val="both"/>
        <w:rPr>
          <w:rFonts w:ascii="Arial" w:hAnsi="Arial" w:cs="Arial"/>
          <w:color w:val="595959" w:themeColor="text1" w:themeTint="A6"/>
        </w:rPr>
      </w:pPr>
    </w:p>
    <w:p w14:paraId="0A985DC9" w14:textId="77777777" w:rsidR="0054039C" w:rsidRPr="0054039C" w:rsidRDefault="0054039C" w:rsidP="0054039C">
      <w:pPr>
        <w:tabs>
          <w:tab w:val="left" w:pos="1350"/>
        </w:tabs>
        <w:spacing w:line="480" w:lineRule="auto"/>
        <w:jc w:val="both"/>
        <w:rPr>
          <w:rFonts w:ascii="Arial" w:hAnsi="Arial" w:cs="Arial"/>
          <w:color w:val="595959" w:themeColor="text1" w:themeTint="A6"/>
        </w:rPr>
      </w:pPr>
    </w:p>
    <w:p w14:paraId="12528F36" w14:textId="77777777" w:rsidR="0054039C" w:rsidRPr="0054039C" w:rsidRDefault="0054039C" w:rsidP="0054039C">
      <w:pPr>
        <w:tabs>
          <w:tab w:val="left" w:pos="1350"/>
        </w:tabs>
        <w:spacing w:line="480" w:lineRule="auto"/>
        <w:jc w:val="both"/>
        <w:rPr>
          <w:rFonts w:ascii="Arial" w:hAnsi="Arial" w:cs="Arial"/>
          <w:color w:val="595959" w:themeColor="text1" w:themeTint="A6"/>
        </w:rPr>
      </w:pPr>
    </w:p>
    <w:p w14:paraId="4532C534" w14:textId="29DF5675" w:rsidR="00A71097" w:rsidRDefault="00A71097" w:rsidP="0054039C">
      <w:pPr>
        <w:tabs>
          <w:tab w:val="left" w:pos="1350"/>
        </w:tabs>
        <w:spacing w:line="480" w:lineRule="auto"/>
        <w:jc w:val="both"/>
        <w:rPr>
          <w:rFonts w:ascii="Arial" w:hAnsi="Arial" w:cs="Arial"/>
          <w:color w:val="595959" w:themeColor="text1" w:themeTint="A6"/>
        </w:rPr>
      </w:pPr>
    </w:p>
    <w:p w14:paraId="49A19A12" w14:textId="7200BC7B" w:rsidR="0054039C" w:rsidRDefault="0054039C" w:rsidP="008231E9">
      <w:pPr>
        <w:pStyle w:val="Heading4"/>
        <w:rPr>
          <w:rFonts w:ascii="Arial" w:hAnsi="Arial" w:cs="Arial"/>
          <w:color w:val="595959" w:themeColor="text1" w:themeTint="A6"/>
        </w:rPr>
      </w:pPr>
      <w:bookmarkStart w:id="349" w:name="_Toc34208398"/>
      <w:r w:rsidRPr="0054039C">
        <w:rPr>
          <w:rFonts w:ascii="Arial" w:hAnsi="Arial" w:cs="Arial"/>
          <w:color w:val="595959" w:themeColor="text1" w:themeTint="A6"/>
        </w:rPr>
        <w:lastRenderedPageBreak/>
        <w:t>3.3.6.4 FN1-EDA abundance in NOF and CAF in response to stromal-targeting drugs</w:t>
      </w:r>
      <w:bookmarkEnd w:id="349"/>
      <w:r w:rsidRPr="0054039C">
        <w:rPr>
          <w:rFonts w:ascii="Arial" w:hAnsi="Arial" w:cs="Arial"/>
          <w:color w:val="595959" w:themeColor="text1" w:themeTint="A6"/>
        </w:rPr>
        <w:t xml:space="preserve"> </w:t>
      </w:r>
    </w:p>
    <w:p w14:paraId="214BB737" w14:textId="77777777" w:rsidR="008231E9" w:rsidRPr="008231E9" w:rsidRDefault="008231E9" w:rsidP="008231E9"/>
    <w:p w14:paraId="57A0716A" w14:textId="2DB5421D" w:rsidR="0054039C" w:rsidRPr="0054039C" w:rsidRDefault="00FD3628" w:rsidP="0054039C">
      <w:pPr>
        <w:tabs>
          <w:tab w:val="left" w:pos="1350"/>
        </w:tabs>
        <w:spacing w:line="480" w:lineRule="auto"/>
        <w:jc w:val="both"/>
        <w:rPr>
          <w:rFonts w:ascii="Arial" w:hAnsi="Arial" w:cs="Arial"/>
          <w:color w:val="595959" w:themeColor="text1" w:themeTint="A6"/>
        </w:rPr>
      </w:pPr>
      <w:r>
        <w:rPr>
          <w:rFonts w:ascii="Arial" w:hAnsi="Arial" w:cs="Arial"/>
          <w:color w:val="595959" w:themeColor="text1" w:themeTint="A6"/>
        </w:rPr>
        <w:t xml:space="preserve">In NOF cultures, Scriptaid </w:t>
      </w:r>
      <w:r w:rsidR="001B2B75">
        <w:rPr>
          <w:rFonts w:ascii="Arial" w:hAnsi="Arial" w:cs="Arial"/>
          <w:color w:val="595959" w:themeColor="text1" w:themeTint="A6"/>
        </w:rPr>
        <w:t xml:space="preserve">treatment </w:t>
      </w:r>
      <w:r>
        <w:rPr>
          <w:rFonts w:ascii="Arial" w:hAnsi="Arial" w:cs="Arial"/>
          <w:color w:val="595959" w:themeColor="text1" w:themeTint="A6"/>
        </w:rPr>
        <w:t xml:space="preserve">alone did not induce any significant changes in FN1-EDA </w:t>
      </w:r>
      <w:r w:rsidR="002542F0">
        <w:rPr>
          <w:rFonts w:ascii="Arial" w:hAnsi="Arial" w:cs="Arial"/>
          <w:color w:val="595959" w:themeColor="text1" w:themeTint="A6"/>
        </w:rPr>
        <w:t>abundance</w:t>
      </w:r>
      <w:r>
        <w:rPr>
          <w:rFonts w:ascii="Arial" w:hAnsi="Arial" w:cs="Arial"/>
          <w:color w:val="595959" w:themeColor="text1" w:themeTint="A6"/>
        </w:rPr>
        <w:t xml:space="preserve"> compared to </w:t>
      </w:r>
      <w:r w:rsidR="006443B9">
        <w:rPr>
          <w:rFonts w:ascii="Arial" w:hAnsi="Arial" w:cs="Arial"/>
          <w:color w:val="595959" w:themeColor="text1" w:themeTint="A6"/>
        </w:rPr>
        <w:t xml:space="preserve">control </w:t>
      </w:r>
      <w:r w:rsidR="00E273BB">
        <w:rPr>
          <w:rFonts w:ascii="Arial" w:hAnsi="Arial" w:cs="Arial"/>
          <w:color w:val="595959" w:themeColor="text1" w:themeTint="A6"/>
        </w:rPr>
        <w:t>(Figure 3.</w:t>
      </w:r>
      <w:r w:rsidR="00CE3A66">
        <w:rPr>
          <w:rFonts w:ascii="Arial" w:hAnsi="Arial" w:cs="Arial"/>
          <w:color w:val="595959" w:themeColor="text1" w:themeTint="A6"/>
        </w:rPr>
        <w:t>4</w:t>
      </w:r>
      <w:r w:rsidR="007510F0">
        <w:rPr>
          <w:rFonts w:ascii="Arial" w:hAnsi="Arial" w:cs="Arial"/>
          <w:color w:val="595959" w:themeColor="text1" w:themeTint="A6"/>
        </w:rPr>
        <w:t>3</w:t>
      </w:r>
      <w:r w:rsidR="00DB1DCA">
        <w:rPr>
          <w:rFonts w:ascii="Arial" w:hAnsi="Arial" w:cs="Arial"/>
          <w:color w:val="595959" w:themeColor="text1" w:themeTint="A6"/>
        </w:rPr>
        <w:t xml:space="preserve"> A i + </w:t>
      </w:r>
      <w:r w:rsidR="00E70FCF">
        <w:rPr>
          <w:rFonts w:ascii="Arial" w:hAnsi="Arial" w:cs="Arial"/>
          <w:color w:val="595959" w:themeColor="text1" w:themeTint="A6"/>
        </w:rPr>
        <w:t>B i</w:t>
      </w:r>
      <w:r w:rsidR="00E273BB">
        <w:rPr>
          <w:rFonts w:ascii="Arial" w:hAnsi="Arial" w:cs="Arial"/>
          <w:color w:val="595959" w:themeColor="text1" w:themeTint="A6"/>
        </w:rPr>
        <w:t xml:space="preserve">). </w:t>
      </w:r>
      <w:r w:rsidR="0054039C" w:rsidRPr="0054039C">
        <w:rPr>
          <w:rFonts w:ascii="Arial" w:hAnsi="Arial" w:cs="Arial"/>
          <w:color w:val="595959" w:themeColor="text1" w:themeTint="A6"/>
        </w:rPr>
        <w:t xml:space="preserve">The addition of Batimastat to NOF </w:t>
      </w:r>
      <w:r w:rsidR="007914B2">
        <w:rPr>
          <w:rFonts w:ascii="Arial" w:hAnsi="Arial" w:cs="Arial"/>
          <w:color w:val="595959" w:themeColor="text1" w:themeTint="A6"/>
        </w:rPr>
        <w:t xml:space="preserve">cultures </w:t>
      </w:r>
      <w:r w:rsidR="00E273BB">
        <w:rPr>
          <w:rFonts w:ascii="Arial" w:hAnsi="Arial" w:cs="Arial"/>
          <w:color w:val="595959" w:themeColor="text1" w:themeTint="A6"/>
        </w:rPr>
        <w:t>for</w:t>
      </w:r>
      <w:r w:rsidR="0054039C" w:rsidRPr="0054039C">
        <w:rPr>
          <w:rFonts w:ascii="Arial" w:hAnsi="Arial" w:cs="Arial"/>
          <w:color w:val="595959" w:themeColor="text1" w:themeTint="A6"/>
        </w:rPr>
        <w:t xml:space="preserve"> 48 h significantly reduced FN1-EDA protein</w:t>
      </w:r>
      <w:r w:rsidR="002542F0">
        <w:rPr>
          <w:rFonts w:ascii="Arial" w:hAnsi="Arial" w:cs="Arial"/>
          <w:color w:val="595959" w:themeColor="text1" w:themeTint="A6"/>
        </w:rPr>
        <w:t xml:space="preserve"> by ~</w:t>
      </w:r>
      <w:r w:rsidR="00A97E65">
        <w:rPr>
          <w:rFonts w:ascii="Arial" w:hAnsi="Arial" w:cs="Arial"/>
          <w:color w:val="595959" w:themeColor="text1" w:themeTint="A6"/>
        </w:rPr>
        <w:t>7</w:t>
      </w:r>
      <w:r w:rsidR="002542F0">
        <w:rPr>
          <w:rFonts w:ascii="Arial" w:hAnsi="Arial" w:cs="Arial"/>
          <w:color w:val="595959" w:themeColor="text1" w:themeTint="A6"/>
        </w:rPr>
        <w:t>-fold</w:t>
      </w:r>
      <w:r w:rsidR="003F6028">
        <w:rPr>
          <w:rFonts w:ascii="Arial" w:hAnsi="Arial" w:cs="Arial"/>
          <w:color w:val="595959" w:themeColor="text1" w:themeTint="A6"/>
        </w:rPr>
        <w:t xml:space="preserve"> </w:t>
      </w:r>
      <w:r w:rsidR="002542F0">
        <w:rPr>
          <w:rFonts w:ascii="Arial" w:hAnsi="Arial" w:cs="Arial"/>
          <w:color w:val="595959" w:themeColor="text1" w:themeTint="A6"/>
        </w:rPr>
        <w:t>(</w:t>
      </w:r>
      <w:r w:rsidR="0054039C" w:rsidRPr="0054039C">
        <w:rPr>
          <w:rFonts w:ascii="Arial" w:hAnsi="Arial" w:cs="Arial"/>
          <w:color w:val="595959" w:themeColor="text1" w:themeTint="A6"/>
        </w:rPr>
        <w:t>0.16 ± 0.07</w:t>
      </w:r>
      <w:r w:rsidR="002542F0">
        <w:rPr>
          <w:rFonts w:ascii="Arial" w:hAnsi="Arial" w:cs="Arial"/>
          <w:color w:val="595959" w:themeColor="text1" w:themeTint="A6"/>
        </w:rPr>
        <w:t>)</w:t>
      </w:r>
      <w:r w:rsidR="0054039C" w:rsidRPr="0054039C">
        <w:rPr>
          <w:rFonts w:ascii="Arial" w:hAnsi="Arial" w:cs="Arial"/>
          <w:color w:val="595959" w:themeColor="text1" w:themeTint="A6"/>
        </w:rPr>
        <w:t>, p=0</w:t>
      </w:r>
      <w:r w:rsidR="005A79A9">
        <w:rPr>
          <w:rFonts w:ascii="Arial" w:hAnsi="Arial" w:cs="Arial"/>
          <w:color w:val="595959" w:themeColor="text1" w:themeTint="A6"/>
        </w:rPr>
        <w:t>.0003</w:t>
      </w:r>
      <w:r w:rsidR="003F6028">
        <w:rPr>
          <w:rFonts w:ascii="Arial" w:hAnsi="Arial" w:cs="Arial"/>
          <w:color w:val="595959" w:themeColor="text1" w:themeTint="A6"/>
        </w:rPr>
        <w:t xml:space="preserve">, </w:t>
      </w:r>
      <w:r w:rsidR="0054039C" w:rsidRPr="0054039C">
        <w:rPr>
          <w:rFonts w:ascii="Arial" w:hAnsi="Arial" w:cs="Arial"/>
          <w:color w:val="595959" w:themeColor="text1" w:themeTint="A6"/>
        </w:rPr>
        <w:t>compared to</w:t>
      </w:r>
      <w:r w:rsidR="00A97E65">
        <w:rPr>
          <w:rFonts w:ascii="Arial" w:hAnsi="Arial" w:cs="Arial"/>
          <w:color w:val="595959" w:themeColor="text1" w:themeTint="A6"/>
        </w:rPr>
        <w:t xml:space="preserve"> </w:t>
      </w:r>
      <w:r w:rsidR="006443B9">
        <w:rPr>
          <w:rFonts w:ascii="Arial" w:hAnsi="Arial" w:cs="Arial"/>
          <w:color w:val="595959" w:themeColor="text1" w:themeTint="A6"/>
        </w:rPr>
        <w:t xml:space="preserve">control </w:t>
      </w:r>
      <w:r w:rsidR="0054039C" w:rsidRPr="0054039C">
        <w:rPr>
          <w:rFonts w:ascii="Arial" w:hAnsi="Arial" w:cs="Arial"/>
          <w:color w:val="595959" w:themeColor="text1" w:themeTint="A6"/>
        </w:rPr>
        <w:t>samples</w:t>
      </w:r>
      <w:r w:rsidR="00C01D73">
        <w:rPr>
          <w:rFonts w:ascii="Arial" w:hAnsi="Arial" w:cs="Arial"/>
          <w:color w:val="595959" w:themeColor="text1" w:themeTint="A6"/>
        </w:rPr>
        <w:t>.</w:t>
      </w:r>
      <w:r w:rsidR="003F6028">
        <w:rPr>
          <w:rFonts w:ascii="Arial" w:hAnsi="Arial" w:cs="Arial"/>
          <w:color w:val="595959" w:themeColor="text1" w:themeTint="A6"/>
        </w:rPr>
        <w:t xml:space="preserve"> Both </w:t>
      </w:r>
      <w:r w:rsidR="000B41F0">
        <w:rPr>
          <w:rFonts w:ascii="Arial" w:hAnsi="Arial" w:cs="Arial"/>
          <w:color w:val="595959" w:themeColor="text1" w:themeTint="A6"/>
        </w:rPr>
        <w:t>Scriptaid and Batimastat</w:t>
      </w:r>
      <w:r w:rsidR="003F6028">
        <w:rPr>
          <w:rFonts w:ascii="Arial" w:hAnsi="Arial" w:cs="Arial"/>
          <w:color w:val="595959" w:themeColor="text1" w:themeTint="A6"/>
        </w:rPr>
        <w:t xml:space="preserve"> in combination with </w:t>
      </w:r>
      <w:r w:rsidR="003F6028" w:rsidRPr="0054039C">
        <w:rPr>
          <w:rFonts w:ascii="Arial" w:hAnsi="Arial" w:cs="Arial"/>
          <w:color w:val="595959" w:themeColor="text1" w:themeTint="A6"/>
        </w:rPr>
        <w:t>TGFβ-1</w:t>
      </w:r>
      <w:r w:rsidR="003F6028">
        <w:rPr>
          <w:rFonts w:ascii="Arial" w:hAnsi="Arial" w:cs="Arial"/>
          <w:color w:val="595959" w:themeColor="text1" w:themeTint="A6"/>
        </w:rPr>
        <w:t xml:space="preserve"> </w:t>
      </w:r>
      <w:r w:rsidR="00D0200B">
        <w:rPr>
          <w:rFonts w:ascii="Arial" w:hAnsi="Arial" w:cs="Arial"/>
          <w:color w:val="595959" w:themeColor="text1" w:themeTint="A6"/>
        </w:rPr>
        <w:t>significantly reduced</w:t>
      </w:r>
      <w:r w:rsidR="003F6028">
        <w:rPr>
          <w:rFonts w:ascii="Arial" w:hAnsi="Arial" w:cs="Arial"/>
          <w:color w:val="595959" w:themeColor="text1" w:themeTint="A6"/>
        </w:rPr>
        <w:t xml:space="preserve"> FN1-EDA protein</w:t>
      </w:r>
      <w:r w:rsidR="00706AC9">
        <w:rPr>
          <w:rFonts w:ascii="Arial" w:hAnsi="Arial" w:cs="Arial"/>
          <w:color w:val="595959" w:themeColor="text1" w:themeTint="A6"/>
        </w:rPr>
        <w:t xml:space="preserve"> by ~12-fold, (</w:t>
      </w:r>
      <w:r w:rsidR="00F1272E">
        <w:rPr>
          <w:rFonts w:ascii="Arial" w:hAnsi="Arial" w:cs="Arial"/>
          <w:color w:val="595959" w:themeColor="text1" w:themeTint="A6"/>
        </w:rPr>
        <w:t>0.98 ±</w:t>
      </w:r>
      <w:r w:rsidR="00AC4F4D">
        <w:rPr>
          <w:rFonts w:ascii="Arial" w:hAnsi="Arial" w:cs="Arial"/>
          <w:color w:val="595959" w:themeColor="text1" w:themeTint="A6"/>
        </w:rPr>
        <w:t xml:space="preserve"> 0.53</w:t>
      </w:r>
      <w:r w:rsidR="0088036D">
        <w:rPr>
          <w:rFonts w:ascii="Arial" w:hAnsi="Arial" w:cs="Arial"/>
          <w:color w:val="595959" w:themeColor="text1" w:themeTint="A6"/>
        </w:rPr>
        <w:t>, p=0.000</w:t>
      </w:r>
      <w:r w:rsidR="008D190F">
        <w:rPr>
          <w:rFonts w:ascii="Arial" w:hAnsi="Arial" w:cs="Arial"/>
          <w:color w:val="595959" w:themeColor="text1" w:themeTint="A6"/>
        </w:rPr>
        <w:t>8</w:t>
      </w:r>
      <w:r w:rsidR="006B10C0">
        <w:rPr>
          <w:rFonts w:ascii="Arial" w:hAnsi="Arial" w:cs="Arial"/>
          <w:color w:val="595959" w:themeColor="text1" w:themeTint="A6"/>
        </w:rPr>
        <w:t>), and ~22-fold (</w:t>
      </w:r>
      <w:r w:rsidR="00AC4F4D">
        <w:rPr>
          <w:rFonts w:ascii="Arial" w:hAnsi="Arial" w:cs="Arial"/>
          <w:color w:val="595959" w:themeColor="text1" w:themeTint="A6"/>
        </w:rPr>
        <w:t xml:space="preserve">0.56 </w:t>
      </w:r>
      <w:r w:rsidR="00F1272E">
        <w:rPr>
          <w:rFonts w:ascii="Arial" w:hAnsi="Arial" w:cs="Arial"/>
          <w:color w:val="595959" w:themeColor="text1" w:themeTint="A6"/>
        </w:rPr>
        <w:t>±</w:t>
      </w:r>
      <w:r w:rsidR="00AC4F4D">
        <w:rPr>
          <w:rFonts w:ascii="Arial" w:hAnsi="Arial" w:cs="Arial"/>
          <w:color w:val="595959" w:themeColor="text1" w:themeTint="A6"/>
        </w:rPr>
        <w:t xml:space="preserve"> 0.49</w:t>
      </w:r>
      <w:r w:rsidR="008D190F">
        <w:rPr>
          <w:rFonts w:ascii="Arial" w:hAnsi="Arial" w:cs="Arial"/>
          <w:color w:val="595959" w:themeColor="text1" w:themeTint="A6"/>
        </w:rPr>
        <w:t>, p=0.0006</w:t>
      </w:r>
      <w:r w:rsidR="006B10C0">
        <w:rPr>
          <w:rFonts w:ascii="Arial" w:hAnsi="Arial" w:cs="Arial"/>
          <w:color w:val="595959" w:themeColor="text1" w:themeTint="A6"/>
        </w:rPr>
        <w:t>)</w:t>
      </w:r>
      <w:r w:rsidR="0088036D">
        <w:rPr>
          <w:rFonts w:ascii="Arial" w:hAnsi="Arial" w:cs="Arial"/>
          <w:color w:val="595959" w:themeColor="text1" w:themeTint="A6"/>
        </w:rPr>
        <w:t>, respectively,</w:t>
      </w:r>
      <w:r w:rsidR="00C01D73">
        <w:rPr>
          <w:rFonts w:ascii="Arial" w:hAnsi="Arial" w:cs="Arial"/>
          <w:color w:val="595959" w:themeColor="text1" w:themeTint="A6"/>
        </w:rPr>
        <w:t xml:space="preserve"> compared to TGFβ-1 treatment alone</w:t>
      </w:r>
      <w:r w:rsidR="00A30684">
        <w:rPr>
          <w:rFonts w:ascii="Arial" w:hAnsi="Arial" w:cs="Arial"/>
          <w:color w:val="595959" w:themeColor="text1" w:themeTint="A6"/>
        </w:rPr>
        <w:t xml:space="preserve"> </w:t>
      </w:r>
      <w:r w:rsidR="003C2059">
        <w:rPr>
          <w:rFonts w:ascii="Arial" w:hAnsi="Arial" w:cs="Arial"/>
          <w:color w:val="595959" w:themeColor="text1" w:themeTint="A6"/>
        </w:rPr>
        <w:t xml:space="preserve">(12.56 </w:t>
      </w:r>
      <w:r w:rsidR="003C2059" w:rsidRPr="0054039C">
        <w:rPr>
          <w:rFonts w:ascii="Arial" w:hAnsi="Arial" w:cs="Arial"/>
          <w:color w:val="595959" w:themeColor="text1" w:themeTint="A6"/>
        </w:rPr>
        <w:t>±</w:t>
      </w:r>
      <w:r w:rsidR="003C2059">
        <w:rPr>
          <w:rFonts w:ascii="Arial" w:hAnsi="Arial" w:cs="Arial"/>
          <w:color w:val="595959" w:themeColor="text1" w:themeTint="A6"/>
        </w:rPr>
        <w:t xml:space="preserve"> 2.10). </w:t>
      </w:r>
      <w:r w:rsidR="00A30684">
        <w:rPr>
          <w:rFonts w:ascii="Arial" w:hAnsi="Arial" w:cs="Arial"/>
          <w:color w:val="595959" w:themeColor="text1" w:themeTint="A6"/>
        </w:rPr>
        <w:t>(Figure 3.</w:t>
      </w:r>
      <w:r w:rsidR="00CE3A66">
        <w:rPr>
          <w:rFonts w:ascii="Arial" w:hAnsi="Arial" w:cs="Arial"/>
          <w:color w:val="595959" w:themeColor="text1" w:themeTint="A6"/>
        </w:rPr>
        <w:t>4</w:t>
      </w:r>
      <w:r w:rsidR="007510F0">
        <w:rPr>
          <w:rFonts w:ascii="Arial" w:hAnsi="Arial" w:cs="Arial"/>
          <w:color w:val="595959" w:themeColor="text1" w:themeTint="A6"/>
        </w:rPr>
        <w:t>3</w:t>
      </w:r>
      <w:r w:rsidR="00A30684">
        <w:rPr>
          <w:rFonts w:ascii="Arial" w:hAnsi="Arial" w:cs="Arial"/>
          <w:color w:val="595959" w:themeColor="text1" w:themeTint="A6"/>
        </w:rPr>
        <w:t xml:space="preserve"> A i + B i).</w:t>
      </w:r>
    </w:p>
    <w:p w14:paraId="412BD749" w14:textId="7C329CC1" w:rsidR="0054039C" w:rsidRDefault="00562188" w:rsidP="0054039C">
      <w:pPr>
        <w:tabs>
          <w:tab w:val="left" w:pos="1350"/>
        </w:tabs>
        <w:spacing w:line="480" w:lineRule="auto"/>
        <w:jc w:val="both"/>
        <w:rPr>
          <w:rFonts w:ascii="Arial" w:hAnsi="Arial" w:cs="Arial"/>
          <w:color w:val="595959" w:themeColor="text1" w:themeTint="A6"/>
        </w:rPr>
      </w:pPr>
      <w:r>
        <w:rPr>
          <w:rFonts w:ascii="Arial" w:hAnsi="Arial" w:cs="Arial"/>
          <w:color w:val="595959" w:themeColor="text1" w:themeTint="A6"/>
        </w:rPr>
        <w:t>In contrast to NOF, CAF cultures treated with Scriptaid, showed a significant</w:t>
      </w:r>
      <w:r w:rsidR="001D7BBA">
        <w:rPr>
          <w:rFonts w:ascii="Arial" w:hAnsi="Arial" w:cs="Arial"/>
          <w:color w:val="595959" w:themeColor="text1" w:themeTint="A6"/>
        </w:rPr>
        <w:t>~2-fold</w:t>
      </w:r>
      <w:r>
        <w:rPr>
          <w:rFonts w:ascii="Arial" w:hAnsi="Arial" w:cs="Arial"/>
          <w:color w:val="595959" w:themeColor="text1" w:themeTint="A6"/>
        </w:rPr>
        <w:t xml:space="preserve"> reduction in FN1-EDA protein</w:t>
      </w:r>
      <w:r w:rsidR="001D7BBA">
        <w:rPr>
          <w:rFonts w:ascii="Arial" w:hAnsi="Arial" w:cs="Arial"/>
          <w:color w:val="595959" w:themeColor="text1" w:themeTint="A6"/>
        </w:rPr>
        <w:t xml:space="preserve"> (</w:t>
      </w:r>
      <w:r w:rsidR="0054039C" w:rsidRPr="0054039C">
        <w:rPr>
          <w:rFonts w:ascii="Arial" w:hAnsi="Arial" w:cs="Arial"/>
          <w:color w:val="595959" w:themeColor="text1" w:themeTint="A6"/>
        </w:rPr>
        <w:t>0.44 ± 0.33</w:t>
      </w:r>
      <w:r w:rsidR="001D7BBA">
        <w:rPr>
          <w:rFonts w:ascii="Arial" w:hAnsi="Arial" w:cs="Arial"/>
          <w:color w:val="595959" w:themeColor="text1" w:themeTint="A6"/>
        </w:rPr>
        <w:t>)</w:t>
      </w:r>
      <w:r w:rsidR="0054039C" w:rsidRPr="0054039C">
        <w:rPr>
          <w:rFonts w:ascii="Arial" w:hAnsi="Arial" w:cs="Arial"/>
          <w:color w:val="595959" w:themeColor="text1" w:themeTint="A6"/>
        </w:rPr>
        <w:t xml:space="preserve"> compared to </w:t>
      </w:r>
      <w:r w:rsidR="006443B9">
        <w:rPr>
          <w:rFonts w:ascii="Arial" w:hAnsi="Arial" w:cs="Arial"/>
          <w:color w:val="595959" w:themeColor="text1" w:themeTint="A6"/>
        </w:rPr>
        <w:t>control</w:t>
      </w:r>
      <w:r w:rsidR="001D7BBA">
        <w:rPr>
          <w:rFonts w:ascii="Arial" w:hAnsi="Arial" w:cs="Arial"/>
          <w:color w:val="595959" w:themeColor="text1" w:themeTint="A6"/>
        </w:rPr>
        <w:t xml:space="preserve"> CAF cultures</w:t>
      </w:r>
      <w:r w:rsidR="00281605">
        <w:rPr>
          <w:rFonts w:ascii="Arial" w:hAnsi="Arial" w:cs="Arial"/>
          <w:color w:val="595959" w:themeColor="text1" w:themeTint="A6"/>
        </w:rPr>
        <w:t>, p=0.0443</w:t>
      </w:r>
      <w:r w:rsidR="001D7BBA">
        <w:rPr>
          <w:rFonts w:ascii="Arial" w:hAnsi="Arial" w:cs="Arial"/>
          <w:color w:val="595959" w:themeColor="text1" w:themeTint="A6"/>
        </w:rPr>
        <w:t xml:space="preserve"> (Figure 3.</w:t>
      </w:r>
      <w:r w:rsidR="00CE3A66">
        <w:rPr>
          <w:rFonts w:ascii="Arial" w:hAnsi="Arial" w:cs="Arial"/>
          <w:color w:val="595959" w:themeColor="text1" w:themeTint="A6"/>
        </w:rPr>
        <w:t>4</w:t>
      </w:r>
      <w:r w:rsidR="007510F0">
        <w:rPr>
          <w:rFonts w:ascii="Arial" w:hAnsi="Arial" w:cs="Arial"/>
          <w:color w:val="595959" w:themeColor="text1" w:themeTint="A6"/>
        </w:rPr>
        <w:t xml:space="preserve">3 </w:t>
      </w:r>
      <w:r w:rsidR="00E70FCF">
        <w:rPr>
          <w:rFonts w:ascii="Arial" w:hAnsi="Arial" w:cs="Arial"/>
          <w:color w:val="595959" w:themeColor="text1" w:themeTint="A6"/>
        </w:rPr>
        <w:t>A ii + B ii)</w:t>
      </w:r>
      <w:r w:rsidR="003F2DBB">
        <w:rPr>
          <w:rFonts w:ascii="Arial" w:hAnsi="Arial" w:cs="Arial"/>
          <w:color w:val="595959" w:themeColor="text1" w:themeTint="A6"/>
        </w:rPr>
        <w:t xml:space="preserve">. </w:t>
      </w:r>
      <w:r w:rsidR="00281605">
        <w:rPr>
          <w:rFonts w:ascii="Arial" w:hAnsi="Arial" w:cs="Arial"/>
          <w:color w:val="595959" w:themeColor="text1" w:themeTint="A6"/>
        </w:rPr>
        <w:t xml:space="preserve">Both Scriptaid and Batimastat </w:t>
      </w:r>
      <w:r w:rsidR="0054039C" w:rsidRPr="0054039C">
        <w:rPr>
          <w:rFonts w:ascii="Arial" w:hAnsi="Arial" w:cs="Arial"/>
          <w:color w:val="595959" w:themeColor="text1" w:themeTint="A6"/>
        </w:rPr>
        <w:t xml:space="preserve">in combination with TGFβ-1 </w:t>
      </w:r>
      <w:r w:rsidR="00A30684">
        <w:rPr>
          <w:rFonts w:ascii="Arial" w:hAnsi="Arial" w:cs="Arial"/>
          <w:color w:val="595959" w:themeColor="text1" w:themeTint="A6"/>
        </w:rPr>
        <w:t xml:space="preserve">showed significant </w:t>
      </w:r>
      <w:r w:rsidR="00E362C2">
        <w:rPr>
          <w:rFonts w:ascii="Arial" w:hAnsi="Arial" w:cs="Arial"/>
          <w:color w:val="595959" w:themeColor="text1" w:themeTint="A6"/>
        </w:rPr>
        <w:t xml:space="preserve">~11-fold </w:t>
      </w:r>
      <w:r w:rsidR="00152904">
        <w:rPr>
          <w:rFonts w:ascii="Arial" w:hAnsi="Arial" w:cs="Arial"/>
          <w:color w:val="595959" w:themeColor="text1" w:themeTint="A6"/>
        </w:rPr>
        <w:t xml:space="preserve"> (</w:t>
      </w:r>
      <w:r w:rsidR="000059BE">
        <w:rPr>
          <w:rFonts w:ascii="Arial" w:hAnsi="Arial" w:cs="Arial"/>
          <w:color w:val="595959" w:themeColor="text1" w:themeTint="A6"/>
        </w:rPr>
        <w:t>0.71</w:t>
      </w:r>
      <w:r w:rsidR="003F2DBB">
        <w:rPr>
          <w:rFonts w:ascii="Arial" w:hAnsi="Arial" w:cs="Arial"/>
          <w:color w:val="595959" w:themeColor="text1" w:themeTint="A6"/>
        </w:rPr>
        <w:t xml:space="preserve"> </w:t>
      </w:r>
      <w:r w:rsidR="00CE78C7">
        <w:rPr>
          <w:rFonts w:ascii="Arial" w:hAnsi="Arial" w:cs="Arial"/>
          <w:color w:val="595959" w:themeColor="text1" w:themeTint="A6"/>
        </w:rPr>
        <w:t>±</w:t>
      </w:r>
      <w:r w:rsidR="000059BE">
        <w:rPr>
          <w:rFonts w:ascii="Arial" w:hAnsi="Arial" w:cs="Arial"/>
          <w:color w:val="595959" w:themeColor="text1" w:themeTint="A6"/>
        </w:rPr>
        <w:t xml:space="preserve"> 0.55, p=</w:t>
      </w:r>
      <w:r w:rsidR="00CE78C7">
        <w:rPr>
          <w:rFonts w:ascii="Arial" w:hAnsi="Arial" w:cs="Arial"/>
          <w:color w:val="595959" w:themeColor="text1" w:themeTint="A6"/>
        </w:rPr>
        <w:t>0.002</w:t>
      </w:r>
      <w:r w:rsidR="000059BE">
        <w:rPr>
          <w:rFonts w:ascii="Arial" w:hAnsi="Arial" w:cs="Arial"/>
          <w:color w:val="595959" w:themeColor="text1" w:themeTint="A6"/>
        </w:rPr>
        <w:t>)</w:t>
      </w:r>
      <w:r w:rsidR="003F2DBB">
        <w:rPr>
          <w:rFonts w:ascii="Arial" w:hAnsi="Arial" w:cs="Arial"/>
          <w:color w:val="595959" w:themeColor="text1" w:themeTint="A6"/>
        </w:rPr>
        <w:t xml:space="preserve"> </w:t>
      </w:r>
      <w:r w:rsidR="00E362C2">
        <w:rPr>
          <w:rFonts w:ascii="Arial" w:hAnsi="Arial" w:cs="Arial"/>
          <w:color w:val="595959" w:themeColor="text1" w:themeTint="A6"/>
        </w:rPr>
        <w:t xml:space="preserve">and ~7-fold </w:t>
      </w:r>
      <w:r w:rsidR="000059BE">
        <w:rPr>
          <w:rFonts w:ascii="Arial" w:hAnsi="Arial" w:cs="Arial"/>
          <w:color w:val="595959" w:themeColor="text1" w:themeTint="A6"/>
        </w:rPr>
        <w:t>(1.1</w:t>
      </w:r>
      <w:r w:rsidR="003F2DBB">
        <w:rPr>
          <w:rFonts w:ascii="Arial" w:hAnsi="Arial" w:cs="Arial"/>
          <w:color w:val="595959" w:themeColor="text1" w:themeTint="A6"/>
        </w:rPr>
        <w:t xml:space="preserve"> ±</w:t>
      </w:r>
      <w:r w:rsidR="000059BE">
        <w:rPr>
          <w:rFonts w:ascii="Arial" w:hAnsi="Arial" w:cs="Arial"/>
          <w:color w:val="595959" w:themeColor="text1" w:themeTint="A6"/>
        </w:rPr>
        <w:t xml:space="preserve"> 1.0</w:t>
      </w:r>
      <w:r w:rsidR="00CE78C7">
        <w:rPr>
          <w:rFonts w:ascii="Arial" w:hAnsi="Arial" w:cs="Arial"/>
          <w:color w:val="595959" w:themeColor="text1" w:themeTint="A6"/>
        </w:rPr>
        <w:t xml:space="preserve">, p=0.035) </w:t>
      </w:r>
      <w:r w:rsidR="005554C8">
        <w:rPr>
          <w:rFonts w:ascii="Arial" w:hAnsi="Arial" w:cs="Arial"/>
          <w:color w:val="595959" w:themeColor="text1" w:themeTint="A6"/>
        </w:rPr>
        <w:t>reduction</w:t>
      </w:r>
      <w:r w:rsidR="00152904">
        <w:rPr>
          <w:rFonts w:ascii="Arial" w:hAnsi="Arial" w:cs="Arial"/>
          <w:color w:val="595959" w:themeColor="text1" w:themeTint="A6"/>
        </w:rPr>
        <w:t>, respectively,</w:t>
      </w:r>
      <w:r w:rsidR="00E362C2">
        <w:rPr>
          <w:rFonts w:ascii="Arial" w:hAnsi="Arial" w:cs="Arial"/>
          <w:color w:val="595959" w:themeColor="text1" w:themeTint="A6"/>
        </w:rPr>
        <w:t xml:space="preserve"> </w:t>
      </w:r>
      <w:r w:rsidR="005E710C">
        <w:rPr>
          <w:rFonts w:ascii="Arial" w:hAnsi="Arial" w:cs="Arial"/>
          <w:color w:val="595959" w:themeColor="text1" w:themeTint="A6"/>
        </w:rPr>
        <w:t>in</w:t>
      </w:r>
      <w:r w:rsidR="005554C8">
        <w:rPr>
          <w:rFonts w:ascii="Arial" w:hAnsi="Arial" w:cs="Arial"/>
          <w:color w:val="595959" w:themeColor="text1" w:themeTint="A6"/>
        </w:rPr>
        <w:t xml:space="preserve"> </w:t>
      </w:r>
      <w:r w:rsidR="005E710C">
        <w:rPr>
          <w:rFonts w:ascii="Arial" w:hAnsi="Arial" w:cs="Arial"/>
          <w:color w:val="595959" w:themeColor="text1" w:themeTint="A6"/>
        </w:rPr>
        <w:t>FN1-EDA protein abundance</w:t>
      </w:r>
      <w:r w:rsidR="00A30684">
        <w:rPr>
          <w:rFonts w:ascii="Arial" w:hAnsi="Arial" w:cs="Arial"/>
          <w:color w:val="595959" w:themeColor="text1" w:themeTint="A6"/>
        </w:rPr>
        <w:t xml:space="preserve"> </w:t>
      </w:r>
      <w:r w:rsidR="0054039C" w:rsidRPr="0054039C">
        <w:rPr>
          <w:rFonts w:ascii="Arial" w:hAnsi="Arial" w:cs="Arial"/>
          <w:color w:val="595959" w:themeColor="text1" w:themeTint="A6"/>
        </w:rPr>
        <w:t xml:space="preserve">when compared to </w:t>
      </w:r>
      <w:r w:rsidR="007855FB" w:rsidRPr="0054039C">
        <w:rPr>
          <w:rFonts w:ascii="Arial" w:hAnsi="Arial" w:cs="Arial"/>
          <w:color w:val="595959" w:themeColor="text1" w:themeTint="A6"/>
        </w:rPr>
        <w:t>TGFβ-1 treat</w:t>
      </w:r>
      <w:r w:rsidR="007855FB">
        <w:rPr>
          <w:rFonts w:ascii="Arial" w:hAnsi="Arial" w:cs="Arial"/>
          <w:color w:val="595959" w:themeColor="text1" w:themeTint="A6"/>
        </w:rPr>
        <w:t xml:space="preserve">ment alone, (8.04 </w:t>
      </w:r>
      <w:r w:rsidR="007855FB" w:rsidRPr="0054039C">
        <w:rPr>
          <w:rFonts w:ascii="Arial" w:hAnsi="Arial" w:cs="Arial"/>
          <w:color w:val="595959" w:themeColor="text1" w:themeTint="A6"/>
        </w:rPr>
        <w:t>±</w:t>
      </w:r>
      <w:r w:rsidR="007855FB">
        <w:rPr>
          <w:rFonts w:ascii="Arial" w:hAnsi="Arial" w:cs="Arial"/>
          <w:color w:val="595959" w:themeColor="text1" w:themeTint="A6"/>
        </w:rPr>
        <w:t xml:space="preserve"> 1.70)</w:t>
      </w:r>
      <w:r w:rsidR="00A30684">
        <w:rPr>
          <w:rFonts w:ascii="Arial" w:hAnsi="Arial" w:cs="Arial"/>
          <w:color w:val="595959" w:themeColor="text1" w:themeTint="A6"/>
        </w:rPr>
        <w:t xml:space="preserve"> (Figure 3.</w:t>
      </w:r>
      <w:r w:rsidR="00CE3A66">
        <w:rPr>
          <w:rFonts w:ascii="Arial" w:hAnsi="Arial" w:cs="Arial"/>
          <w:color w:val="595959" w:themeColor="text1" w:themeTint="A6"/>
        </w:rPr>
        <w:t>4</w:t>
      </w:r>
      <w:r w:rsidR="007510F0">
        <w:rPr>
          <w:rFonts w:ascii="Arial" w:hAnsi="Arial" w:cs="Arial"/>
          <w:color w:val="595959" w:themeColor="text1" w:themeTint="A6"/>
        </w:rPr>
        <w:t>3</w:t>
      </w:r>
      <w:r w:rsidR="00A30684">
        <w:rPr>
          <w:rFonts w:ascii="Arial" w:hAnsi="Arial" w:cs="Arial"/>
          <w:color w:val="595959" w:themeColor="text1" w:themeTint="A6"/>
        </w:rPr>
        <w:t xml:space="preserve"> A ii + B ii). </w:t>
      </w:r>
      <w:r w:rsidR="0054039C" w:rsidRPr="0054039C">
        <w:rPr>
          <w:rFonts w:ascii="Arial" w:hAnsi="Arial" w:cs="Arial"/>
          <w:color w:val="595959" w:themeColor="text1" w:themeTint="A6"/>
        </w:rPr>
        <w:t xml:space="preserve"> </w:t>
      </w:r>
    </w:p>
    <w:p w14:paraId="7F80456D" w14:textId="77777777" w:rsidR="00A30684" w:rsidRDefault="00A30684" w:rsidP="0054039C">
      <w:pPr>
        <w:tabs>
          <w:tab w:val="left" w:pos="1350"/>
        </w:tabs>
        <w:spacing w:line="480" w:lineRule="auto"/>
        <w:jc w:val="both"/>
        <w:rPr>
          <w:rFonts w:ascii="Arial" w:hAnsi="Arial" w:cs="Arial"/>
          <w:color w:val="595959" w:themeColor="text1" w:themeTint="A6"/>
        </w:rPr>
      </w:pPr>
    </w:p>
    <w:p w14:paraId="523CD6BE" w14:textId="77777777" w:rsidR="00A30684" w:rsidRDefault="00A30684" w:rsidP="0054039C">
      <w:pPr>
        <w:tabs>
          <w:tab w:val="left" w:pos="1350"/>
        </w:tabs>
        <w:spacing w:line="480" w:lineRule="auto"/>
        <w:jc w:val="both"/>
        <w:rPr>
          <w:rFonts w:ascii="Arial" w:hAnsi="Arial" w:cs="Arial"/>
          <w:color w:val="595959" w:themeColor="text1" w:themeTint="A6"/>
        </w:rPr>
      </w:pPr>
    </w:p>
    <w:p w14:paraId="5D9E1090" w14:textId="77777777" w:rsidR="003F6028" w:rsidRDefault="003F6028" w:rsidP="0054039C">
      <w:pPr>
        <w:tabs>
          <w:tab w:val="left" w:pos="1350"/>
        </w:tabs>
        <w:spacing w:line="480" w:lineRule="auto"/>
        <w:jc w:val="both"/>
        <w:rPr>
          <w:rFonts w:ascii="Arial" w:hAnsi="Arial" w:cs="Arial"/>
          <w:color w:val="595959" w:themeColor="text1" w:themeTint="A6"/>
        </w:rPr>
      </w:pPr>
    </w:p>
    <w:p w14:paraId="606C168B" w14:textId="77777777" w:rsidR="003F6028" w:rsidRPr="0054039C" w:rsidRDefault="003F6028" w:rsidP="0054039C">
      <w:pPr>
        <w:tabs>
          <w:tab w:val="left" w:pos="1350"/>
        </w:tabs>
        <w:spacing w:line="480" w:lineRule="auto"/>
        <w:jc w:val="both"/>
        <w:rPr>
          <w:rFonts w:ascii="Arial" w:hAnsi="Arial" w:cs="Arial"/>
          <w:color w:val="595959" w:themeColor="text1" w:themeTint="A6"/>
        </w:rPr>
      </w:pPr>
    </w:p>
    <w:p w14:paraId="49EED4F3" w14:textId="77777777" w:rsidR="0054039C" w:rsidRPr="0054039C" w:rsidRDefault="0054039C" w:rsidP="0054039C">
      <w:pPr>
        <w:tabs>
          <w:tab w:val="left" w:pos="1350"/>
        </w:tabs>
        <w:spacing w:line="480" w:lineRule="auto"/>
        <w:jc w:val="both"/>
        <w:rPr>
          <w:rFonts w:ascii="Arial" w:hAnsi="Arial" w:cs="Arial"/>
          <w:color w:val="595959" w:themeColor="text1" w:themeTint="A6"/>
        </w:rPr>
      </w:pPr>
    </w:p>
    <w:p w14:paraId="6A6C486A" w14:textId="77777777" w:rsidR="0054039C" w:rsidRPr="0054039C" w:rsidRDefault="0054039C" w:rsidP="0054039C">
      <w:pPr>
        <w:tabs>
          <w:tab w:val="left" w:pos="1350"/>
        </w:tabs>
        <w:spacing w:line="480" w:lineRule="auto"/>
        <w:jc w:val="both"/>
        <w:rPr>
          <w:rFonts w:ascii="Arial" w:hAnsi="Arial" w:cs="Arial"/>
          <w:color w:val="595959" w:themeColor="text1" w:themeTint="A6"/>
        </w:rPr>
      </w:pPr>
    </w:p>
    <w:p w14:paraId="5722F80D" w14:textId="77777777" w:rsidR="0054039C" w:rsidRPr="0054039C" w:rsidRDefault="0054039C" w:rsidP="0054039C">
      <w:pPr>
        <w:tabs>
          <w:tab w:val="left" w:pos="1350"/>
        </w:tabs>
        <w:spacing w:line="480" w:lineRule="auto"/>
        <w:jc w:val="both"/>
        <w:rPr>
          <w:rFonts w:ascii="Arial" w:hAnsi="Arial" w:cs="Arial"/>
          <w:color w:val="595959" w:themeColor="text1" w:themeTint="A6"/>
        </w:rPr>
      </w:pPr>
    </w:p>
    <w:p w14:paraId="7392F9FD" w14:textId="36AE2E62" w:rsidR="0054039C" w:rsidRDefault="0054039C" w:rsidP="0054039C">
      <w:pPr>
        <w:tabs>
          <w:tab w:val="left" w:pos="1350"/>
        </w:tabs>
        <w:spacing w:line="480" w:lineRule="auto"/>
        <w:jc w:val="both"/>
        <w:rPr>
          <w:rFonts w:ascii="Arial" w:hAnsi="Arial" w:cs="Arial"/>
          <w:color w:val="595959" w:themeColor="text1" w:themeTint="A6"/>
        </w:rPr>
      </w:pPr>
    </w:p>
    <w:p w14:paraId="533626B7" w14:textId="77777777" w:rsidR="00A446BD" w:rsidRPr="0054039C" w:rsidRDefault="00A446BD" w:rsidP="0054039C">
      <w:pPr>
        <w:tabs>
          <w:tab w:val="left" w:pos="1350"/>
        </w:tabs>
        <w:spacing w:line="480" w:lineRule="auto"/>
        <w:jc w:val="both"/>
        <w:rPr>
          <w:rFonts w:ascii="Arial" w:hAnsi="Arial" w:cs="Arial"/>
          <w:color w:val="595959" w:themeColor="text1" w:themeTint="A6"/>
        </w:rPr>
      </w:pPr>
    </w:p>
    <w:p w14:paraId="688D54FF" w14:textId="77777777" w:rsidR="0054039C" w:rsidRPr="0054039C" w:rsidRDefault="0054039C" w:rsidP="0054039C">
      <w:pPr>
        <w:tabs>
          <w:tab w:val="left" w:pos="1350"/>
        </w:tabs>
        <w:spacing w:line="480" w:lineRule="auto"/>
        <w:jc w:val="both"/>
        <w:rPr>
          <w:rFonts w:ascii="Arial" w:hAnsi="Arial" w:cs="Arial"/>
          <w:color w:val="595959" w:themeColor="text1" w:themeTint="A6"/>
        </w:rPr>
      </w:pPr>
    </w:p>
    <w:p w14:paraId="6D6336BD" w14:textId="0B5698FE" w:rsidR="000F776B" w:rsidRDefault="005571E5" w:rsidP="0054039C">
      <w:pPr>
        <w:tabs>
          <w:tab w:val="left" w:pos="1350"/>
        </w:tabs>
        <w:spacing w:line="480" w:lineRule="auto"/>
        <w:jc w:val="both"/>
        <w:rPr>
          <w:rFonts w:ascii="Arial" w:hAnsi="Arial" w:cs="Arial"/>
          <w:color w:val="595959" w:themeColor="text1" w:themeTint="A6"/>
        </w:rPr>
      </w:pPr>
      <w:r>
        <w:rPr>
          <w:rFonts w:ascii="Arial" w:hAnsi="Arial" w:cs="Arial"/>
          <w:noProof/>
          <w:color w:val="595959" w:themeColor="text1" w:themeTint="A6"/>
        </w:rPr>
        <w:lastRenderedPageBreak/>
        <w:drawing>
          <wp:anchor distT="0" distB="0" distL="114300" distR="114300" simplePos="0" relativeHeight="251677963" behindDoc="0" locked="0" layoutInCell="1" allowOverlap="1" wp14:anchorId="034E410E" wp14:editId="02144A2E">
            <wp:simplePos x="0" y="0"/>
            <wp:positionH relativeFrom="column">
              <wp:posOffset>-128337</wp:posOffset>
            </wp:positionH>
            <wp:positionV relativeFrom="paragraph">
              <wp:posOffset>63868</wp:posOffset>
            </wp:positionV>
            <wp:extent cx="7273290" cy="5742940"/>
            <wp:effectExtent l="0" t="0" r="0" b="0"/>
            <wp:wrapNone/>
            <wp:docPr id="5591" name="Picture 5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7273290" cy="5742940"/>
                    </a:xfrm>
                    <a:prstGeom prst="rect">
                      <a:avLst/>
                    </a:prstGeom>
                    <a:noFill/>
                  </pic:spPr>
                </pic:pic>
              </a:graphicData>
            </a:graphic>
          </wp:anchor>
        </w:drawing>
      </w:r>
    </w:p>
    <w:p w14:paraId="2C8DCC68" w14:textId="30BADA54" w:rsidR="0054039C" w:rsidRPr="0054039C" w:rsidRDefault="0054039C" w:rsidP="0054039C">
      <w:pPr>
        <w:tabs>
          <w:tab w:val="left" w:pos="1350"/>
        </w:tabs>
        <w:spacing w:line="480" w:lineRule="auto"/>
        <w:jc w:val="both"/>
        <w:rPr>
          <w:rFonts w:ascii="Arial" w:hAnsi="Arial" w:cs="Arial"/>
          <w:color w:val="595959" w:themeColor="text1" w:themeTint="A6"/>
        </w:rPr>
      </w:pPr>
    </w:p>
    <w:p w14:paraId="56E773CB" w14:textId="5933E3D1" w:rsidR="0054039C" w:rsidRPr="0054039C" w:rsidRDefault="0054039C" w:rsidP="0054039C">
      <w:pPr>
        <w:tabs>
          <w:tab w:val="left" w:pos="1350"/>
        </w:tabs>
        <w:spacing w:line="480" w:lineRule="auto"/>
        <w:jc w:val="both"/>
        <w:rPr>
          <w:rFonts w:ascii="Arial" w:hAnsi="Arial" w:cs="Arial"/>
          <w:color w:val="595959" w:themeColor="text1" w:themeTint="A6"/>
        </w:rPr>
      </w:pPr>
    </w:p>
    <w:p w14:paraId="08520D90" w14:textId="111D2872" w:rsidR="0054039C" w:rsidRPr="0054039C" w:rsidRDefault="0054039C" w:rsidP="0054039C">
      <w:pPr>
        <w:tabs>
          <w:tab w:val="left" w:pos="1350"/>
        </w:tabs>
        <w:spacing w:line="480" w:lineRule="auto"/>
        <w:jc w:val="both"/>
        <w:rPr>
          <w:rFonts w:ascii="Arial" w:hAnsi="Arial" w:cs="Arial"/>
          <w:color w:val="595959" w:themeColor="text1" w:themeTint="A6"/>
        </w:rPr>
      </w:pPr>
    </w:p>
    <w:p w14:paraId="4EDF067B" w14:textId="3BBABF59" w:rsidR="0054039C" w:rsidRPr="0054039C" w:rsidRDefault="0054039C" w:rsidP="0054039C">
      <w:pPr>
        <w:tabs>
          <w:tab w:val="left" w:pos="1350"/>
        </w:tabs>
        <w:spacing w:line="480" w:lineRule="auto"/>
        <w:jc w:val="both"/>
        <w:rPr>
          <w:rFonts w:ascii="Arial" w:hAnsi="Arial" w:cs="Arial"/>
          <w:color w:val="595959" w:themeColor="text1" w:themeTint="A6"/>
        </w:rPr>
      </w:pPr>
    </w:p>
    <w:p w14:paraId="5D088D39" w14:textId="77777777" w:rsidR="0054039C" w:rsidRPr="0054039C" w:rsidRDefault="0054039C" w:rsidP="0054039C">
      <w:pPr>
        <w:tabs>
          <w:tab w:val="left" w:pos="1350"/>
        </w:tabs>
        <w:spacing w:line="480" w:lineRule="auto"/>
        <w:jc w:val="both"/>
        <w:rPr>
          <w:rFonts w:ascii="Arial" w:hAnsi="Arial" w:cs="Arial"/>
          <w:color w:val="595959" w:themeColor="text1" w:themeTint="A6"/>
        </w:rPr>
      </w:pPr>
    </w:p>
    <w:p w14:paraId="2C1EBD2B" w14:textId="731BA389" w:rsidR="0054039C" w:rsidRPr="0054039C" w:rsidRDefault="0054039C" w:rsidP="0054039C">
      <w:pPr>
        <w:tabs>
          <w:tab w:val="left" w:pos="1350"/>
        </w:tabs>
        <w:spacing w:line="480" w:lineRule="auto"/>
        <w:jc w:val="both"/>
        <w:rPr>
          <w:rFonts w:ascii="Arial" w:hAnsi="Arial" w:cs="Arial"/>
          <w:color w:val="595959" w:themeColor="text1" w:themeTint="A6"/>
        </w:rPr>
      </w:pPr>
    </w:p>
    <w:p w14:paraId="324BDEF5" w14:textId="77777777" w:rsidR="0054039C" w:rsidRPr="0054039C" w:rsidRDefault="0054039C" w:rsidP="0054039C">
      <w:pPr>
        <w:tabs>
          <w:tab w:val="left" w:pos="1350"/>
        </w:tabs>
        <w:spacing w:line="480" w:lineRule="auto"/>
        <w:jc w:val="both"/>
        <w:rPr>
          <w:rFonts w:ascii="Arial" w:hAnsi="Arial" w:cs="Arial"/>
          <w:color w:val="595959" w:themeColor="text1" w:themeTint="A6"/>
        </w:rPr>
      </w:pPr>
    </w:p>
    <w:p w14:paraId="23B529A8" w14:textId="77777777" w:rsidR="0054039C" w:rsidRPr="0054039C" w:rsidRDefault="0054039C" w:rsidP="0054039C">
      <w:pPr>
        <w:tabs>
          <w:tab w:val="left" w:pos="1350"/>
        </w:tabs>
        <w:spacing w:line="480" w:lineRule="auto"/>
        <w:jc w:val="both"/>
        <w:rPr>
          <w:rFonts w:ascii="Arial" w:hAnsi="Arial" w:cs="Arial"/>
          <w:color w:val="595959" w:themeColor="text1" w:themeTint="A6"/>
        </w:rPr>
      </w:pPr>
    </w:p>
    <w:p w14:paraId="780BE4E6" w14:textId="77777777" w:rsidR="0054039C" w:rsidRPr="0054039C" w:rsidRDefault="0054039C" w:rsidP="0054039C">
      <w:pPr>
        <w:tabs>
          <w:tab w:val="left" w:pos="1350"/>
        </w:tabs>
        <w:spacing w:line="480" w:lineRule="auto"/>
        <w:jc w:val="both"/>
        <w:rPr>
          <w:rFonts w:ascii="Arial" w:hAnsi="Arial" w:cs="Arial"/>
          <w:color w:val="595959" w:themeColor="text1" w:themeTint="A6"/>
        </w:rPr>
      </w:pPr>
    </w:p>
    <w:p w14:paraId="7B5947B5" w14:textId="77777777" w:rsidR="0054039C" w:rsidRPr="0054039C" w:rsidRDefault="0054039C" w:rsidP="0054039C">
      <w:pPr>
        <w:tabs>
          <w:tab w:val="left" w:pos="1350"/>
        </w:tabs>
        <w:spacing w:line="480" w:lineRule="auto"/>
        <w:jc w:val="both"/>
        <w:rPr>
          <w:rFonts w:ascii="Arial" w:hAnsi="Arial" w:cs="Arial"/>
          <w:color w:val="595959" w:themeColor="text1" w:themeTint="A6"/>
        </w:rPr>
      </w:pPr>
    </w:p>
    <w:p w14:paraId="2B20EA35" w14:textId="77777777" w:rsidR="0054039C" w:rsidRPr="0054039C" w:rsidRDefault="0054039C" w:rsidP="0054039C">
      <w:pPr>
        <w:tabs>
          <w:tab w:val="left" w:pos="1350"/>
        </w:tabs>
        <w:spacing w:line="480" w:lineRule="auto"/>
        <w:jc w:val="both"/>
        <w:rPr>
          <w:rFonts w:ascii="Arial" w:hAnsi="Arial" w:cs="Arial"/>
          <w:color w:val="595959" w:themeColor="text1" w:themeTint="A6"/>
        </w:rPr>
      </w:pPr>
    </w:p>
    <w:p w14:paraId="28C5CC0C" w14:textId="77777777" w:rsidR="0054039C" w:rsidRPr="0054039C" w:rsidRDefault="0054039C" w:rsidP="0054039C">
      <w:pPr>
        <w:tabs>
          <w:tab w:val="left" w:pos="1350"/>
        </w:tabs>
        <w:spacing w:line="480" w:lineRule="auto"/>
        <w:jc w:val="both"/>
        <w:rPr>
          <w:rFonts w:ascii="Arial" w:hAnsi="Arial" w:cs="Arial"/>
          <w:color w:val="595959" w:themeColor="text1" w:themeTint="A6"/>
        </w:rPr>
      </w:pPr>
    </w:p>
    <w:p w14:paraId="4731A533" w14:textId="77777777" w:rsidR="0054039C" w:rsidRPr="0054039C" w:rsidRDefault="0054039C" w:rsidP="0054039C">
      <w:pPr>
        <w:tabs>
          <w:tab w:val="left" w:pos="1350"/>
        </w:tabs>
        <w:spacing w:line="480" w:lineRule="auto"/>
        <w:jc w:val="both"/>
        <w:rPr>
          <w:rFonts w:ascii="Arial" w:hAnsi="Arial" w:cs="Arial"/>
          <w:color w:val="595959" w:themeColor="text1" w:themeTint="A6"/>
        </w:rPr>
      </w:pPr>
    </w:p>
    <w:p w14:paraId="67D0CB88" w14:textId="77777777" w:rsidR="0054039C" w:rsidRPr="0054039C" w:rsidRDefault="0054039C" w:rsidP="0054039C">
      <w:pPr>
        <w:tabs>
          <w:tab w:val="left" w:pos="1350"/>
        </w:tabs>
        <w:spacing w:line="480" w:lineRule="auto"/>
        <w:jc w:val="both"/>
        <w:rPr>
          <w:rFonts w:ascii="Arial" w:hAnsi="Arial" w:cs="Arial"/>
          <w:color w:val="595959" w:themeColor="text1" w:themeTint="A6"/>
        </w:rPr>
      </w:pPr>
    </w:p>
    <w:p w14:paraId="501D0D6D" w14:textId="77777777" w:rsidR="0054039C" w:rsidRPr="0054039C" w:rsidRDefault="0054039C" w:rsidP="0054039C">
      <w:pPr>
        <w:tabs>
          <w:tab w:val="left" w:pos="1350"/>
        </w:tabs>
        <w:spacing w:line="480" w:lineRule="auto"/>
        <w:jc w:val="both"/>
        <w:rPr>
          <w:rFonts w:ascii="Arial" w:hAnsi="Arial" w:cs="Arial"/>
          <w:color w:val="595959" w:themeColor="text1" w:themeTint="A6"/>
        </w:rPr>
      </w:pPr>
      <w:r w:rsidRPr="0054039C">
        <w:rPr>
          <w:rFonts w:ascii="Arial" w:hAnsi="Arial" w:cs="Arial"/>
          <w:noProof/>
          <w:color w:val="595959" w:themeColor="text1" w:themeTint="A6"/>
          <w:sz w:val="24"/>
          <w:szCs w:val="24"/>
          <w:lang w:eastAsia="zh-CN"/>
        </w:rPr>
        <mc:AlternateContent>
          <mc:Choice Requires="wps">
            <w:drawing>
              <wp:anchor distT="0" distB="0" distL="114300" distR="114300" simplePos="0" relativeHeight="251658329" behindDoc="0" locked="0" layoutInCell="1" allowOverlap="1" wp14:anchorId="7DC6F2ED" wp14:editId="1864DAA7">
                <wp:simplePos x="0" y="0"/>
                <wp:positionH relativeFrom="margin">
                  <wp:posOffset>0</wp:posOffset>
                </wp:positionH>
                <wp:positionV relativeFrom="paragraph">
                  <wp:posOffset>0</wp:posOffset>
                </wp:positionV>
                <wp:extent cx="5724525" cy="1600200"/>
                <wp:effectExtent l="0" t="0" r="9525" b="0"/>
                <wp:wrapNone/>
                <wp:docPr id="20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1600200"/>
                        </a:xfrm>
                        <a:prstGeom prst="rect">
                          <a:avLst/>
                        </a:prstGeom>
                        <a:solidFill>
                          <a:srgbClr val="FFFFFF"/>
                        </a:solidFill>
                        <a:ln w="9525">
                          <a:noFill/>
                          <a:miter lim="800000"/>
                          <a:headEnd/>
                          <a:tailEnd/>
                        </a:ln>
                      </wps:spPr>
                      <wps:txbx>
                        <w:txbxContent>
                          <w:p w14:paraId="081E0046" w14:textId="7669B700" w:rsidR="008A47AC" w:rsidRDefault="008A47AC" w:rsidP="0054039C">
                            <w:pPr>
                              <w:pStyle w:val="NormalWeb"/>
                              <w:spacing w:after="200"/>
                              <w:jc w:val="both"/>
                              <w:rPr>
                                <w:rFonts w:ascii="Arial Narrow" w:eastAsia="SimSun" w:hAnsi="Arial Narrow" w:cs="Arial"/>
                                <w:b/>
                                <w:bCs/>
                                <w:color w:val="595959"/>
                                <w:kern w:val="24"/>
                                <w:sz w:val="22"/>
                                <w:szCs w:val="22"/>
                              </w:rPr>
                            </w:pPr>
                            <w:r>
                              <w:rPr>
                                <w:rFonts w:ascii="Arial Narrow" w:eastAsia="SimSun" w:hAnsi="Arial Narrow" w:cs="Arial"/>
                                <w:b/>
                                <w:bCs/>
                                <w:color w:val="595959"/>
                                <w:kern w:val="24"/>
                                <w:sz w:val="22"/>
                                <w:szCs w:val="22"/>
                              </w:rPr>
                              <w:t xml:space="preserve">Figure 3.43 Immunoblotting for FN1-EDA abundance in NOF and CAF in response to Scriptaid and Batimastat treatment with and without TGFβ-1 stimulation </w:t>
                            </w:r>
                          </w:p>
                          <w:p w14:paraId="01FD33FB" w14:textId="51284616" w:rsidR="008A47AC" w:rsidRPr="00944EBD" w:rsidRDefault="008A47AC" w:rsidP="0054039C">
                            <w:pPr>
                              <w:pStyle w:val="NormalWeb"/>
                              <w:spacing w:after="200" w:line="276" w:lineRule="auto"/>
                              <w:jc w:val="both"/>
                              <w:rPr>
                                <w:rFonts w:ascii="Arial Narrow" w:eastAsia="SimSun" w:hAnsi="Arial Narrow" w:cs="Arial"/>
                                <w:color w:val="595959"/>
                                <w:kern w:val="24"/>
                                <w:sz w:val="22"/>
                              </w:rPr>
                            </w:pPr>
                            <w:r>
                              <w:rPr>
                                <w:rFonts w:ascii="Arial Narrow" w:eastAsia="SimSun" w:hAnsi="Arial Narrow" w:cs="Arial"/>
                                <w:color w:val="595959"/>
                                <w:kern w:val="24"/>
                                <w:sz w:val="22"/>
                              </w:rPr>
                              <w:t xml:space="preserve">NOF (A) and CAF (B) 2D monolayers were treated with the inhibitors Scriptaid and Batimastat in the presence or absence of </w:t>
                            </w:r>
                            <w:r w:rsidRPr="00944EBD">
                              <w:rPr>
                                <w:rFonts w:ascii="Arial Narrow" w:eastAsia="SimSun" w:hAnsi="Arial Narrow" w:cs="Arial"/>
                                <w:color w:val="595959"/>
                                <w:kern w:val="24"/>
                                <w:sz w:val="22"/>
                              </w:rPr>
                              <w:t xml:space="preserve">TGFβ-1 </w:t>
                            </w:r>
                            <w:r>
                              <w:rPr>
                                <w:rFonts w:ascii="Arial Narrow" w:eastAsia="SimSun" w:hAnsi="Arial Narrow" w:cs="Arial"/>
                                <w:color w:val="595959"/>
                                <w:kern w:val="24"/>
                                <w:sz w:val="22"/>
                              </w:rPr>
                              <w:t>for 48 h and FN1-EDA protein levels determined using immunoblotting. Densitometry of the resultant bands were measured using ImageJ and the intensity measured relative to GAPDH controls.  Data is expressed as relative fold change, with mean ± SD, N=3, n=2, * denotes p &lt;0.05, **p &lt;0.01, and p &lt;0.001 analysed by unpaired Student’s T-test.</w:t>
                            </w:r>
                          </w:p>
                          <w:p w14:paraId="69BFE0A6" w14:textId="77777777" w:rsidR="008A47AC" w:rsidRDefault="008A47AC" w:rsidP="0054039C">
                            <w:pPr>
                              <w:pStyle w:val="NormalWeb"/>
                              <w:spacing w:after="200" w:line="276" w:lineRule="auto"/>
                              <w:jc w:val="both"/>
                              <w:rPr>
                                <w:rFonts w:ascii="Arial Narrow" w:eastAsia="SimSun" w:hAnsi="Arial Narrow" w:cs="Arial"/>
                                <w:color w:val="595959"/>
                                <w:kern w:val="24"/>
                              </w:rPr>
                            </w:pPr>
                          </w:p>
                          <w:p w14:paraId="011A308E" w14:textId="77777777" w:rsidR="008A47AC" w:rsidRDefault="008A47AC" w:rsidP="0054039C">
                            <w:pPr>
                              <w:pStyle w:val="NormalWeb"/>
                              <w:spacing w:after="200" w:line="276" w:lineRule="auto"/>
                              <w:jc w:val="both"/>
                              <w:rPr>
                                <w:rFonts w:ascii="Arial Narrow" w:eastAsia="SimSun" w:hAnsi="Arial Narrow" w:cs="Arial"/>
                                <w:color w:val="595959"/>
                                <w:kern w:val="24"/>
                              </w:rPr>
                            </w:pPr>
                          </w:p>
                          <w:p w14:paraId="64C55F72" w14:textId="77777777" w:rsidR="008A47AC" w:rsidRPr="00AE10F9" w:rsidRDefault="008A47AC" w:rsidP="0054039C">
                            <w:pPr>
                              <w:pStyle w:val="NormalWeb"/>
                              <w:spacing w:after="200" w:line="276" w:lineRule="auto"/>
                              <w:jc w:val="both"/>
                              <w:rPr>
                                <w:rFonts w:ascii="Arial Narrow" w:eastAsia="SimSun" w:hAnsi="Arial Narrow" w:cs="Arial"/>
                                <w:color w:val="595959"/>
                                <w:kern w:val="24"/>
                              </w:rPr>
                            </w:pPr>
                          </w:p>
                          <w:p w14:paraId="02EB8A89" w14:textId="77777777" w:rsidR="008A47AC" w:rsidRDefault="008A47AC" w:rsidP="0054039C">
                            <w:pPr>
                              <w:pStyle w:val="NormalWeb"/>
                              <w:spacing w:after="200" w:line="276" w:lineRule="auto"/>
                              <w:jc w:val="both"/>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C6F2ED" id="_x0000_s1120" type="#_x0000_t202" style="position:absolute;left:0;text-align:left;margin-left:0;margin-top:0;width:450.75pt;height:126pt;z-index:25165832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" stroked="f">
                <v:textbox>
                  <w:txbxContent>
                    <w:p w14:paraId="081E0046" w14:textId="7669B700" w:rsidR="008A47AC" w:rsidRDefault="008A47AC" w:rsidP="0054039C">
                      <w:pPr>
                        <w:pStyle w:val="NormalWeb"/>
                        <w:spacing w:after="200"/>
                        <w:jc w:val="both"/>
                        <w:rPr>
                          <w:rFonts w:ascii="Arial Narrow" w:eastAsia="SimSun" w:hAnsi="Arial Narrow" w:cs="Arial"/>
                          <w:b/>
                          <w:bCs/>
                          <w:color w:val="595959"/>
                          <w:kern w:val="24"/>
                          <w:sz w:val="22"/>
                          <w:szCs w:val="22"/>
                        </w:rPr>
                      </w:pPr>
                      <w:r>
                        <w:rPr>
                          <w:rFonts w:ascii="Arial Narrow" w:eastAsia="SimSun" w:hAnsi="Arial Narrow" w:cs="Arial"/>
                          <w:b/>
                          <w:bCs/>
                          <w:color w:val="595959"/>
                          <w:kern w:val="24"/>
                          <w:sz w:val="22"/>
                          <w:szCs w:val="22"/>
                        </w:rPr>
                        <w:t xml:space="preserve">Figure 3.43 Immunoblotting for FN1-EDA abundance in NOF and CAF in response to Scriptaid and Batimastat treatment with and without TGFβ-1 stimulation </w:t>
                      </w:r>
                    </w:p>
                    <w:p w14:paraId="01FD33FB" w14:textId="51284616" w:rsidR="008A47AC" w:rsidRPr="00944EBD" w:rsidRDefault="008A47AC" w:rsidP="0054039C">
                      <w:pPr>
                        <w:pStyle w:val="NormalWeb"/>
                        <w:spacing w:after="200" w:line="276" w:lineRule="auto"/>
                        <w:jc w:val="both"/>
                        <w:rPr>
                          <w:rFonts w:ascii="Arial Narrow" w:eastAsia="SimSun" w:hAnsi="Arial Narrow" w:cs="Arial"/>
                          <w:color w:val="595959"/>
                          <w:kern w:val="24"/>
                          <w:sz w:val="22"/>
                        </w:rPr>
                      </w:pPr>
                      <w:r>
                        <w:rPr>
                          <w:rFonts w:ascii="Arial Narrow" w:eastAsia="SimSun" w:hAnsi="Arial Narrow" w:cs="Arial"/>
                          <w:color w:val="595959"/>
                          <w:kern w:val="24"/>
                          <w:sz w:val="22"/>
                        </w:rPr>
                        <w:t xml:space="preserve">NOF (A) and CAF (B) 2D monolayers were treated with the inhibitors Scriptaid and Batimastat in the presence or absence of </w:t>
                      </w:r>
                      <w:r w:rsidRPr="00944EBD">
                        <w:rPr>
                          <w:rFonts w:ascii="Arial Narrow" w:eastAsia="SimSun" w:hAnsi="Arial Narrow" w:cs="Arial"/>
                          <w:color w:val="595959"/>
                          <w:kern w:val="24"/>
                          <w:sz w:val="22"/>
                        </w:rPr>
                        <w:t xml:space="preserve">TGFβ-1 </w:t>
                      </w:r>
                      <w:r>
                        <w:rPr>
                          <w:rFonts w:ascii="Arial Narrow" w:eastAsia="SimSun" w:hAnsi="Arial Narrow" w:cs="Arial"/>
                          <w:color w:val="595959"/>
                          <w:kern w:val="24"/>
                          <w:sz w:val="22"/>
                        </w:rPr>
                        <w:t>for 48 h and FN1-EDA protein levels determined using immunoblotting. Densitometry of the resultant bands were measured using ImageJ and the intensity measured relative to GAPDH controls.  Data is expressed as relative fold change, with mean ± SD, N=3, n=2, * denotes p &lt;0.05, **p &lt;0.01, and p &lt;0.001 analysed by unpaired Student’s T-test.</w:t>
                      </w:r>
                    </w:p>
                    <w:p w14:paraId="69BFE0A6" w14:textId="77777777" w:rsidR="008A47AC" w:rsidRDefault="008A47AC" w:rsidP="0054039C">
                      <w:pPr>
                        <w:pStyle w:val="NormalWeb"/>
                        <w:spacing w:after="200" w:line="276" w:lineRule="auto"/>
                        <w:jc w:val="both"/>
                        <w:rPr>
                          <w:rFonts w:ascii="Arial Narrow" w:eastAsia="SimSun" w:hAnsi="Arial Narrow" w:cs="Arial"/>
                          <w:color w:val="595959"/>
                          <w:kern w:val="24"/>
                        </w:rPr>
                      </w:pPr>
                    </w:p>
                    <w:p w14:paraId="011A308E" w14:textId="77777777" w:rsidR="008A47AC" w:rsidRDefault="008A47AC" w:rsidP="0054039C">
                      <w:pPr>
                        <w:pStyle w:val="NormalWeb"/>
                        <w:spacing w:after="200" w:line="276" w:lineRule="auto"/>
                        <w:jc w:val="both"/>
                        <w:rPr>
                          <w:rFonts w:ascii="Arial Narrow" w:eastAsia="SimSun" w:hAnsi="Arial Narrow" w:cs="Arial"/>
                          <w:color w:val="595959"/>
                          <w:kern w:val="24"/>
                        </w:rPr>
                      </w:pPr>
                    </w:p>
                    <w:p w14:paraId="64C55F72" w14:textId="77777777" w:rsidR="008A47AC" w:rsidRPr="00AE10F9" w:rsidRDefault="008A47AC" w:rsidP="0054039C">
                      <w:pPr>
                        <w:pStyle w:val="NormalWeb"/>
                        <w:spacing w:after="200" w:line="276" w:lineRule="auto"/>
                        <w:jc w:val="both"/>
                        <w:rPr>
                          <w:rFonts w:ascii="Arial Narrow" w:eastAsia="SimSun" w:hAnsi="Arial Narrow" w:cs="Arial"/>
                          <w:color w:val="595959"/>
                          <w:kern w:val="24"/>
                        </w:rPr>
                      </w:pPr>
                    </w:p>
                    <w:p w14:paraId="02EB8A89" w14:textId="77777777" w:rsidR="008A47AC" w:rsidRDefault="008A47AC" w:rsidP="0054039C">
                      <w:pPr>
                        <w:pStyle w:val="NormalWeb"/>
                        <w:spacing w:after="200" w:line="276" w:lineRule="auto"/>
                        <w:jc w:val="both"/>
                      </w:pPr>
                    </w:p>
                  </w:txbxContent>
                </v:textbox>
                <w10:wrap anchorx="margin"/>
              </v:shape>
            </w:pict>
          </mc:Fallback>
        </mc:AlternateContent>
      </w:r>
    </w:p>
    <w:p w14:paraId="0598F374" w14:textId="77777777" w:rsidR="0054039C" w:rsidRPr="0054039C" w:rsidRDefault="0054039C" w:rsidP="0054039C">
      <w:pPr>
        <w:tabs>
          <w:tab w:val="left" w:pos="1350"/>
        </w:tabs>
        <w:spacing w:line="480" w:lineRule="auto"/>
        <w:jc w:val="both"/>
        <w:rPr>
          <w:rFonts w:ascii="Arial" w:hAnsi="Arial" w:cs="Arial"/>
          <w:color w:val="595959" w:themeColor="text1" w:themeTint="A6"/>
        </w:rPr>
      </w:pPr>
    </w:p>
    <w:p w14:paraId="57C06F59" w14:textId="77777777" w:rsidR="0054039C" w:rsidRPr="0054039C" w:rsidRDefault="0054039C" w:rsidP="0054039C">
      <w:pPr>
        <w:tabs>
          <w:tab w:val="left" w:pos="1350"/>
        </w:tabs>
        <w:spacing w:line="480" w:lineRule="auto"/>
        <w:jc w:val="both"/>
        <w:rPr>
          <w:rFonts w:ascii="Arial" w:hAnsi="Arial" w:cs="Arial"/>
          <w:color w:val="595959" w:themeColor="text1" w:themeTint="A6"/>
        </w:rPr>
      </w:pPr>
    </w:p>
    <w:p w14:paraId="0C7C8ABE" w14:textId="77777777" w:rsidR="0054039C" w:rsidRPr="0054039C" w:rsidRDefault="0054039C" w:rsidP="0054039C">
      <w:pPr>
        <w:tabs>
          <w:tab w:val="left" w:pos="1350"/>
        </w:tabs>
        <w:spacing w:line="480" w:lineRule="auto"/>
        <w:jc w:val="both"/>
        <w:rPr>
          <w:rFonts w:ascii="Arial" w:hAnsi="Arial" w:cs="Arial"/>
          <w:color w:val="595959" w:themeColor="text1" w:themeTint="A6"/>
        </w:rPr>
      </w:pPr>
    </w:p>
    <w:p w14:paraId="20E35399" w14:textId="77777777" w:rsidR="0054039C" w:rsidRPr="0054039C" w:rsidRDefault="0054039C" w:rsidP="0054039C">
      <w:pPr>
        <w:tabs>
          <w:tab w:val="left" w:pos="1350"/>
        </w:tabs>
        <w:spacing w:line="480" w:lineRule="auto"/>
        <w:jc w:val="both"/>
        <w:rPr>
          <w:rFonts w:ascii="Arial" w:hAnsi="Arial" w:cs="Arial"/>
          <w:color w:val="595959" w:themeColor="text1" w:themeTint="A6"/>
        </w:rPr>
      </w:pPr>
    </w:p>
    <w:p w14:paraId="5DDF820B" w14:textId="77777777" w:rsidR="005E710C" w:rsidRDefault="005E710C" w:rsidP="0054039C">
      <w:pPr>
        <w:tabs>
          <w:tab w:val="left" w:pos="1350"/>
        </w:tabs>
        <w:spacing w:line="480" w:lineRule="auto"/>
        <w:jc w:val="both"/>
        <w:rPr>
          <w:rFonts w:ascii="Arial" w:hAnsi="Arial" w:cs="Arial"/>
          <w:color w:val="595959" w:themeColor="text1" w:themeTint="A6"/>
        </w:rPr>
      </w:pPr>
    </w:p>
    <w:p w14:paraId="4C0ACD61" w14:textId="2F77743B" w:rsidR="0054039C" w:rsidRDefault="0054039C" w:rsidP="008231E9">
      <w:pPr>
        <w:pStyle w:val="Heading4"/>
        <w:rPr>
          <w:rFonts w:ascii="Arial" w:hAnsi="Arial" w:cs="Arial"/>
          <w:color w:val="595959" w:themeColor="text1" w:themeTint="A6"/>
        </w:rPr>
      </w:pPr>
      <w:bookmarkStart w:id="350" w:name="_Toc34208399"/>
      <w:r w:rsidRPr="0054039C">
        <w:rPr>
          <w:rFonts w:ascii="Arial" w:hAnsi="Arial" w:cs="Arial"/>
          <w:color w:val="595959" w:themeColor="text1" w:themeTint="A6"/>
        </w:rPr>
        <w:lastRenderedPageBreak/>
        <w:t>3.3.6.5 COL1A1 expression in NOF and CAF in response to stromal-targeting drugs</w:t>
      </w:r>
      <w:bookmarkEnd w:id="350"/>
      <w:r w:rsidR="008231E9">
        <w:rPr>
          <w:rFonts w:ascii="Arial" w:hAnsi="Arial" w:cs="Arial"/>
          <w:color w:val="595959" w:themeColor="text1" w:themeTint="A6"/>
        </w:rPr>
        <w:t xml:space="preserve"> </w:t>
      </w:r>
    </w:p>
    <w:p w14:paraId="14B2BDE6" w14:textId="77777777" w:rsidR="008231E9" w:rsidRPr="008231E9" w:rsidRDefault="008231E9" w:rsidP="008231E9"/>
    <w:p w14:paraId="5575CFF0" w14:textId="046741E1" w:rsidR="0054039C" w:rsidRPr="0054039C" w:rsidRDefault="0054039C" w:rsidP="0054039C">
      <w:pPr>
        <w:tabs>
          <w:tab w:val="left" w:pos="1350"/>
        </w:tabs>
        <w:spacing w:line="480" w:lineRule="auto"/>
        <w:jc w:val="both"/>
        <w:rPr>
          <w:rFonts w:ascii="Arial" w:hAnsi="Arial" w:cs="Arial"/>
          <w:color w:val="595959" w:themeColor="text1" w:themeTint="A6"/>
        </w:rPr>
      </w:pPr>
      <w:r w:rsidRPr="0054039C">
        <w:rPr>
          <w:rFonts w:ascii="Arial" w:hAnsi="Arial" w:cs="Arial"/>
          <w:color w:val="595959" w:themeColor="text1" w:themeTint="A6"/>
        </w:rPr>
        <w:t xml:space="preserve">Scriptaid </w:t>
      </w:r>
      <w:r w:rsidR="00B4205F">
        <w:rPr>
          <w:rFonts w:ascii="Arial" w:hAnsi="Arial" w:cs="Arial"/>
          <w:color w:val="595959" w:themeColor="text1" w:themeTint="A6"/>
        </w:rPr>
        <w:t xml:space="preserve">treatment </w:t>
      </w:r>
      <w:r w:rsidR="00321121">
        <w:rPr>
          <w:rFonts w:ascii="Arial" w:hAnsi="Arial" w:cs="Arial"/>
          <w:color w:val="595959" w:themeColor="text1" w:themeTint="A6"/>
        </w:rPr>
        <w:t>alone</w:t>
      </w:r>
      <w:r w:rsidR="00FF3ABE">
        <w:rPr>
          <w:rFonts w:ascii="Arial" w:hAnsi="Arial" w:cs="Arial"/>
          <w:color w:val="595959" w:themeColor="text1" w:themeTint="A6"/>
        </w:rPr>
        <w:t xml:space="preserve"> </w:t>
      </w:r>
      <w:r w:rsidRPr="0054039C">
        <w:rPr>
          <w:rFonts w:ascii="Arial" w:hAnsi="Arial" w:cs="Arial"/>
          <w:color w:val="595959" w:themeColor="text1" w:themeTint="A6"/>
        </w:rPr>
        <w:t xml:space="preserve">had no effect on COL1A1 expression </w:t>
      </w:r>
      <w:r w:rsidR="00FF3ABE">
        <w:rPr>
          <w:rFonts w:ascii="Arial" w:hAnsi="Arial" w:cs="Arial"/>
          <w:color w:val="595959" w:themeColor="text1" w:themeTint="A6"/>
        </w:rPr>
        <w:t xml:space="preserve">in </w:t>
      </w:r>
      <w:r w:rsidRPr="0054039C">
        <w:rPr>
          <w:rFonts w:ascii="Arial" w:hAnsi="Arial" w:cs="Arial"/>
          <w:color w:val="595959" w:themeColor="text1" w:themeTint="A6"/>
        </w:rPr>
        <w:t>NOF cultures</w:t>
      </w:r>
      <w:r w:rsidR="00664522">
        <w:rPr>
          <w:rFonts w:ascii="Arial" w:hAnsi="Arial" w:cs="Arial"/>
          <w:color w:val="595959" w:themeColor="text1" w:themeTint="A6"/>
        </w:rPr>
        <w:t xml:space="preserve"> compared to </w:t>
      </w:r>
      <w:r w:rsidR="001A2450">
        <w:rPr>
          <w:rFonts w:ascii="Arial" w:hAnsi="Arial" w:cs="Arial"/>
          <w:color w:val="595959" w:themeColor="text1" w:themeTint="A6"/>
        </w:rPr>
        <w:t xml:space="preserve">vehicle control </w:t>
      </w:r>
      <w:r w:rsidR="00664522">
        <w:rPr>
          <w:rFonts w:ascii="Arial" w:hAnsi="Arial" w:cs="Arial"/>
          <w:color w:val="595959" w:themeColor="text1" w:themeTint="A6"/>
        </w:rPr>
        <w:t>NOF</w:t>
      </w:r>
      <w:r w:rsidR="00321121">
        <w:rPr>
          <w:rFonts w:ascii="Arial" w:hAnsi="Arial" w:cs="Arial"/>
          <w:color w:val="595959" w:themeColor="text1" w:themeTint="A6"/>
        </w:rPr>
        <w:t xml:space="preserve"> (Figure 3.</w:t>
      </w:r>
      <w:r w:rsidR="002945CE">
        <w:rPr>
          <w:rFonts w:ascii="Arial" w:hAnsi="Arial" w:cs="Arial"/>
          <w:color w:val="595959" w:themeColor="text1" w:themeTint="A6"/>
        </w:rPr>
        <w:t>4</w:t>
      </w:r>
      <w:r w:rsidR="00704D85">
        <w:rPr>
          <w:rFonts w:ascii="Arial" w:hAnsi="Arial" w:cs="Arial"/>
          <w:color w:val="595959" w:themeColor="text1" w:themeTint="A6"/>
        </w:rPr>
        <w:t>4</w:t>
      </w:r>
      <w:r w:rsidR="00321121">
        <w:rPr>
          <w:rFonts w:ascii="Arial" w:hAnsi="Arial" w:cs="Arial"/>
          <w:color w:val="595959" w:themeColor="text1" w:themeTint="A6"/>
        </w:rPr>
        <w:t xml:space="preserve"> A)</w:t>
      </w:r>
      <w:r w:rsidR="00FF3ABE">
        <w:rPr>
          <w:rFonts w:ascii="Arial" w:hAnsi="Arial" w:cs="Arial"/>
          <w:color w:val="595959" w:themeColor="text1" w:themeTint="A6"/>
        </w:rPr>
        <w:t>.</w:t>
      </w:r>
      <w:r w:rsidR="00B4205F">
        <w:rPr>
          <w:rFonts w:ascii="Arial" w:hAnsi="Arial" w:cs="Arial"/>
          <w:color w:val="595959" w:themeColor="text1" w:themeTint="A6"/>
        </w:rPr>
        <w:t xml:space="preserve"> </w:t>
      </w:r>
      <w:r w:rsidR="00321121">
        <w:rPr>
          <w:rFonts w:ascii="Arial" w:hAnsi="Arial" w:cs="Arial"/>
          <w:color w:val="595959" w:themeColor="text1" w:themeTint="A6"/>
        </w:rPr>
        <w:t>However, a significant</w:t>
      </w:r>
      <w:r w:rsidR="001A2450">
        <w:rPr>
          <w:rFonts w:ascii="Arial" w:hAnsi="Arial" w:cs="Arial"/>
          <w:color w:val="595959" w:themeColor="text1" w:themeTint="A6"/>
        </w:rPr>
        <w:t xml:space="preserve"> </w:t>
      </w:r>
      <w:r w:rsidR="00321121">
        <w:rPr>
          <w:rFonts w:ascii="Arial" w:hAnsi="Arial" w:cs="Arial"/>
          <w:color w:val="595959" w:themeColor="text1" w:themeTint="A6"/>
        </w:rPr>
        <w:t xml:space="preserve">decrease in COL1A1 expression was observed with </w:t>
      </w:r>
      <w:r w:rsidRPr="0054039C">
        <w:rPr>
          <w:rFonts w:ascii="Arial" w:hAnsi="Arial" w:cs="Arial"/>
          <w:color w:val="595959" w:themeColor="text1" w:themeTint="A6"/>
        </w:rPr>
        <w:t xml:space="preserve">Batimastat </w:t>
      </w:r>
      <w:r w:rsidR="00321121">
        <w:rPr>
          <w:rFonts w:ascii="Arial" w:hAnsi="Arial" w:cs="Arial"/>
          <w:color w:val="595959" w:themeColor="text1" w:themeTint="A6"/>
        </w:rPr>
        <w:t xml:space="preserve">treatment </w:t>
      </w:r>
      <w:r w:rsidR="001C3877">
        <w:rPr>
          <w:rFonts w:ascii="Arial" w:hAnsi="Arial" w:cs="Arial"/>
          <w:color w:val="595959" w:themeColor="text1" w:themeTint="A6"/>
        </w:rPr>
        <w:t xml:space="preserve">(0.55 ± </w:t>
      </w:r>
      <w:r w:rsidR="00B15E60">
        <w:rPr>
          <w:rFonts w:ascii="Arial" w:hAnsi="Arial" w:cs="Arial"/>
          <w:color w:val="595959" w:themeColor="text1" w:themeTint="A6"/>
        </w:rPr>
        <w:t>0.36)</w:t>
      </w:r>
      <w:r w:rsidR="003D6287">
        <w:rPr>
          <w:rFonts w:ascii="Arial" w:hAnsi="Arial" w:cs="Arial"/>
          <w:color w:val="595959" w:themeColor="text1" w:themeTint="A6"/>
        </w:rPr>
        <w:t xml:space="preserve"> compared to </w:t>
      </w:r>
      <w:r w:rsidR="00DD3586">
        <w:rPr>
          <w:rFonts w:ascii="Arial" w:hAnsi="Arial" w:cs="Arial"/>
          <w:color w:val="595959" w:themeColor="text1" w:themeTint="A6"/>
        </w:rPr>
        <w:t>vehicle control</w:t>
      </w:r>
      <w:r w:rsidR="003D6287">
        <w:rPr>
          <w:rFonts w:ascii="Arial" w:hAnsi="Arial" w:cs="Arial"/>
          <w:color w:val="595959" w:themeColor="text1" w:themeTint="A6"/>
        </w:rPr>
        <w:t xml:space="preserve"> NOF, p=0.0122. </w:t>
      </w:r>
      <w:r w:rsidR="007E12F2">
        <w:rPr>
          <w:rFonts w:ascii="Arial" w:hAnsi="Arial" w:cs="Arial"/>
          <w:color w:val="595959" w:themeColor="text1" w:themeTint="A6"/>
        </w:rPr>
        <w:t>Scriptaid</w:t>
      </w:r>
      <w:r w:rsidR="008E33B9">
        <w:rPr>
          <w:rFonts w:ascii="Arial" w:hAnsi="Arial" w:cs="Arial"/>
          <w:color w:val="595959" w:themeColor="text1" w:themeTint="A6"/>
        </w:rPr>
        <w:t xml:space="preserve"> in combination with TGFβ-1, induced a </w:t>
      </w:r>
      <w:r w:rsidR="007E12F2">
        <w:rPr>
          <w:rFonts w:ascii="Arial" w:hAnsi="Arial" w:cs="Arial"/>
          <w:color w:val="595959" w:themeColor="text1" w:themeTint="A6"/>
        </w:rPr>
        <w:t xml:space="preserve">~2-fold reduction in COL1A1 expression </w:t>
      </w:r>
      <w:r w:rsidR="007E12F2" w:rsidRPr="0054039C">
        <w:rPr>
          <w:rFonts w:ascii="Arial" w:hAnsi="Arial" w:cs="Arial"/>
          <w:color w:val="595959" w:themeColor="text1" w:themeTint="A6"/>
        </w:rPr>
        <w:t>compared to TGFβ-1 treatment alone</w:t>
      </w:r>
      <w:r w:rsidR="007E12F2">
        <w:rPr>
          <w:rFonts w:ascii="Arial" w:hAnsi="Arial" w:cs="Arial"/>
          <w:color w:val="595959" w:themeColor="text1" w:themeTint="A6"/>
        </w:rPr>
        <w:t xml:space="preserve"> (4.97 ± 3.20), p=</w:t>
      </w:r>
      <w:r w:rsidR="00260CCF">
        <w:rPr>
          <w:rFonts w:ascii="Arial" w:hAnsi="Arial" w:cs="Arial"/>
          <w:color w:val="595959" w:themeColor="text1" w:themeTint="A6"/>
        </w:rPr>
        <w:t xml:space="preserve">0.0490. </w:t>
      </w:r>
      <w:r w:rsidR="00321121" w:rsidRPr="0054039C">
        <w:rPr>
          <w:rFonts w:ascii="Arial" w:hAnsi="Arial" w:cs="Arial"/>
          <w:color w:val="595959" w:themeColor="text1" w:themeTint="A6"/>
        </w:rPr>
        <w:t xml:space="preserve">Batimastat </w:t>
      </w:r>
      <w:r w:rsidR="006C0864">
        <w:rPr>
          <w:rFonts w:ascii="Arial" w:hAnsi="Arial" w:cs="Arial"/>
          <w:color w:val="595959" w:themeColor="text1" w:themeTint="A6"/>
        </w:rPr>
        <w:t xml:space="preserve">and </w:t>
      </w:r>
      <w:r w:rsidR="00321121" w:rsidRPr="0054039C">
        <w:rPr>
          <w:rFonts w:ascii="Arial" w:hAnsi="Arial" w:cs="Arial"/>
          <w:color w:val="595959" w:themeColor="text1" w:themeTint="A6"/>
        </w:rPr>
        <w:t>TGFβ-1</w:t>
      </w:r>
      <w:r w:rsidR="006C0864">
        <w:rPr>
          <w:rFonts w:ascii="Arial" w:hAnsi="Arial" w:cs="Arial"/>
          <w:color w:val="595959" w:themeColor="text1" w:themeTint="A6"/>
        </w:rPr>
        <w:t xml:space="preserve"> treatment also significantly reduced COL1A1 expression, </w:t>
      </w:r>
      <w:r w:rsidR="00321121">
        <w:rPr>
          <w:rFonts w:ascii="Arial" w:hAnsi="Arial" w:cs="Arial"/>
          <w:color w:val="595959" w:themeColor="text1" w:themeTint="A6"/>
        </w:rPr>
        <w:t>with a ~11-fold reduction</w:t>
      </w:r>
      <w:r w:rsidR="00CF4E21">
        <w:rPr>
          <w:rFonts w:ascii="Arial" w:hAnsi="Arial" w:cs="Arial"/>
          <w:color w:val="595959" w:themeColor="text1" w:themeTint="A6"/>
        </w:rPr>
        <w:t xml:space="preserve"> observed</w:t>
      </w:r>
      <w:r w:rsidR="00321121">
        <w:rPr>
          <w:rFonts w:ascii="Arial" w:hAnsi="Arial" w:cs="Arial"/>
          <w:color w:val="595959" w:themeColor="text1" w:themeTint="A6"/>
        </w:rPr>
        <w:t>, (</w:t>
      </w:r>
      <w:r w:rsidR="00321121" w:rsidRPr="0054039C">
        <w:rPr>
          <w:rFonts w:ascii="Arial" w:hAnsi="Arial" w:cs="Arial"/>
          <w:color w:val="595959" w:themeColor="text1" w:themeTint="A6"/>
        </w:rPr>
        <w:t>0.45 ± 0.50</w:t>
      </w:r>
      <w:r w:rsidR="00321121">
        <w:rPr>
          <w:rFonts w:ascii="Arial" w:hAnsi="Arial" w:cs="Arial"/>
          <w:color w:val="595959" w:themeColor="text1" w:themeTint="A6"/>
        </w:rPr>
        <w:t xml:space="preserve">), </w:t>
      </w:r>
      <w:r w:rsidR="00321121" w:rsidRPr="0054039C">
        <w:rPr>
          <w:rFonts w:ascii="Arial" w:hAnsi="Arial" w:cs="Arial"/>
          <w:color w:val="595959" w:themeColor="text1" w:themeTint="A6"/>
        </w:rPr>
        <w:t>compared to TGFβ-1 treatment alone</w:t>
      </w:r>
      <w:r w:rsidR="00321121">
        <w:rPr>
          <w:rFonts w:ascii="Arial" w:hAnsi="Arial" w:cs="Arial"/>
          <w:color w:val="595959" w:themeColor="text1" w:themeTint="A6"/>
        </w:rPr>
        <w:t xml:space="preserve"> (4.97 ± 3.20)</w:t>
      </w:r>
      <w:r w:rsidR="006E242B">
        <w:rPr>
          <w:rFonts w:ascii="Arial" w:hAnsi="Arial" w:cs="Arial"/>
          <w:color w:val="595959" w:themeColor="text1" w:themeTint="A6"/>
        </w:rPr>
        <w:t>, p=</w:t>
      </w:r>
      <w:r w:rsidR="00CF4E21">
        <w:rPr>
          <w:rFonts w:ascii="Arial" w:hAnsi="Arial" w:cs="Arial"/>
          <w:color w:val="595959" w:themeColor="text1" w:themeTint="A6"/>
        </w:rPr>
        <w:t>0.0064.</w:t>
      </w:r>
    </w:p>
    <w:p w14:paraId="23B711E4" w14:textId="1094D89E" w:rsidR="0054039C" w:rsidRDefault="0001354F" w:rsidP="0054039C">
      <w:pPr>
        <w:tabs>
          <w:tab w:val="left" w:pos="1350"/>
        </w:tabs>
        <w:spacing w:line="480" w:lineRule="auto"/>
        <w:jc w:val="both"/>
        <w:rPr>
          <w:rFonts w:ascii="Arial" w:hAnsi="Arial" w:cs="Arial"/>
          <w:color w:val="595959" w:themeColor="text1" w:themeTint="A6"/>
        </w:rPr>
      </w:pPr>
      <w:r>
        <w:rPr>
          <w:rFonts w:ascii="Arial" w:hAnsi="Arial" w:cs="Arial"/>
          <w:color w:val="595959" w:themeColor="text1" w:themeTint="A6"/>
        </w:rPr>
        <w:t>No</w:t>
      </w:r>
      <w:r w:rsidR="00CF4E21">
        <w:rPr>
          <w:rFonts w:ascii="Arial" w:hAnsi="Arial" w:cs="Arial"/>
          <w:color w:val="595959" w:themeColor="text1" w:themeTint="A6"/>
        </w:rPr>
        <w:t xml:space="preserve"> </w:t>
      </w:r>
      <w:r>
        <w:rPr>
          <w:rFonts w:ascii="Arial" w:hAnsi="Arial" w:cs="Arial"/>
          <w:color w:val="595959" w:themeColor="text1" w:themeTint="A6"/>
        </w:rPr>
        <w:t>differences in COL1A1 transcript expression were observed in</w:t>
      </w:r>
      <w:r w:rsidR="0054039C" w:rsidRPr="0054039C">
        <w:rPr>
          <w:rFonts w:ascii="Arial" w:hAnsi="Arial" w:cs="Arial"/>
          <w:color w:val="595959" w:themeColor="text1" w:themeTint="A6"/>
        </w:rPr>
        <w:t xml:space="preserve"> CAF populations, </w:t>
      </w:r>
      <w:r>
        <w:rPr>
          <w:rFonts w:ascii="Arial" w:hAnsi="Arial" w:cs="Arial"/>
          <w:color w:val="595959" w:themeColor="text1" w:themeTint="A6"/>
        </w:rPr>
        <w:t xml:space="preserve">when treated with Scriptaid and Batimastat alone </w:t>
      </w:r>
      <w:r w:rsidR="00DB7745">
        <w:rPr>
          <w:rFonts w:ascii="Arial" w:hAnsi="Arial" w:cs="Arial"/>
          <w:color w:val="595959" w:themeColor="text1" w:themeTint="A6"/>
        </w:rPr>
        <w:t xml:space="preserve">compared to </w:t>
      </w:r>
      <w:r w:rsidR="00DD3586">
        <w:rPr>
          <w:rFonts w:ascii="Arial" w:hAnsi="Arial" w:cs="Arial"/>
          <w:color w:val="595959" w:themeColor="text1" w:themeTint="A6"/>
        </w:rPr>
        <w:t>vehicle control</w:t>
      </w:r>
      <w:r w:rsidR="00DB7745">
        <w:rPr>
          <w:rFonts w:ascii="Arial" w:hAnsi="Arial" w:cs="Arial"/>
          <w:color w:val="595959" w:themeColor="text1" w:themeTint="A6"/>
        </w:rPr>
        <w:t xml:space="preserve"> CAF cultures, </w:t>
      </w:r>
      <w:r>
        <w:rPr>
          <w:rFonts w:ascii="Arial" w:hAnsi="Arial" w:cs="Arial"/>
          <w:color w:val="595959" w:themeColor="text1" w:themeTint="A6"/>
        </w:rPr>
        <w:t xml:space="preserve">or in combination therapy with </w:t>
      </w:r>
      <w:r w:rsidR="0054039C" w:rsidRPr="0054039C">
        <w:rPr>
          <w:rFonts w:ascii="Arial" w:hAnsi="Arial" w:cs="Arial"/>
          <w:color w:val="595959" w:themeColor="text1" w:themeTint="A6"/>
        </w:rPr>
        <w:t>TGFβ-1</w:t>
      </w:r>
      <w:r w:rsidR="00DB7745">
        <w:rPr>
          <w:rFonts w:ascii="Arial" w:hAnsi="Arial" w:cs="Arial"/>
          <w:color w:val="595959" w:themeColor="text1" w:themeTint="A6"/>
        </w:rPr>
        <w:t xml:space="preserve"> compared to TGFβ-1 treatment alone </w:t>
      </w:r>
      <w:r w:rsidR="00787A83">
        <w:rPr>
          <w:rFonts w:ascii="Arial" w:hAnsi="Arial" w:cs="Arial"/>
          <w:color w:val="595959" w:themeColor="text1" w:themeTint="A6"/>
        </w:rPr>
        <w:t>(5.68 ± 11.32)</w:t>
      </w:r>
      <w:r>
        <w:rPr>
          <w:rFonts w:ascii="Arial" w:hAnsi="Arial" w:cs="Arial"/>
          <w:color w:val="595959" w:themeColor="text1" w:themeTint="A6"/>
        </w:rPr>
        <w:t xml:space="preserve"> (Figure 3.</w:t>
      </w:r>
      <w:r w:rsidR="002945CE">
        <w:rPr>
          <w:rFonts w:ascii="Arial" w:hAnsi="Arial" w:cs="Arial"/>
          <w:color w:val="595959" w:themeColor="text1" w:themeTint="A6"/>
        </w:rPr>
        <w:t>4</w:t>
      </w:r>
      <w:r w:rsidR="00D14C02">
        <w:rPr>
          <w:rFonts w:ascii="Arial" w:hAnsi="Arial" w:cs="Arial"/>
          <w:color w:val="595959" w:themeColor="text1" w:themeTint="A6"/>
        </w:rPr>
        <w:t>4</w:t>
      </w:r>
      <w:r>
        <w:rPr>
          <w:rFonts w:ascii="Arial" w:hAnsi="Arial" w:cs="Arial"/>
          <w:color w:val="595959" w:themeColor="text1" w:themeTint="A6"/>
        </w:rPr>
        <w:t xml:space="preserve"> B).</w:t>
      </w:r>
    </w:p>
    <w:p w14:paraId="6CCEAF43" w14:textId="77777777" w:rsidR="00321121" w:rsidRPr="0054039C" w:rsidRDefault="00321121" w:rsidP="0054039C">
      <w:pPr>
        <w:tabs>
          <w:tab w:val="left" w:pos="1350"/>
        </w:tabs>
        <w:spacing w:line="480" w:lineRule="auto"/>
        <w:jc w:val="both"/>
        <w:rPr>
          <w:rFonts w:ascii="Arial" w:hAnsi="Arial" w:cs="Arial"/>
          <w:color w:val="595959" w:themeColor="text1" w:themeTint="A6"/>
        </w:rPr>
      </w:pPr>
    </w:p>
    <w:p w14:paraId="41361A4A" w14:textId="77777777" w:rsidR="0054039C" w:rsidRPr="0054039C" w:rsidRDefault="0054039C" w:rsidP="0054039C">
      <w:pPr>
        <w:tabs>
          <w:tab w:val="left" w:pos="1350"/>
        </w:tabs>
        <w:spacing w:line="480" w:lineRule="auto"/>
        <w:jc w:val="both"/>
        <w:rPr>
          <w:rFonts w:ascii="Arial" w:hAnsi="Arial" w:cs="Arial"/>
          <w:color w:val="595959" w:themeColor="text1" w:themeTint="A6"/>
        </w:rPr>
      </w:pPr>
    </w:p>
    <w:p w14:paraId="539B6724" w14:textId="77777777" w:rsidR="0054039C" w:rsidRPr="0054039C" w:rsidRDefault="0054039C" w:rsidP="0054039C">
      <w:pPr>
        <w:tabs>
          <w:tab w:val="left" w:pos="1350"/>
        </w:tabs>
        <w:spacing w:line="480" w:lineRule="auto"/>
        <w:jc w:val="both"/>
        <w:rPr>
          <w:rFonts w:ascii="Arial" w:hAnsi="Arial" w:cs="Arial"/>
          <w:color w:val="595959" w:themeColor="text1" w:themeTint="A6"/>
        </w:rPr>
      </w:pPr>
    </w:p>
    <w:p w14:paraId="0BD0BD41" w14:textId="77777777" w:rsidR="0054039C" w:rsidRPr="0054039C" w:rsidRDefault="0054039C" w:rsidP="0054039C">
      <w:pPr>
        <w:tabs>
          <w:tab w:val="left" w:pos="1350"/>
        </w:tabs>
        <w:spacing w:line="480" w:lineRule="auto"/>
        <w:jc w:val="both"/>
        <w:rPr>
          <w:rFonts w:ascii="Arial" w:hAnsi="Arial" w:cs="Arial"/>
          <w:color w:val="595959" w:themeColor="text1" w:themeTint="A6"/>
        </w:rPr>
      </w:pPr>
      <w:r w:rsidRPr="0054039C">
        <w:rPr>
          <w:rFonts w:ascii="Arial" w:hAnsi="Arial" w:cs="Arial"/>
          <w:color w:val="595959" w:themeColor="text1" w:themeTint="A6"/>
        </w:rPr>
        <w:t xml:space="preserve"> </w:t>
      </w:r>
    </w:p>
    <w:p w14:paraId="61F90CAD" w14:textId="77777777" w:rsidR="0054039C" w:rsidRPr="0054039C" w:rsidRDefault="0054039C" w:rsidP="0054039C">
      <w:pPr>
        <w:tabs>
          <w:tab w:val="left" w:pos="1350"/>
        </w:tabs>
        <w:spacing w:line="480" w:lineRule="auto"/>
        <w:jc w:val="both"/>
        <w:rPr>
          <w:rFonts w:ascii="Arial" w:hAnsi="Arial" w:cs="Arial"/>
          <w:color w:val="595959" w:themeColor="text1" w:themeTint="A6"/>
        </w:rPr>
      </w:pPr>
    </w:p>
    <w:p w14:paraId="2A682D2E" w14:textId="77777777" w:rsidR="0054039C" w:rsidRPr="0054039C" w:rsidRDefault="0054039C" w:rsidP="0054039C">
      <w:pPr>
        <w:tabs>
          <w:tab w:val="left" w:pos="1350"/>
        </w:tabs>
        <w:spacing w:line="480" w:lineRule="auto"/>
        <w:jc w:val="both"/>
        <w:rPr>
          <w:rFonts w:ascii="Arial" w:hAnsi="Arial" w:cs="Arial"/>
          <w:color w:val="595959" w:themeColor="text1" w:themeTint="A6"/>
        </w:rPr>
      </w:pPr>
    </w:p>
    <w:p w14:paraId="7999F980" w14:textId="77777777" w:rsidR="0054039C" w:rsidRPr="0054039C" w:rsidRDefault="0054039C" w:rsidP="0054039C">
      <w:pPr>
        <w:tabs>
          <w:tab w:val="left" w:pos="1350"/>
        </w:tabs>
        <w:spacing w:line="480" w:lineRule="auto"/>
        <w:jc w:val="both"/>
        <w:rPr>
          <w:rFonts w:ascii="Arial" w:hAnsi="Arial" w:cs="Arial"/>
          <w:color w:val="595959" w:themeColor="text1" w:themeTint="A6"/>
        </w:rPr>
      </w:pPr>
    </w:p>
    <w:p w14:paraId="2305A1C2" w14:textId="77777777" w:rsidR="0054039C" w:rsidRPr="0054039C" w:rsidRDefault="0054039C" w:rsidP="0054039C">
      <w:pPr>
        <w:tabs>
          <w:tab w:val="left" w:pos="1350"/>
        </w:tabs>
        <w:spacing w:line="480" w:lineRule="auto"/>
        <w:jc w:val="both"/>
        <w:rPr>
          <w:rFonts w:ascii="Arial" w:hAnsi="Arial" w:cs="Arial"/>
          <w:color w:val="595959" w:themeColor="text1" w:themeTint="A6"/>
        </w:rPr>
      </w:pPr>
    </w:p>
    <w:p w14:paraId="2A1B4580" w14:textId="77777777" w:rsidR="0054039C" w:rsidRPr="0054039C" w:rsidRDefault="0054039C" w:rsidP="0054039C">
      <w:pPr>
        <w:tabs>
          <w:tab w:val="left" w:pos="1350"/>
        </w:tabs>
        <w:spacing w:line="480" w:lineRule="auto"/>
        <w:jc w:val="both"/>
        <w:rPr>
          <w:rFonts w:ascii="Arial" w:hAnsi="Arial" w:cs="Arial"/>
          <w:color w:val="595959" w:themeColor="text1" w:themeTint="A6"/>
        </w:rPr>
      </w:pPr>
    </w:p>
    <w:p w14:paraId="3E2FA34C" w14:textId="77777777" w:rsidR="0001354F" w:rsidRPr="0054039C" w:rsidRDefault="0001354F" w:rsidP="0054039C">
      <w:pPr>
        <w:tabs>
          <w:tab w:val="left" w:pos="1350"/>
        </w:tabs>
        <w:spacing w:line="480" w:lineRule="auto"/>
        <w:jc w:val="both"/>
        <w:rPr>
          <w:rFonts w:ascii="Arial" w:hAnsi="Arial" w:cs="Arial"/>
          <w:color w:val="595959" w:themeColor="text1" w:themeTint="A6"/>
        </w:rPr>
      </w:pPr>
    </w:p>
    <w:p w14:paraId="631052BC" w14:textId="77777777" w:rsidR="0054039C" w:rsidRPr="0054039C" w:rsidRDefault="0054039C" w:rsidP="0054039C">
      <w:pPr>
        <w:tabs>
          <w:tab w:val="left" w:pos="1350"/>
        </w:tabs>
        <w:spacing w:line="480" w:lineRule="auto"/>
        <w:jc w:val="both"/>
        <w:rPr>
          <w:rFonts w:ascii="Arial" w:hAnsi="Arial" w:cs="Arial"/>
          <w:color w:val="595959" w:themeColor="text1" w:themeTint="A6"/>
        </w:rPr>
      </w:pPr>
    </w:p>
    <w:p w14:paraId="0442D157" w14:textId="531E99E7" w:rsidR="0054039C" w:rsidRPr="0054039C" w:rsidRDefault="00C307D0" w:rsidP="0054039C">
      <w:pPr>
        <w:tabs>
          <w:tab w:val="left" w:pos="1350"/>
        </w:tabs>
        <w:spacing w:line="480" w:lineRule="auto"/>
        <w:jc w:val="both"/>
        <w:rPr>
          <w:rFonts w:ascii="Arial" w:hAnsi="Arial" w:cs="Arial"/>
          <w:color w:val="595959" w:themeColor="text1" w:themeTint="A6"/>
        </w:rPr>
      </w:pPr>
      <w:r>
        <w:rPr>
          <w:rFonts w:ascii="Arial" w:hAnsi="Arial" w:cs="Arial"/>
          <w:noProof/>
          <w:color w:val="595959" w:themeColor="text1" w:themeTint="A6"/>
        </w:rPr>
        <w:lastRenderedPageBreak/>
        <w:drawing>
          <wp:anchor distT="0" distB="0" distL="114300" distR="114300" simplePos="0" relativeHeight="251658499" behindDoc="0" locked="0" layoutInCell="1" allowOverlap="1" wp14:anchorId="2CF4BA6D" wp14:editId="33C348A3">
            <wp:simplePos x="0" y="0"/>
            <wp:positionH relativeFrom="margin">
              <wp:align>center</wp:align>
            </wp:positionH>
            <wp:positionV relativeFrom="paragraph">
              <wp:posOffset>0</wp:posOffset>
            </wp:positionV>
            <wp:extent cx="4133215" cy="6736715"/>
            <wp:effectExtent l="0" t="0" r="0" b="0"/>
            <wp:wrapNone/>
            <wp:docPr id="5313" name="Picture 5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133215" cy="6736715"/>
                    </a:xfrm>
                    <a:prstGeom prst="rect">
                      <a:avLst/>
                    </a:prstGeom>
                    <a:noFill/>
                  </pic:spPr>
                </pic:pic>
              </a:graphicData>
            </a:graphic>
          </wp:anchor>
        </w:drawing>
      </w:r>
    </w:p>
    <w:p w14:paraId="12659E52" w14:textId="77777777" w:rsidR="0054039C" w:rsidRPr="0054039C" w:rsidRDefault="0054039C" w:rsidP="0054039C">
      <w:pPr>
        <w:tabs>
          <w:tab w:val="left" w:pos="1350"/>
        </w:tabs>
        <w:spacing w:line="480" w:lineRule="auto"/>
        <w:jc w:val="both"/>
        <w:rPr>
          <w:rFonts w:ascii="Arial" w:hAnsi="Arial" w:cs="Arial"/>
          <w:color w:val="595959" w:themeColor="text1" w:themeTint="A6"/>
        </w:rPr>
      </w:pPr>
    </w:p>
    <w:p w14:paraId="5F776D9A" w14:textId="64B71AA9" w:rsidR="0054039C" w:rsidRPr="0054039C" w:rsidRDefault="0054039C" w:rsidP="0054039C">
      <w:pPr>
        <w:tabs>
          <w:tab w:val="left" w:pos="1350"/>
        </w:tabs>
        <w:spacing w:line="480" w:lineRule="auto"/>
        <w:jc w:val="both"/>
        <w:rPr>
          <w:rFonts w:ascii="Arial" w:hAnsi="Arial" w:cs="Arial"/>
          <w:color w:val="595959" w:themeColor="text1" w:themeTint="A6"/>
        </w:rPr>
      </w:pPr>
    </w:p>
    <w:p w14:paraId="03B4A788" w14:textId="77777777" w:rsidR="0054039C" w:rsidRPr="0054039C" w:rsidRDefault="0054039C" w:rsidP="0054039C">
      <w:pPr>
        <w:tabs>
          <w:tab w:val="left" w:pos="1350"/>
        </w:tabs>
        <w:spacing w:line="480" w:lineRule="auto"/>
        <w:jc w:val="both"/>
        <w:rPr>
          <w:rFonts w:ascii="Arial" w:hAnsi="Arial" w:cs="Arial"/>
          <w:color w:val="595959" w:themeColor="text1" w:themeTint="A6"/>
        </w:rPr>
      </w:pPr>
    </w:p>
    <w:p w14:paraId="448BC62D" w14:textId="77777777" w:rsidR="0054039C" w:rsidRPr="0054039C" w:rsidRDefault="0054039C" w:rsidP="0054039C">
      <w:pPr>
        <w:tabs>
          <w:tab w:val="left" w:pos="1350"/>
        </w:tabs>
        <w:spacing w:line="480" w:lineRule="auto"/>
        <w:jc w:val="both"/>
        <w:rPr>
          <w:rFonts w:ascii="Arial" w:hAnsi="Arial" w:cs="Arial"/>
          <w:color w:val="595959" w:themeColor="text1" w:themeTint="A6"/>
        </w:rPr>
      </w:pPr>
    </w:p>
    <w:p w14:paraId="413E87E9" w14:textId="77777777" w:rsidR="0054039C" w:rsidRPr="0054039C" w:rsidRDefault="0054039C" w:rsidP="0054039C">
      <w:pPr>
        <w:tabs>
          <w:tab w:val="left" w:pos="1350"/>
        </w:tabs>
        <w:spacing w:line="480" w:lineRule="auto"/>
        <w:jc w:val="both"/>
        <w:rPr>
          <w:rFonts w:ascii="Arial" w:hAnsi="Arial" w:cs="Arial"/>
          <w:color w:val="595959" w:themeColor="text1" w:themeTint="A6"/>
        </w:rPr>
      </w:pPr>
    </w:p>
    <w:p w14:paraId="16F0CE23" w14:textId="77777777" w:rsidR="0054039C" w:rsidRPr="0054039C" w:rsidRDefault="0054039C" w:rsidP="0054039C">
      <w:pPr>
        <w:tabs>
          <w:tab w:val="left" w:pos="1350"/>
        </w:tabs>
        <w:spacing w:line="480" w:lineRule="auto"/>
        <w:jc w:val="both"/>
        <w:rPr>
          <w:rFonts w:ascii="Arial" w:hAnsi="Arial" w:cs="Arial"/>
          <w:color w:val="595959" w:themeColor="text1" w:themeTint="A6"/>
        </w:rPr>
      </w:pPr>
    </w:p>
    <w:p w14:paraId="2F20DC0C" w14:textId="77777777" w:rsidR="0054039C" w:rsidRPr="0054039C" w:rsidRDefault="0054039C" w:rsidP="0054039C">
      <w:pPr>
        <w:tabs>
          <w:tab w:val="left" w:pos="1350"/>
        </w:tabs>
        <w:spacing w:line="480" w:lineRule="auto"/>
        <w:jc w:val="both"/>
        <w:rPr>
          <w:rFonts w:ascii="Arial" w:hAnsi="Arial" w:cs="Arial"/>
          <w:color w:val="595959" w:themeColor="text1" w:themeTint="A6"/>
        </w:rPr>
      </w:pPr>
    </w:p>
    <w:p w14:paraId="1AA68F34" w14:textId="64EE11FC" w:rsidR="0054039C" w:rsidRDefault="0054039C" w:rsidP="0054039C">
      <w:pPr>
        <w:tabs>
          <w:tab w:val="left" w:pos="1350"/>
        </w:tabs>
        <w:spacing w:line="480" w:lineRule="auto"/>
        <w:jc w:val="both"/>
        <w:rPr>
          <w:rFonts w:ascii="Arial" w:hAnsi="Arial" w:cs="Arial"/>
          <w:color w:val="595959" w:themeColor="text1" w:themeTint="A6"/>
        </w:rPr>
      </w:pPr>
    </w:p>
    <w:p w14:paraId="1C34ECDB" w14:textId="13BE5C43" w:rsidR="00FF3ABE" w:rsidRDefault="00FF3ABE" w:rsidP="0054039C">
      <w:pPr>
        <w:tabs>
          <w:tab w:val="left" w:pos="1350"/>
        </w:tabs>
        <w:spacing w:line="480" w:lineRule="auto"/>
        <w:jc w:val="both"/>
        <w:rPr>
          <w:rFonts w:ascii="Arial" w:hAnsi="Arial" w:cs="Arial"/>
          <w:color w:val="595959" w:themeColor="text1" w:themeTint="A6"/>
        </w:rPr>
      </w:pPr>
    </w:p>
    <w:p w14:paraId="08E63FA0" w14:textId="042399F9" w:rsidR="00FF3ABE" w:rsidRDefault="00FF3ABE" w:rsidP="0054039C">
      <w:pPr>
        <w:tabs>
          <w:tab w:val="left" w:pos="1350"/>
        </w:tabs>
        <w:spacing w:line="480" w:lineRule="auto"/>
        <w:jc w:val="both"/>
        <w:rPr>
          <w:rFonts w:ascii="Arial" w:hAnsi="Arial" w:cs="Arial"/>
          <w:color w:val="595959" w:themeColor="text1" w:themeTint="A6"/>
        </w:rPr>
      </w:pPr>
    </w:p>
    <w:p w14:paraId="64D68573" w14:textId="14CA7C20" w:rsidR="00FF3ABE" w:rsidRDefault="00FF3ABE" w:rsidP="0054039C">
      <w:pPr>
        <w:tabs>
          <w:tab w:val="left" w:pos="1350"/>
        </w:tabs>
        <w:spacing w:line="480" w:lineRule="auto"/>
        <w:jc w:val="both"/>
        <w:rPr>
          <w:rFonts w:ascii="Arial" w:hAnsi="Arial" w:cs="Arial"/>
          <w:color w:val="595959" w:themeColor="text1" w:themeTint="A6"/>
        </w:rPr>
      </w:pPr>
    </w:p>
    <w:p w14:paraId="370887F4" w14:textId="5D547B8C" w:rsidR="00FF3ABE" w:rsidRDefault="00FF3ABE" w:rsidP="0054039C">
      <w:pPr>
        <w:tabs>
          <w:tab w:val="left" w:pos="1350"/>
        </w:tabs>
        <w:spacing w:line="480" w:lineRule="auto"/>
        <w:jc w:val="both"/>
        <w:rPr>
          <w:rFonts w:ascii="Arial" w:hAnsi="Arial" w:cs="Arial"/>
          <w:color w:val="595959" w:themeColor="text1" w:themeTint="A6"/>
        </w:rPr>
      </w:pPr>
    </w:p>
    <w:p w14:paraId="0D1496E2" w14:textId="69ED1A97" w:rsidR="00FF3ABE" w:rsidRDefault="00FF3ABE" w:rsidP="0054039C">
      <w:pPr>
        <w:tabs>
          <w:tab w:val="left" w:pos="1350"/>
        </w:tabs>
        <w:spacing w:line="480" w:lineRule="auto"/>
        <w:jc w:val="both"/>
        <w:rPr>
          <w:rFonts w:ascii="Arial" w:hAnsi="Arial" w:cs="Arial"/>
          <w:color w:val="595959" w:themeColor="text1" w:themeTint="A6"/>
        </w:rPr>
      </w:pPr>
    </w:p>
    <w:p w14:paraId="4821FF6D" w14:textId="5B50DA01" w:rsidR="00FF3ABE" w:rsidRDefault="00FF3ABE" w:rsidP="0054039C">
      <w:pPr>
        <w:tabs>
          <w:tab w:val="left" w:pos="1350"/>
        </w:tabs>
        <w:spacing w:line="480" w:lineRule="auto"/>
        <w:jc w:val="both"/>
        <w:rPr>
          <w:rFonts w:ascii="Arial" w:hAnsi="Arial" w:cs="Arial"/>
          <w:color w:val="595959" w:themeColor="text1" w:themeTint="A6"/>
        </w:rPr>
      </w:pPr>
    </w:p>
    <w:p w14:paraId="47C8374C" w14:textId="77777777" w:rsidR="00FF3ABE" w:rsidRPr="0054039C" w:rsidRDefault="00FF3ABE" w:rsidP="0054039C">
      <w:pPr>
        <w:tabs>
          <w:tab w:val="left" w:pos="1350"/>
        </w:tabs>
        <w:spacing w:line="480" w:lineRule="auto"/>
        <w:jc w:val="both"/>
        <w:rPr>
          <w:rFonts w:ascii="Arial" w:hAnsi="Arial" w:cs="Arial"/>
          <w:color w:val="595959" w:themeColor="text1" w:themeTint="A6"/>
        </w:rPr>
      </w:pPr>
    </w:p>
    <w:p w14:paraId="02D08560" w14:textId="77777777" w:rsidR="0054039C" w:rsidRPr="0054039C" w:rsidRDefault="0054039C" w:rsidP="0054039C">
      <w:pPr>
        <w:tabs>
          <w:tab w:val="left" w:pos="1350"/>
        </w:tabs>
        <w:spacing w:line="480" w:lineRule="auto"/>
        <w:jc w:val="both"/>
        <w:rPr>
          <w:rFonts w:ascii="Arial" w:hAnsi="Arial" w:cs="Arial"/>
          <w:color w:val="595959" w:themeColor="text1" w:themeTint="A6"/>
        </w:rPr>
      </w:pPr>
      <w:r w:rsidRPr="0054039C">
        <w:rPr>
          <w:rFonts w:ascii="Arial" w:hAnsi="Arial" w:cs="Arial"/>
          <w:noProof/>
          <w:color w:val="595959" w:themeColor="text1" w:themeTint="A6"/>
          <w:sz w:val="24"/>
          <w:szCs w:val="24"/>
          <w:lang w:eastAsia="zh-CN"/>
        </w:rPr>
        <mc:AlternateContent>
          <mc:Choice Requires="wps">
            <w:drawing>
              <wp:anchor distT="0" distB="0" distL="114300" distR="114300" simplePos="0" relativeHeight="251658330" behindDoc="0" locked="0" layoutInCell="1" allowOverlap="1" wp14:anchorId="576A32C1" wp14:editId="3FB2C4C9">
                <wp:simplePos x="0" y="0"/>
                <wp:positionH relativeFrom="margin">
                  <wp:align>right</wp:align>
                </wp:positionH>
                <wp:positionV relativeFrom="paragraph">
                  <wp:posOffset>274201</wp:posOffset>
                </wp:positionV>
                <wp:extent cx="5724525" cy="1388853"/>
                <wp:effectExtent l="0" t="0" r="9525" b="1905"/>
                <wp:wrapNone/>
                <wp:docPr id="20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1388853"/>
                        </a:xfrm>
                        <a:prstGeom prst="rect">
                          <a:avLst/>
                        </a:prstGeom>
                        <a:solidFill>
                          <a:srgbClr val="FFFFFF"/>
                        </a:solidFill>
                        <a:ln w="9525">
                          <a:noFill/>
                          <a:miter lim="800000"/>
                          <a:headEnd/>
                          <a:tailEnd/>
                        </a:ln>
                      </wps:spPr>
                      <wps:txbx>
                        <w:txbxContent>
                          <w:p w14:paraId="0A600FB4" w14:textId="6F2B8D56" w:rsidR="008A47AC" w:rsidRDefault="008A47AC" w:rsidP="0054039C">
                            <w:pPr>
                              <w:pStyle w:val="NormalWeb"/>
                              <w:spacing w:after="200"/>
                              <w:jc w:val="both"/>
                              <w:rPr>
                                <w:rFonts w:ascii="Arial Narrow" w:eastAsia="SimSun" w:hAnsi="Arial Narrow" w:cs="Arial"/>
                                <w:b/>
                                <w:bCs/>
                                <w:color w:val="595959"/>
                                <w:kern w:val="24"/>
                                <w:sz w:val="22"/>
                                <w:szCs w:val="22"/>
                              </w:rPr>
                            </w:pPr>
                            <w:r>
                              <w:rPr>
                                <w:rFonts w:ascii="Arial Narrow" w:eastAsia="SimSun" w:hAnsi="Arial Narrow" w:cs="Arial"/>
                                <w:b/>
                                <w:bCs/>
                                <w:color w:val="595959"/>
                                <w:kern w:val="24"/>
                                <w:sz w:val="22"/>
                                <w:szCs w:val="22"/>
                              </w:rPr>
                              <w:t xml:space="preserve">Figure 3.44 COL1A1 gene expression in NOF and CAF in response to Scriptaid and Batimastat treatment with and without TGFβ-1 stimulation </w:t>
                            </w:r>
                          </w:p>
                          <w:p w14:paraId="224720D8" w14:textId="068441C6" w:rsidR="008A47AC" w:rsidRPr="00944EBD" w:rsidRDefault="008A47AC" w:rsidP="0054039C">
                            <w:pPr>
                              <w:pStyle w:val="NormalWeb"/>
                              <w:spacing w:after="200" w:line="276" w:lineRule="auto"/>
                              <w:jc w:val="both"/>
                              <w:rPr>
                                <w:rFonts w:ascii="Arial Narrow" w:eastAsia="SimSun" w:hAnsi="Arial Narrow" w:cs="Arial"/>
                                <w:color w:val="595959"/>
                                <w:kern w:val="24"/>
                                <w:sz w:val="22"/>
                              </w:rPr>
                            </w:pPr>
                            <w:r>
                              <w:rPr>
                                <w:rFonts w:ascii="Arial Narrow" w:eastAsia="SimSun" w:hAnsi="Arial Narrow" w:cs="Arial"/>
                                <w:color w:val="595959"/>
                                <w:kern w:val="24"/>
                                <w:sz w:val="22"/>
                              </w:rPr>
                              <w:t xml:space="preserve">NOF (A) and CAF (B) 2D monolayers were treated with the inhibitors Scriptaid and Batimastat in the presence or absence of </w:t>
                            </w:r>
                            <w:r w:rsidRPr="00944EBD">
                              <w:rPr>
                                <w:rFonts w:ascii="Arial Narrow" w:eastAsia="SimSun" w:hAnsi="Arial Narrow" w:cs="Arial"/>
                                <w:color w:val="595959"/>
                                <w:kern w:val="24"/>
                                <w:sz w:val="22"/>
                              </w:rPr>
                              <w:t xml:space="preserve">TGFβ-1 </w:t>
                            </w:r>
                            <w:r>
                              <w:rPr>
                                <w:rFonts w:ascii="Arial Narrow" w:eastAsia="SimSun" w:hAnsi="Arial Narrow" w:cs="Arial"/>
                                <w:color w:val="595959"/>
                                <w:kern w:val="24"/>
                                <w:sz w:val="22"/>
                              </w:rPr>
                              <w:t xml:space="preserve">for 48 h and the gene expression for COL1A1 was determined by qPCR. Data is expressed as fold change relative to housekeeping gene U6, with mean ± SD, N=3, n=2, * denotes p &lt;0.05, and **p &lt;0.01 as analysed by an unpaired student’s T-test. </w:t>
                            </w:r>
                          </w:p>
                          <w:p w14:paraId="1DC3B7A4" w14:textId="77777777" w:rsidR="008A47AC" w:rsidRDefault="008A47AC" w:rsidP="0054039C">
                            <w:pPr>
                              <w:pStyle w:val="NormalWeb"/>
                              <w:spacing w:after="200" w:line="276" w:lineRule="auto"/>
                              <w:jc w:val="both"/>
                              <w:rPr>
                                <w:rFonts w:ascii="Arial Narrow" w:eastAsia="SimSun" w:hAnsi="Arial Narrow" w:cs="Arial"/>
                                <w:color w:val="595959"/>
                                <w:kern w:val="24"/>
                              </w:rPr>
                            </w:pPr>
                          </w:p>
                          <w:p w14:paraId="7868D8C1" w14:textId="77777777" w:rsidR="008A47AC" w:rsidRDefault="008A47AC" w:rsidP="0054039C">
                            <w:pPr>
                              <w:pStyle w:val="NormalWeb"/>
                              <w:spacing w:after="200" w:line="276" w:lineRule="auto"/>
                              <w:jc w:val="both"/>
                              <w:rPr>
                                <w:rFonts w:ascii="Arial Narrow" w:eastAsia="SimSun" w:hAnsi="Arial Narrow" w:cs="Arial"/>
                                <w:color w:val="595959"/>
                                <w:kern w:val="24"/>
                              </w:rPr>
                            </w:pPr>
                          </w:p>
                          <w:p w14:paraId="69505D92" w14:textId="77777777" w:rsidR="008A47AC" w:rsidRPr="00AE10F9" w:rsidRDefault="008A47AC" w:rsidP="0054039C">
                            <w:pPr>
                              <w:pStyle w:val="NormalWeb"/>
                              <w:spacing w:after="200" w:line="276" w:lineRule="auto"/>
                              <w:jc w:val="both"/>
                              <w:rPr>
                                <w:rFonts w:ascii="Arial Narrow" w:eastAsia="SimSun" w:hAnsi="Arial Narrow" w:cs="Arial"/>
                                <w:color w:val="595959"/>
                                <w:kern w:val="24"/>
                              </w:rPr>
                            </w:pPr>
                          </w:p>
                          <w:p w14:paraId="4B2294D0" w14:textId="77777777" w:rsidR="008A47AC" w:rsidRDefault="008A47AC" w:rsidP="0054039C">
                            <w:pPr>
                              <w:pStyle w:val="NormalWeb"/>
                              <w:spacing w:after="200" w:line="276" w:lineRule="auto"/>
                              <w:jc w:val="both"/>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6A32C1" id="_x0000_s1121" type="#_x0000_t202" style="position:absolute;left:0;text-align:left;margin-left:399.55pt;margin-top:21.6pt;width:450.75pt;height:109.35pt;z-index:25165833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" stroked="f">
                <v:textbox>
                  <w:txbxContent>
                    <w:p w14:paraId="0A600FB4" w14:textId="6F2B8D56" w:rsidR="008A47AC" w:rsidRDefault="008A47AC" w:rsidP="0054039C">
                      <w:pPr>
                        <w:pStyle w:val="NormalWeb"/>
                        <w:spacing w:after="200"/>
                        <w:jc w:val="both"/>
                        <w:rPr>
                          <w:rFonts w:ascii="Arial Narrow" w:eastAsia="SimSun" w:hAnsi="Arial Narrow" w:cs="Arial"/>
                          <w:b/>
                          <w:bCs/>
                          <w:color w:val="595959"/>
                          <w:kern w:val="24"/>
                          <w:sz w:val="22"/>
                          <w:szCs w:val="22"/>
                        </w:rPr>
                      </w:pPr>
                      <w:r>
                        <w:rPr>
                          <w:rFonts w:ascii="Arial Narrow" w:eastAsia="SimSun" w:hAnsi="Arial Narrow" w:cs="Arial"/>
                          <w:b/>
                          <w:bCs/>
                          <w:color w:val="595959"/>
                          <w:kern w:val="24"/>
                          <w:sz w:val="22"/>
                          <w:szCs w:val="22"/>
                        </w:rPr>
                        <w:t xml:space="preserve">Figure 3.44 COL1A1 gene expression in NOF and CAF in response to Scriptaid and Batimastat treatment with and without TGFβ-1 stimulation </w:t>
                      </w:r>
                    </w:p>
                    <w:p w14:paraId="224720D8" w14:textId="068441C6" w:rsidR="008A47AC" w:rsidRPr="00944EBD" w:rsidRDefault="008A47AC" w:rsidP="0054039C">
                      <w:pPr>
                        <w:pStyle w:val="NormalWeb"/>
                        <w:spacing w:after="200" w:line="276" w:lineRule="auto"/>
                        <w:jc w:val="both"/>
                        <w:rPr>
                          <w:rFonts w:ascii="Arial Narrow" w:eastAsia="SimSun" w:hAnsi="Arial Narrow" w:cs="Arial"/>
                          <w:color w:val="595959"/>
                          <w:kern w:val="24"/>
                          <w:sz w:val="22"/>
                        </w:rPr>
                      </w:pPr>
                      <w:r>
                        <w:rPr>
                          <w:rFonts w:ascii="Arial Narrow" w:eastAsia="SimSun" w:hAnsi="Arial Narrow" w:cs="Arial"/>
                          <w:color w:val="595959"/>
                          <w:kern w:val="24"/>
                          <w:sz w:val="22"/>
                        </w:rPr>
                        <w:t xml:space="preserve">NOF (A) and CAF (B) 2D monolayers were treated with the inhibitors Scriptaid and Batimastat in the presence or absence of </w:t>
                      </w:r>
                      <w:r w:rsidRPr="00944EBD">
                        <w:rPr>
                          <w:rFonts w:ascii="Arial Narrow" w:eastAsia="SimSun" w:hAnsi="Arial Narrow" w:cs="Arial"/>
                          <w:color w:val="595959"/>
                          <w:kern w:val="24"/>
                          <w:sz w:val="22"/>
                        </w:rPr>
                        <w:t xml:space="preserve">TGFβ-1 </w:t>
                      </w:r>
                      <w:r>
                        <w:rPr>
                          <w:rFonts w:ascii="Arial Narrow" w:eastAsia="SimSun" w:hAnsi="Arial Narrow" w:cs="Arial"/>
                          <w:color w:val="595959"/>
                          <w:kern w:val="24"/>
                          <w:sz w:val="22"/>
                        </w:rPr>
                        <w:t xml:space="preserve">for 48 h and the gene expression for COL1A1 was determined by qPCR. Data is expressed as fold change relative to housekeeping gene U6, with mean ± SD, N=3, n=2, * denotes p &lt;0.05, and **p &lt;0.01 as analysed by an unpaired student’s T-test. </w:t>
                      </w:r>
                    </w:p>
                    <w:p w14:paraId="1DC3B7A4" w14:textId="77777777" w:rsidR="008A47AC" w:rsidRDefault="008A47AC" w:rsidP="0054039C">
                      <w:pPr>
                        <w:pStyle w:val="NormalWeb"/>
                        <w:spacing w:after="200" w:line="276" w:lineRule="auto"/>
                        <w:jc w:val="both"/>
                        <w:rPr>
                          <w:rFonts w:ascii="Arial Narrow" w:eastAsia="SimSun" w:hAnsi="Arial Narrow" w:cs="Arial"/>
                          <w:color w:val="595959"/>
                          <w:kern w:val="24"/>
                        </w:rPr>
                      </w:pPr>
                    </w:p>
                    <w:p w14:paraId="7868D8C1" w14:textId="77777777" w:rsidR="008A47AC" w:rsidRDefault="008A47AC" w:rsidP="0054039C">
                      <w:pPr>
                        <w:pStyle w:val="NormalWeb"/>
                        <w:spacing w:after="200" w:line="276" w:lineRule="auto"/>
                        <w:jc w:val="both"/>
                        <w:rPr>
                          <w:rFonts w:ascii="Arial Narrow" w:eastAsia="SimSun" w:hAnsi="Arial Narrow" w:cs="Arial"/>
                          <w:color w:val="595959"/>
                          <w:kern w:val="24"/>
                        </w:rPr>
                      </w:pPr>
                    </w:p>
                    <w:p w14:paraId="69505D92" w14:textId="77777777" w:rsidR="008A47AC" w:rsidRPr="00AE10F9" w:rsidRDefault="008A47AC" w:rsidP="0054039C">
                      <w:pPr>
                        <w:pStyle w:val="NormalWeb"/>
                        <w:spacing w:after="200" w:line="276" w:lineRule="auto"/>
                        <w:jc w:val="both"/>
                        <w:rPr>
                          <w:rFonts w:ascii="Arial Narrow" w:eastAsia="SimSun" w:hAnsi="Arial Narrow" w:cs="Arial"/>
                          <w:color w:val="595959"/>
                          <w:kern w:val="24"/>
                        </w:rPr>
                      </w:pPr>
                    </w:p>
                    <w:p w14:paraId="4B2294D0" w14:textId="77777777" w:rsidR="008A47AC" w:rsidRDefault="008A47AC" w:rsidP="0054039C">
                      <w:pPr>
                        <w:pStyle w:val="NormalWeb"/>
                        <w:spacing w:after="200" w:line="276" w:lineRule="auto"/>
                        <w:jc w:val="both"/>
                      </w:pPr>
                    </w:p>
                  </w:txbxContent>
                </v:textbox>
                <w10:wrap anchorx="margin"/>
              </v:shape>
            </w:pict>
          </mc:Fallback>
        </mc:AlternateContent>
      </w:r>
    </w:p>
    <w:p w14:paraId="1499724B" w14:textId="77777777" w:rsidR="0054039C" w:rsidRPr="0054039C" w:rsidRDefault="0054039C" w:rsidP="0054039C">
      <w:pPr>
        <w:tabs>
          <w:tab w:val="left" w:pos="1350"/>
        </w:tabs>
        <w:spacing w:line="480" w:lineRule="auto"/>
        <w:jc w:val="both"/>
        <w:rPr>
          <w:rFonts w:ascii="Arial" w:hAnsi="Arial" w:cs="Arial"/>
          <w:color w:val="595959" w:themeColor="text1" w:themeTint="A6"/>
        </w:rPr>
      </w:pPr>
    </w:p>
    <w:p w14:paraId="5DC2667D" w14:textId="77777777" w:rsidR="0054039C" w:rsidRPr="0054039C" w:rsidRDefault="0054039C" w:rsidP="0054039C">
      <w:pPr>
        <w:tabs>
          <w:tab w:val="left" w:pos="1350"/>
        </w:tabs>
        <w:spacing w:line="480" w:lineRule="auto"/>
        <w:jc w:val="both"/>
        <w:rPr>
          <w:rFonts w:ascii="Arial" w:hAnsi="Arial" w:cs="Arial"/>
          <w:color w:val="595959" w:themeColor="text1" w:themeTint="A6"/>
        </w:rPr>
      </w:pPr>
    </w:p>
    <w:p w14:paraId="05E29F95" w14:textId="77777777" w:rsidR="0054039C" w:rsidRPr="0054039C" w:rsidRDefault="0054039C" w:rsidP="0054039C">
      <w:pPr>
        <w:tabs>
          <w:tab w:val="left" w:pos="1350"/>
        </w:tabs>
        <w:spacing w:line="480" w:lineRule="auto"/>
        <w:jc w:val="both"/>
        <w:rPr>
          <w:rFonts w:ascii="Arial" w:hAnsi="Arial" w:cs="Arial"/>
          <w:color w:val="595959" w:themeColor="text1" w:themeTint="A6"/>
        </w:rPr>
      </w:pPr>
    </w:p>
    <w:p w14:paraId="6210C642" w14:textId="77777777" w:rsidR="0054039C" w:rsidRPr="0054039C" w:rsidRDefault="0054039C" w:rsidP="0054039C">
      <w:pPr>
        <w:tabs>
          <w:tab w:val="left" w:pos="1350"/>
        </w:tabs>
        <w:spacing w:line="480" w:lineRule="auto"/>
        <w:jc w:val="both"/>
        <w:rPr>
          <w:rFonts w:ascii="Arial" w:hAnsi="Arial" w:cs="Arial"/>
          <w:color w:val="595959" w:themeColor="text1" w:themeTint="A6"/>
        </w:rPr>
      </w:pPr>
    </w:p>
    <w:p w14:paraId="02A5965F" w14:textId="3951C311" w:rsidR="0054039C" w:rsidRDefault="0054039C" w:rsidP="00323B58">
      <w:pPr>
        <w:pStyle w:val="Heading4"/>
        <w:rPr>
          <w:rFonts w:ascii="Arial" w:hAnsi="Arial" w:cs="Arial"/>
          <w:color w:val="595959" w:themeColor="text1" w:themeTint="A6"/>
        </w:rPr>
      </w:pPr>
      <w:bookmarkStart w:id="351" w:name="_Toc34208400"/>
      <w:r w:rsidRPr="0054039C">
        <w:rPr>
          <w:rFonts w:ascii="Arial" w:hAnsi="Arial" w:cs="Arial"/>
          <w:color w:val="595959" w:themeColor="text1" w:themeTint="A6"/>
        </w:rPr>
        <w:lastRenderedPageBreak/>
        <w:t>3.3.6.</w:t>
      </w:r>
      <w:r w:rsidR="00A20CF1">
        <w:rPr>
          <w:rFonts w:ascii="Arial" w:hAnsi="Arial" w:cs="Arial"/>
          <w:color w:val="595959" w:themeColor="text1" w:themeTint="A6"/>
        </w:rPr>
        <w:t>6</w:t>
      </w:r>
      <w:r w:rsidRPr="0054039C">
        <w:rPr>
          <w:rFonts w:ascii="Arial" w:hAnsi="Arial" w:cs="Arial"/>
          <w:color w:val="595959" w:themeColor="text1" w:themeTint="A6"/>
        </w:rPr>
        <w:t xml:space="preserve"> COL1A1 abundance in NOF and CAF in response to stromal-targeting drugs</w:t>
      </w:r>
      <w:bookmarkEnd w:id="351"/>
      <w:r w:rsidRPr="0054039C">
        <w:rPr>
          <w:rFonts w:ascii="Arial" w:hAnsi="Arial" w:cs="Arial"/>
          <w:color w:val="595959" w:themeColor="text1" w:themeTint="A6"/>
        </w:rPr>
        <w:t xml:space="preserve"> </w:t>
      </w:r>
    </w:p>
    <w:p w14:paraId="10B534C7" w14:textId="77777777" w:rsidR="00323B58" w:rsidRPr="00323B58" w:rsidRDefault="00323B58" w:rsidP="00323B58"/>
    <w:p w14:paraId="25867C9A" w14:textId="292EBB13" w:rsidR="0054039C" w:rsidRPr="0054039C" w:rsidRDefault="00337D5B" w:rsidP="0054039C">
      <w:pPr>
        <w:tabs>
          <w:tab w:val="left" w:pos="1350"/>
        </w:tabs>
        <w:spacing w:line="480" w:lineRule="auto"/>
        <w:jc w:val="both"/>
        <w:rPr>
          <w:rFonts w:ascii="Arial" w:hAnsi="Arial" w:cs="Arial"/>
          <w:color w:val="595959" w:themeColor="text1" w:themeTint="A6"/>
        </w:rPr>
      </w:pPr>
      <w:r>
        <w:rPr>
          <w:rFonts w:ascii="Arial" w:hAnsi="Arial" w:cs="Arial"/>
          <w:color w:val="595959" w:themeColor="text1" w:themeTint="A6"/>
        </w:rPr>
        <w:t xml:space="preserve">In NOF cultures, Batimastat had no effect on COL1A1 protein abundance </w:t>
      </w:r>
      <w:r w:rsidR="00E72D54">
        <w:rPr>
          <w:rFonts w:ascii="Arial" w:hAnsi="Arial" w:cs="Arial"/>
          <w:color w:val="595959" w:themeColor="text1" w:themeTint="A6"/>
        </w:rPr>
        <w:t>compared to</w:t>
      </w:r>
      <w:r w:rsidR="00007BCD">
        <w:rPr>
          <w:rFonts w:ascii="Arial" w:hAnsi="Arial" w:cs="Arial"/>
          <w:color w:val="595959" w:themeColor="text1" w:themeTint="A6"/>
        </w:rPr>
        <w:t xml:space="preserve"> vehicle control</w:t>
      </w:r>
      <w:r w:rsidR="00E72D54">
        <w:rPr>
          <w:rFonts w:ascii="Arial" w:hAnsi="Arial" w:cs="Arial"/>
          <w:color w:val="595959" w:themeColor="text1" w:themeTint="A6"/>
        </w:rPr>
        <w:t xml:space="preserve"> </w:t>
      </w:r>
      <w:r w:rsidR="006427B5">
        <w:rPr>
          <w:rFonts w:ascii="Arial" w:hAnsi="Arial" w:cs="Arial"/>
          <w:color w:val="595959" w:themeColor="text1" w:themeTint="A6"/>
        </w:rPr>
        <w:t xml:space="preserve">samples </w:t>
      </w:r>
      <w:r>
        <w:rPr>
          <w:rFonts w:ascii="Arial" w:hAnsi="Arial" w:cs="Arial"/>
          <w:color w:val="595959" w:themeColor="text1" w:themeTint="A6"/>
        </w:rPr>
        <w:t>(</w:t>
      </w:r>
      <w:r w:rsidR="00764903">
        <w:rPr>
          <w:rFonts w:ascii="Arial" w:hAnsi="Arial" w:cs="Arial"/>
          <w:color w:val="595959" w:themeColor="text1" w:themeTint="A6"/>
        </w:rPr>
        <w:t>Figure 3.</w:t>
      </w:r>
      <w:r w:rsidR="00AB6328">
        <w:rPr>
          <w:rFonts w:ascii="Arial" w:hAnsi="Arial" w:cs="Arial"/>
          <w:color w:val="595959" w:themeColor="text1" w:themeTint="A6"/>
        </w:rPr>
        <w:t>4</w:t>
      </w:r>
      <w:r w:rsidR="00D14C02">
        <w:rPr>
          <w:rFonts w:ascii="Arial" w:hAnsi="Arial" w:cs="Arial"/>
          <w:color w:val="595959" w:themeColor="text1" w:themeTint="A6"/>
        </w:rPr>
        <w:t>5</w:t>
      </w:r>
      <w:r w:rsidR="00764903">
        <w:rPr>
          <w:rFonts w:ascii="Arial" w:hAnsi="Arial" w:cs="Arial"/>
          <w:color w:val="595959" w:themeColor="text1" w:themeTint="A6"/>
        </w:rPr>
        <w:t xml:space="preserve"> </w:t>
      </w:r>
      <w:r>
        <w:rPr>
          <w:rFonts w:ascii="Arial" w:hAnsi="Arial" w:cs="Arial"/>
          <w:color w:val="595959" w:themeColor="text1" w:themeTint="A6"/>
        </w:rPr>
        <w:t>A i</w:t>
      </w:r>
      <w:r w:rsidR="00764903">
        <w:rPr>
          <w:rFonts w:ascii="Arial" w:hAnsi="Arial" w:cs="Arial"/>
          <w:color w:val="595959" w:themeColor="text1" w:themeTint="A6"/>
        </w:rPr>
        <w:t xml:space="preserve">- B i). </w:t>
      </w:r>
      <w:r w:rsidR="006427B5">
        <w:rPr>
          <w:rFonts w:ascii="Arial" w:hAnsi="Arial" w:cs="Arial"/>
          <w:color w:val="595959" w:themeColor="text1" w:themeTint="A6"/>
        </w:rPr>
        <w:t>A ~3-fold r</w:t>
      </w:r>
      <w:r w:rsidR="0081332E" w:rsidRPr="0054039C">
        <w:rPr>
          <w:rFonts w:ascii="Arial" w:hAnsi="Arial" w:cs="Arial"/>
          <w:color w:val="595959" w:themeColor="text1" w:themeTint="A6"/>
        </w:rPr>
        <w:t>educ</w:t>
      </w:r>
      <w:r w:rsidR="006427B5">
        <w:rPr>
          <w:rFonts w:ascii="Arial" w:hAnsi="Arial" w:cs="Arial"/>
          <w:color w:val="595959" w:themeColor="text1" w:themeTint="A6"/>
        </w:rPr>
        <w:t>tion in</w:t>
      </w:r>
      <w:r w:rsidR="0081332E" w:rsidRPr="0054039C">
        <w:rPr>
          <w:rFonts w:ascii="Arial" w:hAnsi="Arial" w:cs="Arial"/>
          <w:color w:val="595959" w:themeColor="text1" w:themeTint="A6"/>
        </w:rPr>
        <w:t xml:space="preserve"> </w:t>
      </w:r>
      <w:r w:rsidR="0054039C" w:rsidRPr="0054039C">
        <w:rPr>
          <w:rFonts w:ascii="Arial" w:hAnsi="Arial" w:cs="Arial"/>
          <w:color w:val="595959" w:themeColor="text1" w:themeTint="A6"/>
        </w:rPr>
        <w:t xml:space="preserve">COL1A1 protein </w:t>
      </w:r>
      <w:r w:rsidR="0081332E">
        <w:rPr>
          <w:rFonts w:ascii="Arial" w:hAnsi="Arial" w:cs="Arial"/>
          <w:color w:val="595959" w:themeColor="text1" w:themeTint="A6"/>
        </w:rPr>
        <w:t>abundance</w:t>
      </w:r>
      <w:r w:rsidR="002A1276">
        <w:rPr>
          <w:rFonts w:ascii="Arial" w:hAnsi="Arial" w:cs="Arial"/>
          <w:color w:val="595959" w:themeColor="text1" w:themeTint="A6"/>
        </w:rPr>
        <w:t xml:space="preserve"> </w:t>
      </w:r>
      <w:r w:rsidR="00764903">
        <w:rPr>
          <w:rFonts w:ascii="Arial" w:hAnsi="Arial" w:cs="Arial"/>
          <w:color w:val="595959" w:themeColor="text1" w:themeTint="A6"/>
        </w:rPr>
        <w:t xml:space="preserve">was observed </w:t>
      </w:r>
      <w:r w:rsidR="002A1276">
        <w:rPr>
          <w:rFonts w:ascii="Arial" w:hAnsi="Arial" w:cs="Arial"/>
          <w:color w:val="595959" w:themeColor="text1" w:themeTint="A6"/>
        </w:rPr>
        <w:t>in NOF</w:t>
      </w:r>
      <w:r w:rsidR="0081332E">
        <w:rPr>
          <w:rFonts w:ascii="Arial" w:hAnsi="Arial" w:cs="Arial"/>
          <w:color w:val="595959" w:themeColor="text1" w:themeTint="A6"/>
        </w:rPr>
        <w:t xml:space="preserve"> </w:t>
      </w:r>
      <w:r w:rsidR="00764903">
        <w:rPr>
          <w:rFonts w:ascii="Arial" w:hAnsi="Arial" w:cs="Arial"/>
          <w:color w:val="595959" w:themeColor="text1" w:themeTint="A6"/>
        </w:rPr>
        <w:t xml:space="preserve">cultures </w:t>
      </w:r>
      <w:r w:rsidR="0054039C" w:rsidRPr="0054039C">
        <w:rPr>
          <w:rFonts w:ascii="Arial" w:hAnsi="Arial" w:cs="Arial"/>
          <w:color w:val="595959" w:themeColor="text1" w:themeTint="A6"/>
        </w:rPr>
        <w:t xml:space="preserve">in response to Scriptaid </w:t>
      </w:r>
      <w:r w:rsidR="00AE1765">
        <w:rPr>
          <w:rFonts w:ascii="Arial" w:hAnsi="Arial" w:cs="Arial"/>
          <w:color w:val="595959" w:themeColor="text1" w:themeTint="A6"/>
        </w:rPr>
        <w:t xml:space="preserve">(0.27 ± </w:t>
      </w:r>
      <w:r w:rsidR="001B2D1A">
        <w:rPr>
          <w:rFonts w:ascii="Arial" w:hAnsi="Arial" w:cs="Arial"/>
          <w:color w:val="595959" w:themeColor="text1" w:themeTint="A6"/>
        </w:rPr>
        <w:t>0.16) compared to</w:t>
      </w:r>
      <w:r w:rsidR="00007BCD">
        <w:rPr>
          <w:rFonts w:ascii="Arial" w:hAnsi="Arial" w:cs="Arial"/>
          <w:color w:val="595959" w:themeColor="text1" w:themeTint="A6"/>
        </w:rPr>
        <w:t xml:space="preserve"> vehicle control</w:t>
      </w:r>
      <w:r w:rsidR="001B2D1A">
        <w:rPr>
          <w:rFonts w:ascii="Arial" w:hAnsi="Arial" w:cs="Arial"/>
          <w:color w:val="595959" w:themeColor="text1" w:themeTint="A6"/>
        </w:rPr>
        <w:t xml:space="preserve"> NOF cultures, p=0.0013. </w:t>
      </w:r>
      <w:r w:rsidR="00457CBC">
        <w:rPr>
          <w:rFonts w:ascii="Arial" w:hAnsi="Arial" w:cs="Arial"/>
          <w:color w:val="595959" w:themeColor="text1" w:themeTint="A6"/>
        </w:rPr>
        <w:t>In combination therapy with TGFβ-1</w:t>
      </w:r>
      <w:r w:rsidR="00830266">
        <w:rPr>
          <w:rFonts w:ascii="Arial" w:hAnsi="Arial" w:cs="Arial"/>
          <w:color w:val="595959" w:themeColor="text1" w:themeTint="A6"/>
        </w:rPr>
        <w:t xml:space="preserve">, </w:t>
      </w:r>
      <w:r w:rsidR="006A3EFE">
        <w:rPr>
          <w:rFonts w:ascii="Arial" w:hAnsi="Arial" w:cs="Arial"/>
          <w:color w:val="595959" w:themeColor="text1" w:themeTint="A6"/>
        </w:rPr>
        <w:t xml:space="preserve">no significant differences in COL1A1 abundance were observable. </w:t>
      </w:r>
      <w:r w:rsidR="0054039C" w:rsidRPr="0054039C">
        <w:rPr>
          <w:rFonts w:ascii="Arial" w:hAnsi="Arial" w:cs="Arial"/>
          <w:color w:val="595959" w:themeColor="text1" w:themeTint="A6"/>
        </w:rPr>
        <w:t xml:space="preserve">Batimastat </w:t>
      </w:r>
      <w:r w:rsidR="00BD4990">
        <w:rPr>
          <w:rFonts w:ascii="Arial" w:hAnsi="Arial" w:cs="Arial"/>
          <w:color w:val="595959" w:themeColor="text1" w:themeTint="A6"/>
        </w:rPr>
        <w:t xml:space="preserve">in combination therapy with </w:t>
      </w:r>
      <w:r w:rsidR="00BD4990" w:rsidRPr="0054039C">
        <w:rPr>
          <w:rFonts w:ascii="Arial" w:hAnsi="Arial" w:cs="Arial"/>
          <w:color w:val="595959" w:themeColor="text1" w:themeTint="A6"/>
        </w:rPr>
        <w:t>TGFβ-1</w:t>
      </w:r>
      <w:r w:rsidR="00BD4990">
        <w:rPr>
          <w:rFonts w:ascii="Arial" w:hAnsi="Arial" w:cs="Arial"/>
          <w:color w:val="595959" w:themeColor="text1" w:themeTint="A6"/>
        </w:rPr>
        <w:t xml:space="preserve"> (</w:t>
      </w:r>
      <w:r w:rsidR="00104F45">
        <w:rPr>
          <w:rFonts w:ascii="Arial" w:hAnsi="Arial" w:cs="Arial"/>
          <w:color w:val="595959" w:themeColor="text1" w:themeTint="A6"/>
        </w:rPr>
        <w:t xml:space="preserve">1.27 ± </w:t>
      </w:r>
      <w:r w:rsidR="00707BD3">
        <w:rPr>
          <w:rFonts w:ascii="Arial" w:hAnsi="Arial" w:cs="Arial"/>
          <w:color w:val="595959" w:themeColor="text1" w:themeTint="A6"/>
        </w:rPr>
        <w:t>0.25</w:t>
      </w:r>
      <w:r w:rsidR="00BD4990">
        <w:rPr>
          <w:rFonts w:ascii="Arial" w:hAnsi="Arial" w:cs="Arial"/>
          <w:color w:val="595959" w:themeColor="text1" w:themeTint="A6"/>
        </w:rPr>
        <w:t xml:space="preserve">) </w:t>
      </w:r>
      <w:r w:rsidR="00D35EA9">
        <w:rPr>
          <w:rFonts w:ascii="Arial" w:hAnsi="Arial" w:cs="Arial"/>
          <w:color w:val="595959" w:themeColor="text1" w:themeTint="A6"/>
        </w:rPr>
        <w:t xml:space="preserve">produced no significant difference in </w:t>
      </w:r>
      <w:r w:rsidR="00BD4990">
        <w:rPr>
          <w:rFonts w:ascii="Arial" w:hAnsi="Arial" w:cs="Arial"/>
          <w:color w:val="595959" w:themeColor="text1" w:themeTint="A6"/>
        </w:rPr>
        <w:t xml:space="preserve">COL1A1 abundance compared to </w:t>
      </w:r>
      <w:r w:rsidR="001A050E">
        <w:rPr>
          <w:rFonts w:ascii="Arial" w:hAnsi="Arial" w:cs="Arial"/>
          <w:color w:val="595959" w:themeColor="text1" w:themeTint="A6"/>
        </w:rPr>
        <w:t xml:space="preserve">the effects of </w:t>
      </w:r>
      <w:r w:rsidR="00BD4990" w:rsidRPr="0054039C">
        <w:rPr>
          <w:rFonts w:ascii="Arial" w:hAnsi="Arial" w:cs="Arial"/>
          <w:color w:val="595959" w:themeColor="text1" w:themeTint="A6"/>
        </w:rPr>
        <w:t xml:space="preserve">TGFβ-1 </w:t>
      </w:r>
      <w:r w:rsidR="00BD4990">
        <w:rPr>
          <w:rFonts w:ascii="Arial" w:hAnsi="Arial" w:cs="Arial"/>
          <w:color w:val="595959" w:themeColor="text1" w:themeTint="A6"/>
        </w:rPr>
        <w:t>treatment alone</w:t>
      </w:r>
      <w:r w:rsidR="0019170C">
        <w:rPr>
          <w:rFonts w:ascii="Arial" w:hAnsi="Arial" w:cs="Arial"/>
          <w:color w:val="595959" w:themeColor="text1" w:themeTint="A6"/>
        </w:rPr>
        <w:t xml:space="preserve"> (1.32 </w:t>
      </w:r>
      <w:r w:rsidR="00326D5F">
        <w:rPr>
          <w:rFonts w:ascii="Arial" w:hAnsi="Arial" w:cs="Arial"/>
          <w:color w:val="595959" w:themeColor="text1" w:themeTint="A6"/>
        </w:rPr>
        <w:t>± 0.37</w:t>
      </w:r>
      <w:r w:rsidR="0019170C">
        <w:rPr>
          <w:rFonts w:ascii="Arial" w:hAnsi="Arial" w:cs="Arial"/>
          <w:color w:val="595959" w:themeColor="text1" w:themeTint="A6"/>
        </w:rPr>
        <w:t>)</w:t>
      </w:r>
      <w:r w:rsidR="00A71097">
        <w:rPr>
          <w:rFonts w:ascii="Arial" w:hAnsi="Arial" w:cs="Arial"/>
          <w:color w:val="595959" w:themeColor="text1" w:themeTint="A6"/>
        </w:rPr>
        <w:t xml:space="preserve"> (Figure 3.</w:t>
      </w:r>
      <w:r w:rsidR="00AB6328">
        <w:rPr>
          <w:rFonts w:ascii="Arial" w:hAnsi="Arial" w:cs="Arial"/>
          <w:color w:val="595959" w:themeColor="text1" w:themeTint="A6"/>
        </w:rPr>
        <w:t>4</w:t>
      </w:r>
      <w:r w:rsidR="00DD3776">
        <w:rPr>
          <w:rFonts w:ascii="Arial" w:hAnsi="Arial" w:cs="Arial"/>
          <w:color w:val="595959" w:themeColor="text1" w:themeTint="A6"/>
        </w:rPr>
        <w:t>5</w:t>
      </w:r>
      <w:r w:rsidR="00A71097">
        <w:rPr>
          <w:rFonts w:ascii="Arial" w:hAnsi="Arial" w:cs="Arial"/>
          <w:color w:val="595959" w:themeColor="text1" w:themeTint="A6"/>
        </w:rPr>
        <w:t xml:space="preserve"> A i + B i</w:t>
      </w:r>
      <w:r w:rsidR="00D176B4">
        <w:rPr>
          <w:rFonts w:ascii="Arial" w:hAnsi="Arial" w:cs="Arial"/>
          <w:color w:val="595959" w:themeColor="text1" w:themeTint="A6"/>
        </w:rPr>
        <w:t>)</w:t>
      </w:r>
    </w:p>
    <w:p w14:paraId="3366DB5E" w14:textId="1C9903C3" w:rsidR="0054039C" w:rsidRPr="0054039C" w:rsidRDefault="00375EC6" w:rsidP="0054039C">
      <w:pPr>
        <w:tabs>
          <w:tab w:val="left" w:pos="1350"/>
        </w:tabs>
        <w:spacing w:line="480" w:lineRule="auto"/>
        <w:jc w:val="both"/>
        <w:rPr>
          <w:rFonts w:ascii="Arial" w:hAnsi="Arial" w:cs="Arial"/>
          <w:color w:val="595959" w:themeColor="text1" w:themeTint="A6"/>
        </w:rPr>
      </w:pPr>
      <w:r>
        <w:rPr>
          <w:rFonts w:ascii="Arial" w:hAnsi="Arial" w:cs="Arial"/>
          <w:color w:val="595959" w:themeColor="text1" w:themeTint="A6"/>
        </w:rPr>
        <w:t>In CAF cultures, t</w:t>
      </w:r>
      <w:r w:rsidR="0054039C" w:rsidRPr="0054039C">
        <w:rPr>
          <w:rFonts w:ascii="Arial" w:hAnsi="Arial" w:cs="Arial"/>
          <w:color w:val="595959" w:themeColor="text1" w:themeTint="A6"/>
        </w:rPr>
        <w:t xml:space="preserve">he addition of Scriptaid </w:t>
      </w:r>
      <w:r w:rsidR="009A37CA">
        <w:rPr>
          <w:rFonts w:ascii="Arial" w:hAnsi="Arial" w:cs="Arial"/>
          <w:color w:val="595959" w:themeColor="text1" w:themeTint="A6"/>
        </w:rPr>
        <w:t>and Batimast</w:t>
      </w:r>
      <w:r w:rsidR="00D176B4">
        <w:rPr>
          <w:rFonts w:ascii="Arial" w:hAnsi="Arial" w:cs="Arial"/>
          <w:color w:val="595959" w:themeColor="text1" w:themeTint="A6"/>
        </w:rPr>
        <w:t xml:space="preserve">at </w:t>
      </w:r>
      <w:r w:rsidR="0054039C" w:rsidRPr="0054039C">
        <w:rPr>
          <w:rFonts w:ascii="Arial" w:hAnsi="Arial" w:cs="Arial"/>
          <w:color w:val="595959" w:themeColor="text1" w:themeTint="A6"/>
        </w:rPr>
        <w:t xml:space="preserve">alone </w:t>
      </w:r>
      <w:r w:rsidR="00D176B4">
        <w:rPr>
          <w:rFonts w:ascii="Arial" w:hAnsi="Arial" w:cs="Arial"/>
          <w:color w:val="595959" w:themeColor="text1" w:themeTint="A6"/>
        </w:rPr>
        <w:t xml:space="preserve">resulted in </w:t>
      </w:r>
      <w:r w:rsidR="0054039C" w:rsidRPr="0054039C">
        <w:rPr>
          <w:rFonts w:ascii="Arial" w:hAnsi="Arial" w:cs="Arial"/>
          <w:color w:val="595959" w:themeColor="text1" w:themeTint="A6"/>
        </w:rPr>
        <w:t xml:space="preserve">no significant differences in COL1A1 </w:t>
      </w:r>
      <w:r w:rsidR="00264F46">
        <w:rPr>
          <w:rFonts w:ascii="Arial" w:hAnsi="Arial" w:cs="Arial"/>
          <w:color w:val="595959" w:themeColor="text1" w:themeTint="A6"/>
        </w:rPr>
        <w:t xml:space="preserve">protein, </w:t>
      </w:r>
      <w:r w:rsidR="0081332E">
        <w:rPr>
          <w:rFonts w:ascii="Arial" w:hAnsi="Arial" w:cs="Arial"/>
          <w:color w:val="595959" w:themeColor="text1" w:themeTint="A6"/>
        </w:rPr>
        <w:t>at 48 h</w:t>
      </w:r>
      <w:r w:rsidR="000E0B23">
        <w:rPr>
          <w:rFonts w:ascii="Arial" w:hAnsi="Arial" w:cs="Arial"/>
          <w:color w:val="595959" w:themeColor="text1" w:themeTint="A6"/>
        </w:rPr>
        <w:t xml:space="preserve">, compared to </w:t>
      </w:r>
      <w:r w:rsidR="00007BCD">
        <w:rPr>
          <w:rFonts w:ascii="Arial" w:hAnsi="Arial" w:cs="Arial"/>
          <w:color w:val="595959" w:themeColor="text1" w:themeTint="A6"/>
        </w:rPr>
        <w:t>vehicle control</w:t>
      </w:r>
      <w:r w:rsidR="000E0B23">
        <w:rPr>
          <w:rFonts w:ascii="Arial" w:hAnsi="Arial" w:cs="Arial"/>
          <w:color w:val="595959" w:themeColor="text1" w:themeTint="A6"/>
        </w:rPr>
        <w:t xml:space="preserve"> cultures </w:t>
      </w:r>
      <w:r w:rsidR="0081332E">
        <w:rPr>
          <w:rFonts w:ascii="Arial" w:hAnsi="Arial" w:cs="Arial"/>
          <w:color w:val="595959" w:themeColor="text1" w:themeTint="A6"/>
        </w:rPr>
        <w:t>(Figure 3.</w:t>
      </w:r>
      <w:r w:rsidR="00AB6328">
        <w:rPr>
          <w:rFonts w:ascii="Arial" w:hAnsi="Arial" w:cs="Arial"/>
          <w:color w:val="595959" w:themeColor="text1" w:themeTint="A6"/>
        </w:rPr>
        <w:t>4</w:t>
      </w:r>
      <w:r w:rsidR="00DD3776">
        <w:rPr>
          <w:rFonts w:ascii="Arial" w:hAnsi="Arial" w:cs="Arial"/>
          <w:color w:val="595959" w:themeColor="text1" w:themeTint="A6"/>
        </w:rPr>
        <w:t>5</w:t>
      </w:r>
      <w:r w:rsidR="0081332E">
        <w:rPr>
          <w:rFonts w:ascii="Arial" w:hAnsi="Arial" w:cs="Arial"/>
          <w:color w:val="595959" w:themeColor="text1" w:themeTint="A6"/>
        </w:rPr>
        <w:t xml:space="preserve"> A ii + B ii). </w:t>
      </w:r>
      <w:r w:rsidR="00A416E1">
        <w:rPr>
          <w:rFonts w:ascii="Arial" w:hAnsi="Arial" w:cs="Arial"/>
          <w:color w:val="595959" w:themeColor="text1" w:themeTint="A6"/>
        </w:rPr>
        <w:t xml:space="preserve">Scriptaid </w:t>
      </w:r>
      <w:r w:rsidR="00841257">
        <w:rPr>
          <w:rFonts w:ascii="Arial" w:hAnsi="Arial" w:cs="Arial"/>
          <w:color w:val="595959" w:themeColor="text1" w:themeTint="A6"/>
        </w:rPr>
        <w:t>(</w:t>
      </w:r>
      <w:r w:rsidR="001E4C77">
        <w:rPr>
          <w:rFonts w:ascii="Arial" w:hAnsi="Arial" w:cs="Arial"/>
          <w:color w:val="595959" w:themeColor="text1" w:themeTint="A6"/>
        </w:rPr>
        <w:t>0.94 ± 0.12</w:t>
      </w:r>
      <w:r w:rsidR="000D0588">
        <w:rPr>
          <w:rFonts w:ascii="Arial" w:hAnsi="Arial" w:cs="Arial"/>
          <w:color w:val="595959" w:themeColor="text1" w:themeTint="A6"/>
        </w:rPr>
        <w:t>, p=</w:t>
      </w:r>
      <w:r w:rsidR="003F2B71">
        <w:rPr>
          <w:rFonts w:ascii="Arial" w:hAnsi="Arial" w:cs="Arial"/>
          <w:color w:val="595959" w:themeColor="text1" w:themeTint="A6"/>
        </w:rPr>
        <w:t>0.0193</w:t>
      </w:r>
      <w:r w:rsidR="001E4C77">
        <w:rPr>
          <w:rFonts w:ascii="Arial" w:hAnsi="Arial" w:cs="Arial"/>
          <w:color w:val="595959" w:themeColor="text1" w:themeTint="A6"/>
        </w:rPr>
        <w:t xml:space="preserve">) </w:t>
      </w:r>
      <w:r w:rsidR="00A416E1">
        <w:rPr>
          <w:rFonts w:ascii="Arial" w:hAnsi="Arial" w:cs="Arial"/>
          <w:color w:val="595959" w:themeColor="text1" w:themeTint="A6"/>
        </w:rPr>
        <w:t xml:space="preserve">and </w:t>
      </w:r>
      <w:r w:rsidR="0081332E">
        <w:rPr>
          <w:rFonts w:ascii="Arial" w:hAnsi="Arial" w:cs="Arial"/>
          <w:color w:val="595959" w:themeColor="text1" w:themeTint="A6"/>
        </w:rPr>
        <w:t>Batimastat</w:t>
      </w:r>
      <w:r w:rsidR="00C25905">
        <w:rPr>
          <w:rFonts w:ascii="Arial" w:hAnsi="Arial" w:cs="Arial"/>
          <w:color w:val="595959" w:themeColor="text1" w:themeTint="A6"/>
        </w:rPr>
        <w:t xml:space="preserve"> (0.26 ± </w:t>
      </w:r>
      <w:r w:rsidR="000D0588">
        <w:rPr>
          <w:rFonts w:ascii="Arial" w:hAnsi="Arial" w:cs="Arial"/>
          <w:color w:val="595959" w:themeColor="text1" w:themeTint="A6"/>
        </w:rPr>
        <w:t>0.15</w:t>
      </w:r>
      <w:r w:rsidR="003F2B71">
        <w:rPr>
          <w:rFonts w:ascii="Arial" w:hAnsi="Arial" w:cs="Arial"/>
          <w:color w:val="595959" w:themeColor="text1" w:themeTint="A6"/>
        </w:rPr>
        <w:t>, p=0.0010</w:t>
      </w:r>
      <w:r w:rsidR="000D0588">
        <w:rPr>
          <w:rFonts w:ascii="Arial" w:hAnsi="Arial" w:cs="Arial"/>
          <w:color w:val="595959" w:themeColor="text1" w:themeTint="A6"/>
        </w:rPr>
        <w:t>)</w:t>
      </w:r>
      <w:r w:rsidR="0081332E">
        <w:rPr>
          <w:rFonts w:ascii="Arial" w:hAnsi="Arial" w:cs="Arial"/>
          <w:color w:val="595959" w:themeColor="text1" w:themeTint="A6"/>
        </w:rPr>
        <w:t xml:space="preserve"> in</w:t>
      </w:r>
      <w:r w:rsidR="0054039C" w:rsidRPr="0054039C">
        <w:rPr>
          <w:rFonts w:ascii="Arial" w:hAnsi="Arial" w:cs="Arial"/>
          <w:color w:val="595959" w:themeColor="text1" w:themeTint="A6"/>
        </w:rPr>
        <w:t xml:space="preserve"> combination</w:t>
      </w:r>
      <w:r w:rsidR="0081332E">
        <w:rPr>
          <w:rFonts w:ascii="Arial" w:hAnsi="Arial" w:cs="Arial"/>
          <w:color w:val="595959" w:themeColor="text1" w:themeTint="A6"/>
        </w:rPr>
        <w:t xml:space="preserve"> </w:t>
      </w:r>
      <w:r w:rsidR="0054039C" w:rsidRPr="0054039C">
        <w:rPr>
          <w:rFonts w:ascii="Arial" w:hAnsi="Arial" w:cs="Arial"/>
          <w:color w:val="595959" w:themeColor="text1" w:themeTint="A6"/>
        </w:rPr>
        <w:t>with TGFβ-1</w:t>
      </w:r>
      <w:r w:rsidR="006646EF">
        <w:rPr>
          <w:rFonts w:ascii="Arial" w:hAnsi="Arial" w:cs="Arial"/>
          <w:color w:val="595959" w:themeColor="text1" w:themeTint="A6"/>
        </w:rPr>
        <w:t xml:space="preserve">, significantly reduced </w:t>
      </w:r>
      <w:r w:rsidR="00841257">
        <w:rPr>
          <w:rFonts w:ascii="Arial" w:hAnsi="Arial" w:cs="Arial"/>
          <w:color w:val="595959" w:themeColor="text1" w:themeTint="A6"/>
        </w:rPr>
        <w:t>COL1A1 abundance</w:t>
      </w:r>
      <w:r w:rsidR="000D0588">
        <w:rPr>
          <w:rFonts w:ascii="Arial" w:hAnsi="Arial" w:cs="Arial"/>
          <w:color w:val="595959" w:themeColor="text1" w:themeTint="A6"/>
        </w:rPr>
        <w:t xml:space="preserve">, compared to </w:t>
      </w:r>
      <w:r w:rsidR="00BE7474">
        <w:rPr>
          <w:rFonts w:ascii="Arial" w:hAnsi="Arial" w:cs="Arial"/>
          <w:color w:val="595959" w:themeColor="text1" w:themeTint="A6"/>
        </w:rPr>
        <w:t xml:space="preserve">TGFβ-1 treatment alone. </w:t>
      </w:r>
    </w:p>
    <w:p w14:paraId="0BFA7134" w14:textId="77777777" w:rsidR="0054039C" w:rsidRPr="0054039C" w:rsidRDefault="0054039C" w:rsidP="0054039C">
      <w:pPr>
        <w:tabs>
          <w:tab w:val="left" w:pos="1350"/>
        </w:tabs>
        <w:spacing w:line="480" w:lineRule="auto"/>
        <w:jc w:val="both"/>
        <w:rPr>
          <w:rFonts w:ascii="Arial" w:hAnsi="Arial" w:cs="Arial"/>
          <w:color w:val="595959" w:themeColor="text1" w:themeTint="A6"/>
        </w:rPr>
      </w:pPr>
    </w:p>
    <w:p w14:paraId="21D59961" w14:textId="77777777" w:rsidR="0054039C" w:rsidRPr="0054039C" w:rsidRDefault="0054039C" w:rsidP="0054039C">
      <w:pPr>
        <w:tabs>
          <w:tab w:val="left" w:pos="1350"/>
        </w:tabs>
        <w:spacing w:line="480" w:lineRule="auto"/>
        <w:jc w:val="both"/>
        <w:rPr>
          <w:rFonts w:ascii="Arial" w:hAnsi="Arial" w:cs="Arial"/>
          <w:color w:val="595959" w:themeColor="text1" w:themeTint="A6"/>
        </w:rPr>
      </w:pPr>
    </w:p>
    <w:p w14:paraId="1A69EEA4" w14:textId="77777777" w:rsidR="0054039C" w:rsidRPr="0054039C" w:rsidRDefault="0054039C" w:rsidP="0054039C">
      <w:pPr>
        <w:tabs>
          <w:tab w:val="left" w:pos="1350"/>
        </w:tabs>
        <w:spacing w:line="480" w:lineRule="auto"/>
        <w:jc w:val="both"/>
        <w:rPr>
          <w:rFonts w:ascii="Arial" w:hAnsi="Arial" w:cs="Arial"/>
          <w:color w:val="595959" w:themeColor="text1" w:themeTint="A6"/>
        </w:rPr>
      </w:pPr>
    </w:p>
    <w:p w14:paraId="6CF4B93B" w14:textId="77777777" w:rsidR="0054039C" w:rsidRPr="0054039C" w:rsidRDefault="0054039C" w:rsidP="0054039C">
      <w:pPr>
        <w:tabs>
          <w:tab w:val="left" w:pos="1350"/>
        </w:tabs>
        <w:spacing w:line="480" w:lineRule="auto"/>
        <w:jc w:val="both"/>
        <w:rPr>
          <w:rFonts w:ascii="Arial" w:hAnsi="Arial" w:cs="Arial"/>
          <w:color w:val="595959" w:themeColor="text1" w:themeTint="A6"/>
        </w:rPr>
      </w:pPr>
    </w:p>
    <w:p w14:paraId="0372FA5C" w14:textId="77777777" w:rsidR="0054039C" w:rsidRPr="0054039C" w:rsidRDefault="0054039C" w:rsidP="0054039C">
      <w:pPr>
        <w:tabs>
          <w:tab w:val="left" w:pos="1350"/>
        </w:tabs>
        <w:spacing w:line="480" w:lineRule="auto"/>
        <w:jc w:val="both"/>
        <w:rPr>
          <w:rFonts w:ascii="Arial" w:hAnsi="Arial" w:cs="Arial"/>
          <w:color w:val="595959" w:themeColor="text1" w:themeTint="A6"/>
        </w:rPr>
      </w:pPr>
    </w:p>
    <w:p w14:paraId="6CFB3A84" w14:textId="77777777" w:rsidR="0054039C" w:rsidRPr="0054039C" w:rsidRDefault="0054039C" w:rsidP="0054039C">
      <w:pPr>
        <w:tabs>
          <w:tab w:val="left" w:pos="1350"/>
        </w:tabs>
        <w:spacing w:line="480" w:lineRule="auto"/>
        <w:jc w:val="both"/>
        <w:rPr>
          <w:rFonts w:ascii="Arial" w:hAnsi="Arial" w:cs="Arial"/>
          <w:color w:val="595959" w:themeColor="text1" w:themeTint="A6"/>
        </w:rPr>
      </w:pPr>
    </w:p>
    <w:p w14:paraId="7D00C266" w14:textId="77777777" w:rsidR="0054039C" w:rsidRPr="0054039C" w:rsidRDefault="0054039C" w:rsidP="0054039C">
      <w:pPr>
        <w:tabs>
          <w:tab w:val="left" w:pos="1350"/>
        </w:tabs>
        <w:spacing w:line="480" w:lineRule="auto"/>
        <w:jc w:val="both"/>
        <w:rPr>
          <w:rFonts w:ascii="Arial" w:hAnsi="Arial" w:cs="Arial"/>
          <w:color w:val="595959" w:themeColor="text1" w:themeTint="A6"/>
        </w:rPr>
      </w:pPr>
    </w:p>
    <w:p w14:paraId="212ECB5A" w14:textId="7D3EA949" w:rsidR="0054039C" w:rsidRPr="0054039C" w:rsidRDefault="0054039C" w:rsidP="0054039C">
      <w:pPr>
        <w:keepNext/>
        <w:keepLines/>
        <w:spacing w:before="40" w:after="0"/>
        <w:outlineLvl w:val="2"/>
        <w:rPr>
          <w:rFonts w:ascii="Arial" w:eastAsiaTheme="majorEastAsia" w:hAnsi="Arial" w:cs="Arial"/>
          <w:b/>
          <w:color w:val="595959" w:themeColor="text1" w:themeTint="A6"/>
          <w:sz w:val="24"/>
          <w:szCs w:val="24"/>
        </w:rPr>
      </w:pPr>
    </w:p>
    <w:p w14:paraId="1B3BFEC2" w14:textId="20897C5A" w:rsidR="0054039C" w:rsidRPr="0054039C" w:rsidRDefault="0054039C" w:rsidP="0054039C">
      <w:pPr>
        <w:keepNext/>
        <w:keepLines/>
        <w:spacing w:before="40" w:after="0"/>
        <w:outlineLvl w:val="2"/>
        <w:rPr>
          <w:rFonts w:ascii="Arial" w:eastAsiaTheme="majorEastAsia" w:hAnsi="Arial" w:cs="Arial"/>
          <w:b/>
          <w:color w:val="595959" w:themeColor="text1" w:themeTint="A6"/>
          <w:sz w:val="24"/>
          <w:szCs w:val="24"/>
        </w:rPr>
      </w:pPr>
    </w:p>
    <w:p w14:paraId="67A921C1" w14:textId="61B6EA76" w:rsidR="0054039C" w:rsidRPr="0054039C" w:rsidRDefault="004327E7" w:rsidP="0054039C">
      <w:pPr>
        <w:keepNext/>
        <w:keepLines/>
        <w:spacing w:before="40" w:after="0"/>
        <w:outlineLvl w:val="2"/>
        <w:rPr>
          <w:rFonts w:ascii="Arial" w:eastAsiaTheme="majorEastAsia" w:hAnsi="Arial" w:cs="Arial"/>
          <w:b/>
          <w:color w:val="595959" w:themeColor="text1" w:themeTint="A6"/>
          <w:sz w:val="24"/>
          <w:szCs w:val="24"/>
        </w:rPr>
      </w:pPr>
      <w:bookmarkStart w:id="352" w:name="_Toc34208401"/>
      <w:r>
        <w:rPr>
          <w:rFonts w:ascii="Arial" w:eastAsiaTheme="majorEastAsia" w:hAnsi="Arial" w:cs="Arial"/>
          <w:b/>
          <w:noProof/>
          <w:color w:val="595959" w:themeColor="text1" w:themeTint="A6"/>
          <w:sz w:val="24"/>
          <w:szCs w:val="24"/>
        </w:rPr>
        <w:drawing>
          <wp:anchor distT="0" distB="0" distL="114300" distR="114300" simplePos="0" relativeHeight="251678987" behindDoc="0" locked="0" layoutInCell="1" allowOverlap="1" wp14:anchorId="7B1F4B4F" wp14:editId="370FA0C6">
            <wp:simplePos x="0" y="0"/>
            <wp:positionH relativeFrom="column">
              <wp:posOffset>0</wp:posOffset>
            </wp:positionH>
            <wp:positionV relativeFrom="paragraph">
              <wp:posOffset>21256</wp:posOffset>
            </wp:positionV>
            <wp:extent cx="7291705" cy="5346700"/>
            <wp:effectExtent l="0" t="0" r="0" b="0"/>
            <wp:wrapNone/>
            <wp:docPr id="5592" name="Picture 5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7291705" cy="5346700"/>
                    </a:xfrm>
                    <a:prstGeom prst="rect">
                      <a:avLst/>
                    </a:prstGeom>
                    <a:noFill/>
                  </pic:spPr>
                </pic:pic>
              </a:graphicData>
            </a:graphic>
          </wp:anchor>
        </w:drawing>
      </w:r>
      <w:bookmarkEnd w:id="352"/>
    </w:p>
    <w:p w14:paraId="5E80DBAD" w14:textId="1F6C890B" w:rsidR="0054039C" w:rsidRPr="0054039C" w:rsidRDefault="0054039C" w:rsidP="0054039C">
      <w:pPr>
        <w:keepNext/>
        <w:keepLines/>
        <w:spacing w:before="40" w:after="0"/>
        <w:outlineLvl w:val="2"/>
        <w:rPr>
          <w:rFonts w:ascii="Arial" w:eastAsiaTheme="majorEastAsia" w:hAnsi="Arial" w:cs="Arial"/>
          <w:b/>
          <w:color w:val="595959" w:themeColor="text1" w:themeTint="A6"/>
          <w:sz w:val="24"/>
          <w:szCs w:val="24"/>
        </w:rPr>
      </w:pPr>
    </w:p>
    <w:p w14:paraId="107871A3" w14:textId="17B8BC49" w:rsidR="0054039C" w:rsidRPr="0054039C" w:rsidRDefault="0054039C" w:rsidP="0054039C">
      <w:pPr>
        <w:keepNext/>
        <w:keepLines/>
        <w:spacing w:before="40" w:after="0"/>
        <w:outlineLvl w:val="2"/>
        <w:rPr>
          <w:rFonts w:ascii="Arial" w:eastAsiaTheme="majorEastAsia" w:hAnsi="Arial" w:cs="Arial"/>
          <w:b/>
          <w:color w:val="595959" w:themeColor="text1" w:themeTint="A6"/>
          <w:sz w:val="24"/>
          <w:szCs w:val="24"/>
        </w:rPr>
      </w:pPr>
    </w:p>
    <w:p w14:paraId="77AC425E" w14:textId="2DDAAB6C" w:rsidR="0054039C" w:rsidRPr="0054039C" w:rsidRDefault="0054039C" w:rsidP="0054039C">
      <w:pPr>
        <w:keepNext/>
        <w:keepLines/>
        <w:spacing w:before="40" w:after="0"/>
        <w:outlineLvl w:val="2"/>
        <w:rPr>
          <w:rFonts w:ascii="Arial" w:eastAsiaTheme="majorEastAsia" w:hAnsi="Arial" w:cs="Arial"/>
          <w:b/>
          <w:color w:val="595959" w:themeColor="text1" w:themeTint="A6"/>
          <w:sz w:val="24"/>
          <w:szCs w:val="24"/>
        </w:rPr>
      </w:pPr>
    </w:p>
    <w:p w14:paraId="267B0D48" w14:textId="05F5FBD1" w:rsidR="0054039C" w:rsidRPr="0054039C" w:rsidRDefault="0054039C" w:rsidP="0054039C">
      <w:pPr>
        <w:keepNext/>
        <w:keepLines/>
        <w:spacing w:before="40" w:after="0"/>
        <w:outlineLvl w:val="2"/>
        <w:rPr>
          <w:rFonts w:ascii="Arial" w:eastAsiaTheme="majorEastAsia" w:hAnsi="Arial" w:cs="Arial"/>
          <w:b/>
          <w:color w:val="595959" w:themeColor="text1" w:themeTint="A6"/>
          <w:sz w:val="24"/>
          <w:szCs w:val="24"/>
        </w:rPr>
      </w:pPr>
    </w:p>
    <w:p w14:paraId="59B943D1" w14:textId="77777777" w:rsidR="0054039C" w:rsidRPr="0054039C" w:rsidRDefault="0054039C" w:rsidP="0054039C">
      <w:pPr>
        <w:keepNext/>
        <w:keepLines/>
        <w:spacing w:before="40" w:after="0"/>
        <w:outlineLvl w:val="2"/>
        <w:rPr>
          <w:rFonts w:ascii="Arial" w:eastAsiaTheme="majorEastAsia" w:hAnsi="Arial" w:cs="Arial"/>
          <w:b/>
          <w:color w:val="595959" w:themeColor="text1" w:themeTint="A6"/>
          <w:sz w:val="24"/>
          <w:szCs w:val="24"/>
        </w:rPr>
      </w:pPr>
    </w:p>
    <w:p w14:paraId="336B9FC3" w14:textId="77777777" w:rsidR="0054039C" w:rsidRPr="0054039C" w:rsidRDefault="0054039C" w:rsidP="0054039C">
      <w:pPr>
        <w:keepNext/>
        <w:keepLines/>
        <w:spacing w:before="40" w:after="0"/>
        <w:outlineLvl w:val="2"/>
        <w:rPr>
          <w:rFonts w:ascii="Arial" w:eastAsiaTheme="majorEastAsia" w:hAnsi="Arial" w:cs="Arial"/>
          <w:b/>
          <w:color w:val="595959" w:themeColor="text1" w:themeTint="A6"/>
          <w:sz w:val="24"/>
          <w:szCs w:val="24"/>
        </w:rPr>
      </w:pPr>
    </w:p>
    <w:p w14:paraId="42DCD8D3" w14:textId="7E6A7CF8" w:rsidR="0054039C" w:rsidRPr="0054039C" w:rsidRDefault="0054039C" w:rsidP="0054039C">
      <w:pPr>
        <w:keepNext/>
        <w:keepLines/>
        <w:spacing w:before="40" w:after="0"/>
        <w:outlineLvl w:val="2"/>
        <w:rPr>
          <w:rFonts w:ascii="Arial" w:eastAsiaTheme="majorEastAsia" w:hAnsi="Arial" w:cs="Arial"/>
          <w:b/>
          <w:color w:val="595959" w:themeColor="text1" w:themeTint="A6"/>
          <w:sz w:val="24"/>
          <w:szCs w:val="24"/>
        </w:rPr>
      </w:pPr>
    </w:p>
    <w:p w14:paraId="2D770074" w14:textId="466C15BA" w:rsidR="0054039C" w:rsidRPr="0054039C" w:rsidRDefault="0054039C" w:rsidP="0054039C">
      <w:pPr>
        <w:keepNext/>
        <w:keepLines/>
        <w:spacing w:before="40" w:after="0"/>
        <w:outlineLvl w:val="2"/>
        <w:rPr>
          <w:rFonts w:ascii="Arial" w:eastAsiaTheme="majorEastAsia" w:hAnsi="Arial" w:cs="Arial"/>
          <w:b/>
          <w:color w:val="595959" w:themeColor="text1" w:themeTint="A6"/>
          <w:sz w:val="24"/>
          <w:szCs w:val="24"/>
        </w:rPr>
      </w:pPr>
    </w:p>
    <w:p w14:paraId="495927E6" w14:textId="77677D72" w:rsidR="0054039C" w:rsidRPr="0054039C" w:rsidRDefault="0054039C" w:rsidP="0054039C">
      <w:pPr>
        <w:keepNext/>
        <w:keepLines/>
        <w:spacing w:before="40" w:after="0"/>
        <w:outlineLvl w:val="2"/>
        <w:rPr>
          <w:rFonts w:ascii="Arial" w:eastAsiaTheme="majorEastAsia" w:hAnsi="Arial" w:cs="Arial"/>
          <w:b/>
          <w:color w:val="595959" w:themeColor="text1" w:themeTint="A6"/>
          <w:sz w:val="24"/>
          <w:szCs w:val="24"/>
        </w:rPr>
      </w:pPr>
    </w:p>
    <w:p w14:paraId="7C5C8083" w14:textId="77777777" w:rsidR="0054039C" w:rsidRPr="0054039C" w:rsidRDefault="0054039C" w:rsidP="0054039C">
      <w:pPr>
        <w:keepNext/>
        <w:keepLines/>
        <w:spacing w:before="40" w:after="0"/>
        <w:outlineLvl w:val="2"/>
        <w:rPr>
          <w:rFonts w:ascii="Arial" w:eastAsiaTheme="majorEastAsia" w:hAnsi="Arial" w:cs="Arial"/>
          <w:b/>
          <w:color w:val="595959" w:themeColor="text1" w:themeTint="A6"/>
          <w:sz w:val="24"/>
          <w:szCs w:val="24"/>
        </w:rPr>
      </w:pPr>
    </w:p>
    <w:p w14:paraId="03BB1941" w14:textId="77777777" w:rsidR="0054039C" w:rsidRPr="0054039C" w:rsidRDefault="0054039C" w:rsidP="0054039C">
      <w:pPr>
        <w:keepNext/>
        <w:keepLines/>
        <w:spacing w:before="40" w:after="0"/>
        <w:outlineLvl w:val="2"/>
        <w:rPr>
          <w:rFonts w:ascii="Arial" w:eastAsiaTheme="majorEastAsia" w:hAnsi="Arial" w:cs="Arial"/>
          <w:b/>
          <w:color w:val="595959" w:themeColor="text1" w:themeTint="A6"/>
          <w:sz w:val="24"/>
          <w:szCs w:val="24"/>
        </w:rPr>
      </w:pPr>
    </w:p>
    <w:p w14:paraId="3BC4893D" w14:textId="77777777" w:rsidR="0054039C" w:rsidRPr="0054039C" w:rsidRDefault="0054039C" w:rsidP="0054039C">
      <w:pPr>
        <w:keepNext/>
        <w:keepLines/>
        <w:spacing w:before="40" w:after="0"/>
        <w:outlineLvl w:val="2"/>
        <w:rPr>
          <w:rFonts w:ascii="Arial" w:eastAsiaTheme="majorEastAsia" w:hAnsi="Arial" w:cs="Arial"/>
          <w:b/>
          <w:color w:val="595959" w:themeColor="text1" w:themeTint="A6"/>
          <w:sz w:val="24"/>
          <w:szCs w:val="24"/>
        </w:rPr>
      </w:pPr>
    </w:p>
    <w:p w14:paraId="7DD1AC98" w14:textId="77777777" w:rsidR="0054039C" w:rsidRPr="0054039C" w:rsidRDefault="0054039C" w:rsidP="0054039C">
      <w:pPr>
        <w:keepNext/>
        <w:keepLines/>
        <w:spacing w:before="40" w:after="0"/>
        <w:outlineLvl w:val="2"/>
        <w:rPr>
          <w:rFonts w:ascii="Arial" w:eastAsiaTheme="majorEastAsia" w:hAnsi="Arial" w:cs="Arial"/>
          <w:b/>
          <w:color w:val="595959" w:themeColor="text1" w:themeTint="A6"/>
          <w:sz w:val="24"/>
          <w:szCs w:val="24"/>
        </w:rPr>
      </w:pPr>
    </w:p>
    <w:p w14:paraId="6FD72F56" w14:textId="77777777" w:rsidR="0054039C" w:rsidRPr="0054039C" w:rsidRDefault="0054039C" w:rsidP="0054039C">
      <w:pPr>
        <w:keepNext/>
        <w:keepLines/>
        <w:spacing w:before="40" w:after="0"/>
        <w:outlineLvl w:val="2"/>
        <w:rPr>
          <w:rFonts w:ascii="Arial" w:eastAsiaTheme="majorEastAsia" w:hAnsi="Arial" w:cs="Arial"/>
          <w:b/>
          <w:color w:val="595959" w:themeColor="text1" w:themeTint="A6"/>
          <w:sz w:val="24"/>
          <w:szCs w:val="24"/>
        </w:rPr>
      </w:pPr>
    </w:p>
    <w:p w14:paraId="2D3FFAA4" w14:textId="77777777" w:rsidR="0054039C" w:rsidRPr="0054039C" w:rsidRDefault="0054039C" w:rsidP="0054039C">
      <w:pPr>
        <w:keepNext/>
        <w:keepLines/>
        <w:spacing w:before="40" w:after="0"/>
        <w:outlineLvl w:val="2"/>
        <w:rPr>
          <w:rFonts w:ascii="Arial" w:eastAsiaTheme="majorEastAsia" w:hAnsi="Arial" w:cs="Arial"/>
          <w:b/>
          <w:color w:val="595959" w:themeColor="text1" w:themeTint="A6"/>
          <w:sz w:val="24"/>
          <w:szCs w:val="24"/>
        </w:rPr>
      </w:pPr>
    </w:p>
    <w:p w14:paraId="0A7F3DEC" w14:textId="77777777" w:rsidR="0054039C" w:rsidRPr="0054039C" w:rsidRDefault="0054039C" w:rsidP="0054039C">
      <w:pPr>
        <w:keepNext/>
        <w:keepLines/>
        <w:spacing w:before="40" w:after="0"/>
        <w:outlineLvl w:val="2"/>
        <w:rPr>
          <w:rFonts w:ascii="Arial" w:eastAsiaTheme="majorEastAsia" w:hAnsi="Arial" w:cs="Arial"/>
          <w:b/>
          <w:color w:val="595959" w:themeColor="text1" w:themeTint="A6"/>
          <w:sz w:val="24"/>
          <w:szCs w:val="24"/>
        </w:rPr>
      </w:pPr>
    </w:p>
    <w:p w14:paraId="4E774021" w14:textId="77777777" w:rsidR="0054039C" w:rsidRPr="0054039C" w:rsidRDefault="0054039C" w:rsidP="0054039C">
      <w:pPr>
        <w:keepNext/>
        <w:keepLines/>
        <w:spacing w:before="40" w:after="0"/>
        <w:outlineLvl w:val="2"/>
        <w:rPr>
          <w:rFonts w:ascii="Arial" w:eastAsiaTheme="majorEastAsia" w:hAnsi="Arial" w:cs="Arial"/>
          <w:b/>
          <w:color w:val="595959" w:themeColor="text1" w:themeTint="A6"/>
          <w:sz w:val="24"/>
          <w:szCs w:val="24"/>
        </w:rPr>
      </w:pPr>
    </w:p>
    <w:p w14:paraId="4FE41112" w14:textId="77777777" w:rsidR="0054039C" w:rsidRPr="0054039C" w:rsidRDefault="0054039C" w:rsidP="0054039C">
      <w:pPr>
        <w:keepNext/>
        <w:keepLines/>
        <w:spacing w:before="40" w:after="0"/>
        <w:outlineLvl w:val="2"/>
        <w:rPr>
          <w:rFonts w:ascii="Arial" w:eastAsiaTheme="majorEastAsia" w:hAnsi="Arial" w:cs="Arial"/>
          <w:b/>
          <w:color w:val="595959" w:themeColor="text1" w:themeTint="A6"/>
          <w:sz w:val="24"/>
          <w:szCs w:val="24"/>
        </w:rPr>
      </w:pPr>
    </w:p>
    <w:p w14:paraId="7B6FCCA2" w14:textId="77777777" w:rsidR="0054039C" w:rsidRPr="0054039C" w:rsidRDefault="0054039C" w:rsidP="0054039C">
      <w:pPr>
        <w:keepNext/>
        <w:keepLines/>
        <w:spacing w:before="40" w:after="0"/>
        <w:outlineLvl w:val="2"/>
        <w:rPr>
          <w:rFonts w:ascii="Arial" w:eastAsiaTheme="majorEastAsia" w:hAnsi="Arial" w:cs="Arial"/>
          <w:b/>
          <w:color w:val="595959" w:themeColor="text1" w:themeTint="A6"/>
          <w:sz w:val="24"/>
          <w:szCs w:val="24"/>
        </w:rPr>
      </w:pPr>
    </w:p>
    <w:p w14:paraId="0B0A4EAD" w14:textId="77777777" w:rsidR="0054039C" w:rsidRPr="0054039C" w:rsidRDefault="0054039C" w:rsidP="0054039C">
      <w:pPr>
        <w:keepNext/>
        <w:keepLines/>
        <w:spacing w:before="40" w:after="0"/>
        <w:outlineLvl w:val="2"/>
        <w:rPr>
          <w:rFonts w:ascii="Arial" w:eastAsiaTheme="majorEastAsia" w:hAnsi="Arial" w:cs="Arial"/>
          <w:b/>
          <w:color w:val="595959" w:themeColor="text1" w:themeTint="A6"/>
          <w:sz w:val="24"/>
          <w:szCs w:val="24"/>
        </w:rPr>
      </w:pPr>
    </w:p>
    <w:p w14:paraId="25790503" w14:textId="77777777" w:rsidR="0054039C" w:rsidRPr="0054039C" w:rsidRDefault="0054039C" w:rsidP="0054039C">
      <w:pPr>
        <w:keepNext/>
        <w:keepLines/>
        <w:spacing w:before="40" w:after="0"/>
        <w:outlineLvl w:val="2"/>
        <w:rPr>
          <w:rFonts w:ascii="Arial" w:eastAsiaTheme="majorEastAsia" w:hAnsi="Arial" w:cs="Arial"/>
          <w:b/>
          <w:color w:val="595959" w:themeColor="text1" w:themeTint="A6"/>
          <w:sz w:val="24"/>
          <w:szCs w:val="24"/>
        </w:rPr>
      </w:pPr>
    </w:p>
    <w:p w14:paraId="2EC2067A" w14:textId="77777777" w:rsidR="0054039C" w:rsidRPr="0054039C" w:rsidRDefault="0054039C" w:rsidP="0054039C">
      <w:pPr>
        <w:keepNext/>
        <w:keepLines/>
        <w:spacing w:before="40" w:after="0"/>
        <w:outlineLvl w:val="2"/>
        <w:rPr>
          <w:rFonts w:ascii="Arial" w:eastAsiaTheme="majorEastAsia" w:hAnsi="Arial" w:cs="Arial"/>
          <w:b/>
          <w:color w:val="595959" w:themeColor="text1" w:themeTint="A6"/>
          <w:sz w:val="24"/>
          <w:szCs w:val="24"/>
        </w:rPr>
      </w:pPr>
    </w:p>
    <w:p w14:paraId="647F4D9C" w14:textId="77777777" w:rsidR="0054039C" w:rsidRPr="0054039C" w:rsidRDefault="0054039C" w:rsidP="0054039C">
      <w:pPr>
        <w:keepNext/>
        <w:keepLines/>
        <w:spacing w:before="40" w:after="0"/>
        <w:outlineLvl w:val="2"/>
        <w:rPr>
          <w:rFonts w:ascii="Arial" w:eastAsiaTheme="majorEastAsia" w:hAnsi="Arial" w:cs="Arial"/>
          <w:b/>
          <w:color w:val="595959" w:themeColor="text1" w:themeTint="A6"/>
          <w:sz w:val="24"/>
          <w:szCs w:val="24"/>
        </w:rPr>
      </w:pPr>
    </w:p>
    <w:p w14:paraId="02D14AF8" w14:textId="77777777" w:rsidR="0054039C" w:rsidRPr="0054039C" w:rsidRDefault="0054039C" w:rsidP="0054039C">
      <w:pPr>
        <w:keepNext/>
        <w:keepLines/>
        <w:spacing w:before="40" w:after="0"/>
        <w:outlineLvl w:val="2"/>
        <w:rPr>
          <w:rFonts w:ascii="Arial" w:eastAsiaTheme="majorEastAsia" w:hAnsi="Arial" w:cs="Arial"/>
          <w:b/>
          <w:color w:val="595959" w:themeColor="text1" w:themeTint="A6"/>
          <w:sz w:val="24"/>
          <w:szCs w:val="24"/>
        </w:rPr>
      </w:pPr>
    </w:p>
    <w:p w14:paraId="3235B1C9" w14:textId="77777777" w:rsidR="0054039C" w:rsidRPr="0054039C" w:rsidRDefault="0054039C" w:rsidP="0054039C">
      <w:pPr>
        <w:keepNext/>
        <w:keepLines/>
        <w:spacing w:before="40" w:after="0"/>
        <w:outlineLvl w:val="2"/>
        <w:rPr>
          <w:rFonts w:ascii="Arial" w:eastAsiaTheme="majorEastAsia" w:hAnsi="Arial" w:cs="Arial"/>
          <w:b/>
          <w:color w:val="595959" w:themeColor="text1" w:themeTint="A6"/>
          <w:sz w:val="24"/>
          <w:szCs w:val="24"/>
        </w:rPr>
      </w:pPr>
    </w:p>
    <w:p w14:paraId="50F22D82" w14:textId="77777777" w:rsidR="0054039C" w:rsidRPr="0054039C" w:rsidRDefault="0054039C" w:rsidP="0054039C">
      <w:pPr>
        <w:keepNext/>
        <w:keepLines/>
        <w:spacing w:before="40" w:after="0"/>
        <w:outlineLvl w:val="2"/>
        <w:rPr>
          <w:rFonts w:ascii="Arial" w:eastAsiaTheme="majorEastAsia" w:hAnsi="Arial" w:cs="Arial"/>
          <w:b/>
          <w:color w:val="595959" w:themeColor="text1" w:themeTint="A6"/>
          <w:sz w:val="24"/>
          <w:szCs w:val="24"/>
        </w:rPr>
      </w:pPr>
    </w:p>
    <w:p w14:paraId="75C8BBA0" w14:textId="77777777" w:rsidR="0054039C" w:rsidRPr="0054039C" w:rsidRDefault="0054039C" w:rsidP="0054039C">
      <w:pPr>
        <w:keepNext/>
        <w:keepLines/>
        <w:spacing w:before="40" w:after="0"/>
        <w:outlineLvl w:val="2"/>
        <w:rPr>
          <w:rFonts w:ascii="Arial" w:eastAsiaTheme="majorEastAsia" w:hAnsi="Arial" w:cs="Arial"/>
          <w:b/>
          <w:color w:val="595959" w:themeColor="text1" w:themeTint="A6"/>
          <w:sz w:val="24"/>
          <w:szCs w:val="24"/>
        </w:rPr>
      </w:pPr>
    </w:p>
    <w:bookmarkStart w:id="353" w:name="_Toc34208402"/>
    <w:p w14:paraId="30D2DC71" w14:textId="77777777" w:rsidR="0054039C" w:rsidRPr="0054039C" w:rsidRDefault="0054039C" w:rsidP="0054039C">
      <w:pPr>
        <w:keepNext/>
        <w:keepLines/>
        <w:spacing w:before="40" w:after="0"/>
        <w:outlineLvl w:val="2"/>
        <w:rPr>
          <w:rFonts w:ascii="Arial" w:eastAsiaTheme="majorEastAsia" w:hAnsi="Arial" w:cs="Arial"/>
          <w:b/>
          <w:color w:val="595959" w:themeColor="text1" w:themeTint="A6"/>
          <w:sz w:val="24"/>
          <w:szCs w:val="24"/>
        </w:rPr>
      </w:pPr>
      <w:r w:rsidRPr="0054039C">
        <w:rPr>
          <w:rFonts w:ascii="Arial" w:eastAsiaTheme="majorEastAsia" w:hAnsi="Arial" w:cs="Arial"/>
          <w:noProof/>
          <w:color w:val="595959" w:themeColor="text1" w:themeTint="A6"/>
          <w:sz w:val="24"/>
          <w:szCs w:val="24"/>
          <w:lang w:eastAsia="zh-CN"/>
        </w:rPr>
        <mc:AlternateContent>
          <mc:Choice Requires="wps">
            <w:drawing>
              <wp:anchor distT="0" distB="0" distL="114300" distR="114300" simplePos="0" relativeHeight="251658331" behindDoc="0" locked="0" layoutInCell="1" allowOverlap="1" wp14:anchorId="485D9107" wp14:editId="545D7993">
                <wp:simplePos x="0" y="0"/>
                <wp:positionH relativeFrom="margin">
                  <wp:align>right</wp:align>
                </wp:positionH>
                <wp:positionV relativeFrom="paragraph">
                  <wp:posOffset>33242</wp:posOffset>
                </wp:positionV>
                <wp:extent cx="5724525" cy="1600200"/>
                <wp:effectExtent l="0" t="0" r="9525" b="0"/>
                <wp:wrapNone/>
                <wp:docPr id="20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1600200"/>
                        </a:xfrm>
                        <a:prstGeom prst="rect">
                          <a:avLst/>
                        </a:prstGeom>
                        <a:solidFill>
                          <a:srgbClr val="FFFFFF"/>
                        </a:solidFill>
                        <a:ln w="9525">
                          <a:noFill/>
                          <a:miter lim="800000"/>
                          <a:headEnd/>
                          <a:tailEnd/>
                        </a:ln>
                      </wps:spPr>
                      <wps:txbx>
                        <w:txbxContent>
                          <w:p w14:paraId="7353B0D2" w14:textId="5C6DE3D0" w:rsidR="008A47AC" w:rsidRDefault="008A47AC" w:rsidP="0054039C">
                            <w:pPr>
                              <w:pStyle w:val="NormalWeb"/>
                              <w:spacing w:after="200"/>
                              <w:jc w:val="both"/>
                              <w:rPr>
                                <w:rFonts w:ascii="Arial Narrow" w:eastAsia="SimSun" w:hAnsi="Arial Narrow" w:cs="Arial"/>
                                <w:b/>
                                <w:bCs/>
                                <w:color w:val="595959"/>
                                <w:kern w:val="24"/>
                                <w:sz w:val="22"/>
                                <w:szCs w:val="22"/>
                              </w:rPr>
                            </w:pPr>
                            <w:r>
                              <w:rPr>
                                <w:rFonts w:ascii="Arial Narrow" w:eastAsia="SimSun" w:hAnsi="Arial Narrow" w:cs="Arial"/>
                                <w:b/>
                                <w:bCs/>
                                <w:color w:val="595959"/>
                                <w:kern w:val="24"/>
                                <w:sz w:val="22"/>
                                <w:szCs w:val="22"/>
                              </w:rPr>
                              <w:t xml:space="preserve">Figure 3.45 Immunoblotting for COL1A1 abundance in NOF and CAF in response to Scriptaid and Batimastat treatment with and without TGFβ-1 stimulation </w:t>
                            </w:r>
                          </w:p>
                          <w:p w14:paraId="6CB364D1" w14:textId="73B4970D" w:rsidR="008A47AC" w:rsidRPr="00944EBD" w:rsidRDefault="008A47AC" w:rsidP="0054039C">
                            <w:pPr>
                              <w:pStyle w:val="NormalWeb"/>
                              <w:spacing w:after="200" w:line="276" w:lineRule="auto"/>
                              <w:jc w:val="both"/>
                              <w:rPr>
                                <w:rFonts w:ascii="Arial Narrow" w:eastAsia="SimSun" w:hAnsi="Arial Narrow" w:cs="Arial"/>
                                <w:color w:val="595959"/>
                                <w:kern w:val="24"/>
                                <w:sz w:val="22"/>
                              </w:rPr>
                            </w:pPr>
                            <w:r>
                              <w:rPr>
                                <w:rFonts w:ascii="Arial Narrow" w:eastAsia="SimSun" w:hAnsi="Arial Narrow" w:cs="Arial"/>
                                <w:color w:val="595959"/>
                                <w:kern w:val="24"/>
                                <w:sz w:val="22"/>
                              </w:rPr>
                              <w:t xml:space="preserve">NOF (A) and CAF (B) 2D monolayers were treated with the inhibitors Scriptaid and Batimastat in the presence or absence of </w:t>
                            </w:r>
                            <w:r w:rsidRPr="00944EBD">
                              <w:rPr>
                                <w:rFonts w:ascii="Arial Narrow" w:eastAsia="SimSun" w:hAnsi="Arial Narrow" w:cs="Arial"/>
                                <w:color w:val="595959"/>
                                <w:kern w:val="24"/>
                                <w:sz w:val="22"/>
                              </w:rPr>
                              <w:t xml:space="preserve">TGFβ-1 </w:t>
                            </w:r>
                            <w:r>
                              <w:rPr>
                                <w:rFonts w:ascii="Arial Narrow" w:eastAsia="SimSun" w:hAnsi="Arial Narrow" w:cs="Arial"/>
                                <w:color w:val="595959"/>
                                <w:kern w:val="24"/>
                                <w:sz w:val="22"/>
                              </w:rPr>
                              <w:t xml:space="preserve">for 48 h with COL1A1 protein levels determined using immunoblotting. Densitometry of the resultant bands were measured using ImageJ and the intensity measured relative to GAPDH controls.  Data is expressed as relative fold change, with mean ± SD, N=3, n=2, * denotes p &lt;0.05 and **p &lt;0.01 as analysed by an unpaired student’s T-test. </w:t>
                            </w:r>
                          </w:p>
                          <w:p w14:paraId="392FA1EF" w14:textId="77777777" w:rsidR="008A47AC" w:rsidRDefault="008A47AC" w:rsidP="0054039C">
                            <w:pPr>
                              <w:pStyle w:val="NormalWeb"/>
                              <w:spacing w:after="200" w:line="276" w:lineRule="auto"/>
                              <w:jc w:val="both"/>
                              <w:rPr>
                                <w:rFonts w:ascii="Arial Narrow" w:eastAsia="SimSun" w:hAnsi="Arial Narrow" w:cs="Arial"/>
                                <w:color w:val="595959"/>
                                <w:kern w:val="24"/>
                              </w:rPr>
                            </w:pPr>
                          </w:p>
                          <w:p w14:paraId="736418F9" w14:textId="77777777" w:rsidR="008A47AC" w:rsidRDefault="008A47AC" w:rsidP="0054039C">
                            <w:pPr>
                              <w:pStyle w:val="NormalWeb"/>
                              <w:spacing w:after="200" w:line="276" w:lineRule="auto"/>
                              <w:jc w:val="both"/>
                              <w:rPr>
                                <w:rFonts w:ascii="Arial Narrow" w:eastAsia="SimSun" w:hAnsi="Arial Narrow" w:cs="Arial"/>
                                <w:color w:val="595959"/>
                                <w:kern w:val="24"/>
                              </w:rPr>
                            </w:pPr>
                          </w:p>
                          <w:p w14:paraId="621F0FC7" w14:textId="77777777" w:rsidR="008A47AC" w:rsidRPr="00AE10F9" w:rsidRDefault="008A47AC" w:rsidP="0054039C">
                            <w:pPr>
                              <w:pStyle w:val="NormalWeb"/>
                              <w:spacing w:after="200" w:line="276" w:lineRule="auto"/>
                              <w:jc w:val="both"/>
                              <w:rPr>
                                <w:rFonts w:ascii="Arial Narrow" w:eastAsia="SimSun" w:hAnsi="Arial Narrow" w:cs="Arial"/>
                                <w:color w:val="595959"/>
                                <w:kern w:val="24"/>
                              </w:rPr>
                            </w:pPr>
                          </w:p>
                          <w:p w14:paraId="5CAD20EE" w14:textId="77777777" w:rsidR="008A47AC" w:rsidRDefault="008A47AC" w:rsidP="0054039C">
                            <w:pPr>
                              <w:pStyle w:val="NormalWeb"/>
                              <w:spacing w:after="200" w:line="276" w:lineRule="auto"/>
                              <w:jc w:val="both"/>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5D9107" id="_x0000_s1122" type="#_x0000_t202" style="position:absolute;margin-left:399.55pt;margin-top:2.6pt;width:450.75pt;height:126pt;z-index:251658331;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" stroked="f">
                <v:textbox>
                  <w:txbxContent>
                    <w:p w14:paraId="7353B0D2" w14:textId="5C6DE3D0" w:rsidR="008A47AC" w:rsidRDefault="008A47AC" w:rsidP="0054039C">
                      <w:pPr>
                        <w:pStyle w:val="NormalWeb"/>
                        <w:spacing w:after="200"/>
                        <w:jc w:val="both"/>
                        <w:rPr>
                          <w:rFonts w:ascii="Arial Narrow" w:eastAsia="SimSun" w:hAnsi="Arial Narrow" w:cs="Arial"/>
                          <w:b/>
                          <w:bCs/>
                          <w:color w:val="595959"/>
                          <w:kern w:val="24"/>
                          <w:sz w:val="22"/>
                          <w:szCs w:val="22"/>
                        </w:rPr>
                      </w:pPr>
                      <w:r>
                        <w:rPr>
                          <w:rFonts w:ascii="Arial Narrow" w:eastAsia="SimSun" w:hAnsi="Arial Narrow" w:cs="Arial"/>
                          <w:b/>
                          <w:bCs/>
                          <w:color w:val="595959"/>
                          <w:kern w:val="24"/>
                          <w:sz w:val="22"/>
                          <w:szCs w:val="22"/>
                        </w:rPr>
                        <w:t xml:space="preserve">Figure 3.45 Immunoblotting for COL1A1 abundance in NOF and CAF in response to Scriptaid and Batimastat treatment with and without TGFβ-1 stimulation </w:t>
                      </w:r>
                    </w:p>
                    <w:p w14:paraId="6CB364D1" w14:textId="73B4970D" w:rsidR="008A47AC" w:rsidRPr="00944EBD" w:rsidRDefault="008A47AC" w:rsidP="0054039C">
                      <w:pPr>
                        <w:pStyle w:val="NormalWeb"/>
                        <w:spacing w:after="200" w:line="276" w:lineRule="auto"/>
                        <w:jc w:val="both"/>
                        <w:rPr>
                          <w:rFonts w:ascii="Arial Narrow" w:eastAsia="SimSun" w:hAnsi="Arial Narrow" w:cs="Arial"/>
                          <w:color w:val="595959"/>
                          <w:kern w:val="24"/>
                          <w:sz w:val="22"/>
                        </w:rPr>
                      </w:pPr>
                      <w:r>
                        <w:rPr>
                          <w:rFonts w:ascii="Arial Narrow" w:eastAsia="SimSun" w:hAnsi="Arial Narrow" w:cs="Arial"/>
                          <w:color w:val="595959"/>
                          <w:kern w:val="24"/>
                          <w:sz w:val="22"/>
                        </w:rPr>
                        <w:t xml:space="preserve">NOF (A) and CAF (B) 2D monolayers were treated with the inhibitors Scriptaid and Batimastat in the presence or absence of </w:t>
                      </w:r>
                      <w:r w:rsidRPr="00944EBD">
                        <w:rPr>
                          <w:rFonts w:ascii="Arial Narrow" w:eastAsia="SimSun" w:hAnsi="Arial Narrow" w:cs="Arial"/>
                          <w:color w:val="595959"/>
                          <w:kern w:val="24"/>
                          <w:sz w:val="22"/>
                        </w:rPr>
                        <w:t xml:space="preserve">TGFβ-1 </w:t>
                      </w:r>
                      <w:r>
                        <w:rPr>
                          <w:rFonts w:ascii="Arial Narrow" w:eastAsia="SimSun" w:hAnsi="Arial Narrow" w:cs="Arial"/>
                          <w:color w:val="595959"/>
                          <w:kern w:val="24"/>
                          <w:sz w:val="22"/>
                        </w:rPr>
                        <w:t xml:space="preserve">for 48 h with COL1A1 protein levels determined using immunoblotting. Densitometry of the resultant bands were measured using ImageJ and the intensity measured relative to GAPDH controls.  Data is expressed as relative fold change, with mean ± SD, N=3, n=2, * denotes p &lt;0.05 and **p &lt;0.01 as analysed by an unpaired student’s T-test. </w:t>
                      </w:r>
                    </w:p>
                    <w:p w14:paraId="392FA1EF" w14:textId="77777777" w:rsidR="008A47AC" w:rsidRDefault="008A47AC" w:rsidP="0054039C">
                      <w:pPr>
                        <w:pStyle w:val="NormalWeb"/>
                        <w:spacing w:after="200" w:line="276" w:lineRule="auto"/>
                        <w:jc w:val="both"/>
                        <w:rPr>
                          <w:rFonts w:ascii="Arial Narrow" w:eastAsia="SimSun" w:hAnsi="Arial Narrow" w:cs="Arial"/>
                          <w:color w:val="595959"/>
                          <w:kern w:val="24"/>
                        </w:rPr>
                      </w:pPr>
                    </w:p>
                    <w:p w14:paraId="736418F9" w14:textId="77777777" w:rsidR="008A47AC" w:rsidRDefault="008A47AC" w:rsidP="0054039C">
                      <w:pPr>
                        <w:pStyle w:val="NormalWeb"/>
                        <w:spacing w:after="200" w:line="276" w:lineRule="auto"/>
                        <w:jc w:val="both"/>
                        <w:rPr>
                          <w:rFonts w:ascii="Arial Narrow" w:eastAsia="SimSun" w:hAnsi="Arial Narrow" w:cs="Arial"/>
                          <w:color w:val="595959"/>
                          <w:kern w:val="24"/>
                        </w:rPr>
                      </w:pPr>
                    </w:p>
                    <w:p w14:paraId="621F0FC7" w14:textId="77777777" w:rsidR="008A47AC" w:rsidRPr="00AE10F9" w:rsidRDefault="008A47AC" w:rsidP="0054039C">
                      <w:pPr>
                        <w:pStyle w:val="NormalWeb"/>
                        <w:spacing w:after="200" w:line="276" w:lineRule="auto"/>
                        <w:jc w:val="both"/>
                        <w:rPr>
                          <w:rFonts w:ascii="Arial Narrow" w:eastAsia="SimSun" w:hAnsi="Arial Narrow" w:cs="Arial"/>
                          <w:color w:val="595959"/>
                          <w:kern w:val="24"/>
                        </w:rPr>
                      </w:pPr>
                    </w:p>
                    <w:p w14:paraId="5CAD20EE" w14:textId="77777777" w:rsidR="008A47AC" w:rsidRDefault="008A47AC" w:rsidP="0054039C">
                      <w:pPr>
                        <w:pStyle w:val="NormalWeb"/>
                        <w:spacing w:after="200" w:line="276" w:lineRule="auto"/>
                        <w:jc w:val="both"/>
                      </w:pPr>
                    </w:p>
                  </w:txbxContent>
                </v:textbox>
                <w10:wrap anchorx="margin"/>
              </v:shape>
            </w:pict>
          </mc:Fallback>
        </mc:AlternateContent>
      </w:r>
      <w:bookmarkEnd w:id="353"/>
    </w:p>
    <w:p w14:paraId="245FA382" w14:textId="77777777" w:rsidR="0054039C" w:rsidRPr="0054039C" w:rsidRDefault="0054039C" w:rsidP="0054039C">
      <w:pPr>
        <w:keepNext/>
        <w:keepLines/>
        <w:spacing w:before="40" w:after="0"/>
        <w:outlineLvl w:val="2"/>
        <w:rPr>
          <w:rFonts w:ascii="Arial" w:eastAsiaTheme="majorEastAsia" w:hAnsi="Arial" w:cs="Arial"/>
          <w:b/>
          <w:color w:val="595959" w:themeColor="text1" w:themeTint="A6"/>
          <w:sz w:val="24"/>
          <w:szCs w:val="24"/>
        </w:rPr>
      </w:pPr>
    </w:p>
    <w:p w14:paraId="04107E82" w14:textId="77777777" w:rsidR="0054039C" w:rsidRPr="0054039C" w:rsidRDefault="0054039C" w:rsidP="0054039C">
      <w:pPr>
        <w:keepNext/>
        <w:keepLines/>
        <w:spacing w:before="40" w:after="0"/>
        <w:outlineLvl w:val="2"/>
        <w:rPr>
          <w:rFonts w:ascii="Arial" w:eastAsiaTheme="majorEastAsia" w:hAnsi="Arial" w:cs="Arial"/>
          <w:b/>
          <w:color w:val="595959" w:themeColor="text1" w:themeTint="A6"/>
          <w:sz w:val="24"/>
          <w:szCs w:val="24"/>
        </w:rPr>
      </w:pPr>
    </w:p>
    <w:p w14:paraId="07D1F142" w14:textId="77777777" w:rsidR="0054039C" w:rsidRPr="0054039C" w:rsidRDefault="0054039C" w:rsidP="0054039C">
      <w:pPr>
        <w:keepNext/>
        <w:keepLines/>
        <w:spacing w:before="40" w:after="0"/>
        <w:outlineLvl w:val="2"/>
        <w:rPr>
          <w:rFonts w:ascii="Arial" w:eastAsiaTheme="majorEastAsia" w:hAnsi="Arial" w:cs="Arial"/>
          <w:b/>
          <w:color w:val="595959" w:themeColor="text1" w:themeTint="A6"/>
          <w:sz w:val="24"/>
          <w:szCs w:val="24"/>
        </w:rPr>
      </w:pPr>
    </w:p>
    <w:p w14:paraId="1C213504" w14:textId="77777777" w:rsidR="0054039C" w:rsidRPr="0054039C" w:rsidRDefault="0054039C" w:rsidP="0054039C">
      <w:pPr>
        <w:keepNext/>
        <w:keepLines/>
        <w:spacing w:before="40" w:after="0"/>
        <w:outlineLvl w:val="2"/>
        <w:rPr>
          <w:rFonts w:ascii="Arial" w:eastAsiaTheme="majorEastAsia" w:hAnsi="Arial" w:cs="Arial"/>
          <w:b/>
          <w:color w:val="595959" w:themeColor="text1" w:themeTint="A6"/>
          <w:sz w:val="24"/>
          <w:szCs w:val="24"/>
        </w:rPr>
      </w:pPr>
    </w:p>
    <w:p w14:paraId="40FB8B3B" w14:textId="77777777" w:rsidR="0054039C" w:rsidRPr="0054039C" w:rsidRDefault="0054039C" w:rsidP="0054039C">
      <w:pPr>
        <w:keepNext/>
        <w:keepLines/>
        <w:spacing w:before="40" w:after="0"/>
        <w:outlineLvl w:val="2"/>
        <w:rPr>
          <w:rFonts w:ascii="Arial" w:eastAsiaTheme="majorEastAsia" w:hAnsi="Arial" w:cs="Arial"/>
          <w:b/>
          <w:color w:val="595959" w:themeColor="text1" w:themeTint="A6"/>
          <w:sz w:val="24"/>
          <w:szCs w:val="24"/>
        </w:rPr>
      </w:pPr>
    </w:p>
    <w:p w14:paraId="0D1939CB" w14:textId="77777777" w:rsidR="0054039C" w:rsidRPr="0054039C" w:rsidRDefault="0054039C" w:rsidP="0054039C">
      <w:pPr>
        <w:keepNext/>
        <w:keepLines/>
        <w:spacing w:before="40" w:after="0"/>
        <w:outlineLvl w:val="2"/>
        <w:rPr>
          <w:rFonts w:ascii="Arial" w:eastAsiaTheme="majorEastAsia" w:hAnsi="Arial" w:cs="Arial"/>
          <w:b/>
          <w:color w:val="595959" w:themeColor="text1" w:themeTint="A6"/>
          <w:sz w:val="24"/>
          <w:szCs w:val="24"/>
        </w:rPr>
      </w:pPr>
    </w:p>
    <w:p w14:paraId="1BCACEAE" w14:textId="77777777" w:rsidR="0054039C" w:rsidRPr="0054039C" w:rsidRDefault="0054039C" w:rsidP="0054039C">
      <w:pPr>
        <w:keepNext/>
        <w:keepLines/>
        <w:spacing w:before="40" w:after="0"/>
        <w:outlineLvl w:val="2"/>
        <w:rPr>
          <w:rFonts w:ascii="Arial" w:eastAsiaTheme="majorEastAsia" w:hAnsi="Arial" w:cs="Arial"/>
          <w:b/>
          <w:color w:val="595959" w:themeColor="text1" w:themeTint="A6"/>
          <w:sz w:val="24"/>
          <w:szCs w:val="24"/>
        </w:rPr>
      </w:pPr>
    </w:p>
    <w:p w14:paraId="4E67A9F3" w14:textId="77777777" w:rsidR="0054039C" w:rsidRPr="0054039C" w:rsidRDefault="0054039C" w:rsidP="0054039C"/>
    <w:bookmarkEnd w:id="337"/>
    <w:p w14:paraId="79EFA6B7" w14:textId="77777777" w:rsidR="0054039C" w:rsidRPr="0054039C" w:rsidRDefault="0054039C" w:rsidP="0054039C"/>
    <w:p w14:paraId="43300BCA" w14:textId="7802AA9A" w:rsidR="00573C58" w:rsidRPr="00533009" w:rsidRDefault="00573C58" w:rsidP="00C03ACF">
      <w:pPr>
        <w:pStyle w:val="Heading3"/>
        <w:rPr>
          <w:rFonts w:ascii="Arial" w:hAnsi="Arial" w:cs="Arial"/>
          <w:b/>
          <w:color w:val="595959" w:themeColor="text1" w:themeTint="A6"/>
        </w:rPr>
      </w:pPr>
      <w:bookmarkStart w:id="354" w:name="_Toc34208403"/>
      <w:r w:rsidRPr="00533009">
        <w:rPr>
          <w:rFonts w:ascii="Arial" w:hAnsi="Arial" w:cs="Arial"/>
          <w:b/>
          <w:color w:val="595959" w:themeColor="text1" w:themeTint="A6"/>
        </w:rPr>
        <w:lastRenderedPageBreak/>
        <w:t xml:space="preserve">3.3.7 Summary </w:t>
      </w:r>
      <w:r w:rsidR="002D4BDF" w:rsidRPr="00533009">
        <w:rPr>
          <w:rFonts w:ascii="Arial" w:hAnsi="Arial" w:cs="Arial"/>
          <w:b/>
          <w:color w:val="595959" w:themeColor="text1" w:themeTint="A6"/>
        </w:rPr>
        <w:t xml:space="preserve">tables </w:t>
      </w:r>
      <w:r w:rsidRPr="00533009">
        <w:rPr>
          <w:rFonts w:ascii="Arial" w:hAnsi="Arial" w:cs="Arial"/>
          <w:b/>
          <w:color w:val="595959" w:themeColor="text1" w:themeTint="A6"/>
        </w:rPr>
        <w:t>of NOF and CAF phenotyping in 2D</w:t>
      </w:r>
      <w:bookmarkEnd w:id="354"/>
    </w:p>
    <w:p w14:paraId="1957C1C5" w14:textId="56B164BA" w:rsidR="002D4BDF" w:rsidRPr="00533009" w:rsidRDefault="002D4BDF" w:rsidP="002D4BDF">
      <w:pPr>
        <w:rPr>
          <w:color w:val="595959" w:themeColor="text1" w:themeTint="A6"/>
        </w:rPr>
      </w:pPr>
    </w:p>
    <w:p w14:paraId="232C05A8" w14:textId="5CE43037" w:rsidR="00785F84" w:rsidRPr="00533009" w:rsidRDefault="006E7887" w:rsidP="00800B24">
      <w:pPr>
        <w:spacing w:line="360" w:lineRule="auto"/>
        <w:jc w:val="both"/>
        <w:rPr>
          <w:rFonts w:ascii="Arial" w:hAnsi="Arial" w:cs="Arial"/>
          <w:color w:val="595959" w:themeColor="text1" w:themeTint="A6"/>
        </w:rPr>
      </w:pPr>
      <w:r w:rsidRPr="00533009">
        <w:rPr>
          <w:rFonts w:ascii="Arial" w:hAnsi="Arial" w:cs="Arial"/>
          <w:color w:val="595959" w:themeColor="text1" w:themeTint="A6"/>
        </w:rPr>
        <w:t>F</w:t>
      </w:r>
      <w:r w:rsidR="002D4BDF" w:rsidRPr="00533009">
        <w:rPr>
          <w:rFonts w:ascii="Arial" w:hAnsi="Arial" w:cs="Arial"/>
          <w:color w:val="595959" w:themeColor="text1" w:themeTint="A6"/>
        </w:rPr>
        <w:t xml:space="preserve">indings for </w:t>
      </w:r>
      <w:r w:rsidRPr="00533009">
        <w:rPr>
          <w:rFonts w:ascii="Arial" w:hAnsi="Arial" w:cs="Arial"/>
          <w:color w:val="595959" w:themeColor="text1" w:themeTint="A6"/>
        </w:rPr>
        <w:t xml:space="preserve">key </w:t>
      </w:r>
      <w:r w:rsidR="00800B24" w:rsidRPr="00533009">
        <w:rPr>
          <w:rFonts w:ascii="Arial" w:hAnsi="Arial" w:cs="Arial"/>
          <w:color w:val="595959" w:themeColor="text1" w:themeTint="A6"/>
        </w:rPr>
        <w:t>gene and protein</w:t>
      </w:r>
      <w:r w:rsidRPr="00533009">
        <w:rPr>
          <w:rFonts w:ascii="Arial" w:hAnsi="Arial" w:cs="Arial"/>
          <w:color w:val="595959" w:themeColor="text1" w:themeTint="A6"/>
        </w:rPr>
        <w:t xml:space="preserve">s </w:t>
      </w:r>
      <w:r w:rsidR="00800B24" w:rsidRPr="00533009">
        <w:rPr>
          <w:rFonts w:ascii="Arial" w:hAnsi="Arial" w:cs="Arial"/>
          <w:color w:val="595959" w:themeColor="text1" w:themeTint="A6"/>
        </w:rPr>
        <w:t xml:space="preserve">expression changes </w:t>
      </w:r>
      <w:r w:rsidR="008C0D91" w:rsidRPr="00533009">
        <w:rPr>
          <w:rFonts w:ascii="Arial" w:hAnsi="Arial" w:cs="Arial"/>
          <w:color w:val="595959" w:themeColor="text1" w:themeTint="A6"/>
        </w:rPr>
        <w:t>for</w:t>
      </w:r>
      <w:r w:rsidR="00800B24" w:rsidRPr="00533009">
        <w:rPr>
          <w:rFonts w:ascii="Arial" w:hAnsi="Arial" w:cs="Arial"/>
          <w:color w:val="595959" w:themeColor="text1" w:themeTint="A6"/>
        </w:rPr>
        <w:t xml:space="preserve"> </w:t>
      </w:r>
      <w:r w:rsidR="002D4BDF" w:rsidRPr="00533009">
        <w:rPr>
          <w:rFonts w:ascii="Arial" w:hAnsi="Arial" w:cs="Arial"/>
          <w:color w:val="595959" w:themeColor="text1" w:themeTint="A6"/>
        </w:rPr>
        <w:t xml:space="preserve">myofibroblast markers </w:t>
      </w:r>
      <w:r w:rsidR="003964E2" w:rsidRPr="00533009">
        <w:rPr>
          <w:rFonts w:ascii="Arial" w:hAnsi="Arial" w:cs="Arial"/>
          <w:color w:val="595959" w:themeColor="text1" w:themeTint="A6"/>
        </w:rPr>
        <w:t>in NOF and CAF 2D cultures</w:t>
      </w:r>
      <w:r w:rsidR="00800B24" w:rsidRPr="00533009">
        <w:rPr>
          <w:rFonts w:ascii="Arial" w:hAnsi="Arial" w:cs="Arial"/>
          <w:color w:val="595959" w:themeColor="text1" w:themeTint="A6"/>
        </w:rPr>
        <w:t xml:space="preserve"> in response to TGFβ-1 (Table 3.1). NOF respond to TGFβ-1 </w:t>
      </w:r>
      <w:r w:rsidR="00785F84" w:rsidRPr="00533009">
        <w:rPr>
          <w:rFonts w:ascii="Arial" w:hAnsi="Arial" w:cs="Arial"/>
          <w:color w:val="595959" w:themeColor="text1" w:themeTint="A6"/>
        </w:rPr>
        <w:t xml:space="preserve">up to 2 weeks in culture, with a reduced transcriptional regulation of myofibroblast markers long-term. CAF responded to TGFβ-1, but also showed elevated basal expression of all markers both short and long-term without exogenous stimulation. </w:t>
      </w:r>
    </w:p>
    <w:p w14:paraId="3AD397FE" w14:textId="1D8EFC9F" w:rsidR="00C03ACF" w:rsidRPr="00533009" w:rsidRDefault="00785F84" w:rsidP="00800B24">
      <w:pPr>
        <w:spacing w:line="360" w:lineRule="auto"/>
        <w:jc w:val="both"/>
        <w:rPr>
          <w:rFonts w:ascii="Arial" w:hAnsi="Arial" w:cs="Arial"/>
          <w:color w:val="595959" w:themeColor="text1" w:themeTint="A6"/>
        </w:rPr>
      </w:pPr>
      <w:r w:rsidRPr="00533009">
        <w:rPr>
          <w:rFonts w:ascii="Arial" w:hAnsi="Arial" w:cs="Arial"/>
          <w:color w:val="595959" w:themeColor="text1" w:themeTint="A6"/>
        </w:rPr>
        <w:t>Stromal-targeting drugs were successful in significantly reducing myofibroblast marker expression for both NOF and CAF 2D cultures</w:t>
      </w:r>
      <w:r w:rsidR="004222B9" w:rsidRPr="00533009">
        <w:rPr>
          <w:rFonts w:ascii="Arial" w:hAnsi="Arial" w:cs="Arial"/>
          <w:color w:val="595959" w:themeColor="text1" w:themeTint="A6"/>
        </w:rPr>
        <w:t xml:space="preserve"> when treated with TGFβ-1 (Table 3.2). CAF cultures treated with </w:t>
      </w:r>
      <w:r w:rsidR="00C03ACF" w:rsidRPr="00533009">
        <w:rPr>
          <w:rFonts w:ascii="Arial" w:hAnsi="Arial" w:cs="Arial"/>
          <w:color w:val="595959" w:themeColor="text1" w:themeTint="A6"/>
        </w:rPr>
        <w:t>either Scriptaid/</w:t>
      </w:r>
      <w:r w:rsidR="004222B9" w:rsidRPr="00533009">
        <w:rPr>
          <w:rFonts w:ascii="Arial" w:hAnsi="Arial" w:cs="Arial"/>
          <w:color w:val="595959" w:themeColor="text1" w:themeTint="A6"/>
        </w:rPr>
        <w:t xml:space="preserve">Batimastat </w:t>
      </w:r>
      <w:r w:rsidR="00C03ACF" w:rsidRPr="00533009">
        <w:rPr>
          <w:rFonts w:ascii="Arial" w:hAnsi="Arial" w:cs="Arial"/>
          <w:color w:val="595959" w:themeColor="text1" w:themeTint="A6"/>
        </w:rPr>
        <w:t>in combination with</w:t>
      </w:r>
      <w:r w:rsidR="004222B9" w:rsidRPr="00533009">
        <w:rPr>
          <w:rFonts w:ascii="Arial" w:hAnsi="Arial" w:cs="Arial"/>
          <w:color w:val="595959" w:themeColor="text1" w:themeTint="A6"/>
        </w:rPr>
        <w:t xml:space="preserve"> TGFβ-1 showed a significantly reduction of FN1-EDA, COL1A1 and αSMA protein compared to untreated controls. </w:t>
      </w:r>
      <w:r w:rsidR="006E7887" w:rsidRPr="00533009">
        <w:rPr>
          <w:rFonts w:ascii="Arial" w:hAnsi="Arial" w:cs="Arial"/>
          <w:color w:val="595959" w:themeColor="text1" w:themeTint="A6"/>
        </w:rPr>
        <w:t xml:space="preserve">Providing preliminary evidence for their use as possible OSCC therapeutics.  </w:t>
      </w:r>
    </w:p>
    <w:p w14:paraId="05C97DAA" w14:textId="7B7B0DF6" w:rsidR="00785F84" w:rsidRPr="00533009" w:rsidRDefault="00785F84" w:rsidP="00800B24">
      <w:pPr>
        <w:spacing w:line="360" w:lineRule="auto"/>
        <w:jc w:val="both"/>
        <w:rPr>
          <w:rFonts w:ascii="Arial" w:hAnsi="Arial" w:cs="Arial"/>
          <w:color w:val="595959" w:themeColor="text1" w:themeTint="A6"/>
        </w:rPr>
      </w:pPr>
      <w:r w:rsidRPr="00533009">
        <w:rPr>
          <w:rFonts w:ascii="Arial" w:hAnsi="Arial" w:cs="Arial"/>
          <w:color w:val="595959" w:themeColor="text1" w:themeTint="A6"/>
        </w:rPr>
        <w:t>Table 3.1 Myofibroblast marker analysis</w:t>
      </w:r>
    </w:p>
    <w:tbl>
      <w:tblPr>
        <w:tblStyle w:val="TableGrid"/>
        <w:tblW w:w="0" w:type="auto"/>
        <w:tblLook w:val="04A0" w:firstRow="1" w:lastRow="0" w:firstColumn="1" w:lastColumn="0" w:noHBand="0" w:noVBand="1"/>
      </w:tblPr>
      <w:tblGrid>
        <w:gridCol w:w="1990"/>
        <w:gridCol w:w="1407"/>
        <w:gridCol w:w="1276"/>
        <w:gridCol w:w="1420"/>
        <w:gridCol w:w="1431"/>
        <w:gridCol w:w="1492"/>
      </w:tblGrid>
      <w:tr w:rsidR="00573C58" w14:paraId="469897FD" w14:textId="77777777" w:rsidTr="00C03ACF">
        <w:tc>
          <w:tcPr>
            <w:tcW w:w="1990" w:type="dxa"/>
            <w:tcBorders>
              <w:left w:val="single" w:sz="4" w:space="0" w:color="auto"/>
              <w:bottom w:val="nil"/>
            </w:tcBorders>
          </w:tcPr>
          <w:p w14:paraId="4C5DE876" w14:textId="77777777" w:rsidR="00573C58" w:rsidRDefault="00573C58" w:rsidP="00C03ACF">
            <w:pPr>
              <w:jc w:val="center"/>
            </w:pPr>
          </w:p>
        </w:tc>
        <w:tc>
          <w:tcPr>
            <w:tcW w:w="1407" w:type="dxa"/>
          </w:tcPr>
          <w:p w14:paraId="49ABE131" w14:textId="77777777" w:rsidR="00573C58" w:rsidRDefault="00573C58" w:rsidP="00C03ACF">
            <w:pPr>
              <w:jc w:val="center"/>
            </w:pPr>
          </w:p>
        </w:tc>
        <w:tc>
          <w:tcPr>
            <w:tcW w:w="1276" w:type="dxa"/>
          </w:tcPr>
          <w:p w14:paraId="61EAE4F9" w14:textId="77777777" w:rsidR="00573C58" w:rsidRPr="00D11C1C" w:rsidRDefault="00573C58" w:rsidP="00C03ACF">
            <w:pPr>
              <w:jc w:val="center"/>
              <w:rPr>
                <w:b/>
                <w:bCs/>
              </w:rPr>
            </w:pPr>
            <w:r w:rsidRPr="00D11C1C">
              <w:rPr>
                <w:b/>
                <w:bCs/>
              </w:rPr>
              <w:t>NOF</w:t>
            </w:r>
          </w:p>
        </w:tc>
        <w:tc>
          <w:tcPr>
            <w:tcW w:w="1420" w:type="dxa"/>
          </w:tcPr>
          <w:p w14:paraId="0B5F0BF0" w14:textId="77777777" w:rsidR="00573C58" w:rsidRPr="00D11C1C" w:rsidRDefault="00573C58" w:rsidP="00C03ACF">
            <w:pPr>
              <w:rPr>
                <w:b/>
                <w:bCs/>
              </w:rPr>
            </w:pPr>
          </w:p>
        </w:tc>
        <w:tc>
          <w:tcPr>
            <w:tcW w:w="1431" w:type="dxa"/>
          </w:tcPr>
          <w:p w14:paraId="5859A3BE" w14:textId="77777777" w:rsidR="00573C58" w:rsidRPr="00D11C1C" w:rsidRDefault="00573C58" w:rsidP="00C03ACF">
            <w:pPr>
              <w:jc w:val="center"/>
              <w:rPr>
                <w:b/>
                <w:bCs/>
              </w:rPr>
            </w:pPr>
            <w:r w:rsidRPr="00D11C1C">
              <w:rPr>
                <w:b/>
                <w:bCs/>
              </w:rPr>
              <w:t>CAF</w:t>
            </w:r>
          </w:p>
        </w:tc>
        <w:tc>
          <w:tcPr>
            <w:tcW w:w="1492" w:type="dxa"/>
          </w:tcPr>
          <w:p w14:paraId="01EB9AA7" w14:textId="77777777" w:rsidR="00573C58" w:rsidRDefault="00573C58" w:rsidP="00C03ACF"/>
        </w:tc>
      </w:tr>
      <w:tr w:rsidR="00573C58" w14:paraId="343F3F68" w14:textId="77777777" w:rsidTr="00C03ACF">
        <w:tc>
          <w:tcPr>
            <w:tcW w:w="1990" w:type="dxa"/>
            <w:tcBorders>
              <w:top w:val="nil"/>
              <w:left w:val="single" w:sz="4" w:space="0" w:color="auto"/>
              <w:bottom w:val="nil"/>
            </w:tcBorders>
          </w:tcPr>
          <w:p w14:paraId="670B9BE7" w14:textId="77777777" w:rsidR="00573C58" w:rsidRPr="009820C8" w:rsidRDefault="00573C58" w:rsidP="00C03ACF">
            <w:pPr>
              <w:jc w:val="center"/>
              <w:rPr>
                <w:b/>
                <w:bCs/>
              </w:rPr>
            </w:pPr>
          </w:p>
        </w:tc>
        <w:tc>
          <w:tcPr>
            <w:tcW w:w="1407" w:type="dxa"/>
          </w:tcPr>
          <w:p w14:paraId="4368D957" w14:textId="77777777" w:rsidR="00573C58" w:rsidRPr="009820C8" w:rsidRDefault="00573C58" w:rsidP="00C03ACF">
            <w:pPr>
              <w:jc w:val="center"/>
              <w:rPr>
                <w:b/>
                <w:bCs/>
              </w:rPr>
            </w:pPr>
            <w:r w:rsidRPr="009820C8">
              <w:rPr>
                <w:b/>
                <w:bCs/>
              </w:rPr>
              <w:t>Marker</w:t>
            </w:r>
          </w:p>
        </w:tc>
        <w:tc>
          <w:tcPr>
            <w:tcW w:w="1276" w:type="dxa"/>
          </w:tcPr>
          <w:p w14:paraId="2866B214" w14:textId="77777777" w:rsidR="00573C58" w:rsidRDefault="00573C58" w:rsidP="00C03ACF">
            <w:pPr>
              <w:jc w:val="center"/>
            </w:pPr>
            <w:r>
              <w:t>Gene</w:t>
            </w:r>
          </w:p>
        </w:tc>
        <w:tc>
          <w:tcPr>
            <w:tcW w:w="1420" w:type="dxa"/>
          </w:tcPr>
          <w:p w14:paraId="06CA6A15" w14:textId="77777777" w:rsidR="00573C58" w:rsidRDefault="00573C58" w:rsidP="00C03ACF">
            <w:pPr>
              <w:jc w:val="center"/>
            </w:pPr>
            <w:r>
              <w:t>Protein</w:t>
            </w:r>
          </w:p>
        </w:tc>
        <w:tc>
          <w:tcPr>
            <w:tcW w:w="1431" w:type="dxa"/>
          </w:tcPr>
          <w:p w14:paraId="1E545FAD" w14:textId="77777777" w:rsidR="00573C58" w:rsidRDefault="00573C58" w:rsidP="00C03ACF">
            <w:pPr>
              <w:jc w:val="center"/>
            </w:pPr>
            <w:r>
              <w:t>Gene</w:t>
            </w:r>
          </w:p>
        </w:tc>
        <w:tc>
          <w:tcPr>
            <w:tcW w:w="1492" w:type="dxa"/>
          </w:tcPr>
          <w:p w14:paraId="25E74498" w14:textId="77777777" w:rsidR="00573C58" w:rsidRDefault="00573C58" w:rsidP="00C03ACF">
            <w:pPr>
              <w:jc w:val="center"/>
            </w:pPr>
            <w:r>
              <w:t>Protein</w:t>
            </w:r>
          </w:p>
        </w:tc>
      </w:tr>
      <w:tr w:rsidR="00573C58" w14:paraId="3CBC65A4" w14:textId="77777777" w:rsidTr="00C03ACF">
        <w:tc>
          <w:tcPr>
            <w:tcW w:w="1990" w:type="dxa"/>
            <w:tcBorders>
              <w:top w:val="nil"/>
              <w:left w:val="single" w:sz="4" w:space="0" w:color="auto"/>
            </w:tcBorders>
          </w:tcPr>
          <w:p w14:paraId="7970377E" w14:textId="77777777" w:rsidR="00573C58" w:rsidRPr="009820C8" w:rsidRDefault="00573C58" w:rsidP="00C03ACF">
            <w:pPr>
              <w:jc w:val="center"/>
              <w:rPr>
                <w:rFonts w:ascii="Calibri" w:eastAsia="Times New Roman" w:hAnsi="Calibri" w:cs="Calibri"/>
                <w:color w:val="000000"/>
                <w:lang w:eastAsia="en-GB"/>
              </w:rPr>
            </w:pPr>
          </w:p>
        </w:tc>
        <w:tc>
          <w:tcPr>
            <w:tcW w:w="1407" w:type="dxa"/>
          </w:tcPr>
          <w:p w14:paraId="610DDE3F" w14:textId="77777777" w:rsidR="00573C58" w:rsidRDefault="00573C58" w:rsidP="00C03ACF">
            <w:pPr>
              <w:jc w:val="center"/>
            </w:pPr>
            <w:r w:rsidRPr="009820C8">
              <w:rPr>
                <w:rFonts w:ascii="Calibri" w:eastAsia="Times New Roman" w:hAnsi="Calibri" w:cs="Calibri"/>
                <w:color w:val="000000"/>
                <w:lang w:eastAsia="en-GB"/>
              </w:rPr>
              <w:t>αSMA</w:t>
            </w:r>
          </w:p>
        </w:tc>
        <w:tc>
          <w:tcPr>
            <w:tcW w:w="1276" w:type="dxa"/>
          </w:tcPr>
          <w:p w14:paraId="6C14124B" w14:textId="77777777" w:rsidR="00573C58" w:rsidRPr="009820C8" w:rsidRDefault="00573C58" w:rsidP="00C03ACF">
            <w:pPr>
              <w:jc w:val="center"/>
              <w:rPr>
                <w:color w:val="00B050"/>
              </w:rPr>
            </w:pPr>
            <w:r w:rsidRPr="009820C8">
              <w:rPr>
                <w:color w:val="00B050"/>
              </w:rPr>
              <w:t>****</w:t>
            </w:r>
          </w:p>
        </w:tc>
        <w:tc>
          <w:tcPr>
            <w:tcW w:w="1420" w:type="dxa"/>
          </w:tcPr>
          <w:p w14:paraId="590EA74E" w14:textId="77777777" w:rsidR="00573C58" w:rsidRPr="009820C8" w:rsidRDefault="00573C58" w:rsidP="00C03ACF">
            <w:pPr>
              <w:jc w:val="center"/>
              <w:rPr>
                <w:color w:val="00B050"/>
              </w:rPr>
            </w:pPr>
            <w:r w:rsidRPr="009820C8">
              <w:rPr>
                <w:color w:val="00B050"/>
              </w:rPr>
              <w:t>****</w:t>
            </w:r>
          </w:p>
        </w:tc>
        <w:tc>
          <w:tcPr>
            <w:tcW w:w="1431" w:type="dxa"/>
          </w:tcPr>
          <w:p w14:paraId="22353015" w14:textId="77777777" w:rsidR="00573C58" w:rsidRPr="009820C8" w:rsidRDefault="00573C58" w:rsidP="00C03ACF">
            <w:pPr>
              <w:jc w:val="center"/>
              <w:rPr>
                <w:color w:val="00B050"/>
              </w:rPr>
            </w:pPr>
            <w:r w:rsidRPr="009820C8">
              <w:rPr>
                <w:color w:val="00B050"/>
              </w:rPr>
              <w:t>**</w:t>
            </w:r>
          </w:p>
        </w:tc>
        <w:tc>
          <w:tcPr>
            <w:tcW w:w="1492" w:type="dxa"/>
          </w:tcPr>
          <w:p w14:paraId="6D8259D0" w14:textId="77777777" w:rsidR="00573C58" w:rsidRPr="009820C8" w:rsidRDefault="00573C58" w:rsidP="00C03ACF">
            <w:pPr>
              <w:jc w:val="center"/>
              <w:rPr>
                <w:color w:val="00B050"/>
              </w:rPr>
            </w:pPr>
            <w:r w:rsidRPr="009820C8">
              <w:rPr>
                <w:color w:val="00B050"/>
              </w:rPr>
              <w:t>***</w:t>
            </w:r>
          </w:p>
        </w:tc>
      </w:tr>
      <w:tr w:rsidR="00573C58" w14:paraId="0513D9CE" w14:textId="77777777" w:rsidTr="00C03ACF">
        <w:tc>
          <w:tcPr>
            <w:tcW w:w="1990" w:type="dxa"/>
            <w:tcBorders>
              <w:bottom w:val="single" w:sz="4" w:space="0" w:color="auto"/>
            </w:tcBorders>
          </w:tcPr>
          <w:p w14:paraId="22941FC5" w14:textId="77777777" w:rsidR="00573C58" w:rsidRDefault="00573C58" w:rsidP="00C03ACF">
            <w:pPr>
              <w:jc w:val="center"/>
            </w:pPr>
            <w:r>
              <w:t>Short-term TGF</w:t>
            </w:r>
            <w:r>
              <w:rPr>
                <w:rFonts w:cstheme="minorHAnsi"/>
              </w:rPr>
              <w:t>β</w:t>
            </w:r>
            <w:r>
              <w:t>-1</w:t>
            </w:r>
          </w:p>
          <w:p w14:paraId="27937E38" w14:textId="77777777" w:rsidR="00573C58" w:rsidRDefault="00573C58" w:rsidP="00C03ACF">
            <w:pPr>
              <w:jc w:val="center"/>
            </w:pPr>
            <w:r>
              <w:t>Treatment</w:t>
            </w:r>
          </w:p>
        </w:tc>
        <w:tc>
          <w:tcPr>
            <w:tcW w:w="1407" w:type="dxa"/>
          </w:tcPr>
          <w:p w14:paraId="605DDFEA" w14:textId="77777777" w:rsidR="00573C58" w:rsidRDefault="00573C58" w:rsidP="00C03ACF">
            <w:pPr>
              <w:jc w:val="center"/>
            </w:pPr>
            <w:r>
              <w:t>FN1-EDA</w:t>
            </w:r>
          </w:p>
        </w:tc>
        <w:tc>
          <w:tcPr>
            <w:tcW w:w="1276" w:type="dxa"/>
          </w:tcPr>
          <w:p w14:paraId="0C640F58" w14:textId="77777777" w:rsidR="00573C58" w:rsidRPr="009820C8" w:rsidRDefault="00573C58" w:rsidP="00C03ACF">
            <w:pPr>
              <w:jc w:val="center"/>
              <w:rPr>
                <w:color w:val="00B050"/>
              </w:rPr>
            </w:pPr>
            <w:r w:rsidRPr="009820C8">
              <w:rPr>
                <w:color w:val="00B050"/>
              </w:rPr>
              <w:t>****</w:t>
            </w:r>
          </w:p>
        </w:tc>
        <w:tc>
          <w:tcPr>
            <w:tcW w:w="1420" w:type="dxa"/>
          </w:tcPr>
          <w:p w14:paraId="75AD55B1" w14:textId="77777777" w:rsidR="00573C58" w:rsidRPr="009820C8" w:rsidRDefault="00573C58" w:rsidP="00C03ACF">
            <w:pPr>
              <w:jc w:val="center"/>
              <w:rPr>
                <w:color w:val="00B050"/>
              </w:rPr>
            </w:pPr>
            <w:r w:rsidRPr="009820C8">
              <w:rPr>
                <w:color w:val="00B050"/>
              </w:rPr>
              <w:t>****</w:t>
            </w:r>
          </w:p>
        </w:tc>
        <w:tc>
          <w:tcPr>
            <w:tcW w:w="1431" w:type="dxa"/>
          </w:tcPr>
          <w:p w14:paraId="15BD6662" w14:textId="77777777" w:rsidR="00573C58" w:rsidRPr="009820C8" w:rsidRDefault="00573C58" w:rsidP="00C03ACF">
            <w:pPr>
              <w:jc w:val="center"/>
              <w:rPr>
                <w:color w:val="00B050"/>
              </w:rPr>
            </w:pPr>
            <w:r w:rsidRPr="009820C8">
              <w:rPr>
                <w:color w:val="00B050"/>
              </w:rPr>
              <w:t>***</w:t>
            </w:r>
          </w:p>
        </w:tc>
        <w:tc>
          <w:tcPr>
            <w:tcW w:w="1492" w:type="dxa"/>
          </w:tcPr>
          <w:p w14:paraId="1E0D737A" w14:textId="77777777" w:rsidR="00573C58" w:rsidRPr="009820C8" w:rsidRDefault="00573C58" w:rsidP="00C03ACF">
            <w:pPr>
              <w:jc w:val="center"/>
              <w:rPr>
                <w:color w:val="00B050"/>
              </w:rPr>
            </w:pPr>
            <w:r w:rsidRPr="009820C8">
              <w:rPr>
                <w:color w:val="00B050"/>
              </w:rPr>
              <w:t>***</w:t>
            </w:r>
          </w:p>
        </w:tc>
      </w:tr>
      <w:tr w:rsidR="00573C58" w14:paraId="650B35A0" w14:textId="77777777" w:rsidTr="00C03ACF">
        <w:tc>
          <w:tcPr>
            <w:tcW w:w="1990" w:type="dxa"/>
            <w:tcBorders>
              <w:bottom w:val="nil"/>
            </w:tcBorders>
          </w:tcPr>
          <w:p w14:paraId="65975614" w14:textId="77777777" w:rsidR="00573C58" w:rsidRDefault="00573C58" w:rsidP="00C03ACF">
            <w:pPr>
              <w:jc w:val="center"/>
            </w:pPr>
          </w:p>
        </w:tc>
        <w:tc>
          <w:tcPr>
            <w:tcW w:w="1407" w:type="dxa"/>
          </w:tcPr>
          <w:p w14:paraId="79CE177A" w14:textId="77777777" w:rsidR="00573C58" w:rsidRDefault="00573C58" w:rsidP="00C03ACF">
            <w:pPr>
              <w:jc w:val="center"/>
            </w:pPr>
            <w:r>
              <w:t>COL1A1</w:t>
            </w:r>
          </w:p>
        </w:tc>
        <w:tc>
          <w:tcPr>
            <w:tcW w:w="1276" w:type="dxa"/>
          </w:tcPr>
          <w:p w14:paraId="726797D5" w14:textId="77777777" w:rsidR="00573C58" w:rsidRPr="009820C8" w:rsidRDefault="00573C58" w:rsidP="00C03ACF">
            <w:pPr>
              <w:jc w:val="center"/>
              <w:rPr>
                <w:color w:val="00B050"/>
              </w:rPr>
            </w:pPr>
            <w:r w:rsidRPr="009820C8">
              <w:rPr>
                <w:color w:val="00B050"/>
              </w:rPr>
              <w:t>****</w:t>
            </w:r>
          </w:p>
        </w:tc>
        <w:tc>
          <w:tcPr>
            <w:tcW w:w="1420" w:type="dxa"/>
          </w:tcPr>
          <w:p w14:paraId="0B38B19B" w14:textId="77777777" w:rsidR="00573C58" w:rsidRPr="009820C8" w:rsidRDefault="00573C58" w:rsidP="00C03ACF">
            <w:pPr>
              <w:jc w:val="center"/>
              <w:rPr>
                <w:color w:val="00B050"/>
              </w:rPr>
            </w:pPr>
            <w:r w:rsidRPr="009820C8">
              <w:rPr>
                <w:color w:val="00B050"/>
              </w:rPr>
              <w:t>**</w:t>
            </w:r>
          </w:p>
        </w:tc>
        <w:tc>
          <w:tcPr>
            <w:tcW w:w="1431" w:type="dxa"/>
          </w:tcPr>
          <w:p w14:paraId="19023817" w14:textId="77777777" w:rsidR="00573C58" w:rsidRPr="009820C8" w:rsidRDefault="00573C58" w:rsidP="00C03ACF">
            <w:pPr>
              <w:jc w:val="center"/>
              <w:rPr>
                <w:color w:val="00B050"/>
              </w:rPr>
            </w:pPr>
            <w:r w:rsidRPr="009820C8">
              <w:rPr>
                <w:color w:val="00B050"/>
              </w:rPr>
              <w:t>*</w:t>
            </w:r>
          </w:p>
        </w:tc>
        <w:tc>
          <w:tcPr>
            <w:tcW w:w="1492" w:type="dxa"/>
          </w:tcPr>
          <w:p w14:paraId="052E875A" w14:textId="77777777" w:rsidR="00573C58" w:rsidRPr="009820C8" w:rsidRDefault="00573C58" w:rsidP="00C03ACF">
            <w:pPr>
              <w:jc w:val="center"/>
              <w:rPr>
                <w:color w:val="00B050"/>
              </w:rPr>
            </w:pPr>
            <w:r w:rsidRPr="009820C8">
              <w:rPr>
                <w:color w:val="00B050"/>
              </w:rPr>
              <w:t>*</w:t>
            </w:r>
          </w:p>
        </w:tc>
      </w:tr>
      <w:tr w:rsidR="00573C58" w14:paraId="6DC44ADA" w14:textId="77777777" w:rsidTr="00C03ACF">
        <w:tc>
          <w:tcPr>
            <w:tcW w:w="1990" w:type="dxa"/>
            <w:tcBorders>
              <w:top w:val="nil"/>
              <w:bottom w:val="nil"/>
            </w:tcBorders>
          </w:tcPr>
          <w:p w14:paraId="7A152239" w14:textId="77777777" w:rsidR="00573C58" w:rsidRDefault="00573C58" w:rsidP="00C03ACF">
            <w:pPr>
              <w:jc w:val="center"/>
            </w:pPr>
          </w:p>
        </w:tc>
        <w:tc>
          <w:tcPr>
            <w:tcW w:w="1407" w:type="dxa"/>
          </w:tcPr>
          <w:p w14:paraId="17CEE284" w14:textId="77777777" w:rsidR="00573C58" w:rsidRDefault="00573C58" w:rsidP="00C03ACF">
            <w:pPr>
              <w:jc w:val="center"/>
            </w:pPr>
            <w:r>
              <w:t>TNC</w:t>
            </w:r>
          </w:p>
        </w:tc>
        <w:tc>
          <w:tcPr>
            <w:tcW w:w="1276" w:type="dxa"/>
          </w:tcPr>
          <w:p w14:paraId="76D49487" w14:textId="77777777" w:rsidR="00573C58" w:rsidRPr="009820C8" w:rsidRDefault="00573C58" w:rsidP="00C03ACF">
            <w:pPr>
              <w:jc w:val="center"/>
              <w:rPr>
                <w:color w:val="00B050"/>
              </w:rPr>
            </w:pPr>
            <w:r w:rsidRPr="009820C8">
              <w:rPr>
                <w:color w:val="00B050"/>
              </w:rPr>
              <w:t>****</w:t>
            </w:r>
          </w:p>
        </w:tc>
        <w:tc>
          <w:tcPr>
            <w:tcW w:w="1420" w:type="dxa"/>
          </w:tcPr>
          <w:p w14:paraId="5452F02F" w14:textId="77777777" w:rsidR="00573C58" w:rsidRPr="009820C8" w:rsidRDefault="00573C58" w:rsidP="00C03ACF">
            <w:pPr>
              <w:jc w:val="center"/>
              <w:rPr>
                <w:color w:val="00B050"/>
              </w:rPr>
            </w:pPr>
            <w:r>
              <w:rPr>
                <w:color w:val="00B050"/>
              </w:rPr>
              <w:t>-</w:t>
            </w:r>
          </w:p>
        </w:tc>
        <w:tc>
          <w:tcPr>
            <w:tcW w:w="1431" w:type="dxa"/>
          </w:tcPr>
          <w:p w14:paraId="0CD51FB5" w14:textId="77777777" w:rsidR="00573C58" w:rsidRPr="009820C8" w:rsidRDefault="00573C58" w:rsidP="00C03ACF">
            <w:pPr>
              <w:jc w:val="center"/>
              <w:rPr>
                <w:color w:val="00B050"/>
              </w:rPr>
            </w:pPr>
            <w:r w:rsidRPr="009820C8">
              <w:rPr>
                <w:color w:val="00B050"/>
              </w:rPr>
              <w:t>***</w:t>
            </w:r>
          </w:p>
        </w:tc>
        <w:tc>
          <w:tcPr>
            <w:tcW w:w="1492" w:type="dxa"/>
          </w:tcPr>
          <w:p w14:paraId="672E140E" w14:textId="77777777" w:rsidR="00573C58" w:rsidRPr="009820C8" w:rsidRDefault="00573C58" w:rsidP="00C03ACF">
            <w:pPr>
              <w:jc w:val="center"/>
              <w:rPr>
                <w:color w:val="00B050"/>
              </w:rPr>
            </w:pPr>
            <w:r>
              <w:rPr>
                <w:color w:val="00B050"/>
              </w:rPr>
              <w:t>-</w:t>
            </w:r>
          </w:p>
        </w:tc>
      </w:tr>
      <w:tr w:rsidR="00573C58" w14:paraId="51C57F64" w14:textId="77777777" w:rsidTr="00C03ACF">
        <w:tc>
          <w:tcPr>
            <w:tcW w:w="1990" w:type="dxa"/>
            <w:tcBorders>
              <w:top w:val="nil"/>
              <w:bottom w:val="nil"/>
            </w:tcBorders>
          </w:tcPr>
          <w:p w14:paraId="1E78915F" w14:textId="77777777" w:rsidR="00573C58" w:rsidRDefault="00573C58" w:rsidP="00C03ACF">
            <w:pPr>
              <w:jc w:val="center"/>
            </w:pPr>
          </w:p>
        </w:tc>
        <w:tc>
          <w:tcPr>
            <w:tcW w:w="1407" w:type="dxa"/>
            <w:tcBorders>
              <w:bottom w:val="single" w:sz="4" w:space="0" w:color="auto"/>
            </w:tcBorders>
          </w:tcPr>
          <w:p w14:paraId="126DACE0" w14:textId="77777777" w:rsidR="00573C58" w:rsidRDefault="00573C58" w:rsidP="00C03ACF">
            <w:pPr>
              <w:jc w:val="center"/>
            </w:pPr>
            <w:r>
              <w:t>VCAN</w:t>
            </w:r>
          </w:p>
        </w:tc>
        <w:tc>
          <w:tcPr>
            <w:tcW w:w="1276" w:type="dxa"/>
            <w:tcBorders>
              <w:bottom w:val="single" w:sz="4" w:space="0" w:color="auto"/>
            </w:tcBorders>
          </w:tcPr>
          <w:p w14:paraId="148DCC2B" w14:textId="77777777" w:rsidR="00573C58" w:rsidRPr="009820C8" w:rsidRDefault="00573C58" w:rsidP="00C03ACF">
            <w:pPr>
              <w:jc w:val="center"/>
              <w:rPr>
                <w:color w:val="00B050"/>
              </w:rPr>
            </w:pPr>
            <w:r w:rsidRPr="009820C8">
              <w:rPr>
                <w:color w:val="00B050"/>
              </w:rPr>
              <w:t>****</w:t>
            </w:r>
          </w:p>
        </w:tc>
        <w:tc>
          <w:tcPr>
            <w:tcW w:w="1420" w:type="dxa"/>
            <w:tcBorders>
              <w:bottom w:val="single" w:sz="4" w:space="0" w:color="auto"/>
            </w:tcBorders>
          </w:tcPr>
          <w:p w14:paraId="1EDE4957" w14:textId="77777777" w:rsidR="00573C58" w:rsidRPr="009820C8" w:rsidRDefault="00573C58" w:rsidP="00C03ACF">
            <w:pPr>
              <w:jc w:val="center"/>
              <w:rPr>
                <w:color w:val="00B050"/>
              </w:rPr>
            </w:pPr>
            <w:r w:rsidRPr="009820C8">
              <w:rPr>
                <w:color w:val="00B050"/>
              </w:rPr>
              <w:t>****</w:t>
            </w:r>
          </w:p>
        </w:tc>
        <w:tc>
          <w:tcPr>
            <w:tcW w:w="1431" w:type="dxa"/>
            <w:tcBorders>
              <w:bottom w:val="single" w:sz="4" w:space="0" w:color="auto"/>
            </w:tcBorders>
          </w:tcPr>
          <w:p w14:paraId="50B05F87" w14:textId="77777777" w:rsidR="00573C58" w:rsidRPr="009820C8" w:rsidRDefault="00573C58" w:rsidP="00C03ACF">
            <w:pPr>
              <w:jc w:val="center"/>
              <w:rPr>
                <w:color w:val="00B050"/>
              </w:rPr>
            </w:pPr>
            <w:r w:rsidRPr="009820C8">
              <w:rPr>
                <w:color w:val="00B050"/>
              </w:rPr>
              <w:t>**</w:t>
            </w:r>
          </w:p>
        </w:tc>
        <w:tc>
          <w:tcPr>
            <w:tcW w:w="1492" w:type="dxa"/>
            <w:tcBorders>
              <w:bottom w:val="single" w:sz="4" w:space="0" w:color="auto"/>
            </w:tcBorders>
          </w:tcPr>
          <w:p w14:paraId="194D9E7A" w14:textId="77777777" w:rsidR="00573C58" w:rsidRPr="009820C8" w:rsidRDefault="00573C58" w:rsidP="00C03ACF">
            <w:pPr>
              <w:jc w:val="center"/>
              <w:rPr>
                <w:color w:val="00B050"/>
              </w:rPr>
            </w:pPr>
            <w:r w:rsidRPr="009820C8">
              <w:rPr>
                <w:color w:val="00B050"/>
              </w:rPr>
              <w:t>***</w:t>
            </w:r>
          </w:p>
        </w:tc>
      </w:tr>
      <w:tr w:rsidR="00573C58" w14:paraId="5B7EF7C4" w14:textId="77777777" w:rsidTr="00C03ACF">
        <w:tc>
          <w:tcPr>
            <w:tcW w:w="1990" w:type="dxa"/>
            <w:tcBorders>
              <w:top w:val="nil"/>
              <w:bottom w:val="nil"/>
            </w:tcBorders>
          </w:tcPr>
          <w:p w14:paraId="20B50DB3" w14:textId="77777777" w:rsidR="00573C58" w:rsidRDefault="00573C58" w:rsidP="00C03ACF">
            <w:pPr>
              <w:jc w:val="center"/>
            </w:pPr>
          </w:p>
        </w:tc>
        <w:tc>
          <w:tcPr>
            <w:tcW w:w="1407" w:type="dxa"/>
            <w:tcBorders>
              <w:right w:val="nil"/>
            </w:tcBorders>
            <w:shd w:val="clear" w:color="auto" w:fill="AEAAAA" w:themeFill="background2" w:themeFillShade="BF"/>
          </w:tcPr>
          <w:p w14:paraId="5CDB54DB" w14:textId="77777777" w:rsidR="00573C58" w:rsidRDefault="00573C58" w:rsidP="00C03ACF">
            <w:pPr>
              <w:jc w:val="center"/>
            </w:pPr>
          </w:p>
        </w:tc>
        <w:tc>
          <w:tcPr>
            <w:tcW w:w="1276" w:type="dxa"/>
            <w:tcBorders>
              <w:left w:val="nil"/>
              <w:right w:val="nil"/>
            </w:tcBorders>
            <w:shd w:val="clear" w:color="auto" w:fill="AEAAAA" w:themeFill="background2" w:themeFillShade="BF"/>
          </w:tcPr>
          <w:p w14:paraId="655344AD" w14:textId="77777777" w:rsidR="00573C58" w:rsidRPr="00D11C1C" w:rsidRDefault="00573C58" w:rsidP="00C03ACF">
            <w:pPr>
              <w:jc w:val="center"/>
              <w:rPr>
                <w:b/>
                <w:bCs/>
              </w:rPr>
            </w:pPr>
          </w:p>
        </w:tc>
        <w:tc>
          <w:tcPr>
            <w:tcW w:w="1420" w:type="dxa"/>
            <w:tcBorders>
              <w:left w:val="nil"/>
              <w:right w:val="nil"/>
            </w:tcBorders>
            <w:shd w:val="clear" w:color="auto" w:fill="AEAAAA" w:themeFill="background2" w:themeFillShade="BF"/>
          </w:tcPr>
          <w:p w14:paraId="467E88FF" w14:textId="77777777" w:rsidR="00573C58" w:rsidRPr="00D11C1C" w:rsidRDefault="00573C58" w:rsidP="00C03ACF">
            <w:pPr>
              <w:rPr>
                <w:b/>
                <w:bCs/>
              </w:rPr>
            </w:pPr>
          </w:p>
        </w:tc>
        <w:tc>
          <w:tcPr>
            <w:tcW w:w="1431" w:type="dxa"/>
            <w:tcBorders>
              <w:left w:val="nil"/>
              <w:right w:val="nil"/>
            </w:tcBorders>
            <w:shd w:val="clear" w:color="auto" w:fill="AEAAAA" w:themeFill="background2" w:themeFillShade="BF"/>
          </w:tcPr>
          <w:p w14:paraId="7F5A8AE8" w14:textId="77777777" w:rsidR="00573C58" w:rsidRPr="00D11C1C" w:rsidRDefault="00573C58" w:rsidP="00C03ACF">
            <w:pPr>
              <w:jc w:val="center"/>
              <w:rPr>
                <w:b/>
                <w:bCs/>
              </w:rPr>
            </w:pPr>
          </w:p>
        </w:tc>
        <w:tc>
          <w:tcPr>
            <w:tcW w:w="1492" w:type="dxa"/>
            <w:tcBorders>
              <w:left w:val="nil"/>
            </w:tcBorders>
            <w:shd w:val="clear" w:color="auto" w:fill="AEAAAA" w:themeFill="background2" w:themeFillShade="BF"/>
          </w:tcPr>
          <w:p w14:paraId="4F8FD22D" w14:textId="77777777" w:rsidR="00573C58" w:rsidRDefault="00573C58" w:rsidP="00C03ACF"/>
        </w:tc>
      </w:tr>
      <w:tr w:rsidR="00573C58" w14:paraId="3CC81533" w14:textId="77777777" w:rsidTr="00C03ACF">
        <w:tc>
          <w:tcPr>
            <w:tcW w:w="1990" w:type="dxa"/>
            <w:tcBorders>
              <w:top w:val="nil"/>
              <w:bottom w:val="nil"/>
            </w:tcBorders>
          </w:tcPr>
          <w:p w14:paraId="30F3F7DD" w14:textId="77777777" w:rsidR="00573C58" w:rsidRDefault="00573C58" w:rsidP="00C03ACF">
            <w:pPr>
              <w:jc w:val="center"/>
            </w:pPr>
          </w:p>
        </w:tc>
        <w:tc>
          <w:tcPr>
            <w:tcW w:w="1407" w:type="dxa"/>
          </w:tcPr>
          <w:p w14:paraId="1A78B513" w14:textId="77777777" w:rsidR="00573C58" w:rsidRDefault="00573C58" w:rsidP="00C03ACF">
            <w:pPr>
              <w:jc w:val="center"/>
            </w:pPr>
          </w:p>
        </w:tc>
        <w:tc>
          <w:tcPr>
            <w:tcW w:w="1276" w:type="dxa"/>
          </w:tcPr>
          <w:p w14:paraId="23C760F0" w14:textId="77777777" w:rsidR="00573C58" w:rsidRPr="00D11C1C" w:rsidRDefault="00573C58" w:rsidP="00C03ACF">
            <w:pPr>
              <w:jc w:val="center"/>
              <w:rPr>
                <w:b/>
                <w:bCs/>
              </w:rPr>
            </w:pPr>
            <w:r w:rsidRPr="00D11C1C">
              <w:rPr>
                <w:b/>
                <w:bCs/>
              </w:rPr>
              <w:t>NOF</w:t>
            </w:r>
          </w:p>
        </w:tc>
        <w:tc>
          <w:tcPr>
            <w:tcW w:w="1420" w:type="dxa"/>
          </w:tcPr>
          <w:p w14:paraId="32DE9228" w14:textId="77777777" w:rsidR="00573C58" w:rsidRPr="00D11C1C" w:rsidRDefault="00573C58" w:rsidP="00C03ACF">
            <w:pPr>
              <w:rPr>
                <w:b/>
                <w:bCs/>
              </w:rPr>
            </w:pPr>
          </w:p>
        </w:tc>
        <w:tc>
          <w:tcPr>
            <w:tcW w:w="1431" w:type="dxa"/>
          </w:tcPr>
          <w:p w14:paraId="1F99E080" w14:textId="77777777" w:rsidR="00573C58" w:rsidRPr="00D11C1C" w:rsidRDefault="00573C58" w:rsidP="00C03ACF">
            <w:pPr>
              <w:jc w:val="center"/>
              <w:rPr>
                <w:b/>
                <w:bCs/>
              </w:rPr>
            </w:pPr>
            <w:r w:rsidRPr="00D11C1C">
              <w:rPr>
                <w:b/>
                <w:bCs/>
              </w:rPr>
              <w:t>CAF</w:t>
            </w:r>
          </w:p>
        </w:tc>
        <w:tc>
          <w:tcPr>
            <w:tcW w:w="1492" w:type="dxa"/>
          </w:tcPr>
          <w:p w14:paraId="6D464B6A" w14:textId="77777777" w:rsidR="00573C58" w:rsidRDefault="00573C58" w:rsidP="00C03ACF"/>
        </w:tc>
      </w:tr>
      <w:tr w:rsidR="00573C58" w14:paraId="22884D2E" w14:textId="77777777" w:rsidTr="00C03ACF">
        <w:tc>
          <w:tcPr>
            <w:tcW w:w="1990" w:type="dxa"/>
            <w:tcBorders>
              <w:top w:val="nil"/>
              <w:bottom w:val="nil"/>
            </w:tcBorders>
          </w:tcPr>
          <w:p w14:paraId="62E20A62" w14:textId="77777777" w:rsidR="00573C58" w:rsidRPr="009820C8" w:rsidRDefault="00573C58" w:rsidP="00C03ACF">
            <w:pPr>
              <w:jc w:val="center"/>
              <w:rPr>
                <w:b/>
                <w:bCs/>
              </w:rPr>
            </w:pPr>
          </w:p>
        </w:tc>
        <w:tc>
          <w:tcPr>
            <w:tcW w:w="1407" w:type="dxa"/>
          </w:tcPr>
          <w:p w14:paraId="14B54F09" w14:textId="77777777" w:rsidR="00573C58" w:rsidRPr="009820C8" w:rsidRDefault="00573C58" w:rsidP="00C03ACF">
            <w:pPr>
              <w:jc w:val="center"/>
              <w:rPr>
                <w:b/>
                <w:bCs/>
              </w:rPr>
            </w:pPr>
            <w:r w:rsidRPr="009820C8">
              <w:rPr>
                <w:b/>
                <w:bCs/>
              </w:rPr>
              <w:t>Marker</w:t>
            </w:r>
          </w:p>
        </w:tc>
        <w:tc>
          <w:tcPr>
            <w:tcW w:w="1276" w:type="dxa"/>
          </w:tcPr>
          <w:p w14:paraId="0AA5C24C" w14:textId="77777777" w:rsidR="00573C58" w:rsidRDefault="00573C58" w:rsidP="00C03ACF">
            <w:pPr>
              <w:jc w:val="center"/>
            </w:pPr>
            <w:r>
              <w:t>Gene</w:t>
            </w:r>
          </w:p>
        </w:tc>
        <w:tc>
          <w:tcPr>
            <w:tcW w:w="1420" w:type="dxa"/>
          </w:tcPr>
          <w:p w14:paraId="141B8FAA" w14:textId="77777777" w:rsidR="00573C58" w:rsidRDefault="00573C58" w:rsidP="00C03ACF">
            <w:pPr>
              <w:jc w:val="center"/>
            </w:pPr>
            <w:r>
              <w:t>Protein</w:t>
            </w:r>
          </w:p>
        </w:tc>
        <w:tc>
          <w:tcPr>
            <w:tcW w:w="1431" w:type="dxa"/>
          </w:tcPr>
          <w:p w14:paraId="00632D20" w14:textId="77777777" w:rsidR="00573C58" w:rsidRDefault="00573C58" w:rsidP="00C03ACF">
            <w:pPr>
              <w:jc w:val="center"/>
            </w:pPr>
            <w:r>
              <w:t>Gene</w:t>
            </w:r>
          </w:p>
        </w:tc>
        <w:tc>
          <w:tcPr>
            <w:tcW w:w="1492" w:type="dxa"/>
          </w:tcPr>
          <w:p w14:paraId="77C6D939" w14:textId="77777777" w:rsidR="00573C58" w:rsidRDefault="00573C58" w:rsidP="00C03ACF">
            <w:pPr>
              <w:jc w:val="center"/>
            </w:pPr>
            <w:r>
              <w:t>Protein</w:t>
            </w:r>
          </w:p>
        </w:tc>
      </w:tr>
      <w:tr w:rsidR="00573C58" w14:paraId="641EA534" w14:textId="77777777" w:rsidTr="00C03ACF">
        <w:tc>
          <w:tcPr>
            <w:tcW w:w="1990" w:type="dxa"/>
            <w:tcBorders>
              <w:top w:val="nil"/>
            </w:tcBorders>
          </w:tcPr>
          <w:p w14:paraId="6205AE1B" w14:textId="77777777" w:rsidR="00573C58" w:rsidRPr="009820C8" w:rsidRDefault="00573C58" w:rsidP="00C03ACF">
            <w:pPr>
              <w:jc w:val="center"/>
              <w:rPr>
                <w:rFonts w:ascii="Calibri" w:eastAsia="Times New Roman" w:hAnsi="Calibri" w:cs="Calibri"/>
                <w:color w:val="000000"/>
                <w:lang w:eastAsia="en-GB"/>
              </w:rPr>
            </w:pPr>
          </w:p>
        </w:tc>
        <w:tc>
          <w:tcPr>
            <w:tcW w:w="1407" w:type="dxa"/>
          </w:tcPr>
          <w:p w14:paraId="0EF53E31" w14:textId="77777777" w:rsidR="00573C58" w:rsidRDefault="00573C58" w:rsidP="00C03ACF">
            <w:pPr>
              <w:jc w:val="center"/>
            </w:pPr>
            <w:r w:rsidRPr="009820C8">
              <w:rPr>
                <w:rFonts w:ascii="Calibri" w:eastAsia="Times New Roman" w:hAnsi="Calibri" w:cs="Calibri"/>
                <w:color w:val="000000"/>
                <w:lang w:eastAsia="en-GB"/>
              </w:rPr>
              <w:t>αSMA</w:t>
            </w:r>
          </w:p>
        </w:tc>
        <w:tc>
          <w:tcPr>
            <w:tcW w:w="1276" w:type="dxa"/>
          </w:tcPr>
          <w:p w14:paraId="715FA55B" w14:textId="77777777" w:rsidR="00573C58" w:rsidRPr="009820C8" w:rsidRDefault="00573C58" w:rsidP="00C03ACF">
            <w:pPr>
              <w:jc w:val="center"/>
              <w:rPr>
                <w:color w:val="00B050"/>
              </w:rPr>
            </w:pPr>
            <w:r>
              <w:rPr>
                <w:color w:val="00B050"/>
              </w:rPr>
              <w:t>ns</w:t>
            </w:r>
          </w:p>
        </w:tc>
        <w:tc>
          <w:tcPr>
            <w:tcW w:w="1420" w:type="dxa"/>
          </w:tcPr>
          <w:p w14:paraId="7D577FCD" w14:textId="77777777" w:rsidR="00573C58" w:rsidRPr="009820C8" w:rsidRDefault="00573C58" w:rsidP="00C03ACF">
            <w:pPr>
              <w:jc w:val="center"/>
              <w:rPr>
                <w:color w:val="00B050"/>
              </w:rPr>
            </w:pPr>
            <w:r>
              <w:rPr>
                <w:color w:val="00B050"/>
              </w:rPr>
              <w:t>****</w:t>
            </w:r>
          </w:p>
        </w:tc>
        <w:tc>
          <w:tcPr>
            <w:tcW w:w="1431" w:type="dxa"/>
          </w:tcPr>
          <w:p w14:paraId="20CEE378" w14:textId="77777777" w:rsidR="00573C58" w:rsidRPr="009820C8" w:rsidRDefault="00573C58" w:rsidP="00C03ACF">
            <w:pPr>
              <w:jc w:val="center"/>
              <w:rPr>
                <w:color w:val="00B050"/>
              </w:rPr>
            </w:pPr>
            <w:r>
              <w:rPr>
                <w:color w:val="00B050"/>
              </w:rPr>
              <w:t>****</w:t>
            </w:r>
          </w:p>
        </w:tc>
        <w:tc>
          <w:tcPr>
            <w:tcW w:w="1492" w:type="dxa"/>
          </w:tcPr>
          <w:p w14:paraId="3BF94025" w14:textId="77777777" w:rsidR="00573C58" w:rsidRPr="009820C8" w:rsidRDefault="00573C58" w:rsidP="00C03ACF">
            <w:pPr>
              <w:jc w:val="center"/>
              <w:rPr>
                <w:color w:val="00B050"/>
              </w:rPr>
            </w:pPr>
            <w:r>
              <w:rPr>
                <w:color w:val="00B050"/>
              </w:rPr>
              <w:t>***</w:t>
            </w:r>
          </w:p>
        </w:tc>
      </w:tr>
      <w:tr w:rsidR="00573C58" w14:paraId="567090E8" w14:textId="77777777" w:rsidTr="00C03ACF">
        <w:tc>
          <w:tcPr>
            <w:tcW w:w="1990" w:type="dxa"/>
            <w:tcBorders>
              <w:bottom w:val="single" w:sz="4" w:space="0" w:color="auto"/>
            </w:tcBorders>
          </w:tcPr>
          <w:p w14:paraId="06B4ACF6" w14:textId="77777777" w:rsidR="00573C58" w:rsidRDefault="00573C58" w:rsidP="00C03ACF">
            <w:pPr>
              <w:jc w:val="center"/>
            </w:pPr>
            <w:r>
              <w:t>Long-term TGF</w:t>
            </w:r>
            <w:r>
              <w:rPr>
                <w:rFonts w:cstheme="minorHAnsi"/>
              </w:rPr>
              <w:t>β</w:t>
            </w:r>
            <w:r>
              <w:t>-1</w:t>
            </w:r>
          </w:p>
          <w:p w14:paraId="5C5C1083" w14:textId="77777777" w:rsidR="00573C58" w:rsidRDefault="00573C58" w:rsidP="00C03ACF">
            <w:pPr>
              <w:jc w:val="center"/>
            </w:pPr>
            <w:r>
              <w:t>Treatment</w:t>
            </w:r>
          </w:p>
        </w:tc>
        <w:tc>
          <w:tcPr>
            <w:tcW w:w="1407" w:type="dxa"/>
          </w:tcPr>
          <w:p w14:paraId="52F265CE" w14:textId="77777777" w:rsidR="00573C58" w:rsidRDefault="00573C58" w:rsidP="00C03ACF">
            <w:pPr>
              <w:jc w:val="center"/>
            </w:pPr>
            <w:r>
              <w:t>FN1-EDA</w:t>
            </w:r>
          </w:p>
        </w:tc>
        <w:tc>
          <w:tcPr>
            <w:tcW w:w="1276" w:type="dxa"/>
          </w:tcPr>
          <w:p w14:paraId="38385F1C" w14:textId="77777777" w:rsidR="00573C58" w:rsidRPr="009820C8" w:rsidRDefault="00573C58" w:rsidP="00C03ACF">
            <w:pPr>
              <w:jc w:val="center"/>
              <w:rPr>
                <w:color w:val="00B050"/>
              </w:rPr>
            </w:pPr>
            <w:r>
              <w:rPr>
                <w:color w:val="00B050"/>
              </w:rPr>
              <w:t>***</w:t>
            </w:r>
          </w:p>
        </w:tc>
        <w:tc>
          <w:tcPr>
            <w:tcW w:w="1420" w:type="dxa"/>
          </w:tcPr>
          <w:p w14:paraId="65A595C1" w14:textId="77777777" w:rsidR="00573C58" w:rsidRPr="009820C8" w:rsidRDefault="00573C58" w:rsidP="00C03ACF">
            <w:pPr>
              <w:jc w:val="center"/>
              <w:rPr>
                <w:color w:val="00B050"/>
              </w:rPr>
            </w:pPr>
            <w:r>
              <w:rPr>
                <w:color w:val="00B050"/>
              </w:rPr>
              <w:t>****</w:t>
            </w:r>
          </w:p>
        </w:tc>
        <w:tc>
          <w:tcPr>
            <w:tcW w:w="1431" w:type="dxa"/>
          </w:tcPr>
          <w:p w14:paraId="1C6EEC20" w14:textId="77777777" w:rsidR="00573C58" w:rsidRPr="009820C8" w:rsidRDefault="00573C58" w:rsidP="00C03ACF">
            <w:pPr>
              <w:jc w:val="center"/>
              <w:rPr>
                <w:color w:val="00B050"/>
              </w:rPr>
            </w:pPr>
            <w:r>
              <w:rPr>
                <w:color w:val="00B050"/>
              </w:rPr>
              <w:t>****</w:t>
            </w:r>
          </w:p>
        </w:tc>
        <w:tc>
          <w:tcPr>
            <w:tcW w:w="1492" w:type="dxa"/>
          </w:tcPr>
          <w:p w14:paraId="66654763" w14:textId="77777777" w:rsidR="00573C58" w:rsidRPr="009820C8" w:rsidRDefault="00573C58" w:rsidP="00C03ACF">
            <w:pPr>
              <w:jc w:val="center"/>
              <w:rPr>
                <w:color w:val="00B050"/>
              </w:rPr>
            </w:pPr>
            <w:r>
              <w:rPr>
                <w:color w:val="00B050"/>
              </w:rPr>
              <w:t>*</w:t>
            </w:r>
          </w:p>
        </w:tc>
      </w:tr>
      <w:tr w:rsidR="00573C58" w14:paraId="0E6C66D3" w14:textId="77777777" w:rsidTr="00C03ACF">
        <w:tc>
          <w:tcPr>
            <w:tcW w:w="1990" w:type="dxa"/>
            <w:tcBorders>
              <w:bottom w:val="nil"/>
            </w:tcBorders>
          </w:tcPr>
          <w:p w14:paraId="3773FC5C" w14:textId="77777777" w:rsidR="00573C58" w:rsidRDefault="00573C58" w:rsidP="00C03ACF">
            <w:pPr>
              <w:jc w:val="center"/>
            </w:pPr>
          </w:p>
        </w:tc>
        <w:tc>
          <w:tcPr>
            <w:tcW w:w="1407" w:type="dxa"/>
          </w:tcPr>
          <w:p w14:paraId="77A5145C" w14:textId="77777777" w:rsidR="00573C58" w:rsidRDefault="00573C58" w:rsidP="00C03ACF">
            <w:pPr>
              <w:jc w:val="center"/>
            </w:pPr>
            <w:r>
              <w:t>COL1A1</w:t>
            </w:r>
          </w:p>
        </w:tc>
        <w:tc>
          <w:tcPr>
            <w:tcW w:w="1276" w:type="dxa"/>
          </w:tcPr>
          <w:p w14:paraId="130AFD71" w14:textId="77777777" w:rsidR="00573C58" w:rsidRPr="009820C8" w:rsidRDefault="00573C58" w:rsidP="00C03ACF">
            <w:pPr>
              <w:jc w:val="center"/>
              <w:rPr>
                <w:color w:val="00B050"/>
              </w:rPr>
            </w:pPr>
            <w:r>
              <w:rPr>
                <w:color w:val="00B050"/>
              </w:rPr>
              <w:t>ns</w:t>
            </w:r>
          </w:p>
        </w:tc>
        <w:tc>
          <w:tcPr>
            <w:tcW w:w="1420" w:type="dxa"/>
          </w:tcPr>
          <w:p w14:paraId="27A9A0CF" w14:textId="77777777" w:rsidR="00573C58" w:rsidRPr="009820C8" w:rsidRDefault="00573C58" w:rsidP="00C03ACF">
            <w:pPr>
              <w:jc w:val="center"/>
              <w:rPr>
                <w:color w:val="00B050"/>
              </w:rPr>
            </w:pPr>
            <w:r>
              <w:rPr>
                <w:color w:val="00B050"/>
              </w:rPr>
              <w:t>****</w:t>
            </w:r>
          </w:p>
        </w:tc>
        <w:tc>
          <w:tcPr>
            <w:tcW w:w="1431" w:type="dxa"/>
          </w:tcPr>
          <w:p w14:paraId="318AE6FD" w14:textId="77777777" w:rsidR="00573C58" w:rsidRPr="009820C8" w:rsidRDefault="00573C58" w:rsidP="00C03ACF">
            <w:pPr>
              <w:jc w:val="center"/>
              <w:rPr>
                <w:color w:val="00B050"/>
              </w:rPr>
            </w:pPr>
            <w:r>
              <w:rPr>
                <w:color w:val="00B050"/>
              </w:rPr>
              <w:t>****</w:t>
            </w:r>
          </w:p>
        </w:tc>
        <w:tc>
          <w:tcPr>
            <w:tcW w:w="1492" w:type="dxa"/>
          </w:tcPr>
          <w:p w14:paraId="38CC3DD2" w14:textId="77777777" w:rsidR="00573C58" w:rsidRPr="009820C8" w:rsidRDefault="00573C58" w:rsidP="00C03ACF">
            <w:pPr>
              <w:jc w:val="center"/>
              <w:rPr>
                <w:color w:val="00B050"/>
              </w:rPr>
            </w:pPr>
            <w:r>
              <w:rPr>
                <w:color w:val="00B050"/>
              </w:rPr>
              <w:t>****</w:t>
            </w:r>
          </w:p>
        </w:tc>
      </w:tr>
      <w:tr w:rsidR="00573C58" w14:paraId="73FF16B0" w14:textId="77777777" w:rsidTr="00C03ACF">
        <w:tc>
          <w:tcPr>
            <w:tcW w:w="1990" w:type="dxa"/>
            <w:tcBorders>
              <w:top w:val="nil"/>
              <w:bottom w:val="nil"/>
            </w:tcBorders>
          </w:tcPr>
          <w:p w14:paraId="6FB175B4" w14:textId="77777777" w:rsidR="00573C58" w:rsidRDefault="00573C58" w:rsidP="00C03ACF">
            <w:pPr>
              <w:jc w:val="center"/>
            </w:pPr>
          </w:p>
        </w:tc>
        <w:tc>
          <w:tcPr>
            <w:tcW w:w="1407" w:type="dxa"/>
          </w:tcPr>
          <w:p w14:paraId="05FD7E6B" w14:textId="77777777" w:rsidR="00573C58" w:rsidRDefault="00573C58" w:rsidP="00C03ACF">
            <w:pPr>
              <w:jc w:val="center"/>
            </w:pPr>
            <w:r>
              <w:t>TNC</w:t>
            </w:r>
          </w:p>
        </w:tc>
        <w:tc>
          <w:tcPr>
            <w:tcW w:w="1276" w:type="dxa"/>
          </w:tcPr>
          <w:p w14:paraId="68E78471" w14:textId="77777777" w:rsidR="00573C58" w:rsidRPr="009820C8" w:rsidRDefault="00573C58" w:rsidP="00C03ACF">
            <w:pPr>
              <w:jc w:val="center"/>
              <w:rPr>
                <w:color w:val="00B050"/>
              </w:rPr>
            </w:pPr>
            <w:r>
              <w:rPr>
                <w:color w:val="00B050"/>
              </w:rPr>
              <w:t>***</w:t>
            </w:r>
          </w:p>
        </w:tc>
        <w:tc>
          <w:tcPr>
            <w:tcW w:w="1420" w:type="dxa"/>
          </w:tcPr>
          <w:p w14:paraId="14D0DE63" w14:textId="77777777" w:rsidR="00573C58" w:rsidRPr="009820C8" w:rsidRDefault="00573C58" w:rsidP="00C03ACF">
            <w:pPr>
              <w:jc w:val="center"/>
              <w:rPr>
                <w:color w:val="00B050"/>
              </w:rPr>
            </w:pPr>
            <w:r>
              <w:rPr>
                <w:color w:val="00B050"/>
              </w:rPr>
              <w:t>-</w:t>
            </w:r>
          </w:p>
        </w:tc>
        <w:tc>
          <w:tcPr>
            <w:tcW w:w="1431" w:type="dxa"/>
          </w:tcPr>
          <w:p w14:paraId="2BF02EB1" w14:textId="77777777" w:rsidR="00573C58" w:rsidRPr="009820C8" w:rsidRDefault="00573C58" w:rsidP="00C03ACF">
            <w:pPr>
              <w:jc w:val="center"/>
              <w:rPr>
                <w:color w:val="00B050"/>
              </w:rPr>
            </w:pPr>
            <w:r>
              <w:rPr>
                <w:color w:val="00B050"/>
              </w:rPr>
              <w:t>ns</w:t>
            </w:r>
          </w:p>
        </w:tc>
        <w:tc>
          <w:tcPr>
            <w:tcW w:w="1492" w:type="dxa"/>
          </w:tcPr>
          <w:p w14:paraId="383C1504" w14:textId="77777777" w:rsidR="00573C58" w:rsidRPr="009820C8" w:rsidRDefault="00573C58" w:rsidP="00C03ACF">
            <w:pPr>
              <w:jc w:val="center"/>
              <w:rPr>
                <w:color w:val="00B050"/>
              </w:rPr>
            </w:pPr>
            <w:r>
              <w:rPr>
                <w:color w:val="00B050"/>
              </w:rPr>
              <w:t>-</w:t>
            </w:r>
          </w:p>
        </w:tc>
      </w:tr>
      <w:tr w:rsidR="00573C58" w14:paraId="30621FFD" w14:textId="77777777" w:rsidTr="00C03ACF">
        <w:tc>
          <w:tcPr>
            <w:tcW w:w="1990" w:type="dxa"/>
            <w:tcBorders>
              <w:top w:val="nil"/>
            </w:tcBorders>
          </w:tcPr>
          <w:p w14:paraId="1C164EC8" w14:textId="77777777" w:rsidR="00573C58" w:rsidRDefault="00573C58" w:rsidP="00C03ACF">
            <w:pPr>
              <w:jc w:val="center"/>
            </w:pPr>
          </w:p>
        </w:tc>
        <w:tc>
          <w:tcPr>
            <w:tcW w:w="1407" w:type="dxa"/>
          </w:tcPr>
          <w:p w14:paraId="1ED9176A" w14:textId="77777777" w:rsidR="00573C58" w:rsidRDefault="00573C58" w:rsidP="00C03ACF">
            <w:pPr>
              <w:jc w:val="center"/>
            </w:pPr>
            <w:r>
              <w:t>VCAN</w:t>
            </w:r>
          </w:p>
        </w:tc>
        <w:tc>
          <w:tcPr>
            <w:tcW w:w="1276" w:type="dxa"/>
          </w:tcPr>
          <w:p w14:paraId="0963FF4C" w14:textId="77777777" w:rsidR="00573C58" w:rsidRPr="009820C8" w:rsidRDefault="00573C58" w:rsidP="00C03ACF">
            <w:pPr>
              <w:jc w:val="center"/>
              <w:rPr>
                <w:color w:val="00B050"/>
              </w:rPr>
            </w:pPr>
            <w:r>
              <w:rPr>
                <w:color w:val="00B050"/>
              </w:rPr>
              <w:t>ns</w:t>
            </w:r>
          </w:p>
        </w:tc>
        <w:tc>
          <w:tcPr>
            <w:tcW w:w="1420" w:type="dxa"/>
          </w:tcPr>
          <w:p w14:paraId="5C45CC84" w14:textId="77777777" w:rsidR="00573C58" w:rsidRPr="009820C8" w:rsidRDefault="00573C58" w:rsidP="00C03ACF">
            <w:pPr>
              <w:jc w:val="center"/>
              <w:rPr>
                <w:color w:val="00B050"/>
              </w:rPr>
            </w:pPr>
            <w:r>
              <w:rPr>
                <w:color w:val="00B050"/>
              </w:rPr>
              <w:t>****</w:t>
            </w:r>
          </w:p>
        </w:tc>
        <w:tc>
          <w:tcPr>
            <w:tcW w:w="1431" w:type="dxa"/>
          </w:tcPr>
          <w:p w14:paraId="7CC3CFD9" w14:textId="77777777" w:rsidR="00573C58" w:rsidRPr="009820C8" w:rsidRDefault="00573C58" w:rsidP="00C03ACF">
            <w:pPr>
              <w:jc w:val="center"/>
              <w:rPr>
                <w:color w:val="00B050"/>
              </w:rPr>
            </w:pPr>
            <w:r>
              <w:rPr>
                <w:color w:val="00B050"/>
              </w:rPr>
              <w:t>****</w:t>
            </w:r>
          </w:p>
        </w:tc>
        <w:tc>
          <w:tcPr>
            <w:tcW w:w="1492" w:type="dxa"/>
          </w:tcPr>
          <w:p w14:paraId="7F09A73F" w14:textId="77777777" w:rsidR="00573C58" w:rsidRPr="009820C8" w:rsidRDefault="00573C58" w:rsidP="00C03ACF">
            <w:pPr>
              <w:jc w:val="center"/>
              <w:rPr>
                <w:color w:val="00B050"/>
              </w:rPr>
            </w:pPr>
            <w:r>
              <w:rPr>
                <w:color w:val="00B050"/>
              </w:rPr>
              <w:t>***</w:t>
            </w:r>
          </w:p>
        </w:tc>
      </w:tr>
    </w:tbl>
    <w:p w14:paraId="263660E8" w14:textId="0608ADBB" w:rsidR="00573C58" w:rsidRPr="008C0E85" w:rsidRDefault="00785F84" w:rsidP="00785F84">
      <w:pPr>
        <w:spacing w:line="360" w:lineRule="auto"/>
        <w:jc w:val="both"/>
        <w:rPr>
          <w:rFonts w:ascii="Arial" w:hAnsi="Arial" w:cs="Arial"/>
          <w:color w:val="595959" w:themeColor="text1" w:themeTint="A6"/>
        </w:rPr>
      </w:pPr>
      <w:r w:rsidRPr="008C0E85">
        <w:rPr>
          <w:rFonts w:ascii="Arial" w:hAnsi="Arial" w:cs="Arial"/>
          <w:color w:val="595959" w:themeColor="text1" w:themeTint="A6"/>
        </w:rPr>
        <w:t>Table 3.2 NOF and CAF response to stromal-targeting drugs</w:t>
      </w:r>
    </w:p>
    <w:tbl>
      <w:tblPr>
        <w:tblStyle w:val="TableGrid"/>
        <w:tblW w:w="0" w:type="auto"/>
        <w:tblLook w:val="04A0" w:firstRow="1" w:lastRow="0" w:firstColumn="1" w:lastColumn="0" w:noHBand="0" w:noVBand="1"/>
      </w:tblPr>
      <w:tblGrid>
        <w:gridCol w:w="1990"/>
        <w:gridCol w:w="1407"/>
        <w:gridCol w:w="1276"/>
        <w:gridCol w:w="1420"/>
        <w:gridCol w:w="1431"/>
        <w:gridCol w:w="1492"/>
      </w:tblGrid>
      <w:tr w:rsidR="002D4BDF" w14:paraId="626A3404" w14:textId="77777777" w:rsidTr="00C03ACF">
        <w:tc>
          <w:tcPr>
            <w:tcW w:w="1990" w:type="dxa"/>
            <w:tcBorders>
              <w:left w:val="single" w:sz="4" w:space="0" w:color="auto"/>
              <w:bottom w:val="nil"/>
            </w:tcBorders>
          </w:tcPr>
          <w:p w14:paraId="1F98B240" w14:textId="77777777" w:rsidR="002D4BDF" w:rsidRDefault="002D4BDF" w:rsidP="00C03ACF">
            <w:pPr>
              <w:jc w:val="center"/>
            </w:pPr>
          </w:p>
        </w:tc>
        <w:tc>
          <w:tcPr>
            <w:tcW w:w="1407" w:type="dxa"/>
          </w:tcPr>
          <w:p w14:paraId="3FFAFA45" w14:textId="77777777" w:rsidR="002D4BDF" w:rsidRDefault="002D4BDF" w:rsidP="00C03ACF">
            <w:pPr>
              <w:jc w:val="center"/>
            </w:pPr>
          </w:p>
        </w:tc>
        <w:tc>
          <w:tcPr>
            <w:tcW w:w="1276" w:type="dxa"/>
          </w:tcPr>
          <w:p w14:paraId="1A600BAD" w14:textId="77777777" w:rsidR="002D4BDF" w:rsidRPr="00D11C1C" w:rsidRDefault="002D4BDF" w:rsidP="00C03ACF">
            <w:pPr>
              <w:jc w:val="center"/>
              <w:rPr>
                <w:b/>
                <w:bCs/>
              </w:rPr>
            </w:pPr>
            <w:r w:rsidRPr="00D11C1C">
              <w:rPr>
                <w:b/>
                <w:bCs/>
              </w:rPr>
              <w:t>NOF</w:t>
            </w:r>
          </w:p>
        </w:tc>
        <w:tc>
          <w:tcPr>
            <w:tcW w:w="1420" w:type="dxa"/>
          </w:tcPr>
          <w:p w14:paraId="71ACA0D2" w14:textId="77777777" w:rsidR="002D4BDF" w:rsidRPr="00D11C1C" w:rsidRDefault="002D4BDF" w:rsidP="00C03ACF">
            <w:pPr>
              <w:rPr>
                <w:b/>
                <w:bCs/>
              </w:rPr>
            </w:pPr>
          </w:p>
        </w:tc>
        <w:tc>
          <w:tcPr>
            <w:tcW w:w="1431" w:type="dxa"/>
          </w:tcPr>
          <w:p w14:paraId="06A2823E" w14:textId="77777777" w:rsidR="002D4BDF" w:rsidRPr="00D11C1C" w:rsidRDefault="002D4BDF" w:rsidP="00C03ACF">
            <w:pPr>
              <w:jc w:val="center"/>
              <w:rPr>
                <w:b/>
                <w:bCs/>
              </w:rPr>
            </w:pPr>
            <w:r w:rsidRPr="00D11C1C">
              <w:rPr>
                <w:b/>
                <w:bCs/>
              </w:rPr>
              <w:t>CAF</w:t>
            </w:r>
          </w:p>
        </w:tc>
        <w:tc>
          <w:tcPr>
            <w:tcW w:w="1492" w:type="dxa"/>
          </w:tcPr>
          <w:p w14:paraId="236B3202" w14:textId="77777777" w:rsidR="002D4BDF" w:rsidRDefault="002D4BDF" w:rsidP="00C03ACF"/>
        </w:tc>
      </w:tr>
      <w:tr w:rsidR="002D4BDF" w14:paraId="09FD7CCE" w14:textId="77777777" w:rsidTr="00C03ACF">
        <w:tc>
          <w:tcPr>
            <w:tcW w:w="1990" w:type="dxa"/>
            <w:tcBorders>
              <w:top w:val="nil"/>
              <w:left w:val="single" w:sz="4" w:space="0" w:color="auto"/>
              <w:bottom w:val="nil"/>
            </w:tcBorders>
          </w:tcPr>
          <w:p w14:paraId="1F5A6DA0" w14:textId="77777777" w:rsidR="002D4BDF" w:rsidRPr="009820C8" w:rsidRDefault="002D4BDF" w:rsidP="00C03ACF">
            <w:pPr>
              <w:jc w:val="center"/>
              <w:rPr>
                <w:b/>
                <w:bCs/>
              </w:rPr>
            </w:pPr>
          </w:p>
        </w:tc>
        <w:tc>
          <w:tcPr>
            <w:tcW w:w="1407" w:type="dxa"/>
          </w:tcPr>
          <w:p w14:paraId="6B2C4360" w14:textId="77777777" w:rsidR="002D4BDF" w:rsidRPr="009820C8" w:rsidRDefault="002D4BDF" w:rsidP="00C03ACF">
            <w:pPr>
              <w:jc w:val="center"/>
              <w:rPr>
                <w:b/>
                <w:bCs/>
              </w:rPr>
            </w:pPr>
            <w:r w:rsidRPr="009820C8">
              <w:rPr>
                <w:b/>
                <w:bCs/>
              </w:rPr>
              <w:t>Marker</w:t>
            </w:r>
          </w:p>
        </w:tc>
        <w:tc>
          <w:tcPr>
            <w:tcW w:w="1276" w:type="dxa"/>
          </w:tcPr>
          <w:p w14:paraId="1C21B92E" w14:textId="77777777" w:rsidR="002D4BDF" w:rsidRDefault="002D4BDF" w:rsidP="00C03ACF">
            <w:pPr>
              <w:jc w:val="center"/>
            </w:pPr>
            <w:r>
              <w:t>Gene</w:t>
            </w:r>
          </w:p>
        </w:tc>
        <w:tc>
          <w:tcPr>
            <w:tcW w:w="1420" w:type="dxa"/>
          </w:tcPr>
          <w:p w14:paraId="54C9E490" w14:textId="77777777" w:rsidR="002D4BDF" w:rsidRDefault="002D4BDF" w:rsidP="00C03ACF">
            <w:pPr>
              <w:jc w:val="center"/>
            </w:pPr>
            <w:r>
              <w:t>Protein</w:t>
            </w:r>
          </w:p>
        </w:tc>
        <w:tc>
          <w:tcPr>
            <w:tcW w:w="1431" w:type="dxa"/>
          </w:tcPr>
          <w:p w14:paraId="605253C2" w14:textId="77777777" w:rsidR="002D4BDF" w:rsidRDefault="002D4BDF" w:rsidP="00C03ACF">
            <w:pPr>
              <w:jc w:val="center"/>
            </w:pPr>
            <w:r>
              <w:t>Gene</w:t>
            </w:r>
          </w:p>
        </w:tc>
        <w:tc>
          <w:tcPr>
            <w:tcW w:w="1492" w:type="dxa"/>
          </w:tcPr>
          <w:p w14:paraId="51642573" w14:textId="77777777" w:rsidR="002D4BDF" w:rsidRDefault="002D4BDF" w:rsidP="00C03ACF">
            <w:pPr>
              <w:jc w:val="center"/>
            </w:pPr>
            <w:r>
              <w:t>Protein</w:t>
            </w:r>
          </w:p>
        </w:tc>
      </w:tr>
      <w:tr w:rsidR="002D4BDF" w14:paraId="1F8DCDA5" w14:textId="77777777" w:rsidTr="00C03ACF">
        <w:tc>
          <w:tcPr>
            <w:tcW w:w="1990" w:type="dxa"/>
            <w:tcBorders>
              <w:top w:val="nil"/>
              <w:left w:val="single" w:sz="4" w:space="0" w:color="auto"/>
            </w:tcBorders>
          </w:tcPr>
          <w:p w14:paraId="5CA99E03" w14:textId="77777777" w:rsidR="002D4BDF" w:rsidRPr="009820C8" w:rsidRDefault="002D4BDF" w:rsidP="00C03ACF">
            <w:pPr>
              <w:jc w:val="center"/>
              <w:rPr>
                <w:rFonts w:ascii="Calibri" w:eastAsia="Times New Roman" w:hAnsi="Calibri" w:cs="Calibri"/>
                <w:color w:val="000000"/>
                <w:lang w:eastAsia="en-GB"/>
              </w:rPr>
            </w:pPr>
          </w:p>
        </w:tc>
        <w:tc>
          <w:tcPr>
            <w:tcW w:w="1407" w:type="dxa"/>
          </w:tcPr>
          <w:p w14:paraId="721FB540" w14:textId="77777777" w:rsidR="002D4BDF" w:rsidRDefault="002D4BDF" w:rsidP="00C03ACF">
            <w:pPr>
              <w:jc w:val="center"/>
            </w:pPr>
            <w:r w:rsidRPr="009820C8">
              <w:rPr>
                <w:rFonts w:ascii="Calibri" w:eastAsia="Times New Roman" w:hAnsi="Calibri" w:cs="Calibri"/>
                <w:color w:val="000000"/>
                <w:lang w:eastAsia="en-GB"/>
              </w:rPr>
              <w:t>αSMA</w:t>
            </w:r>
          </w:p>
        </w:tc>
        <w:tc>
          <w:tcPr>
            <w:tcW w:w="1276" w:type="dxa"/>
          </w:tcPr>
          <w:p w14:paraId="45794220" w14:textId="77777777" w:rsidR="002D4BDF" w:rsidRPr="009820C8" w:rsidRDefault="002D4BDF" w:rsidP="00C03ACF">
            <w:pPr>
              <w:jc w:val="center"/>
              <w:rPr>
                <w:color w:val="00B050"/>
              </w:rPr>
            </w:pPr>
            <w:r w:rsidRPr="00947F45">
              <w:rPr>
                <w:color w:val="FF0000"/>
              </w:rPr>
              <w:t>**</w:t>
            </w:r>
          </w:p>
        </w:tc>
        <w:tc>
          <w:tcPr>
            <w:tcW w:w="1420" w:type="dxa"/>
          </w:tcPr>
          <w:p w14:paraId="57EA926D" w14:textId="77777777" w:rsidR="002D4BDF" w:rsidRPr="009820C8" w:rsidRDefault="002D4BDF" w:rsidP="00C03ACF">
            <w:pPr>
              <w:jc w:val="center"/>
              <w:rPr>
                <w:color w:val="00B050"/>
              </w:rPr>
            </w:pPr>
            <w:r w:rsidRPr="00947F45">
              <w:rPr>
                <w:color w:val="FF0000"/>
              </w:rPr>
              <w:t>*</w:t>
            </w:r>
          </w:p>
        </w:tc>
        <w:tc>
          <w:tcPr>
            <w:tcW w:w="1431" w:type="dxa"/>
          </w:tcPr>
          <w:p w14:paraId="5D004067" w14:textId="77777777" w:rsidR="002D4BDF" w:rsidRPr="009820C8" w:rsidRDefault="002D4BDF" w:rsidP="00C03ACF">
            <w:pPr>
              <w:jc w:val="center"/>
              <w:rPr>
                <w:color w:val="00B050"/>
              </w:rPr>
            </w:pPr>
            <w:r w:rsidRPr="00947F45">
              <w:rPr>
                <w:color w:val="FF0000"/>
              </w:rPr>
              <w:t>*</w:t>
            </w:r>
          </w:p>
        </w:tc>
        <w:tc>
          <w:tcPr>
            <w:tcW w:w="1492" w:type="dxa"/>
          </w:tcPr>
          <w:p w14:paraId="6DB3A354" w14:textId="77777777" w:rsidR="002D4BDF" w:rsidRPr="009820C8" w:rsidRDefault="002D4BDF" w:rsidP="00C03ACF">
            <w:pPr>
              <w:jc w:val="center"/>
              <w:rPr>
                <w:color w:val="00B050"/>
              </w:rPr>
            </w:pPr>
            <w:r w:rsidRPr="00947F45">
              <w:rPr>
                <w:color w:val="FF0000"/>
              </w:rPr>
              <w:t>*</w:t>
            </w:r>
          </w:p>
        </w:tc>
      </w:tr>
      <w:tr w:rsidR="002D4BDF" w14:paraId="3573F917" w14:textId="77777777" w:rsidTr="00C03ACF">
        <w:tc>
          <w:tcPr>
            <w:tcW w:w="1990" w:type="dxa"/>
            <w:tcBorders>
              <w:bottom w:val="single" w:sz="4" w:space="0" w:color="auto"/>
            </w:tcBorders>
          </w:tcPr>
          <w:p w14:paraId="1E16FDCC" w14:textId="77777777" w:rsidR="002D4BDF" w:rsidRDefault="002D4BDF" w:rsidP="00C03ACF">
            <w:pPr>
              <w:jc w:val="center"/>
            </w:pPr>
            <w:r>
              <w:t>Batimastat +TGF</w:t>
            </w:r>
            <w:r>
              <w:rPr>
                <w:rFonts w:cstheme="minorHAnsi"/>
              </w:rPr>
              <w:t>β</w:t>
            </w:r>
            <w:r>
              <w:t>-1</w:t>
            </w:r>
          </w:p>
        </w:tc>
        <w:tc>
          <w:tcPr>
            <w:tcW w:w="1407" w:type="dxa"/>
          </w:tcPr>
          <w:p w14:paraId="73134031" w14:textId="77777777" w:rsidR="002D4BDF" w:rsidRDefault="002D4BDF" w:rsidP="00C03ACF">
            <w:pPr>
              <w:jc w:val="center"/>
            </w:pPr>
            <w:r>
              <w:t>FN1-EDA</w:t>
            </w:r>
          </w:p>
        </w:tc>
        <w:tc>
          <w:tcPr>
            <w:tcW w:w="1276" w:type="dxa"/>
          </w:tcPr>
          <w:p w14:paraId="449283C6" w14:textId="77777777" w:rsidR="002D4BDF" w:rsidRPr="009820C8" w:rsidRDefault="002D4BDF" w:rsidP="00C03ACF">
            <w:pPr>
              <w:jc w:val="center"/>
              <w:rPr>
                <w:color w:val="00B050"/>
              </w:rPr>
            </w:pPr>
            <w:r w:rsidRPr="00947F45">
              <w:rPr>
                <w:color w:val="FF0000"/>
              </w:rPr>
              <w:t>ns</w:t>
            </w:r>
          </w:p>
        </w:tc>
        <w:tc>
          <w:tcPr>
            <w:tcW w:w="1420" w:type="dxa"/>
          </w:tcPr>
          <w:p w14:paraId="43D61307" w14:textId="77777777" w:rsidR="002D4BDF" w:rsidRPr="009820C8" w:rsidRDefault="002D4BDF" w:rsidP="00C03ACF">
            <w:pPr>
              <w:jc w:val="center"/>
              <w:rPr>
                <w:color w:val="00B050"/>
              </w:rPr>
            </w:pPr>
            <w:r w:rsidRPr="00947F45">
              <w:rPr>
                <w:color w:val="FF0000"/>
              </w:rPr>
              <w:t>***</w:t>
            </w:r>
          </w:p>
        </w:tc>
        <w:tc>
          <w:tcPr>
            <w:tcW w:w="1431" w:type="dxa"/>
          </w:tcPr>
          <w:p w14:paraId="06A4D40E" w14:textId="77777777" w:rsidR="002D4BDF" w:rsidRPr="009820C8" w:rsidRDefault="002D4BDF" w:rsidP="00C03ACF">
            <w:pPr>
              <w:jc w:val="center"/>
              <w:rPr>
                <w:color w:val="00B050"/>
              </w:rPr>
            </w:pPr>
            <w:r w:rsidRPr="00947F45">
              <w:rPr>
                <w:color w:val="FF0000"/>
              </w:rPr>
              <w:t>***</w:t>
            </w:r>
          </w:p>
        </w:tc>
        <w:tc>
          <w:tcPr>
            <w:tcW w:w="1492" w:type="dxa"/>
          </w:tcPr>
          <w:p w14:paraId="7C67CEC3" w14:textId="77777777" w:rsidR="002D4BDF" w:rsidRPr="009820C8" w:rsidRDefault="002D4BDF" w:rsidP="00C03ACF">
            <w:pPr>
              <w:jc w:val="center"/>
              <w:rPr>
                <w:color w:val="00B050"/>
              </w:rPr>
            </w:pPr>
            <w:r w:rsidRPr="00947F45">
              <w:rPr>
                <w:color w:val="FF0000"/>
              </w:rPr>
              <w:t>**</w:t>
            </w:r>
          </w:p>
        </w:tc>
      </w:tr>
      <w:tr w:rsidR="002D4BDF" w14:paraId="62D26425" w14:textId="77777777" w:rsidTr="00C03ACF">
        <w:tc>
          <w:tcPr>
            <w:tcW w:w="1990" w:type="dxa"/>
            <w:tcBorders>
              <w:bottom w:val="nil"/>
            </w:tcBorders>
          </w:tcPr>
          <w:p w14:paraId="3D27B0B6" w14:textId="77777777" w:rsidR="002D4BDF" w:rsidRDefault="002D4BDF" w:rsidP="00C03ACF">
            <w:pPr>
              <w:jc w:val="center"/>
            </w:pPr>
          </w:p>
        </w:tc>
        <w:tc>
          <w:tcPr>
            <w:tcW w:w="1407" w:type="dxa"/>
          </w:tcPr>
          <w:p w14:paraId="36B3094A" w14:textId="77777777" w:rsidR="002D4BDF" w:rsidRDefault="002D4BDF" w:rsidP="00C03ACF">
            <w:pPr>
              <w:jc w:val="center"/>
            </w:pPr>
            <w:r>
              <w:t>COL1A1</w:t>
            </w:r>
          </w:p>
        </w:tc>
        <w:tc>
          <w:tcPr>
            <w:tcW w:w="1276" w:type="dxa"/>
          </w:tcPr>
          <w:p w14:paraId="0D782730" w14:textId="77777777" w:rsidR="002D4BDF" w:rsidRPr="009820C8" w:rsidRDefault="002D4BDF" w:rsidP="00C03ACF">
            <w:pPr>
              <w:jc w:val="center"/>
              <w:rPr>
                <w:color w:val="00B050"/>
              </w:rPr>
            </w:pPr>
            <w:r w:rsidRPr="00947F45">
              <w:rPr>
                <w:color w:val="FF0000"/>
              </w:rPr>
              <w:t>*</w:t>
            </w:r>
            <w:r>
              <w:rPr>
                <w:color w:val="FF0000"/>
              </w:rPr>
              <w:t>*</w:t>
            </w:r>
          </w:p>
        </w:tc>
        <w:tc>
          <w:tcPr>
            <w:tcW w:w="1420" w:type="dxa"/>
          </w:tcPr>
          <w:p w14:paraId="558424F8" w14:textId="77777777" w:rsidR="002D4BDF" w:rsidRPr="009820C8" w:rsidRDefault="002D4BDF" w:rsidP="00C03ACF">
            <w:pPr>
              <w:jc w:val="center"/>
              <w:rPr>
                <w:color w:val="00B050"/>
              </w:rPr>
            </w:pPr>
            <w:r w:rsidRPr="000E5D79">
              <w:rPr>
                <w:color w:val="FF0000"/>
              </w:rPr>
              <w:t>ns</w:t>
            </w:r>
          </w:p>
        </w:tc>
        <w:tc>
          <w:tcPr>
            <w:tcW w:w="1431" w:type="dxa"/>
          </w:tcPr>
          <w:p w14:paraId="498B1157" w14:textId="77777777" w:rsidR="002D4BDF" w:rsidRPr="009820C8" w:rsidRDefault="002D4BDF" w:rsidP="00C03ACF">
            <w:pPr>
              <w:jc w:val="center"/>
              <w:rPr>
                <w:color w:val="00B050"/>
              </w:rPr>
            </w:pPr>
            <w:r w:rsidRPr="000E5D79">
              <w:rPr>
                <w:color w:val="FF0000"/>
              </w:rPr>
              <w:t>ns</w:t>
            </w:r>
          </w:p>
        </w:tc>
        <w:tc>
          <w:tcPr>
            <w:tcW w:w="1492" w:type="dxa"/>
          </w:tcPr>
          <w:p w14:paraId="772508E0" w14:textId="77777777" w:rsidR="002D4BDF" w:rsidRPr="009820C8" w:rsidRDefault="002D4BDF" w:rsidP="00C03ACF">
            <w:pPr>
              <w:jc w:val="center"/>
              <w:rPr>
                <w:color w:val="00B050"/>
              </w:rPr>
            </w:pPr>
            <w:r w:rsidRPr="000E5D79">
              <w:rPr>
                <w:color w:val="FF0000"/>
              </w:rPr>
              <w:t>*</w:t>
            </w:r>
          </w:p>
        </w:tc>
      </w:tr>
      <w:tr w:rsidR="002D4BDF" w14:paraId="064D4291" w14:textId="77777777" w:rsidTr="00C03ACF">
        <w:tc>
          <w:tcPr>
            <w:tcW w:w="1990" w:type="dxa"/>
            <w:tcBorders>
              <w:top w:val="nil"/>
              <w:bottom w:val="nil"/>
            </w:tcBorders>
          </w:tcPr>
          <w:p w14:paraId="3C58D980" w14:textId="77777777" w:rsidR="002D4BDF" w:rsidRDefault="002D4BDF" w:rsidP="00C03ACF">
            <w:pPr>
              <w:jc w:val="center"/>
            </w:pPr>
          </w:p>
        </w:tc>
        <w:tc>
          <w:tcPr>
            <w:tcW w:w="1407" w:type="dxa"/>
            <w:tcBorders>
              <w:right w:val="nil"/>
            </w:tcBorders>
            <w:shd w:val="clear" w:color="auto" w:fill="AEAAAA" w:themeFill="background2" w:themeFillShade="BF"/>
          </w:tcPr>
          <w:p w14:paraId="379CD938" w14:textId="77777777" w:rsidR="002D4BDF" w:rsidRDefault="002D4BDF" w:rsidP="00C03ACF">
            <w:pPr>
              <w:jc w:val="center"/>
            </w:pPr>
          </w:p>
        </w:tc>
        <w:tc>
          <w:tcPr>
            <w:tcW w:w="1276" w:type="dxa"/>
            <w:tcBorders>
              <w:left w:val="nil"/>
              <w:right w:val="nil"/>
            </w:tcBorders>
            <w:shd w:val="clear" w:color="auto" w:fill="AEAAAA" w:themeFill="background2" w:themeFillShade="BF"/>
          </w:tcPr>
          <w:p w14:paraId="17460B65" w14:textId="77777777" w:rsidR="002D4BDF" w:rsidRPr="00D11C1C" w:rsidRDefault="002D4BDF" w:rsidP="00C03ACF">
            <w:pPr>
              <w:jc w:val="center"/>
              <w:rPr>
                <w:b/>
                <w:bCs/>
              </w:rPr>
            </w:pPr>
          </w:p>
        </w:tc>
        <w:tc>
          <w:tcPr>
            <w:tcW w:w="1420" w:type="dxa"/>
            <w:tcBorders>
              <w:left w:val="nil"/>
              <w:right w:val="nil"/>
            </w:tcBorders>
            <w:shd w:val="clear" w:color="auto" w:fill="AEAAAA" w:themeFill="background2" w:themeFillShade="BF"/>
          </w:tcPr>
          <w:p w14:paraId="752FD131" w14:textId="77777777" w:rsidR="002D4BDF" w:rsidRPr="00D11C1C" w:rsidRDefault="002D4BDF" w:rsidP="00C03ACF">
            <w:pPr>
              <w:rPr>
                <w:b/>
                <w:bCs/>
              </w:rPr>
            </w:pPr>
          </w:p>
        </w:tc>
        <w:tc>
          <w:tcPr>
            <w:tcW w:w="1431" w:type="dxa"/>
            <w:tcBorders>
              <w:left w:val="nil"/>
              <w:right w:val="nil"/>
            </w:tcBorders>
            <w:shd w:val="clear" w:color="auto" w:fill="AEAAAA" w:themeFill="background2" w:themeFillShade="BF"/>
          </w:tcPr>
          <w:p w14:paraId="46794B26" w14:textId="77777777" w:rsidR="002D4BDF" w:rsidRPr="00D11C1C" w:rsidRDefault="002D4BDF" w:rsidP="00C03ACF">
            <w:pPr>
              <w:jc w:val="center"/>
              <w:rPr>
                <w:b/>
                <w:bCs/>
              </w:rPr>
            </w:pPr>
          </w:p>
        </w:tc>
        <w:tc>
          <w:tcPr>
            <w:tcW w:w="1492" w:type="dxa"/>
            <w:tcBorders>
              <w:left w:val="nil"/>
            </w:tcBorders>
            <w:shd w:val="clear" w:color="auto" w:fill="AEAAAA" w:themeFill="background2" w:themeFillShade="BF"/>
          </w:tcPr>
          <w:p w14:paraId="3644BE82" w14:textId="77777777" w:rsidR="002D4BDF" w:rsidRDefault="002D4BDF" w:rsidP="00C03ACF"/>
        </w:tc>
      </w:tr>
      <w:tr w:rsidR="002D4BDF" w14:paraId="1DDFE2D2" w14:textId="77777777" w:rsidTr="00C03ACF">
        <w:tc>
          <w:tcPr>
            <w:tcW w:w="1990" w:type="dxa"/>
            <w:tcBorders>
              <w:top w:val="nil"/>
              <w:bottom w:val="nil"/>
            </w:tcBorders>
          </w:tcPr>
          <w:p w14:paraId="5CFF7723" w14:textId="77777777" w:rsidR="002D4BDF" w:rsidRDefault="002D4BDF" w:rsidP="00C03ACF">
            <w:pPr>
              <w:jc w:val="center"/>
            </w:pPr>
          </w:p>
        </w:tc>
        <w:tc>
          <w:tcPr>
            <w:tcW w:w="1407" w:type="dxa"/>
          </w:tcPr>
          <w:p w14:paraId="4F8A57F9" w14:textId="77777777" w:rsidR="002D4BDF" w:rsidRDefault="002D4BDF" w:rsidP="00C03ACF">
            <w:pPr>
              <w:jc w:val="center"/>
            </w:pPr>
          </w:p>
        </w:tc>
        <w:tc>
          <w:tcPr>
            <w:tcW w:w="1276" w:type="dxa"/>
          </w:tcPr>
          <w:p w14:paraId="095DD8A2" w14:textId="77777777" w:rsidR="002D4BDF" w:rsidRPr="00D11C1C" w:rsidRDefault="002D4BDF" w:rsidP="00C03ACF">
            <w:pPr>
              <w:jc w:val="center"/>
              <w:rPr>
                <w:b/>
                <w:bCs/>
              </w:rPr>
            </w:pPr>
            <w:r w:rsidRPr="00D11C1C">
              <w:rPr>
                <w:b/>
                <w:bCs/>
              </w:rPr>
              <w:t>NOF</w:t>
            </w:r>
          </w:p>
        </w:tc>
        <w:tc>
          <w:tcPr>
            <w:tcW w:w="1420" w:type="dxa"/>
          </w:tcPr>
          <w:p w14:paraId="704C64EA" w14:textId="77777777" w:rsidR="002D4BDF" w:rsidRPr="00D11C1C" w:rsidRDefault="002D4BDF" w:rsidP="00C03ACF">
            <w:pPr>
              <w:rPr>
                <w:b/>
                <w:bCs/>
              </w:rPr>
            </w:pPr>
          </w:p>
        </w:tc>
        <w:tc>
          <w:tcPr>
            <w:tcW w:w="1431" w:type="dxa"/>
          </w:tcPr>
          <w:p w14:paraId="3DC84956" w14:textId="77777777" w:rsidR="002D4BDF" w:rsidRPr="00D11C1C" w:rsidRDefault="002D4BDF" w:rsidP="00C03ACF">
            <w:pPr>
              <w:jc w:val="center"/>
              <w:rPr>
                <w:b/>
                <w:bCs/>
              </w:rPr>
            </w:pPr>
            <w:r w:rsidRPr="00D11C1C">
              <w:rPr>
                <w:b/>
                <w:bCs/>
              </w:rPr>
              <w:t>CAF</w:t>
            </w:r>
          </w:p>
        </w:tc>
        <w:tc>
          <w:tcPr>
            <w:tcW w:w="1492" w:type="dxa"/>
          </w:tcPr>
          <w:p w14:paraId="47B24A79" w14:textId="77777777" w:rsidR="002D4BDF" w:rsidRDefault="002D4BDF" w:rsidP="00C03ACF"/>
        </w:tc>
      </w:tr>
      <w:tr w:rsidR="002D4BDF" w14:paraId="19D994FE" w14:textId="77777777" w:rsidTr="00C03ACF">
        <w:tc>
          <w:tcPr>
            <w:tcW w:w="1990" w:type="dxa"/>
            <w:tcBorders>
              <w:top w:val="nil"/>
              <w:bottom w:val="nil"/>
            </w:tcBorders>
          </w:tcPr>
          <w:p w14:paraId="310D441E" w14:textId="77777777" w:rsidR="002D4BDF" w:rsidRPr="009820C8" w:rsidRDefault="002D4BDF" w:rsidP="00C03ACF">
            <w:pPr>
              <w:jc w:val="center"/>
              <w:rPr>
                <w:b/>
                <w:bCs/>
              </w:rPr>
            </w:pPr>
          </w:p>
        </w:tc>
        <w:tc>
          <w:tcPr>
            <w:tcW w:w="1407" w:type="dxa"/>
          </w:tcPr>
          <w:p w14:paraId="64FB04B8" w14:textId="77777777" w:rsidR="002D4BDF" w:rsidRPr="009820C8" w:rsidRDefault="002D4BDF" w:rsidP="00C03ACF">
            <w:pPr>
              <w:jc w:val="center"/>
              <w:rPr>
                <w:b/>
                <w:bCs/>
              </w:rPr>
            </w:pPr>
            <w:r w:rsidRPr="009820C8">
              <w:rPr>
                <w:b/>
                <w:bCs/>
              </w:rPr>
              <w:t>Marker</w:t>
            </w:r>
          </w:p>
        </w:tc>
        <w:tc>
          <w:tcPr>
            <w:tcW w:w="1276" w:type="dxa"/>
          </w:tcPr>
          <w:p w14:paraId="0CF0EE2C" w14:textId="77777777" w:rsidR="002D4BDF" w:rsidRDefault="002D4BDF" w:rsidP="00C03ACF">
            <w:pPr>
              <w:jc w:val="center"/>
            </w:pPr>
            <w:r>
              <w:t>Gene</w:t>
            </w:r>
          </w:p>
        </w:tc>
        <w:tc>
          <w:tcPr>
            <w:tcW w:w="1420" w:type="dxa"/>
          </w:tcPr>
          <w:p w14:paraId="11EDD3F8" w14:textId="77777777" w:rsidR="002D4BDF" w:rsidRDefault="002D4BDF" w:rsidP="00C03ACF">
            <w:pPr>
              <w:jc w:val="center"/>
            </w:pPr>
            <w:r>
              <w:t>Protein</w:t>
            </w:r>
          </w:p>
        </w:tc>
        <w:tc>
          <w:tcPr>
            <w:tcW w:w="1431" w:type="dxa"/>
          </w:tcPr>
          <w:p w14:paraId="6BE99D98" w14:textId="77777777" w:rsidR="002D4BDF" w:rsidRDefault="002D4BDF" w:rsidP="00C03ACF">
            <w:pPr>
              <w:jc w:val="center"/>
            </w:pPr>
            <w:r>
              <w:t>Gene</w:t>
            </w:r>
          </w:p>
        </w:tc>
        <w:tc>
          <w:tcPr>
            <w:tcW w:w="1492" w:type="dxa"/>
          </w:tcPr>
          <w:p w14:paraId="7C4FBB83" w14:textId="77777777" w:rsidR="002D4BDF" w:rsidRDefault="002D4BDF" w:rsidP="00C03ACF">
            <w:pPr>
              <w:jc w:val="center"/>
            </w:pPr>
            <w:r>
              <w:t>Protein</w:t>
            </w:r>
          </w:p>
        </w:tc>
      </w:tr>
      <w:tr w:rsidR="002D4BDF" w14:paraId="6B7A46E7" w14:textId="77777777" w:rsidTr="00C03ACF">
        <w:tc>
          <w:tcPr>
            <w:tcW w:w="1990" w:type="dxa"/>
            <w:tcBorders>
              <w:top w:val="nil"/>
            </w:tcBorders>
          </w:tcPr>
          <w:p w14:paraId="4B358640" w14:textId="77777777" w:rsidR="002D4BDF" w:rsidRPr="009820C8" w:rsidRDefault="002D4BDF" w:rsidP="00C03ACF">
            <w:pPr>
              <w:jc w:val="center"/>
              <w:rPr>
                <w:rFonts w:ascii="Calibri" w:eastAsia="Times New Roman" w:hAnsi="Calibri" w:cs="Calibri"/>
                <w:color w:val="000000"/>
                <w:lang w:eastAsia="en-GB"/>
              </w:rPr>
            </w:pPr>
          </w:p>
        </w:tc>
        <w:tc>
          <w:tcPr>
            <w:tcW w:w="1407" w:type="dxa"/>
          </w:tcPr>
          <w:p w14:paraId="5F6C2502" w14:textId="77777777" w:rsidR="002D4BDF" w:rsidRDefault="002D4BDF" w:rsidP="00C03ACF">
            <w:pPr>
              <w:jc w:val="center"/>
            </w:pPr>
            <w:r w:rsidRPr="009820C8">
              <w:rPr>
                <w:rFonts w:ascii="Calibri" w:eastAsia="Times New Roman" w:hAnsi="Calibri" w:cs="Calibri"/>
                <w:color w:val="000000"/>
                <w:lang w:eastAsia="en-GB"/>
              </w:rPr>
              <w:t>αSMA</w:t>
            </w:r>
          </w:p>
        </w:tc>
        <w:tc>
          <w:tcPr>
            <w:tcW w:w="1276" w:type="dxa"/>
          </w:tcPr>
          <w:p w14:paraId="52D49CCF" w14:textId="77777777" w:rsidR="002D4BDF" w:rsidRPr="009820C8" w:rsidRDefault="002D4BDF" w:rsidP="00C03ACF">
            <w:pPr>
              <w:jc w:val="center"/>
              <w:rPr>
                <w:color w:val="00B050"/>
              </w:rPr>
            </w:pPr>
            <w:r w:rsidRPr="00947F45">
              <w:rPr>
                <w:color w:val="FF0000"/>
              </w:rPr>
              <w:t>*</w:t>
            </w:r>
          </w:p>
        </w:tc>
        <w:tc>
          <w:tcPr>
            <w:tcW w:w="1420" w:type="dxa"/>
          </w:tcPr>
          <w:p w14:paraId="41909E4C" w14:textId="77777777" w:rsidR="002D4BDF" w:rsidRPr="009820C8" w:rsidRDefault="002D4BDF" w:rsidP="00C03ACF">
            <w:pPr>
              <w:jc w:val="center"/>
              <w:rPr>
                <w:color w:val="00B050"/>
              </w:rPr>
            </w:pPr>
            <w:r w:rsidRPr="00947F45">
              <w:rPr>
                <w:color w:val="FF0000"/>
              </w:rPr>
              <w:t>**</w:t>
            </w:r>
          </w:p>
        </w:tc>
        <w:tc>
          <w:tcPr>
            <w:tcW w:w="1431" w:type="dxa"/>
          </w:tcPr>
          <w:p w14:paraId="64158F11" w14:textId="77777777" w:rsidR="002D4BDF" w:rsidRPr="009820C8" w:rsidRDefault="002D4BDF" w:rsidP="00C03ACF">
            <w:pPr>
              <w:jc w:val="center"/>
              <w:rPr>
                <w:color w:val="00B050"/>
              </w:rPr>
            </w:pPr>
            <w:r w:rsidRPr="00947F45">
              <w:rPr>
                <w:color w:val="FF0000"/>
              </w:rPr>
              <w:t>ns</w:t>
            </w:r>
          </w:p>
        </w:tc>
        <w:tc>
          <w:tcPr>
            <w:tcW w:w="1492" w:type="dxa"/>
          </w:tcPr>
          <w:p w14:paraId="2A1E67A1" w14:textId="77777777" w:rsidR="002D4BDF" w:rsidRPr="009820C8" w:rsidRDefault="002D4BDF" w:rsidP="00C03ACF">
            <w:pPr>
              <w:jc w:val="center"/>
              <w:rPr>
                <w:color w:val="00B050"/>
              </w:rPr>
            </w:pPr>
            <w:r w:rsidRPr="00947F45">
              <w:rPr>
                <w:color w:val="FF0000"/>
              </w:rPr>
              <w:t>ns</w:t>
            </w:r>
          </w:p>
        </w:tc>
      </w:tr>
      <w:tr w:rsidR="002D4BDF" w14:paraId="09FBCAED" w14:textId="77777777" w:rsidTr="00C03ACF">
        <w:tc>
          <w:tcPr>
            <w:tcW w:w="1990" w:type="dxa"/>
            <w:tcBorders>
              <w:bottom w:val="single" w:sz="4" w:space="0" w:color="auto"/>
            </w:tcBorders>
          </w:tcPr>
          <w:p w14:paraId="4CFF0DB1" w14:textId="77777777" w:rsidR="002D4BDF" w:rsidRDefault="002D4BDF" w:rsidP="00C03ACF">
            <w:pPr>
              <w:jc w:val="center"/>
            </w:pPr>
            <w:r>
              <w:t>Scriptaid +TGF</w:t>
            </w:r>
            <w:r>
              <w:rPr>
                <w:rFonts w:cstheme="minorHAnsi"/>
              </w:rPr>
              <w:t>β</w:t>
            </w:r>
            <w:r>
              <w:t>-1</w:t>
            </w:r>
          </w:p>
        </w:tc>
        <w:tc>
          <w:tcPr>
            <w:tcW w:w="1407" w:type="dxa"/>
          </w:tcPr>
          <w:p w14:paraId="6FBD3037" w14:textId="77777777" w:rsidR="002D4BDF" w:rsidRDefault="002D4BDF" w:rsidP="00C03ACF">
            <w:pPr>
              <w:jc w:val="center"/>
            </w:pPr>
            <w:r>
              <w:t>FN1-EDA</w:t>
            </w:r>
          </w:p>
        </w:tc>
        <w:tc>
          <w:tcPr>
            <w:tcW w:w="1276" w:type="dxa"/>
          </w:tcPr>
          <w:p w14:paraId="47EFA3EB" w14:textId="77777777" w:rsidR="002D4BDF" w:rsidRPr="009820C8" w:rsidRDefault="002D4BDF" w:rsidP="00C03ACF">
            <w:pPr>
              <w:jc w:val="center"/>
              <w:rPr>
                <w:color w:val="00B050"/>
              </w:rPr>
            </w:pPr>
            <w:r w:rsidRPr="00947F45">
              <w:rPr>
                <w:color w:val="FF0000"/>
              </w:rPr>
              <w:t>***</w:t>
            </w:r>
          </w:p>
        </w:tc>
        <w:tc>
          <w:tcPr>
            <w:tcW w:w="1420" w:type="dxa"/>
          </w:tcPr>
          <w:p w14:paraId="4F70449D" w14:textId="77777777" w:rsidR="002D4BDF" w:rsidRPr="009820C8" w:rsidRDefault="002D4BDF" w:rsidP="00C03ACF">
            <w:pPr>
              <w:jc w:val="center"/>
              <w:rPr>
                <w:color w:val="00B050"/>
              </w:rPr>
            </w:pPr>
            <w:r w:rsidRPr="00947F45">
              <w:rPr>
                <w:color w:val="FF0000"/>
              </w:rPr>
              <w:t>***</w:t>
            </w:r>
          </w:p>
        </w:tc>
        <w:tc>
          <w:tcPr>
            <w:tcW w:w="1431" w:type="dxa"/>
          </w:tcPr>
          <w:p w14:paraId="21051780" w14:textId="77777777" w:rsidR="002D4BDF" w:rsidRPr="009820C8" w:rsidRDefault="002D4BDF" w:rsidP="00C03ACF">
            <w:pPr>
              <w:jc w:val="center"/>
              <w:rPr>
                <w:color w:val="00B050"/>
              </w:rPr>
            </w:pPr>
            <w:r w:rsidRPr="00947F45">
              <w:rPr>
                <w:color w:val="FF0000"/>
              </w:rPr>
              <w:t>*</w:t>
            </w:r>
          </w:p>
        </w:tc>
        <w:tc>
          <w:tcPr>
            <w:tcW w:w="1492" w:type="dxa"/>
          </w:tcPr>
          <w:p w14:paraId="5B634285" w14:textId="77777777" w:rsidR="002D4BDF" w:rsidRPr="009820C8" w:rsidRDefault="002D4BDF" w:rsidP="00C03ACF">
            <w:pPr>
              <w:jc w:val="center"/>
              <w:rPr>
                <w:color w:val="00B050"/>
              </w:rPr>
            </w:pPr>
            <w:r w:rsidRPr="00947F45">
              <w:rPr>
                <w:color w:val="FF0000"/>
              </w:rPr>
              <w:t>**</w:t>
            </w:r>
          </w:p>
        </w:tc>
      </w:tr>
      <w:tr w:rsidR="002D4BDF" w14:paraId="26AB7AB1" w14:textId="77777777" w:rsidTr="00C03ACF">
        <w:tc>
          <w:tcPr>
            <w:tcW w:w="1990" w:type="dxa"/>
            <w:tcBorders>
              <w:bottom w:val="single" w:sz="4" w:space="0" w:color="auto"/>
            </w:tcBorders>
          </w:tcPr>
          <w:p w14:paraId="1BA49B13" w14:textId="77777777" w:rsidR="002D4BDF" w:rsidRDefault="002D4BDF" w:rsidP="00C03ACF">
            <w:pPr>
              <w:jc w:val="center"/>
            </w:pPr>
          </w:p>
        </w:tc>
        <w:tc>
          <w:tcPr>
            <w:tcW w:w="1407" w:type="dxa"/>
          </w:tcPr>
          <w:p w14:paraId="14DDEB7E" w14:textId="77777777" w:rsidR="002D4BDF" w:rsidRDefault="002D4BDF" w:rsidP="00C03ACF">
            <w:pPr>
              <w:jc w:val="center"/>
            </w:pPr>
            <w:r>
              <w:t>COL1A1</w:t>
            </w:r>
          </w:p>
        </w:tc>
        <w:tc>
          <w:tcPr>
            <w:tcW w:w="1276" w:type="dxa"/>
          </w:tcPr>
          <w:p w14:paraId="209FEE1B" w14:textId="77777777" w:rsidR="002D4BDF" w:rsidRPr="009820C8" w:rsidRDefault="002D4BDF" w:rsidP="00C03ACF">
            <w:pPr>
              <w:jc w:val="center"/>
              <w:rPr>
                <w:color w:val="00B050"/>
              </w:rPr>
            </w:pPr>
            <w:r w:rsidRPr="00947F45">
              <w:rPr>
                <w:color w:val="FF0000"/>
              </w:rPr>
              <w:t>*</w:t>
            </w:r>
          </w:p>
        </w:tc>
        <w:tc>
          <w:tcPr>
            <w:tcW w:w="1420" w:type="dxa"/>
          </w:tcPr>
          <w:p w14:paraId="327E5787" w14:textId="77777777" w:rsidR="002D4BDF" w:rsidRPr="000E5D79" w:rsidRDefault="002D4BDF" w:rsidP="00C03ACF">
            <w:pPr>
              <w:jc w:val="center"/>
              <w:rPr>
                <w:color w:val="FF0000"/>
              </w:rPr>
            </w:pPr>
            <w:r w:rsidRPr="000E5D79">
              <w:rPr>
                <w:color w:val="FF0000"/>
              </w:rPr>
              <w:t>ns</w:t>
            </w:r>
          </w:p>
        </w:tc>
        <w:tc>
          <w:tcPr>
            <w:tcW w:w="1431" w:type="dxa"/>
          </w:tcPr>
          <w:p w14:paraId="33F0A817" w14:textId="77777777" w:rsidR="002D4BDF" w:rsidRPr="000E5D79" w:rsidRDefault="002D4BDF" w:rsidP="00C03ACF">
            <w:pPr>
              <w:jc w:val="center"/>
              <w:rPr>
                <w:color w:val="FF0000"/>
              </w:rPr>
            </w:pPr>
            <w:r w:rsidRPr="000E5D79">
              <w:rPr>
                <w:color w:val="FF0000"/>
              </w:rPr>
              <w:t>ns</w:t>
            </w:r>
          </w:p>
        </w:tc>
        <w:tc>
          <w:tcPr>
            <w:tcW w:w="1492" w:type="dxa"/>
          </w:tcPr>
          <w:p w14:paraId="326D5039" w14:textId="77777777" w:rsidR="002D4BDF" w:rsidRPr="000E5D79" w:rsidRDefault="002D4BDF" w:rsidP="00C03ACF">
            <w:pPr>
              <w:jc w:val="center"/>
              <w:rPr>
                <w:color w:val="FF0000"/>
              </w:rPr>
            </w:pPr>
            <w:r w:rsidRPr="000E5D79">
              <w:rPr>
                <w:color w:val="FF0000"/>
              </w:rPr>
              <w:t>*</w:t>
            </w:r>
          </w:p>
        </w:tc>
      </w:tr>
    </w:tbl>
    <w:p w14:paraId="79DBB9B5" w14:textId="7914A666" w:rsidR="0054039C" w:rsidRPr="0054039C" w:rsidRDefault="0054039C" w:rsidP="00323B58">
      <w:pPr>
        <w:pStyle w:val="Heading2"/>
        <w:rPr>
          <w:rFonts w:ascii="Arial" w:hAnsi="Arial" w:cs="Arial"/>
          <w:b/>
          <w:color w:val="595959" w:themeColor="text1" w:themeTint="A6"/>
          <w:sz w:val="24"/>
          <w:szCs w:val="24"/>
        </w:rPr>
      </w:pPr>
      <w:bookmarkStart w:id="355" w:name="_Toc34208404"/>
      <w:r w:rsidRPr="0054039C">
        <w:rPr>
          <w:rFonts w:ascii="Arial" w:hAnsi="Arial" w:cs="Arial"/>
          <w:b/>
          <w:color w:val="595959" w:themeColor="text1" w:themeTint="A6"/>
          <w:sz w:val="24"/>
          <w:szCs w:val="24"/>
        </w:rPr>
        <w:lastRenderedPageBreak/>
        <w:t>3.4 Discussion</w:t>
      </w:r>
      <w:bookmarkEnd w:id="335"/>
      <w:bookmarkEnd w:id="355"/>
    </w:p>
    <w:p w14:paraId="7D703F13" w14:textId="77777777" w:rsidR="0054039C" w:rsidRPr="0054039C" w:rsidRDefault="0054039C" w:rsidP="0054039C"/>
    <w:p w14:paraId="16A3281A" w14:textId="3DB9D484" w:rsidR="0089500E" w:rsidRDefault="005D419B" w:rsidP="0054039C">
      <w:pPr>
        <w:spacing w:line="480" w:lineRule="auto"/>
        <w:jc w:val="both"/>
        <w:rPr>
          <w:rFonts w:ascii="Arial" w:hAnsi="Arial" w:cs="Arial"/>
          <w:color w:val="595959" w:themeColor="text1" w:themeTint="A6"/>
          <w:szCs w:val="24"/>
        </w:rPr>
      </w:pPr>
      <w:r w:rsidRPr="005D419B">
        <w:rPr>
          <w:rFonts w:ascii="Arial" w:hAnsi="Arial" w:cs="Arial"/>
          <w:color w:val="595959" w:themeColor="text1" w:themeTint="A6"/>
          <w:szCs w:val="24"/>
        </w:rPr>
        <w:t xml:space="preserve">Understanding the </w:t>
      </w:r>
      <w:r w:rsidR="00D760C9">
        <w:rPr>
          <w:rFonts w:ascii="Arial" w:hAnsi="Arial" w:cs="Arial"/>
          <w:color w:val="595959" w:themeColor="text1" w:themeTint="A6"/>
          <w:szCs w:val="24"/>
        </w:rPr>
        <w:t>phenotyp</w:t>
      </w:r>
      <w:r w:rsidR="00DD3776">
        <w:rPr>
          <w:rFonts w:ascii="Arial" w:hAnsi="Arial" w:cs="Arial"/>
          <w:color w:val="595959" w:themeColor="text1" w:themeTint="A6"/>
          <w:szCs w:val="24"/>
        </w:rPr>
        <w:t>e</w:t>
      </w:r>
      <w:r w:rsidRPr="005D419B">
        <w:rPr>
          <w:rFonts w:ascii="Arial" w:hAnsi="Arial" w:cs="Arial"/>
          <w:color w:val="595959" w:themeColor="text1" w:themeTint="A6"/>
          <w:szCs w:val="24"/>
        </w:rPr>
        <w:t xml:space="preserve"> of normal </w:t>
      </w:r>
      <w:r w:rsidR="00D760C9">
        <w:rPr>
          <w:rFonts w:ascii="Arial" w:hAnsi="Arial" w:cs="Arial"/>
          <w:color w:val="595959" w:themeColor="text1" w:themeTint="A6"/>
          <w:szCs w:val="24"/>
        </w:rPr>
        <w:t xml:space="preserve">oral </w:t>
      </w:r>
      <w:r w:rsidRPr="005D419B">
        <w:rPr>
          <w:rFonts w:ascii="Arial" w:hAnsi="Arial" w:cs="Arial"/>
          <w:color w:val="595959" w:themeColor="text1" w:themeTint="A6"/>
          <w:szCs w:val="24"/>
        </w:rPr>
        <w:t xml:space="preserve">fibroblasts may </w:t>
      </w:r>
      <w:r w:rsidR="00D760C9">
        <w:rPr>
          <w:rFonts w:ascii="Arial" w:hAnsi="Arial" w:cs="Arial"/>
          <w:color w:val="595959" w:themeColor="text1" w:themeTint="A6"/>
          <w:szCs w:val="24"/>
        </w:rPr>
        <w:t xml:space="preserve">provide evidence </w:t>
      </w:r>
      <w:r w:rsidRPr="005D419B">
        <w:rPr>
          <w:rFonts w:ascii="Arial" w:hAnsi="Arial" w:cs="Arial"/>
          <w:color w:val="595959" w:themeColor="text1" w:themeTint="A6"/>
          <w:szCs w:val="24"/>
        </w:rPr>
        <w:t>on the origins</w:t>
      </w:r>
      <w:r w:rsidR="00716293">
        <w:rPr>
          <w:rFonts w:ascii="Arial" w:hAnsi="Arial" w:cs="Arial"/>
          <w:color w:val="595959" w:themeColor="text1" w:themeTint="A6"/>
          <w:szCs w:val="24"/>
        </w:rPr>
        <w:t xml:space="preserve"> of</w:t>
      </w:r>
      <w:r w:rsidRPr="005D419B">
        <w:rPr>
          <w:rFonts w:ascii="Arial" w:hAnsi="Arial" w:cs="Arial"/>
          <w:color w:val="595959" w:themeColor="text1" w:themeTint="A6"/>
          <w:szCs w:val="24"/>
        </w:rPr>
        <w:t xml:space="preserve"> CAF, how they</w:t>
      </w:r>
      <w:r w:rsidR="00D760C9">
        <w:rPr>
          <w:rFonts w:ascii="Arial" w:hAnsi="Arial" w:cs="Arial"/>
          <w:color w:val="595959" w:themeColor="text1" w:themeTint="A6"/>
          <w:szCs w:val="24"/>
        </w:rPr>
        <w:t xml:space="preserve"> are</w:t>
      </w:r>
      <w:r w:rsidRPr="005D419B">
        <w:rPr>
          <w:rFonts w:ascii="Arial" w:hAnsi="Arial" w:cs="Arial"/>
          <w:color w:val="595959" w:themeColor="text1" w:themeTint="A6"/>
          <w:szCs w:val="24"/>
        </w:rPr>
        <w:t xml:space="preserve"> form</w:t>
      </w:r>
      <w:r w:rsidR="00D760C9">
        <w:rPr>
          <w:rFonts w:ascii="Arial" w:hAnsi="Arial" w:cs="Arial"/>
          <w:color w:val="595959" w:themeColor="text1" w:themeTint="A6"/>
          <w:szCs w:val="24"/>
        </w:rPr>
        <w:t xml:space="preserve">ed, and to what extent </w:t>
      </w:r>
      <w:r w:rsidR="000E025D">
        <w:rPr>
          <w:rFonts w:ascii="Arial" w:hAnsi="Arial" w:cs="Arial"/>
          <w:color w:val="595959" w:themeColor="text1" w:themeTint="A6"/>
          <w:szCs w:val="24"/>
        </w:rPr>
        <w:t>t</w:t>
      </w:r>
      <w:r w:rsidRPr="005D419B">
        <w:rPr>
          <w:rFonts w:ascii="Arial" w:hAnsi="Arial" w:cs="Arial"/>
          <w:color w:val="595959" w:themeColor="text1" w:themeTint="A6"/>
          <w:szCs w:val="24"/>
        </w:rPr>
        <w:t xml:space="preserve">heir transdifferentiation </w:t>
      </w:r>
      <w:r w:rsidR="00085104">
        <w:rPr>
          <w:rFonts w:ascii="Arial" w:hAnsi="Arial" w:cs="Arial"/>
          <w:color w:val="595959" w:themeColor="text1" w:themeTint="A6"/>
          <w:szCs w:val="24"/>
        </w:rPr>
        <w:t xml:space="preserve">from resident fibroblasts </w:t>
      </w:r>
      <w:r w:rsidRPr="005D419B">
        <w:rPr>
          <w:rFonts w:ascii="Arial" w:hAnsi="Arial" w:cs="Arial"/>
          <w:color w:val="595959" w:themeColor="text1" w:themeTint="A6"/>
          <w:szCs w:val="24"/>
        </w:rPr>
        <w:t>may be regulated in the early stages of tumo</w:t>
      </w:r>
      <w:r w:rsidR="00415F11">
        <w:rPr>
          <w:rFonts w:ascii="Arial" w:hAnsi="Arial" w:cs="Arial"/>
          <w:color w:val="595959" w:themeColor="text1" w:themeTint="A6"/>
          <w:szCs w:val="24"/>
        </w:rPr>
        <w:t>u</w:t>
      </w:r>
      <w:r w:rsidRPr="005D419B">
        <w:rPr>
          <w:rFonts w:ascii="Arial" w:hAnsi="Arial" w:cs="Arial"/>
          <w:color w:val="595959" w:themeColor="text1" w:themeTint="A6"/>
          <w:szCs w:val="24"/>
        </w:rPr>
        <w:t>rigenesis</w:t>
      </w:r>
      <w:r w:rsidR="00D760C9">
        <w:rPr>
          <w:rFonts w:ascii="Arial" w:hAnsi="Arial" w:cs="Arial"/>
          <w:color w:val="595959" w:themeColor="text1" w:themeTint="A6"/>
          <w:szCs w:val="24"/>
        </w:rPr>
        <w:t xml:space="preserve"> (Lui </w:t>
      </w:r>
      <w:r w:rsidR="00D760C9" w:rsidRPr="00D760C9">
        <w:rPr>
          <w:rFonts w:ascii="Arial" w:hAnsi="Arial" w:cs="Arial"/>
          <w:i/>
          <w:iCs/>
          <w:color w:val="595959" w:themeColor="text1" w:themeTint="A6"/>
          <w:szCs w:val="24"/>
        </w:rPr>
        <w:t>et al.,</w:t>
      </w:r>
      <w:r w:rsidR="00D760C9">
        <w:rPr>
          <w:rFonts w:ascii="Arial" w:hAnsi="Arial" w:cs="Arial"/>
          <w:color w:val="595959" w:themeColor="text1" w:themeTint="A6"/>
          <w:szCs w:val="24"/>
        </w:rPr>
        <w:t xml:space="preserve"> 2019, </w:t>
      </w:r>
      <w:r w:rsidR="0054039C" w:rsidRPr="0054039C">
        <w:rPr>
          <w:rFonts w:ascii="Arial" w:eastAsia="SimSun" w:hAnsi="Arial" w:cs="Arial"/>
          <w:color w:val="595959"/>
        </w:rPr>
        <w:t xml:space="preserve">Alphonso and Alahari, 2009). </w:t>
      </w:r>
      <w:r w:rsidR="00D760C9">
        <w:rPr>
          <w:rFonts w:ascii="Arial" w:eastAsia="SimSun" w:hAnsi="Arial" w:cs="Arial"/>
          <w:color w:val="595959"/>
        </w:rPr>
        <w:t xml:space="preserve">In the tumour microenvironment </w:t>
      </w:r>
      <w:r w:rsidR="0054039C" w:rsidRPr="0054039C">
        <w:rPr>
          <w:rFonts w:ascii="Arial" w:eastAsia="SimSun" w:hAnsi="Arial" w:cs="Arial"/>
          <w:color w:val="595959"/>
        </w:rPr>
        <w:t>CAF are the most abundant cell type</w:t>
      </w:r>
      <w:r w:rsidR="00650B8A">
        <w:rPr>
          <w:rFonts w:ascii="Arial" w:eastAsia="SimSun" w:hAnsi="Arial" w:cs="Arial"/>
          <w:color w:val="595959"/>
        </w:rPr>
        <w:t xml:space="preserve"> and </w:t>
      </w:r>
      <w:r w:rsidR="0054039C" w:rsidRPr="0054039C">
        <w:rPr>
          <w:rFonts w:ascii="Arial" w:eastAsia="SimSun" w:hAnsi="Arial" w:cs="Arial"/>
          <w:color w:val="595959"/>
        </w:rPr>
        <w:t>have been shown to aid malignan</w:t>
      </w:r>
      <w:r w:rsidR="00E27525">
        <w:rPr>
          <w:rFonts w:ascii="Arial" w:eastAsia="SimSun" w:hAnsi="Arial" w:cs="Arial"/>
          <w:color w:val="595959"/>
        </w:rPr>
        <w:t>cy</w:t>
      </w:r>
      <w:r w:rsidR="0054039C" w:rsidRPr="0054039C">
        <w:rPr>
          <w:rFonts w:ascii="Arial" w:eastAsia="SimSun" w:hAnsi="Arial" w:cs="Arial"/>
          <w:color w:val="595959"/>
        </w:rPr>
        <w:t xml:space="preserve"> and</w:t>
      </w:r>
      <w:r w:rsidR="00246EB3">
        <w:rPr>
          <w:rFonts w:ascii="Arial" w:eastAsia="SimSun" w:hAnsi="Arial" w:cs="Arial"/>
          <w:color w:val="595959"/>
        </w:rPr>
        <w:t xml:space="preserve"> </w:t>
      </w:r>
      <w:r w:rsidR="00100EE9">
        <w:rPr>
          <w:rFonts w:ascii="Arial" w:eastAsia="SimSun" w:hAnsi="Arial" w:cs="Arial"/>
          <w:color w:val="595959"/>
        </w:rPr>
        <w:t>h</w:t>
      </w:r>
      <w:r w:rsidR="00527B10">
        <w:rPr>
          <w:rFonts w:ascii="Arial" w:eastAsia="SimSun" w:hAnsi="Arial" w:cs="Arial"/>
          <w:color w:val="595959"/>
        </w:rPr>
        <w:t>ave</w:t>
      </w:r>
      <w:r w:rsidR="00100EE9">
        <w:rPr>
          <w:rFonts w:ascii="Arial" w:eastAsia="SimSun" w:hAnsi="Arial" w:cs="Arial"/>
          <w:color w:val="595959"/>
        </w:rPr>
        <w:t xml:space="preserve"> </w:t>
      </w:r>
      <w:r w:rsidR="0054039C" w:rsidRPr="0054039C">
        <w:rPr>
          <w:rFonts w:ascii="Arial" w:eastAsia="SimSun" w:hAnsi="Arial" w:cs="Arial"/>
          <w:color w:val="595959"/>
        </w:rPr>
        <w:t>pro-invasive capabilities that encourage tumour progression (</w:t>
      </w:r>
      <w:r w:rsidR="00DD4740">
        <w:rPr>
          <w:rFonts w:ascii="Arial" w:eastAsia="SimSun" w:hAnsi="Arial" w:cs="Arial"/>
          <w:color w:val="595959"/>
        </w:rPr>
        <w:t xml:space="preserve">Kalluri, 2016, </w:t>
      </w:r>
      <w:r w:rsidR="0054039C" w:rsidRPr="0054039C">
        <w:rPr>
          <w:rFonts w:ascii="Arial" w:eastAsia="SimSun" w:hAnsi="Arial" w:cs="Arial"/>
          <w:color w:val="595959"/>
        </w:rPr>
        <w:t xml:space="preserve">Kalluri and Zeisberg, 2006). </w:t>
      </w:r>
      <w:r w:rsidR="00D760C9">
        <w:rPr>
          <w:rFonts w:ascii="Arial" w:eastAsia="SimSun" w:hAnsi="Arial" w:cs="Arial"/>
          <w:color w:val="595959"/>
        </w:rPr>
        <w:t>T</w:t>
      </w:r>
      <w:r w:rsidR="0054039C" w:rsidRPr="0054039C">
        <w:rPr>
          <w:rFonts w:ascii="Arial" w:eastAsia="SimSun" w:hAnsi="Arial" w:cs="Arial"/>
          <w:color w:val="595959"/>
        </w:rPr>
        <w:t>he</w:t>
      </w:r>
      <w:r w:rsidR="00D760C9">
        <w:rPr>
          <w:rFonts w:ascii="Arial" w:eastAsia="SimSun" w:hAnsi="Arial" w:cs="Arial"/>
          <w:color w:val="595959"/>
        </w:rPr>
        <w:t>ir</w:t>
      </w:r>
      <w:r w:rsidR="0054039C" w:rsidRPr="0054039C">
        <w:rPr>
          <w:rFonts w:ascii="Arial" w:eastAsia="SimSun" w:hAnsi="Arial" w:cs="Arial"/>
          <w:color w:val="595959"/>
        </w:rPr>
        <w:t xml:space="preserve"> </w:t>
      </w:r>
      <w:r w:rsidR="00100EE9" w:rsidRPr="0054039C">
        <w:rPr>
          <w:rFonts w:ascii="Arial" w:eastAsia="SimSun" w:hAnsi="Arial" w:cs="Arial"/>
          <w:color w:val="595959"/>
        </w:rPr>
        <w:t>character</w:t>
      </w:r>
      <w:r w:rsidR="00240109">
        <w:rPr>
          <w:rFonts w:ascii="Arial" w:eastAsia="SimSun" w:hAnsi="Arial" w:cs="Arial"/>
          <w:color w:val="595959"/>
        </w:rPr>
        <w:t>istics</w:t>
      </w:r>
      <w:r w:rsidR="00D760C9">
        <w:rPr>
          <w:rFonts w:ascii="Arial" w:eastAsia="SimSun" w:hAnsi="Arial" w:cs="Arial"/>
          <w:color w:val="595959"/>
        </w:rPr>
        <w:t xml:space="preserve"> </w:t>
      </w:r>
      <w:r w:rsidR="00527B10">
        <w:rPr>
          <w:rFonts w:ascii="Arial" w:eastAsia="SimSun" w:hAnsi="Arial" w:cs="Arial"/>
          <w:color w:val="595959"/>
        </w:rPr>
        <w:t>of promoting</w:t>
      </w:r>
      <w:r w:rsidR="00D760C9">
        <w:rPr>
          <w:rFonts w:ascii="Arial" w:eastAsia="SimSun" w:hAnsi="Arial" w:cs="Arial"/>
          <w:color w:val="595959"/>
        </w:rPr>
        <w:t xml:space="preserve"> tumour progression</w:t>
      </w:r>
      <w:r w:rsidR="0054039C" w:rsidRPr="0054039C">
        <w:rPr>
          <w:rFonts w:ascii="Arial" w:eastAsia="SimSun" w:hAnsi="Arial" w:cs="Arial"/>
          <w:color w:val="595959"/>
        </w:rPr>
        <w:t xml:space="preserve"> </w:t>
      </w:r>
      <w:r w:rsidR="00D760C9">
        <w:rPr>
          <w:rFonts w:ascii="Arial" w:eastAsia="SimSun" w:hAnsi="Arial" w:cs="Arial"/>
          <w:color w:val="595959"/>
        </w:rPr>
        <w:t xml:space="preserve">are </w:t>
      </w:r>
      <w:r w:rsidR="005F02E7">
        <w:rPr>
          <w:rFonts w:ascii="Arial" w:eastAsia="SimSun" w:hAnsi="Arial" w:cs="Arial"/>
          <w:color w:val="595959"/>
        </w:rPr>
        <w:t>numerous</w:t>
      </w:r>
      <w:r w:rsidR="0054039C" w:rsidRPr="0054039C">
        <w:rPr>
          <w:rFonts w:ascii="Arial" w:eastAsia="SimSun" w:hAnsi="Arial" w:cs="Arial"/>
          <w:color w:val="595959"/>
        </w:rPr>
        <w:t xml:space="preserve"> and include</w:t>
      </w:r>
      <w:r w:rsidR="003314D1">
        <w:rPr>
          <w:rFonts w:ascii="Arial" w:eastAsia="SimSun" w:hAnsi="Arial" w:cs="Arial"/>
          <w:color w:val="595959"/>
        </w:rPr>
        <w:t>,</w:t>
      </w:r>
      <w:r w:rsidR="0054039C" w:rsidRPr="0054039C">
        <w:rPr>
          <w:rFonts w:ascii="Arial" w:eastAsia="SimSun" w:hAnsi="Arial" w:cs="Arial"/>
          <w:color w:val="595959"/>
        </w:rPr>
        <w:t xml:space="preserve"> but are not limited to the following; ECM remodelling, compositional and mechanical alterations (topography and matrix stiffening), increased cellular invasion and migration, as well as a whole signalling repertoire that provides autonomous signalling feedback loops capable of altering the </w:t>
      </w:r>
      <w:r w:rsidR="00716293">
        <w:rPr>
          <w:rFonts w:ascii="Arial" w:eastAsia="SimSun" w:hAnsi="Arial" w:cs="Arial"/>
          <w:color w:val="595959"/>
        </w:rPr>
        <w:t xml:space="preserve">tumour </w:t>
      </w:r>
      <w:r w:rsidR="0054039C" w:rsidRPr="0054039C">
        <w:rPr>
          <w:rFonts w:ascii="Arial" w:eastAsia="SimSun" w:hAnsi="Arial" w:cs="Arial"/>
          <w:color w:val="595959"/>
        </w:rPr>
        <w:t>microenvironment (</w:t>
      </w:r>
      <w:r w:rsidR="00D760C9">
        <w:rPr>
          <w:rFonts w:ascii="Arial" w:eastAsia="SimSun" w:hAnsi="Arial" w:cs="Arial"/>
          <w:color w:val="595959"/>
        </w:rPr>
        <w:t xml:space="preserve">LeBleu and Kalluri, 2018, </w:t>
      </w:r>
      <w:r w:rsidR="0054039C" w:rsidRPr="0054039C">
        <w:rPr>
          <w:rFonts w:ascii="Arial" w:eastAsia="SimSun" w:hAnsi="Arial" w:cs="Arial"/>
          <w:color w:val="595959"/>
        </w:rPr>
        <w:t xml:space="preserve">Kalluri, 2016). Within OSCC, the presence of myofibroblast-like CAF are indicative as predictors of mortality in comparison to alternative prognostic characteristics including the tumour stage, the tumour grade and the lymph node status (Marsh </w:t>
      </w:r>
      <w:r w:rsidR="0054039C" w:rsidRPr="0054039C">
        <w:rPr>
          <w:rFonts w:ascii="Arial" w:eastAsia="SimSun" w:hAnsi="Arial" w:cs="Arial"/>
          <w:i/>
          <w:color w:val="595959"/>
        </w:rPr>
        <w:t>et al</w:t>
      </w:r>
      <w:r w:rsidR="0054039C" w:rsidRPr="0054039C">
        <w:rPr>
          <w:rFonts w:ascii="Arial" w:eastAsia="SimSun" w:hAnsi="Arial" w:cs="Arial"/>
          <w:color w:val="595959"/>
        </w:rPr>
        <w:t xml:space="preserve">., 2011). Their </w:t>
      </w:r>
      <w:r w:rsidR="0054039C" w:rsidRPr="0054039C">
        <w:rPr>
          <w:rFonts w:ascii="Arial" w:hAnsi="Arial" w:cs="Arial"/>
          <w:color w:val="595959" w:themeColor="text1" w:themeTint="A6"/>
          <w:szCs w:val="24"/>
        </w:rPr>
        <w:t xml:space="preserve">genetic stability makes them an attractive therapeutic </w:t>
      </w:r>
      <w:r w:rsidR="0089500E" w:rsidRPr="0054039C">
        <w:rPr>
          <w:rFonts w:ascii="Arial" w:hAnsi="Arial" w:cs="Arial"/>
          <w:color w:val="595959" w:themeColor="text1" w:themeTint="A6"/>
          <w:szCs w:val="24"/>
        </w:rPr>
        <w:t>target</w:t>
      </w:r>
      <w:r w:rsidR="0089500E">
        <w:rPr>
          <w:rFonts w:ascii="Arial" w:hAnsi="Arial" w:cs="Arial"/>
          <w:color w:val="595959" w:themeColor="text1" w:themeTint="A6"/>
          <w:szCs w:val="24"/>
        </w:rPr>
        <w:t xml:space="preserve"> and</w:t>
      </w:r>
      <w:r w:rsidR="005F02E7">
        <w:rPr>
          <w:rFonts w:ascii="Arial" w:hAnsi="Arial" w:cs="Arial"/>
          <w:color w:val="595959" w:themeColor="text1" w:themeTint="A6"/>
          <w:szCs w:val="24"/>
        </w:rPr>
        <w:t xml:space="preserve"> understanding the </w:t>
      </w:r>
      <w:r w:rsidR="0054039C" w:rsidRPr="0054039C">
        <w:rPr>
          <w:rFonts w:ascii="Arial" w:hAnsi="Arial" w:cs="Arial"/>
          <w:color w:val="595959" w:themeColor="text1" w:themeTint="A6"/>
          <w:szCs w:val="24"/>
        </w:rPr>
        <w:t>roles they</w:t>
      </w:r>
      <w:r w:rsidR="00A25886">
        <w:rPr>
          <w:rFonts w:ascii="Arial" w:hAnsi="Arial" w:cs="Arial"/>
          <w:color w:val="595959" w:themeColor="text1" w:themeTint="A6"/>
          <w:szCs w:val="24"/>
        </w:rPr>
        <w:t xml:space="preserve"> </w:t>
      </w:r>
      <w:r w:rsidR="0054039C" w:rsidRPr="0054039C">
        <w:rPr>
          <w:rFonts w:ascii="Arial" w:hAnsi="Arial" w:cs="Arial"/>
          <w:color w:val="595959" w:themeColor="text1" w:themeTint="A6"/>
          <w:szCs w:val="24"/>
        </w:rPr>
        <w:t>play in conferring stromal therapeutic resistance</w:t>
      </w:r>
      <w:r w:rsidR="0089500E">
        <w:rPr>
          <w:rFonts w:ascii="Arial" w:hAnsi="Arial" w:cs="Arial"/>
          <w:color w:val="595959" w:themeColor="text1" w:themeTint="A6"/>
          <w:szCs w:val="24"/>
        </w:rPr>
        <w:t xml:space="preserve"> is of potential clinical benefit</w:t>
      </w:r>
      <w:r w:rsidR="0054039C" w:rsidRPr="0054039C">
        <w:rPr>
          <w:rFonts w:ascii="Arial" w:hAnsi="Arial" w:cs="Arial"/>
          <w:color w:val="595959" w:themeColor="text1" w:themeTint="A6"/>
          <w:szCs w:val="24"/>
        </w:rPr>
        <w:t xml:space="preserve">. </w:t>
      </w:r>
    </w:p>
    <w:p w14:paraId="5630B283" w14:textId="3603E337" w:rsidR="0054039C" w:rsidRPr="0054039C" w:rsidRDefault="0054039C" w:rsidP="0054039C">
      <w:pPr>
        <w:spacing w:line="480" w:lineRule="auto"/>
        <w:jc w:val="both"/>
        <w:rPr>
          <w:rFonts w:ascii="Arial" w:eastAsia="SimSun" w:hAnsi="Arial" w:cs="Arial"/>
          <w:color w:val="595959"/>
        </w:rPr>
      </w:pPr>
      <w:r w:rsidRPr="0054039C">
        <w:rPr>
          <w:rFonts w:ascii="Arial" w:eastAsia="SimSun" w:hAnsi="Arial" w:cs="Arial"/>
          <w:color w:val="595959"/>
        </w:rPr>
        <w:t>Resident fibroblasts found in normal tissue are considered indolent, have negligible metabolic and transcriptomic activity, sharing many similarities with mesenchymal stem cell precursors</w:t>
      </w:r>
      <w:r w:rsidR="00625A75">
        <w:rPr>
          <w:rFonts w:ascii="Arial" w:eastAsia="SimSun" w:hAnsi="Arial" w:cs="Arial"/>
          <w:color w:val="595959"/>
        </w:rPr>
        <w:t xml:space="preserve"> (Kalluri, 2016)</w:t>
      </w:r>
      <w:r w:rsidR="0089500E">
        <w:rPr>
          <w:rFonts w:ascii="Arial" w:eastAsia="SimSun" w:hAnsi="Arial" w:cs="Arial"/>
          <w:color w:val="595959"/>
        </w:rPr>
        <w:t xml:space="preserve">. </w:t>
      </w:r>
      <w:r w:rsidRPr="0054039C">
        <w:rPr>
          <w:rFonts w:ascii="Arial" w:eastAsia="SimSun" w:hAnsi="Arial" w:cs="Arial"/>
          <w:color w:val="595959"/>
        </w:rPr>
        <w:t xml:space="preserve">In cancer, these fibroblasts are </w:t>
      </w:r>
      <w:r w:rsidR="0089500E">
        <w:rPr>
          <w:rFonts w:ascii="Arial" w:eastAsia="SimSun" w:hAnsi="Arial" w:cs="Arial"/>
          <w:color w:val="595959"/>
        </w:rPr>
        <w:t xml:space="preserve">activated and are collectively </w:t>
      </w:r>
      <w:r w:rsidRPr="0054039C">
        <w:rPr>
          <w:rFonts w:ascii="Arial" w:eastAsia="SimSun" w:hAnsi="Arial" w:cs="Arial"/>
          <w:color w:val="595959"/>
        </w:rPr>
        <w:t xml:space="preserve">known as CAF. </w:t>
      </w:r>
      <w:r w:rsidR="0089500E">
        <w:rPr>
          <w:rFonts w:ascii="Arial" w:eastAsia="SimSun" w:hAnsi="Arial" w:cs="Arial"/>
          <w:color w:val="595959"/>
        </w:rPr>
        <w:t>S</w:t>
      </w:r>
      <w:r w:rsidRPr="0054039C">
        <w:rPr>
          <w:rFonts w:ascii="Arial" w:eastAsia="SimSun" w:hAnsi="Arial" w:cs="Arial"/>
          <w:color w:val="595959"/>
        </w:rPr>
        <w:t>ignals that activate fibroblasts into CAF in the tumour microenvironment are abundant and diverse</w:t>
      </w:r>
      <w:r w:rsidR="0089500E">
        <w:rPr>
          <w:rFonts w:ascii="Arial" w:eastAsia="SimSun" w:hAnsi="Arial" w:cs="Arial"/>
          <w:color w:val="595959"/>
        </w:rPr>
        <w:t>.</w:t>
      </w:r>
      <w:r w:rsidRPr="0054039C">
        <w:rPr>
          <w:rFonts w:ascii="Arial" w:eastAsia="SimSun" w:hAnsi="Arial" w:cs="Arial"/>
          <w:color w:val="595959"/>
        </w:rPr>
        <w:t xml:space="preserve"> </w:t>
      </w:r>
      <w:r w:rsidR="0089500E">
        <w:rPr>
          <w:rFonts w:ascii="Arial" w:eastAsia="SimSun" w:hAnsi="Arial" w:cs="Arial"/>
          <w:color w:val="595959"/>
        </w:rPr>
        <w:t>They are also</w:t>
      </w:r>
      <w:r w:rsidRPr="0054039C">
        <w:rPr>
          <w:rFonts w:ascii="Arial" w:eastAsia="SimSun" w:hAnsi="Arial" w:cs="Arial"/>
          <w:color w:val="595959"/>
        </w:rPr>
        <w:t xml:space="preserve"> dynamically modulated in various cancer types, thus generating difficulty in understanding </w:t>
      </w:r>
      <w:r w:rsidR="00D760C9">
        <w:rPr>
          <w:rFonts w:ascii="Arial" w:eastAsia="SimSun" w:hAnsi="Arial" w:cs="Arial"/>
          <w:color w:val="595959"/>
        </w:rPr>
        <w:t>to</w:t>
      </w:r>
      <w:r w:rsidRPr="0054039C">
        <w:rPr>
          <w:rFonts w:ascii="Arial" w:eastAsia="SimSun" w:hAnsi="Arial" w:cs="Arial"/>
          <w:color w:val="595959"/>
        </w:rPr>
        <w:t xml:space="preserve"> what effect this would have on CAF phenotype </w:t>
      </w:r>
      <w:r w:rsidRPr="0054039C">
        <w:rPr>
          <w:rFonts w:ascii="Arial" w:eastAsia="SimSun" w:hAnsi="Arial" w:cs="Arial"/>
          <w:i/>
          <w:iCs/>
          <w:color w:val="595959"/>
        </w:rPr>
        <w:t>in vivo.</w:t>
      </w:r>
      <w:r w:rsidRPr="0054039C">
        <w:rPr>
          <w:rFonts w:ascii="Arial" w:eastAsia="SimSun" w:hAnsi="Arial" w:cs="Arial"/>
          <w:color w:val="595959"/>
        </w:rPr>
        <w:t xml:space="preserve"> Some of these common fibroblast-activating ligands include the TGFβ superfamily</w:t>
      </w:r>
      <w:r w:rsidR="00716293">
        <w:rPr>
          <w:rFonts w:ascii="Arial" w:eastAsia="SimSun" w:hAnsi="Arial" w:cs="Arial"/>
          <w:color w:val="595959"/>
        </w:rPr>
        <w:t xml:space="preserve"> (Calon </w:t>
      </w:r>
      <w:r w:rsidR="00716293" w:rsidRPr="00716293">
        <w:rPr>
          <w:rFonts w:ascii="Arial" w:eastAsia="SimSun" w:hAnsi="Arial" w:cs="Arial"/>
          <w:i/>
          <w:iCs/>
          <w:color w:val="595959"/>
        </w:rPr>
        <w:t>et al.,</w:t>
      </w:r>
      <w:r w:rsidR="00716293">
        <w:rPr>
          <w:rFonts w:ascii="Arial" w:eastAsia="SimSun" w:hAnsi="Arial" w:cs="Arial"/>
          <w:color w:val="595959"/>
        </w:rPr>
        <w:t xml:space="preserve"> 2014)</w:t>
      </w:r>
      <w:r w:rsidRPr="0054039C">
        <w:rPr>
          <w:rFonts w:ascii="Arial" w:eastAsia="SimSun" w:hAnsi="Arial" w:cs="Arial"/>
          <w:color w:val="595959"/>
        </w:rPr>
        <w:t xml:space="preserve">. </w:t>
      </w:r>
    </w:p>
    <w:p w14:paraId="253D3A1C" w14:textId="0743EFDC" w:rsidR="0054039C" w:rsidRPr="0054039C" w:rsidRDefault="0054039C" w:rsidP="0054039C">
      <w:pPr>
        <w:spacing w:line="480" w:lineRule="auto"/>
        <w:jc w:val="both"/>
        <w:rPr>
          <w:rFonts w:ascii="Arial" w:hAnsi="Arial" w:cs="Arial"/>
          <w:color w:val="595959" w:themeColor="text1" w:themeTint="A6"/>
          <w:szCs w:val="24"/>
        </w:rPr>
      </w:pPr>
      <w:r w:rsidRPr="0054039C">
        <w:rPr>
          <w:rFonts w:ascii="Arial" w:hAnsi="Arial" w:cs="Arial"/>
          <w:color w:val="595959" w:themeColor="text1" w:themeTint="A6"/>
          <w:szCs w:val="24"/>
        </w:rPr>
        <w:t xml:space="preserve">This chapter focussed on the molecular analysis of oral fibroblasts and evaluated the changes in the ECM deposited by both NOF and CAF, as well as </w:t>
      </w:r>
      <w:r w:rsidR="00690631">
        <w:rPr>
          <w:rFonts w:ascii="Arial" w:hAnsi="Arial" w:cs="Arial"/>
          <w:color w:val="595959" w:themeColor="text1" w:themeTint="A6"/>
          <w:szCs w:val="24"/>
        </w:rPr>
        <w:t xml:space="preserve">establish </w:t>
      </w:r>
      <w:r w:rsidRPr="0054039C">
        <w:rPr>
          <w:rFonts w:ascii="Arial" w:hAnsi="Arial" w:cs="Arial"/>
          <w:color w:val="595959" w:themeColor="text1" w:themeTint="A6"/>
          <w:szCs w:val="24"/>
        </w:rPr>
        <w:t xml:space="preserve">markers of the activated </w:t>
      </w:r>
      <w:r w:rsidRPr="0054039C">
        <w:rPr>
          <w:rFonts w:ascii="Arial" w:hAnsi="Arial" w:cs="Arial"/>
          <w:color w:val="595959" w:themeColor="text1" w:themeTint="A6"/>
          <w:szCs w:val="24"/>
        </w:rPr>
        <w:lastRenderedPageBreak/>
        <w:t>fibroblast phenotype in response to TGFβ-1, a growth factor known to play a key role in CAF formation</w:t>
      </w:r>
      <w:r w:rsidR="00B36673">
        <w:rPr>
          <w:rFonts w:ascii="Arial" w:hAnsi="Arial" w:cs="Arial"/>
          <w:color w:val="595959" w:themeColor="text1" w:themeTint="A6"/>
          <w:szCs w:val="24"/>
        </w:rPr>
        <w:t xml:space="preserve"> </w:t>
      </w:r>
      <w:r w:rsidR="002759A5">
        <w:rPr>
          <w:rFonts w:ascii="Arial" w:hAnsi="Arial" w:cs="Arial"/>
          <w:color w:val="595959" w:themeColor="text1" w:themeTint="A6"/>
          <w:szCs w:val="24"/>
        </w:rPr>
        <w:t xml:space="preserve">(Calon </w:t>
      </w:r>
      <w:r w:rsidR="002759A5" w:rsidRPr="002759A5">
        <w:rPr>
          <w:rFonts w:ascii="Arial" w:hAnsi="Arial" w:cs="Arial"/>
          <w:i/>
          <w:iCs/>
          <w:color w:val="595959" w:themeColor="text1" w:themeTint="A6"/>
          <w:szCs w:val="24"/>
        </w:rPr>
        <w:t>et al.,</w:t>
      </w:r>
      <w:r w:rsidR="002759A5">
        <w:rPr>
          <w:rFonts w:ascii="Arial" w:hAnsi="Arial" w:cs="Arial"/>
          <w:color w:val="595959" w:themeColor="text1" w:themeTint="A6"/>
          <w:szCs w:val="24"/>
        </w:rPr>
        <w:t xml:space="preserve"> 2014)</w:t>
      </w:r>
      <w:r w:rsidRPr="0054039C">
        <w:rPr>
          <w:rFonts w:ascii="Arial" w:hAnsi="Arial" w:cs="Arial"/>
          <w:color w:val="595959" w:themeColor="text1" w:themeTint="A6"/>
          <w:szCs w:val="24"/>
        </w:rPr>
        <w:t xml:space="preserve">. Effects of TGFβ were examined in the short-term (24 h -72 h) and longer-term (up to 72 h + 14 days) to inform optimisation of conditions to generate </w:t>
      </w:r>
      <w:r w:rsidR="00653AA0" w:rsidRPr="0054039C">
        <w:rPr>
          <w:rFonts w:ascii="Arial" w:hAnsi="Arial" w:cs="Arial"/>
          <w:color w:val="595959" w:themeColor="text1" w:themeTint="A6"/>
          <w:szCs w:val="24"/>
        </w:rPr>
        <w:t>biomimetic</w:t>
      </w:r>
      <w:r w:rsidRPr="0054039C">
        <w:rPr>
          <w:rFonts w:ascii="Arial" w:hAnsi="Arial" w:cs="Arial"/>
          <w:color w:val="595959" w:themeColor="text1" w:themeTint="A6"/>
          <w:szCs w:val="24"/>
        </w:rPr>
        <w:t xml:space="preserve"> natural matrices reflecting different fibroblast phenotypes in subsequent chapters. </w:t>
      </w:r>
      <w:r w:rsidR="0089500E">
        <w:rPr>
          <w:rFonts w:ascii="Arial" w:hAnsi="Arial" w:cs="Arial"/>
          <w:color w:val="595959" w:themeColor="text1" w:themeTint="A6"/>
          <w:szCs w:val="24"/>
        </w:rPr>
        <w:t xml:space="preserve">In addition, the influence of potential stromal modifying drugs on the myofibroblast and CAF phenotypes were assessed to inform subsequent perturbation of biomimetic models. </w:t>
      </w:r>
    </w:p>
    <w:p w14:paraId="38EB1AF1" w14:textId="7520673C" w:rsidR="0054039C" w:rsidRPr="0054039C" w:rsidRDefault="0054039C" w:rsidP="0054039C">
      <w:pPr>
        <w:spacing w:line="480" w:lineRule="auto"/>
        <w:jc w:val="both"/>
        <w:rPr>
          <w:rFonts w:ascii="Arial" w:eastAsia="SimSun" w:hAnsi="Arial" w:cs="Arial"/>
          <w:color w:val="595959"/>
        </w:rPr>
      </w:pPr>
      <w:r w:rsidRPr="0054039C">
        <w:rPr>
          <w:rFonts w:ascii="Arial" w:eastAsia="SimSun" w:hAnsi="Arial" w:cs="Arial"/>
          <w:color w:val="595959"/>
        </w:rPr>
        <w:t xml:space="preserve">Previous research has indicated that TGFβ-1; a growth factor that supports the differentiation of fibroblasts </w:t>
      </w:r>
      <w:r w:rsidRPr="0054039C">
        <w:rPr>
          <w:rFonts w:ascii="Arial" w:eastAsia="SimSun" w:hAnsi="Arial" w:cs="Arial"/>
          <w:i/>
          <w:color w:val="595959"/>
        </w:rPr>
        <w:t xml:space="preserve">in vitro, </w:t>
      </w:r>
      <w:r w:rsidRPr="0054039C">
        <w:rPr>
          <w:rFonts w:ascii="Arial" w:eastAsia="SimSun" w:hAnsi="Arial" w:cs="Arial"/>
          <w:color w:val="595959"/>
        </w:rPr>
        <w:t xml:space="preserve">as well as a deposition of fibrotic ECM proteins effectively assists in the initial stages of tissue remodelling, wound healing, and fibrosis (Chipev and Simon, 2002, Melling </w:t>
      </w:r>
      <w:r w:rsidRPr="0054039C">
        <w:rPr>
          <w:rFonts w:ascii="Arial" w:eastAsia="SimSun" w:hAnsi="Arial" w:cs="Arial"/>
          <w:i/>
          <w:iCs/>
          <w:color w:val="595959"/>
        </w:rPr>
        <w:t>et al.,</w:t>
      </w:r>
      <w:r w:rsidRPr="0054039C">
        <w:rPr>
          <w:rFonts w:ascii="Arial" w:eastAsia="SimSun" w:hAnsi="Arial" w:cs="Arial"/>
          <w:color w:val="595959"/>
        </w:rPr>
        <w:t xml:space="preserve"> 2018, Desmoulieré </w:t>
      </w:r>
      <w:r w:rsidRPr="0054039C">
        <w:rPr>
          <w:rFonts w:ascii="Arial" w:eastAsia="SimSun" w:hAnsi="Arial" w:cs="Arial"/>
          <w:i/>
          <w:color w:val="595959"/>
        </w:rPr>
        <w:t>et al.,</w:t>
      </w:r>
      <w:r w:rsidRPr="0054039C">
        <w:rPr>
          <w:rFonts w:ascii="Arial" w:eastAsia="SimSun" w:hAnsi="Arial" w:cs="Arial"/>
          <w:color w:val="595959"/>
        </w:rPr>
        <w:t xml:space="preserve"> 1993, Nithiananthan </w:t>
      </w:r>
      <w:r w:rsidRPr="0054039C">
        <w:rPr>
          <w:rFonts w:ascii="Arial" w:eastAsia="SimSun" w:hAnsi="Arial" w:cs="Arial"/>
          <w:i/>
          <w:color w:val="595959"/>
        </w:rPr>
        <w:t xml:space="preserve">et al., </w:t>
      </w:r>
      <w:r w:rsidRPr="0054039C">
        <w:rPr>
          <w:rFonts w:ascii="Arial" w:eastAsia="SimSun" w:hAnsi="Arial" w:cs="Arial"/>
          <w:color w:val="595959"/>
        </w:rPr>
        <w:t>201</w:t>
      </w:r>
      <w:r w:rsidR="009D79A7">
        <w:rPr>
          <w:rFonts w:ascii="Arial" w:eastAsia="SimSun" w:hAnsi="Arial" w:cs="Arial"/>
          <w:color w:val="595959"/>
        </w:rPr>
        <w:t>7</w:t>
      </w:r>
      <w:r w:rsidRPr="0054039C">
        <w:rPr>
          <w:rFonts w:ascii="Arial" w:eastAsia="SimSun" w:hAnsi="Arial" w:cs="Arial"/>
          <w:color w:val="595959"/>
        </w:rPr>
        <w:t xml:space="preserve">). In agreement with additional findings on growth factors responsible for the transdifferentiation of NOF to myofibroblast (myoFB); TGFβ-1 treatment induced an oral myoFB phenotype </w:t>
      </w:r>
      <w:r w:rsidRPr="0054039C">
        <w:rPr>
          <w:rFonts w:ascii="Arial" w:eastAsia="SimSun" w:hAnsi="Arial" w:cs="Arial"/>
          <w:i/>
          <w:color w:val="595959"/>
        </w:rPr>
        <w:t>in vitro</w:t>
      </w:r>
      <w:r w:rsidR="004B7716">
        <w:rPr>
          <w:rFonts w:ascii="Arial" w:eastAsia="SimSun" w:hAnsi="Arial" w:cs="Arial"/>
          <w:color w:val="595959"/>
        </w:rPr>
        <w:t xml:space="preserve"> </w:t>
      </w:r>
      <w:r w:rsidRPr="0054039C">
        <w:rPr>
          <w:rFonts w:ascii="Arial" w:eastAsia="SimSun" w:hAnsi="Arial" w:cs="Arial"/>
          <w:color w:val="595959"/>
        </w:rPr>
        <w:t xml:space="preserve">(Melling </w:t>
      </w:r>
      <w:r w:rsidRPr="0054039C">
        <w:rPr>
          <w:rFonts w:ascii="Arial" w:eastAsia="SimSun" w:hAnsi="Arial" w:cs="Arial"/>
          <w:i/>
          <w:iCs/>
          <w:color w:val="595959"/>
        </w:rPr>
        <w:t>et al.,</w:t>
      </w:r>
      <w:r w:rsidRPr="0054039C">
        <w:rPr>
          <w:rFonts w:ascii="Arial" w:eastAsia="SimSun" w:hAnsi="Arial" w:cs="Arial"/>
          <w:color w:val="595959"/>
        </w:rPr>
        <w:t xml:space="preserve"> 2018, Sobral </w:t>
      </w:r>
      <w:r w:rsidRPr="0054039C">
        <w:rPr>
          <w:rFonts w:ascii="Arial" w:eastAsia="SimSun" w:hAnsi="Arial" w:cs="Arial"/>
          <w:i/>
          <w:color w:val="595959"/>
        </w:rPr>
        <w:t>et al</w:t>
      </w:r>
      <w:r w:rsidRPr="0054039C">
        <w:rPr>
          <w:rFonts w:ascii="Arial" w:eastAsia="SimSun" w:hAnsi="Arial" w:cs="Arial"/>
          <w:color w:val="595959"/>
        </w:rPr>
        <w:t xml:space="preserve">., 2011, Desmoulieré </w:t>
      </w:r>
      <w:r w:rsidRPr="0054039C">
        <w:rPr>
          <w:rFonts w:ascii="Arial" w:eastAsia="SimSun" w:hAnsi="Arial" w:cs="Arial"/>
          <w:i/>
          <w:color w:val="595959"/>
        </w:rPr>
        <w:t>et al</w:t>
      </w:r>
      <w:r w:rsidRPr="0054039C">
        <w:rPr>
          <w:rFonts w:ascii="Arial" w:eastAsia="SimSun" w:hAnsi="Arial" w:cs="Arial"/>
          <w:color w:val="595959"/>
        </w:rPr>
        <w:t>., 1993). The ability of TGFβ</w:t>
      </w:r>
      <w:r w:rsidR="0089500E">
        <w:rPr>
          <w:rFonts w:ascii="Arial" w:eastAsia="SimSun" w:hAnsi="Arial" w:cs="Arial"/>
          <w:color w:val="595959"/>
        </w:rPr>
        <w:t>-</w:t>
      </w:r>
      <w:r w:rsidRPr="0054039C">
        <w:rPr>
          <w:rFonts w:ascii="Arial" w:eastAsia="SimSun" w:hAnsi="Arial" w:cs="Arial"/>
          <w:color w:val="595959"/>
        </w:rPr>
        <w:t xml:space="preserve">1 to induce myofibroblast transdifferentiation up to 72 h </w:t>
      </w:r>
      <w:r w:rsidRPr="0054039C">
        <w:rPr>
          <w:rFonts w:ascii="Arial" w:eastAsia="SimSun" w:hAnsi="Arial" w:cs="Arial"/>
          <w:i/>
          <w:iCs/>
          <w:color w:val="595959"/>
        </w:rPr>
        <w:t>in vitro</w:t>
      </w:r>
      <w:r w:rsidRPr="0054039C">
        <w:rPr>
          <w:rFonts w:ascii="Arial" w:eastAsia="SimSun" w:hAnsi="Arial" w:cs="Arial"/>
          <w:color w:val="595959"/>
        </w:rPr>
        <w:t xml:space="preserve"> in primary human fibroblasts has previously been examined by Melling </w:t>
      </w:r>
      <w:r w:rsidRPr="0054039C">
        <w:rPr>
          <w:rFonts w:ascii="Arial" w:eastAsia="SimSun" w:hAnsi="Arial" w:cs="Arial"/>
          <w:i/>
          <w:iCs/>
          <w:color w:val="595959"/>
        </w:rPr>
        <w:t>et al.,</w:t>
      </w:r>
      <w:r w:rsidRPr="0054039C">
        <w:rPr>
          <w:rFonts w:ascii="Arial" w:eastAsia="SimSun" w:hAnsi="Arial" w:cs="Arial"/>
          <w:color w:val="595959"/>
        </w:rPr>
        <w:t xml:space="preserve"> using markers of the myofibroblast phenotype including αSMA, VCAN (V0 isoform) and FN1-EDA transcripts in which a time-dependent increase was observed in all transcripts analysed and corresponded to an increase in αSMA at the protein level as well as the appearance of αSMA-rich stress fibres. In agreement with these findings we also observed a significant up-regulation of the mRNA of target genes FN1-EDA, COL1A1, TNC, VCAN and αSMA in primary NOF treated with TGFβ-1. </w:t>
      </w:r>
      <w:r w:rsidR="007F6DE5">
        <w:rPr>
          <w:rFonts w:ascii="Arial" w:eastAsia="SimSun" w:hAnsi="Arial" w:cs="Arial"/>
          <w:color w:val="595959"/>
        </w:rPr>
        <w:t xml:space="preserve">However, </w:t>
      </w:r>
      <w:r w:rsidR="00BC2A67">
        <w:rPr>
          <w:rFonts w:ascii="Arial" w:eastAsia="SimSun" w:hAnsi="Arial" w:cs="Arial"/>
          <w:color w:val="595959"/>
        </w:rPr>
        <w:t>in</w:t>
      </w:r>
      <w:r w:rsidR="007F6DE5">
        <w:rPr>
          <w:rFonts w:ascii="Arial" w:eastAsia="SimSun" w:hAnsi="Arial" w:cs="Arial"/>
          <w:color w:val="595959"/>
        </w:rPr>
        <w:t xml:space="preserve"> this investigation</w:t>
      </w:r>
      <w:r w:rsidR="00BC2A67">
        <w:rPr>
          <w:rFonts w:ascii="Arial" w:eastAsia="SimSun" w:hAnsi="Arial" w:cs="Arial"/>
          <w:color w:val="595959"/>
        </w:rPr>
        <w:t>,</w:t>
      </w:r>
      <w:r w:rsidR="007F6DE5">
        <w:rPr>
          <w:rFonts w:ascii="Arial" w:eastAsia="SimSun" w:hAnsi="Arial" w:cs="Arial"/>
          <w:color w:val="595959"/>
        </w:rPr>
        <w:t xml:space="preserve"> we also assessed the ability of NOF to maintain their phenotype </w:t>
      </w:r>
      <w:r w:rsidR="00DF524D">
        <w:rPr>
          <w:rFonts w:ascii="Arial" w:eastAsia="SimSun" w:hAnsi="Arial" w:cs="Arial"/>
          <w:color w:val="595959"/>
        </w:rPr>
        <w:t xml:space="preserve">in </w:t>
      </w:r>
      <w:r w:rsidR="006E6139">
        <w:rPr>
          <w:rFonts w:ascii="Arial" w:eastAsia="SimSun" w:hAnsi="Arial" w:cs="Arial"/>
          <w:color w:val="595959"/>
        </w:rPr>
        <w:t>longer-term culture</w:t>
      </w:r>
      <w:r w:rsidR="008D3A29">
        <w:rPr>
          <w:rFonts w:ascii="Arial" w:eastAsia="SimSun" w:hAnsi="Arial" w:cs="Arial"/>
          <w:color w:val="595959"/>
        </w:rPr>
        <w:t>s</w:t>
      </w:r>
      <w:r w:rsidR="00DF524D">
        <w:rPr>
          <w:rFonts w:ascii="Arial" w:eastAsia="SimSun" w:hAnsi="Arial" w:cs="Arial"/>
          <w:color w:val="595959"/>
        </w:rPr>
        <w:t xml:space="preserve">. </w:t>
      </w:r>
    </w:p>
    <w:p w14:paraId="2E755011" w14:textId="163FAA3E" w:rsidR="0054039C" w:rsidRPr="0054039C" w:rsidRDefault="0054039C" w:rsidP="0054039C">
      <w:pPr>
        <w:spacing w:line="480" w:lineRule="auto"/>
        <w:jc w:val="both"/>
        <w:rPr>
          <w:rFonts w:ascii="Arial" w:eastAsia="SimSun" w:hAnsi="Arial" w:cs="Arial"/>
          <w:color w:val="595959"/>
        </w:rPr>
      </w:pPr>
      <w:r w:rsidRPr="0054039C">
        <w:rPr>
          <w:rFonts w:ascii="Arial" w:eastAsia="SimSun" w:hAnsi="Arial" w:cs="Arial"/>
          <w:color w:val="595959"/>
        </w:rPr>
        <w:t>In this study the expression of αSMA was significantly increased in NOF at 48 h with 5 ng/mL TGFβ-1 proving the optimal treatment for this cell type in culture</w:t>
      </w:r>
      <w:r w:rsidR="006E6139">
        <w:rPr>
          <w:rFonts w:ascii="Arial" w:eastAsia="SimSun" w:hAnsi="Arial" w:cs="Arial"/>
          <w:color w:val="595959"/>
        </w:rPr>
        <w:t xml:space="preserve">. </w:t>
      </w:r>
      <w:r w:rsidRPr="0054039C">
        <w:rPr>
          <w:rFonts w:ascii="Arial" w:eastAsia="SimSun" w:hAnsi="Arial" w:cs="Arial"/>
          <w:color w:val="595959"/>
        </w:rPr>
        <w:t>Cytoskeletal αSMA was also visualised by immunofluorescent analysis</w:t>
      </w:r>
      <w:r w:rsidR="00DA0EED">
        <w:rPr>
          <w:rFonts w:ascii="Arial" w:eastAsia="SimSun" w:hAnsi="Arial" w:cs="Arial"/>
          <w:color w:val="595959"/>
        </w:rPr>
        <w:t xml:space="preserve"> of NOF</w:t>
      </w:r>
      <w:r w:rsidRPr="0054039C">
        <w:rPr>
          <w:rFonts w:ascii="Arial" w:eastAsia="SimSun" w:hAnsi="Arial" w:cs="Arial"/>
          <w:color w:val="595959"/>
        </w:rPr>
        <w:t xml:space="preserve"> </w:t>
      </w:r>
      <w:r w:rsidRPr="0054039C">
        <w:rPr>
          <w:rFonts w:ascii="Arial" w:eastAsia="SimSun" w:hAnsi="Arial" w:cs="Arial"/>
          <w:i/>
          <w:color w:val="595959"/>
        </w:rPr>
        <w:t>in vitro</w:t>
      </w:r>
      <w:r w:rsidR="00DA0EED">
        <w:rPr>
          <w:rFonts w:ascii="Arial" w:eastAsia="SimSun" w:hAnsi="Arial" w:cs="Arial"/>
          <w:i/>
          <w:color w:val="595959"/>
        </w:rPr>
        <w:t>.</w:t>
      </w:r>
      <w:r w:rsidRPr="0054039C">
        <w:rPr>
          <w:rFonts w:ascii="Arial" w:eastAsia="SimSun" w:hAnsi="Arial" w:cs="Arial"/>
          <w:color w:val="595959"/>
        </w:rPr>
        <w:t xml:space="preserve"> </w:t>
      </w:r>
      <w:r w:rsidR="00DA0EED">
        <w:rPr>
          <w:rFonts w:ascii="Arial" w:eastAsia="SimSun" w:hAnsi="Arial" w:cs="Arial"/>
          <w:color w:val="595959"/>
        </w:rPr>
        <w:t>S</w:t>
      </w:r>
      <w:r w:rsidRPr="0054039C">
        <w:rPr>
          <w:rFonts w:ascii="Arial" w:eastAsia="SimSun" w:hAnsi="Arial" w:cs="Arial"/>
          <w:color w:val="595959"/>
        </w:rPr>
        <w:t>tress fibre formation w</w:t>
      </w:r>
      <w:r w:rsidR="007465DD">
        <w:rPr>
          <w:rFonts w:ascii="Arial" w:eastAsia="SimSun" w:hAnsi="Arial" w:cs="Arial"/>
          <w:color w:val="595959"/>
        </w:rPr>
        <w:t>as induced</w:t>
      </w:r>
      <w:r w:rsidRPr="0054039C">
        <w:rPr>
          <w:rFonts w:ascii="Arial" w:eastAsia="SimSun" w:hAnsi="Arial" w:cs="Arial"/>
          <w:color w:val="595959"/>
        </w:rPr>
        <w:t xml:space="preserve"> in TGFβ-1 treated NOF at 48 h and at day 7. A reduced stress-fibre formation was also </w:t>
      </w:r>
      <w:r w:rsidR="001A4525">
        <w:rPr>
          <w:rFonts w:ascii="Arial" w:eastAsia="SimSun" w:hAnsi="Arial" w:cs="Arial"/>
          <w:color w:val="595959"/>
        </w:rPr>
        <w:t>observed</w:t>
      </w:r>
      <w:r w:rsidRPr="0054039C">
        <w:rPr>
          <w:rFonts w:ascii="Arial" w:eastAsia="SimSun" w:hAnsi="Arial" w:cs="Arial"/>
          <w:color w:val="595959"/>
        </w:rPr>
        <w:t xml:space="preserve"> longer term at day 7, although this was not quantified, </w:t>
      </w:r>
      <w:r w:rsidR="007465DD">
        <w:rPr>
          <w:rFonts w:ascii="Arial" w:eastAsia="SimSun" w:hAnsi="Arial" w:cs="Arial"/>
          <w:color w:val="595959"/>
        </w:rPr>
        <w:t xml:space="preserve">it is </w:t>
      </w:r>
      <w:r w:rsidRPr="0054039C">
        <w:rPr>
          <w:rFonts w:ascii="Arial" w:eastAsia="SimSun" w:hAnsi="Arial" w:cs="Arial"/>
          <w:color w:val="595959"/>
        </w:rPr>
        <w:t xml:space="preserve">likely a reflection of a sub-population of NOF </w:t>
      </w:r>
      <w:r w:rsidR="00BC5F38">
        <w:rPr>
          <w:rFonts w:ascii="Arial" w:eastAsia="SimSun" w:hAnsi="Arial" w:cs="Arial"/>
          <w:color w:val="595959"/>
        </w:rPr>
        <w:t xml:space="preserve">reverting to a more indolent phenotype within long-term culture </w:t>
      </w:r>
      <w:r w:rsidR="002000EC">
        <w:rPr>
          <w:rFonts w:ascii="Arial" w:eastAsia="SimSun" w:hAnsi="Arial" w:cs="Arial"/>
          <w:color w:val="595959"/>
        </w:rPr>
        <w:t xml:space="preserve">and could </w:t>
      </w:r>
      <w:r w:rsidR="002000EC">
        <w:rPr>
          <w:rFonts w:ascii="Arial" w:eastAsia="SimSun" w:hAnsi="Arial" w:cs="Arial"/>
          <w:color w:val="595959"/>
        </w:rPr>
        <w:lastRenderedPageBreak/>
        <w:t xml:space="preserve">be </w:t>
      </w:r>
      <w:r w:rsidR="00BC5F38">
        <w:rPr>
          <w:rFonts w:ascii="Arial" w:eastAsia="SimSun" w:hAnsi="Arial" w:cs="Arial"/>
          <w:color w:val="595959"/>
        </w:rPr>
        <w:t xml:space="preserve">due to </w:t>
      </w:r>
      <w:r w:rsidRPr="0054039C">
        <w:rPr>
          <w:rFonts w:ascii="Arial" w:eastAsia="SimSun" w:hAnsi="Arial" w:cs="Arial"/>
          <w:color w:val="595959"/>
        </w:rPr>
        <w:t xml:space="preserve">reduced sensitivity to TGFβ-1 </w:t>
      </w:r>
      <w:r w:rsidRPr="0054039C">
        <w:rPr>
          <w:rFonts w:ascii="Arial" w:eastAsia="SimSun" w:hAnsi="Arial" w:cs="Arial"/>
          <w:i/>
          <w:iCs/>
          <w:color w:val="595959"/>
        </w:rPr>
        <w:t>in vitro</w:t>
      </w:r>
      <w:r w:rsidR="00D554E9">
        <w:rPr>
          <w:rFonts w:ascii="Arial" w:eastAsia="SimSun" w:hAnsi="Arial" w:cs="Arial"/>
          <w:i/>
          <w:iCs/>
          <w:color w:val="595959"/>
        </w:rPr>
        <w:t xml:space="preserve"> </w:t>
      </w:r>
      <w:r w:rsidR="00D554E9">
        <w:rPr>
          <w:rFonts w:ascii="Arial" w:eastAsia="SimSun" w:hAnsi="Arial" w:cs="Arial"/>
          <w:color w:val="595959"/>
        </w:rPr>
        <w:t>(Kalluri, 2016).</w:t>
      </w:r>
      <w:r w:rsidR="006F3DC2">
        <w:rPr>
          <w:rFonts w:ascii="Arial" w:eastAsia="SimSun" w:hAnsi="Arial" w:cs="Arial"/>
          <w:color w:val="595959"/>
        </w:rPr>
        <w:t xml:space="preserve"> No significant </w:t>
      </w:r>
      <w:r w:rsidR="008E5C48">
        <w:rPr>
          <w:rFonts w:ascii="Arial" w:eastAsia="SimSun" w:hAnsi="Arial" w:cs="Arial"/>
          <w:color w:val="595959"/>
        </w:rPr>
        <w:t xml:space="preserve">changes in </w:t>
      </w:r>
      <w:r w:rsidR="006F3DC2">
        <w:rPr>
          <w:rFonts w:ascii="Arial" w:hAnsi="Arial" w:cs="Arial"/>
          <w:color w:val="595959" w:themeColor="text1" w:themeTint="A6"/>
        </w:rPr>
        <w:t>αSMA expression w</w:t>
      </w:r>
      <w:r w:rsidR="008E5C48">
        <w:rPr>
          <w:rFonts w:ascii="Arial" w:hAnsi="Arial" w:cs="Arial"/>
          <w:color w:val="595959" w:themeColor="text1" w:themeTint="A6"/>
        </w:rPr>
        <w:t>ere</w:t>
      </w:r>
      <w:r w:rsidR="006F3DC2">
        <w:rPr>
          <w:rFonts w:ascii="Arial" w:hAnsi="Arial" w:cs="Arial"/>
          <w:color w:val="595959" w:themeColor="text1" w:themeTint="A6"/>
        </w:rPr>
        <w:t xml:space="preserve"> observed </w:t>
      </w:r>
      <w:r w:rsidR="008E5C48">
        <w:rPr>
          <w:rFonts w:ascii="Arial" w:hAnsi="Arial" w:cs="Arial"/>
          <w:color w:val="595959" w:themeColor="text1" w:themeTint="A6"/>
        </w:rPr>
        <w:t>with long-term TGFβ-1 treatment</w:t>
      </w:r>
      <w:r w:rsidR="006C3E60">
        <w:rPr>
          <w:rFonts w:ascii="Arial" w:hAnsi="Arial" w:cs="Arial"/>
          <w:color w:val="595959" w:themeColor="text1" w:themeTint="A6"/>
        </w:rPr>
        <w:t xml:space="preserve">, but αSMA protein </w:t>
      </w:r>
      <w:r w:rsidR="002000EC">
        <w:rPr>
          <w:rFonts w:ascii="Arial" w:hAnsi="Arial" w:cs="Arial"/>
          <w:color w:val="595959" w:themeColor="text1" w:themeTint="A6"/>
        </w:rPr>
        <w:t>remained</w:t>
      </w:r>
      <w:r w:rsidR="00D06FFD">
        <w:rPr>
          <w:rFonts w:ascii="Arial" w:hAnsi="Arial" w:cs="Arial"/>
          <w:color w:val="595959" w:themeColor="text1" w:themeTint="A6"/>
        </w:rPr>
        <w:t xml:space="preserve"> </w:t>
      </w:r>
      <w:r w:rsidRPr="0054039C">
        <w:rPr>
          <w:rFonts w:ascii="Arial" w:eastAsia="SimSun" w:hAnsi="Arial" w:cs="Arial"/>
          <w:color w:val="595959"/>
        </w:rPr>
        <w:t xml:space="preserve">detectable </w:t>
      </w:r>
      <w:r w:rsidR="00797408">
        <w:rPr>
          <w:rFonts w:ascii="Arial" w:eastAsia="SimSun" w:hAnsi="Arial" w:cs="Arial"/>
          <w:color w:val="595959"/>
        </w:rPr>
        <w:t xml:space="preserve">up to </w:t>
      </w:r>
      <w:r w:rsidRPr="0054039C">
        <w:rPr>
          <w:rFonts w:ascii="Arial" w:eastAsia="SimSun" w:hAnsi="Arial" w:cs="Arial"/>
          <w:color w:val="595959"/>
        </w:rPr>
        <w:t xml:space="preserve">72 h + 14 days in culture. This long-term proteomic expression may mean that αSMA protein may be upregulated to </w:t>
      </w:r>
      <w:r w:rsidR="00F55825">
        <w:rPr>
          <w:rFonts w:ascii="Arial" w:eastAsia="SimSun" w:hAnsi="Arial" w:cs="Arial"/>
          <w:color w:val="595959"/>
        </w:rPr>
        <w:t>produce</w:t>
      </w:r>
      <w:r w:rsidRPr="0054039C">
        <w:rPr>
          <w:rFonts w:ascii="Arial" w:eastAsia="SimSun" w:hAnsi="Arial" w:cs="Arial"/>
          <w:color w:val="595959"/>
        </w:rPr>
        <w:t xml:space="preserve"> a more contractile phenotype over-time. </w:t>
      </w:r>
    </w:p>
    <w:p w14:paraId="658D5EB6" w14:textId="739FFC93" w:rsidR="0054039C" w:rsidRPr="0054039C" w:rsidRDefault="0054039C" w:rsidP="0054039C">
      <w:pPr>
        <w:spacing w:line="480" w:lineRule="auto"/>
        <w:jc w:val="both"/>
        <w:rPr>
          <w:rFonts w:ascii="Arial" w:eastAsia="SimSun" w:hAnsi="Arial" w:cs="Arial"/>
          <w:color w:val="595959"/>
        </w:rPr>
      </w:pPr>
      <w:r w:rsidRPr="0054039C">
        <w:rPr>
          <w:rFonts w:ascii="Arial" w:eastAsia="SimSun" w:hAnsi="Arial" w:cs="Arial"/>
          <w:color w:val="595959"/>
        </w:rPr>
        <w:t>Myofibroblasts are major constituents of granulation tissue, and in wound healing a particular splice variant of fibronectin, the ED-A splice variant, is expressed</w:t>
      </w:r>
      <w:r w:rsidR="002F677A">
        <w:rPr>
          <w:rFonts w:ascii="Arial" w:eastAsia="SimSun" w:hAnsi="Arial" w:cs="Arial"/>
          <w:color w:val="595959"/>
        </w:rPr>
        <w:t xml:space="preserve"> ubiquitously</w:t>
      </w:r>
      <w:r w:rsidRPr="0054039C">
        <w:rPr>
          <w:rFonts w:ascii="Arial" w:eastAsia="SimSun" w:hAnsi="Arial" w:cs="Arial"/>
          <w:i/>
          <w:color w:val="595959"/>
        </w:rPr>
        <w:t xml:space="preserve"> </w:t>
      </w:r>
      <w:r w:rsidRPr="0054039C">
        <w:rPr>
          <w:rFonts w:ascii="Arial" w:eastAsia="SimSun" w:hAnsi="Arial" w:cs="Arial"/>
          <w:color w:val="595959"/>
        </w:rPr>
        <w:t xml:space="preserve">(Serini </w:t>
      </w:r>
      <w:r w:rsidRPr="0054039C">
        <w:rPr>
          <w:rFonts w:ascii="Arial" w:eastAsia="SimSun" w:hAnsi="Arial" w:cs="Arial"/>
          <w:i/>
          <w:color w:val="595959"/>
        </w:rPr>
        <w:t>et al.,</w:t>
      </w:r>
      <w:r w:rsidRPr="0054039C">
        <w:rPr>
          <w:rFonts w:ascii="Arial" w:eastAsia="SimSun" w:hAnsi="Arial" w:cs="Arial"/>
          <w:color w:val="595959"/>
        </w:rPr>
        <w:t xml:space="preserve"> 1998). </w:t>
      </w:r>
      <w:r w:rsidRPr="0054039C">
        <w:rPr>
          <w:rFonts w:ascii="Arial" w:eastAsia="SimSun" w:hAnsi="Arial" w:cs="Arial"/>
          <w:i/>
          <w:color w:val="595959"/>
        </w:rPr>
        <w:t xml:space="preserve">In vitro </w:t>
      </w:r>
      <w:r w:rsidRPr="0054039C">
        <w:rPr>
          <w:rFonts w:ascii="Arial" w:eastAsia="SimSun" w:hAnsi="Arial" w:cs="Arial"/>
          <w:color w:val="595959"/>
        </w:rPr>
        <w:t xml:space="preserve">TGFβ-1 elevates the mRNA levels of fibronectin by increasing the expression of the EDA- isoform (Borse </w:t>
      </w:r>
      <w:r w:rsidRPr="0054039C">
        <w:rPr>
          <w:rFonts w:ascii="Arial" w:eastAsia="SimSun" w:hAnsi="Arial" w:cs="Arial"/>
          <w:i/>
          <w:color w:val="595959"/>
        </w:rPr>
        <w:t xml:space="preserve">et al., </w:t>
      </w:r>
      <w:r w:rsidRPr="0054039C">
        <w:rPr>
          <w:rFonts w:ascii="Arial" w:eastAsia="SimSun" w:hAnsi="Arial" w:cs="Arial"/>
          <w:color w:val="595959"/>
        </w:rPr>
        <w:t xml:space="preserve">1990). In NOF the short-term supplementation of this cell type with TGFβ-1 elevated FN1-EDA expression. The expression of FN1-EDA </w:t>
      </w:r>
      <w:r w:rsidR="003F67C8">
        <w:rPr>
          <w:rFonts w:ascii="Arial" w:eastAsia="SimSun" w:hAnsi="Arial" w:cs="Arial"/>
          <w:color w:val="595959"/>
        </w:rPr>
        <w:t xml:space="preserve">and the protein equivalent </w:t>
      </w:r>
      <w:r w:rsidRPr="0054039C">
        <w:rPr>
          <w:rFonts w:ascii="Arial" w:eastAsia="SimSun" w:hAnsi="Arial" w:cs="Arial"/>
          <w:color w:val="595959"/>
        </w:rPr>
        <w:t xml:space="preserve">remained higher in the TGFβ-1 treated groups long-term compared to control treated groups suggesting that </w:t>
      </w:r>
      <w:r w:rsidR="005B4196">
        <w:rPr>
          <w:rFonts w:ascii="Arial" w:eastAsia="SimSun" w:hAnsi="Arial" w:cs="Arial"/>
          <w:color w:val="595959"/>
        </w:rPr>
        <w:t xml:space="preserve">NOF </w:t>
      </w:r>
      <w:r w:rsidRPr="0054039C">
        <w:rPr>
          <w:rFonts w:ascii="Arial" w:eastAsia="SimSun" w:hAnsi="Arial" w:cs="Arial"/>
          <w:color w:val="595959"/>
        </w:rPr>
        <w:t>retain</w:t>
      </w:r>
      <w:r w:rsidR="005B4196">
        <w:rPr>
          <w:rFonts w:ascii="Arial" w:eastAsia="SimSun" w:hAnsi="Arial" w:cs="Arial"/>
          <w:color w:val="595959"/>
        </w:rPr>
        <w:t>ed</w:t>
      </w:r>
      <w:r w:rsidRPr="0054039C">
        <w:rPr>
          <w:rFonts w:ascii="Arial" w:eastAsia="SimSun" w:hAnsi="Arial" w:cs="Arial"/>
          <w:color w:val="595959"/>
        </w:rPr>
        <w:t xml:space="preserve"> </w:t>
      </w:r>
      <w:r w:rsidR="001B55A3">
        <w:rPr>
          <w:rFonts w:ascii="Arial" w:eastAsia="SimSun" w:hAnsi="Arial" w:cs="Arial"/>
          <w:color w:val="595959"/>
        </w:rPr>
        <w:t>some</w:t>
      </w:r>
      <w:r w:rsidRPr="0054039C">
        <w:rPr>
          <w:rFonts w:ascii="Arial" w:eastAsia="SimSun" w:hAnsi="Arial" w:cs="Arial"/>
          <w:color w:val="595959"/>
        </w:rPr>
        <w:t xml:space="preserve"> capacity to respond to growth factors up to two weeks</w:t>
      </w:r>
      <w:r w:rsidR="007341F4" w:rsidRPr="007341F4">
        <w:rPr>
          <w:rFonts w:ascii="Arial" w:eastAsia="SimSun" w:hAnsi="Arial" w:cs="Arial"/>
          <w:i/>
          <w:color w:val="595959"/>
        </w:rPr>
        <w:t xml:space="preserve"> </w:t>
      </w:r>
      <w:r w:rsidR="007341F4" w:rsidRPr="0054039C">
        <w:rPr>
          <w:rFonts w:ascii="Arial" w:eastAsia="SimSun" w:hAnsi="Arial" w:cs="Arial"/>
          <w:i/>
          <w:color w:val="595959"/>
        </w:rPr>
        <w:t>in vitro</w:t>
      </w:r>
      <w:r w:rsidRPr="0054039C">
        <w:rPr>
          <w:rFonts w:ascii="Arial" w:eastAsia="SimSun" w:hAnsi="Arial" w:cs="Arial"/>
          <w:color w:val="595959"/>
        </w:rPr>
        <w:t xml:space="preserve">. </w:t>
      </w:r>
    </w:p>
    <w:p w14:paraId="7B775158" w14:textId="77777777" w:rsidR="0054039C" w:rsidRPr="0054039C" w:rsidRDefault="0054039C" w:rsidP="0054039C">
      <w:pPr>
        <w:spacing w:line="480" w:lineRule="auto"/>
        <w:jc w:val="both"/>
        <w:rPr>
          <w:rFonts w:ascii="Arial" w:eastAsia="SimSun" w:hAnsi="Arial" w:cs="Arial"/>
          <w:color w:val="595959"/>
        </w:rPr>
      </w:pPr>
      <w:r w:rsidRPr="0054039C">
        <w:rPr>
          <w:rFonts w:ascii="Arial" w:eastAsia="SimSun" w:hAnsi="Arial" w:cs="Arial"/>
          <w:color w:val="595959"/>
        </w:rPr>
        <w:t xml:space="preserve">COL1A1 expression was upregulated in NOF with TGFβ-1 treatment; with basal levels expression of COL1A1 higher in longer-term cultures compared to short-term. COL1A1 protein deposition was significantly upregulated with time, and as the major protein contributor to ECM composition, this myofibroblast-derived collagen production is essential for the regulation of tissue architecture. However pathological deposition can lead to matrix stiffness, a contributory factor to tumour progression, which makes this an ECM protein of interest for its relevance in OSCC development (Discher </w:t>
      </w:r>
      <w:r w:rsidRPr="0054039C">
        <w:rPr>
          <w:rFonts w:ascii="Arial" w:eastAsia="SimSun" w:hAnsi="Arial" w:cs="Arial"/>
          <w:i/>
          <w:iCs/>
          <w:color w:val="595959"/>
        </w:rPr>
        <w:t>et al.,</w:t>
      </w:r>
      <w:r w:rsidRPr="0054039C">
        <w:rPr>
          <w:rFonts w:ascii="Arial" w:eastAsia="SimSun" w:hAnsi="Arial" w:cs="Arial"/>
          <w:color w:val="595959"/>
        </w:rPr>
        <w:t xml:space="preserve"> 2005, Seewaldt, 2009, Hinz, 2009, Coughlin </w:t>
      </w:r>
      <w:r w:rsidRPr="0054039C">
        <w:rPr>
          <w:rFonts w:ascii="Arial" w:eastAsia="SimSun" w:hAnsi="Arial" w:cs="Arial"/>
          <w:i/>
          <w:iCs/>
          <w:color w:val="595959"/>
        </w:rPr>
        <w:t>et al.,</w:t>
      </w:r>
      <w:r w:rsidRPr="0054039C">
        <w:rPr>
          <w:rFonts w:ascii="Arial" w:eastAsia="SimSun" w:hAnsi="Arial" w:cs="Arial"/>
          <w:color w:val="595959"/>
        </w:rPr>
        <w:t xml:space="preserve"> 2013 and Chaudhuri </w:t>
      </w:r>
      <w:r w:rsidRPr="0054039C">
        <w:rPr>
          <w:rFonts w:ascii="Arial" w:eastAsia="SimSun" w:hAnsi="Arial" w:cs="Arial"/>
          <w:i/>
          <w:iCs/>
          <w:color w:val="595959"/>
        </w:rPr>
        <w:t>et al.,</w:t>
      </w:r>
      <w:r w:rsidRPr="0054039C">
        <w:rPr>
          <w:rFonts w:ascii="Arial" w:eastAsia="SimSun" w:hAnsi="Arial" w:cs="Arial"/>
          <w:color w:val="595959"/>
        </w:rPr>
        <w:t xml:space="preserve"> 2014). </w:t>
      </w:r>
    </w:p>
    <w:p w14:paraId="2B788605" w14:textId="17B7351A" w:rsidR="0054039C" w:rsidRPr="0054039C" w:rsidRDefault="0054039C" w:rsidP="0054039C">
      <w:pPr>
        <w:spacing w:line="480" w:lineRule="auto"/>
        <w:jc w:val="both"/>
        <w:rPr>
          <w:rFonts w:ascii="Arial" w:eastAsia="SimSun" w:hAnsi="Arial" w:cs="Arial"/>
          <w:color w:val="595959"/>
        </w:rPr>
      </w:pPr>
      <w:r w:rsidRPr="0054039C">
        <w:rPr>
          <w:rFonts w:ascii="Arial" w:eastAsia="SimSun" w:hAnsi="Arial" w:cs="Arial"/>
          <w:color w:val="595959"/>
        </w:rPr>
        <w:t xml:space="preserve">TNC is not abundantly expressed in normal tissue however a </w:t>
      </w:r>
      <w:r w:rsidRPr="0054039C">
        <w:rPr>
          <w:rFonts w:ascii="Arial" w:eastAsia="SimSun" w:hAnsi="Arial" w:cs="Arial"/>
          <w:i/>
          <w:iCs/>
          <w:color w:val="595959"/>
        </w:rPr>
        <w:t>de novo</w:t>
      </w:r>
      <w:r w:rsidRPr="0054039C">
        <w:rPr>
          <w:rFonts w:ascii="Arial" w:eastAsia="SimSun" w:hAnsi="Arial" w:cs="Arial"/>
          <w:color w:val="595959"/>
        </w:rPr>
        <w:t xml:space="preserve"> deposition of has been observed in OSCC </w:t>
      </w:r>
      <w:r w:rsidRPr="0054039C">
        <w:rPr>
          <w:rFonts w:ascii="Arial" w:eastAsia="SimSun" w:hAnsi="Arial" w:cs="Arial"/>
          <w:i/>
          <w:iCs/>
          <w:color w:val="595959"/>
        </w:rPr>
        <w:t>in situ</w:t>
      </w:r>
      <w:r w:rsidRPr="0054039C">
        <w:rPr>
          <w:rFonts w:ascii="Arial" w:eastAsia="SimSun" w:hAnsi="Arial" w:cs="Arial"/>
          <w:color w:val="595959"/>
        </w:rPr>
        <w:t xml:space="preserve"> and is a result of an invasive carcinoma cell phenotype (Hindermann </w:t>
      </w:r>
      <w:r w:rsidRPr="0054039C">
        <w:rPr>
          <w:rFonts w:ascii="Arial" w:eastAsia="SimSun" w:hAnsi="Arial" w:cs="Arial"/>
          <w:i/>
          <w:iCs/>
          <w:color w:val="595959"/>
        </w:rPr>
        <w:t xml:space="preserve">et al., </w:t>
      </w:r>
      <w:r w:rsidRPr="0054039C">
        <w:rPr>
          <w:rFonts w:ascii="Arial" w:eastAsia="SimSun" w:hAnsi="Arial" w:cs="Arial"/>
          <w:color w:val="595959"/>
        </w:rPr>
        <w:t xml:space="preserve">1999 and Berndt </w:t>
      </w:r>
      <w:r w:rsidRPr="0054039C">
        <w:rPr>
          <w:rFonts w:ascii="Arial" w:eastAsia="SimSun" w:hAnsi="Arial" w:cs="Arial"/>
          <w:i/>
          <w:iCs/>
          <w:color w:val="595959"/>
        </w:rPr>
        <w:t>et al.,</w:t>
      </w:r>
      <w:r w:rsidRPr="0054039C">
        <w:rPr>
          <w:rFonts w:ascii="Arial" w:eastAsia="SimSun" w:hAnsi="Arial" w:cs="Arial"/>
          <w:color w:val="595959"/>
        </w:rPr>
        <w:t xml:space="preserve"> 2015). In NOF the TNC transcript was significantly increased with TGFβ-1</w:t>
      </w:r>
      <w:r w:rsidR="006055AF">
        <w:rPr>
          <w:rFonts w:ascii="Arial" w:eastAsia="SimSun" w:hAnsi="Arial" w:cs="Arial"/>
          <w:color w:val="595959"/>
        </w:rPr>
        <w:t xml:space="preserve">, </w:t>
      </w:r>
      <w:r w:rsidRPr="0054039C">
        <w:rPr>
          <w:rFonts w:ascii="Arial" w:eastAsia="SimSun" w:hAnsi="Arial" w:cs="Arial"/>
          <w:color w:val="595959"/>
        </w:rPr>
        <w:t>suggest</w:t>
      </w:r>
      <w:r w:rsidR="006055AF">
        <w:rPr>
          <w:rFonts w:ascii="Arial" w:eastAsia="SimSun" w:hAnsi="Arial" w:cs="Arial"/>
          <w:color w:val="595959"/>
        </w:rPr>
        <w:t>ing</w:t>
      </w:r>
      <w:r w:rsidRPr="0054039C">
        <w:rPr>
          <w:rFonts w:ascii="Arial" w:eastAsia="SimSun" w:hAnsi="Arial" w:cs="Arial"/>
          <w:color w:val="595959"/>
        </w:rPr>
        <w:t xml:space="preserve"> that </w:t>
      </w:r>
      <w:r w:rsidR="0089500E" w:rsidRPr="0054039C">
        <w:rPr>
          <w:rFonts w:ascii="Arial" w:eastAsia="SimSun" w:hAnsi="Arial" w:cs="Arial"/>
          <w:color w:val="595959"/>
        </w:rPr>
        <w:t xml:space="preserve">TGFβ-1 </w:t>
      </w:r>
      <w:r w:rsidR="00EB4BDD">
        <w:rPr>
          <w:rFonts w:ascii="Arial" w:eastAsia="SimSun" w:hAnsi="Arial" w:cs="Arial"/>
          <w:color w:val="595959"/>
        </w:rPr>
        <w:t>induced</w:t>
      </w:r>
      <w:r w:rsidR="0089500E">
        <w:rPr>
          <w:rFonts w:ascii="Arial" w:eastAsia="SimSun" w:hAnsi="Arial" w:cs="Arial"/>
          <w:color w:val="595959"/>
        </w:rPr>
        <w:t xml:space="preserve"> some of characteristic features of CAF expression, which is an elevation in TNC expression. </w:t>
      </w:r>
      <w:r w:rsidRPr="0054039C">
        <w:rPr>
          <w:rFonts w:ascii="Arial" w:eastAsia="SimSun" w:hAnsi="Arial" w:cs="Arial"/>
          <w:color w:val="595959"/>
        </w:rPr>
        <w:t xml:space="preserve">No protein was detected by immunoblotting with 10 µg of protein lysate (blots not shown) and therefore no further protein analysis for TNC was investigated in this phenotyping study. </w:t>
      </w:r>
    </w:p>
    <w:p w14:paraId="49BA3AC4" w14:textId="016AF4B6" w:rsidR="0054039C" w:rsidRPr="0054039C" w:rsidRDefault="0054039C" w:rsidP="0054039C">
      <w:pPr>
        <w:spacing w:line="480" w:lineRule="auto"/>
        <w:jc w:val="both"/>
        <w:rPr>
          <w:rFonts w:ascii="Arial" w:eastAsia="SimSun" w:hAnsi="Arial" w:cs="Arial"/>
          <w:color w:val="595959"/>
        </w:rPr>
      </w:pPr>
      <w:r w:rsidRPr="0054039C">
        <w:rPr>
          <w:rFonts w:ascii="Arial" w:eastAsia="SimSun" w:hAnsi="Arial" w:cs="Arial"/>
          <w:color w:val="595959"/>
        </w:rPr>
        <w:lastRenderedPageBreak/>
        <w:t>Another protein marker used for analysis in NOF was the large proteoglycan VCAN</w:t>
      </w:r>
      <w:r w:rsidR="00572771">
        <w:rPr>
          <w:rFonts w:ascii="Arial" w:eastAsia="SimSun" w:hAnsi="Arial" w:cs="Arial"/>
          <w:color w:val="595959"/>
        </w:rPr>
        <w:t>.</w:t>
      </w:r>
      <w:r w:rsidRPr="0054039C">
        <w:rPr>
          <w:rFonts w:ascii="Arial" w:eastAsia="SimSun" w:hAnsi="Arial" w:cs="Arial"/>
          <w:color w:val="595959"/>
        </w:rPr>
        <w:t xml:space="preserve"> </w:t>
      </w:r>
      <w:r w:rsidR="00C80C66">
        <w:rPr>
          <w:rFonts w:ascii="Arial" w:eastAsia="SimSun" w:hAnsi="Arial" w:cs="Arial"/>
          <w:color w:val="595959"/>
        </w:rPr>
        <w:t>Previous reports have observed t</w:t>
      </w:r>
      <w:r w:rsidRPr="0054039C">
        <w:rPr>
          <w:rFonts w:ascii="Arial" w:eastAsia="SimSun" w:hAnsi="Arial" w:cs="Arial"/>
          <w:color w:val="595959"/>
        </w:rPr>
        <w:t xml:space="preserve">he expression of </w:t>
      </w:r>
      <w:r w:rsidR="00572771">
        <w:rPr>
          <w:rFonts w:ascii="Arial" w:eastAsia="SimSun" w:hAnsi="Arial" w:cs="Arial"/>
          <w:color w:val="595959"/>
        </w:rPr>
        <w:t xml:space="preserve">VCAN </w:t>
      </w:r>
      <w:r w:rsidRPr="0054039C">
        <w:rPr>
          <w:rFonts w:ascii="Arial" w:eastAsia="SimSun" w:hAnsi="Arial" w:cs="Arial"/>
          <w:color w:val="595959"/>
        </w:rPr>
        <w:t>in dermal, gingival and mammary fibroblast</w:t>
      </w:r>
      <w:r w:rsidR="003E7880">
        <w:rPr>
          <w:rFonts w:ascii="Arial" w:eastAsia="SimSun" w:hAnsi="Arial" w:cs="Arial"/>
          <w:color w:val="595959"/>
        </w:rPr>
        <w:t>s</w:t>
      </w:r>
      <w:r w:rsidRPr="0054039C">
        <w:rPr>
          <w:rFonts w:ascii="Arial" w:eastAsia="SimSun" w:hAnsi="Arial" w:cs="Arial"/>
          <w:color w:val="595959"/>
        </w:rPr>
        <w:t xml:space="preserve"> (Melling </w:t>
      </w:r>
      <w:r w:rsidRPr="0054039C">
        <w:rPr>
          <w:rFonts w:ascii="Arial" w:eastAsia="SimSun" w:hAnsi="Arial" w:cs="Arial"/>
          <w:i/>
          <w:iCs/>
          <w:color w:val="595959"/>
        </w:rPr>
        <w:t>et al.,</w:t>
      </w:r>
      <w:r w:rsidRPr="0054039C">
        <w:rPr>
          <w:rFonts w:ascii="Arial" w:eastAsia="SimSun" w:hAnsi="Arial" w:cs="Arial"/>
          <w:color w:val="595959"/>
        </w:rPr>
        <w:t xml:space="preserve"> 2018 and Thaŝiangela </w:t>
      </w:r>
      <w:r w:rsidRPr="0054039C">
        <w:rPr>
          <w:rFonts w:ascii="Arial" w:eastAsia="SimSun" w:hAnsi="Arial" w:cs="Arial"/>
          <w:i/>
          <w:color w:val="595959"/>
        </w:rPr>
        <w:t>et al</w:t>
      </w:r>
      <w:r w:rsidRPr="0054039C">
        <w:rPr>
          <w:rFonts w:ascii="Arial" w:eastAsia="SimSun" w:hAnsi="Arial" w:cs="Arial"/>
          <w:color w:val="595959"/>
        </w:rPr>
        <w:t>., 2007). Within the ECM it provide</w:t>
      </w:r>
      <w:r w:rsidR="00A37A62">
        <w:rPr>
          <w:rFonts w:ascii="Arial" w:eastAsia="SimSun" w:hAnsi="Arial" w:cs="Arial"/>
          <w:color w:val="595959"/>
        </w:rPr>
        <w:t>s</w:t>
      </w:r>
      <w:r w:rsidR="0089500E">
        <w:rPr>
          <w:rFonts w:ascii="Arial" w:eastAsia="SimSun" w:hAnsi="Arial" w:cs="Arial"/>
          <w:color w:val="595959"/>
        </w:rPr>
        <w:t xml:space="preserve"> </w:t>
      </w:r>
      <w:r w:rsidRPr="0054039C">
        <w:rPr>
          <w:rFonts w:ascii="Arial" w:eastAsia="SimSun" w:hAnsi="Arial" w:cs="Arial"/>
          <w:color w:val="595959"/>
        </w:rPr>
        <w:t>structural stability</w:t>
      </w:r>
      <w:r w:rsidR="003E7880">
        <w:rPr>
          <w:rFonts w:ascii="Arial" w:eastAsia="SimSun" w:hAnsi="Arial" w:cs="Arial"/>
          <w:color w:val="595959"/>
        </w:rPr>
        <w:t xml:space="preserve"> and support</w:t>
      </w:r>
      <w:r w:rsidRPr="0054039C">
        <w:rPr>
          <w:rFonts w:ascii="Arial" w:eastAsia="SimSun" w:hAnsi="Arial" w:cs="Arial"/>
          <w:color w:val="595959"/>
        </w:rPr>
        <w:t xml:space="preserve"> </w:t>
      </w:r>
      <w:r w:rsidR="00755F17">
        <w:rPr>
          <w:rFonts w:ascii="Arial" w:eastAsia="SimSun" w:hAnsi="Arial" w:cs="Arial"/>
          <w:color w:val="595959"/>
        </w:rPr>
        <w:t>and sequester</w:t>
      </w:r>
      <w:r w:rsidR="00A27EB3">
        <w:rPr>
          <w:rFonts w:ascii="Arial" w:eastAsia="SimSun" w:hAnsi="Arial" w:cs="Arial"/>
          <w:color w:val="595959"/>
        </w:rPr>
        <w:t>s</w:t>
      </w:r>
      <w:r w:rsidR="00755F17">
        <w:rPr>
          <w:rFonts w:ascii="Arial" w:eastAsia="SimSun" w:hAnsi="Arial" w:cs="Arial"/>
          <w:color w:val="595959"/>
        </w:rPr>
        <w:t xml:space="preserve"> growth factors</w:t>
      </w:r>
      <w:r w:rsidRPr="0054039C">
        <w:rPr>
          <w:rFonts w:ascii="Arial" w:eastAsia="SimSun" w:hAnsi="Arial" w:cs="Arial"/>
          <w:color w:val="595959"/>
        </w:rPr>
        <w:t xml:space="preserve">. </w:t>
      </w:r>
      <w:r w:rsidR="00A27EB3">
        <w:rPr>
          <w:rFonts w:ascii="Arial" w:eastAsia="SimSun" w:hAnsi="Arial" w:cs="Arial"/>
          <w:color w:val="595959"/>
        </w:rPr>
        <w:t xml:space="preserve">VCAN </w:t>
      </w:r>
      <w:r w:rsidR="00EA3806">
        <w:rPr>
          <w:rFonts w:ascii="Arial" w:eastAsia="SimSun" w:hAnsi="Arial" w:cs="Arial"/>
          <w:color w:val="595959"/>
        </w:rPr>
        <w:t xml:space="preserve">abundance and activity </w:t>
      </w:r>
      <w:r w:rsidR="00704EC1">
        <w:rPr>
          <w:rFonts w:ascii="Arial" w:eastAsia="SimSun" w:hAnsi="Arial" w:cs="Arial"/>
          <w:color w:val="595959"/>
        </w:rPr>
        <w:t xml:space="preserve">is </w:t>
      </w:r>
      <w:r w:rsidRPr="0054039C">
        <w:rPr>
          <w:rFonts w:ascii="Arial" w:eastAsia="SimSun" w:hAnsi="Arial" w:cs="Arial"/>
          <w:color w:val="595959"/>
        </w:rPr>
        <w:t xml:space="preserve">exacerbated in disease physiology </w:t>
      </w:r>
      <w:r w:rsidR="004F6344">
        <w:rPr>
          <w:rFonts w:ascii="Arial" w:eastAsia="SimSun" w:hAnsi="Arial" w:cs="Arial"/>
          <w:color w:val="595959"/>
        </w:rPr>
        <w:t>there</w:t>
      </w:r>
      <w:r w:rsidR="00B12965">
        <w:rPr>
          <w:rFonts w:ascii="Arial" w:eastAsia="SimSun" w:hAnsi="Arial" w:cs="Arial"/>
          <w:color w:val="595959"/>
        </w:rPr>
        <w:t>by</w:t>
      </w:r>
      <w:r w:rsidR="004F6344">
        <w:rPr>
          <w:rFonts w:ascii="Arial" w:eastAsia="SimSun" w:hAnsi="Arial" w:cs="Arial"/>
          <w:color w:val="595959"/>
        </w:rPr>
        <w:t xml:space="preserve">, having a </w:t>
      </w:r>
      <w:r w:rsidRPr="0054039C">
        <w:rPr>
          <w:rFonts w:ascii="Arial" w:eastAsia="SimSun" w:hAnsi="Arial" w:cs="Arial"/>
          <w:color w:val="595959"/>
        </w:rPr>
        <w:t xml:space="preserve">dual role in cellular adhesion, cellular proliferation, cell migration and </w:t>
      </w:r>
      <w:r w:rsidR="004F6344">
        <w:rPr>
          <w:rFonts w:ascii="Arial" w:eastAsia="SimSun" w:hAnsi="Arial" w:cs="Arial"/>
          <w:color w:val="595959"/>
        </w:rPr>
        <w:t>cell matrix</w:t>
      </w:r>
      <w:r w:rsidRPr="0054039C">
        <w:rPr>
          <w:rFonts w:ascii="Arial" w:eastAsia="SimSun" w:hAnsi="Arial" w:cs="Arial"/>
          <w:color w:val="595959"/>
        </w:rPr>
        <w:t xml:space="preserve"> assembly (Yueng </w:t>
      </w:r>
      <w:r w:rsidRPr="0054039C">
        <w:rPr>
          <w:rFonts w:ascii="Arial" w:eastAsia="SimSun" w:hAnsi="Arial" w:cs="Arial"/>
          <w:i/>
          <w:color w:val="595959"/>
        </w:rPr>
        <w:t>et al</w:t>
      </w:r>
      <w:r w:rsidRPr="0054039C">
        <w:rPr>
          <w:rFonts w:ascii="Arial" w:eastAsia="SimSun" w:hAnsi="Arial" w:cs="Arial"/>
          <w:color w:val="595959"/>
        </w:rPr>
        <w:t xml:space="preserve">., 2013, Riccardelli </w:t>
      </w:r>
      <w:r w:rsidRPr="0054039C">
        <w:rPr>
          <w:rFonts w:ascii="Arial" w:eastAsia="SimSun" w:hAnsi="Arial" w:cs="Arial"/>
          <w:i/>
          <w:color w:val="595959"/>
        </w:rPr>
        <w:t>et al.,</w:t>
      </w:r>
      <w:r w:rsidRPr="0054039C">
        <w:rPr>
          <w:rFonts w:ascii="Arial" w:eastAsia="SimSun" w:hAnsi="Arial" w:cs="Arial"/>
          <w:color w:val="595959"/>
        </w:rPr>
        <w:t xml:space="preserve"> 2009). Within NOF samples, the short-term prot</w:t>
      </w:r>
      <w:r w:rsidR="00755F17">
        <w:rPr>
          <w:rFonts w:ascii="Arial" w:eastAsia="SimSun" w:hAnsi="Arial" w:cs="Arial"/>
          <w:color w:val="595959"/>
        </w:rPr>
        <w:t xml:space="preserve">ein </w:t>
      </w:r>
      <w:r w:rsidRPr="0054039C">
        <w:rPr>
          <w:rFonts w:ascii="Arial" w:eastAsia="SimSun" w:hAnsi="Arial" w:cs="Arial"/>
          <w:color w:val="595959"/>
        </w:rPr>
        <w:t xml:space="preserve">abundance of VCAN was highest with TGFβ-1 treatment </w:t>
      </w:r>
      <w:r w:rsidR="00C3257B">
        <w:rPr>
          <w:rFonts w:ascii="Arial" w:eastAsia="SimSun" w:hAnsi="Arial" w:cs="Arial"/>
          <w:color w:val="595959"/>
        </w:rPr>
        <w:t xml:space="preserve">at </w:t>
      </w:r>
      <w:r w:rsidRPr="0054039C">
        <w:rPr>
          <w:rFonts w:ascii="Arial" w:eastAsia="SimSun" w:hAnsi="Arial" w:cs="Arial"/>
          <w:color w:val="595959"/>
        </w:rPr>
        <w:t xml:space="preserve">72 h. However, this </w:t>
      </w:r>
      <w:r w:rsidR="00C3257B">
        <w:rPr>
          <w:rFonts w:ascii="Arial" w:eastAsia="SimSun" w:hAnsi="Arial" w:cs="Arial"/>
          <w:color w:val="595959"/>
        </w:rPr>
        <w:t xml:space="preserve">abundance </w:t>
      </w:r>
      <w:r w:rsidRPr="0054039C">
        <w:rPr>
          <w:rFonts w:ascii="Arial" w:eastAsia="SimSun" w:hAnsi="Arial" w:cs="Arial"/>
          <w:color w:val="595959"/>
        </w:rPr>
        <w:t xml:space="preserve">increased </w:t>
      </w:r>
      <w:r w:rsidR="00C3257B">
        <w:rPr>
          <w:rFonts w:ascii="Arial" w:eastAsia="SimSun" w:hAnsi="Arial" w:cs="Arial"/>
          <w:color w:val="595959"/>
        </w:rPr>
        <w:t xml:space="preserve">up to </w:t>
      </w:r>
      <w:r w:rsidRPr="0054039C">
        <w:rPr>
          <w:rFonts w:ascii="Arial" w:eastAsia="SimSun" w:hAnsi="Arial" w:cs="Arial"/>
          <w:color w:val="595959"/>
        </w:rPr>
        <w:t xml:space="preserve">24-72 h + 14 days and was </w:t>
      </w:r>
      <w:r w:rsidR="00521F5E">
        <w:rPr>
          <w:rFonts w:ascii="Arial" w:eastAsia="SimSun" w:hAnsi="Arial" w:cs="Arial"/>
          <w:color w:val="595959"/>
        </w:rPr>
        <w:t>visible</w:t>
      </w:r>
      <w:r w:rsidRPr="0054039C">
        <w:rPr>
          <w:rFonts w:ascii="Arial" w:eastAsia="SimSun" w:hAnsi="Arial" w:cs="Arial"/>
          <w:color w:val="595959"/>
        </w:rPr>
        <w:t xml:space="preserve"> in both controls and TGFβ-1 treated samples, which might be reflective of a fibrotic response long-term in 2D with this particular cell type. </w:t>
      </w:r>
      <w:r w:rsidR="00E111BB">
        <w:rPr>
          <w:rFonts w:ascii="Arial" w:eastAsia="SimSun" w:hAnsi="Arial" w:cs="Arial"/>
          <w:color w:val="595959"/>
        </w:rPr>
        <w:t>In the literature</w:t>
      </w:r>
      <w:r w:rsidR="00A72C44">
        <w:rPr>
          <w:rFonts w:ascii="Arial" w:eastAsia="SimSun" w:hAnsi="Arial" w:cs="Arial"/>
          <w:color w:val="595959"/>
        </w:rPr>
        <w:t xml:space="preserve"> it is known that </w:t>
      </w:r>
      <w:r w:rsidRPr="0054039C">
        <w:rPr>
          <w:rFonts w:ascii="Arial" w:eastAsia="SimSun" w:hAnsi="Arial" w:cs="Arial"/>
          <w:color w:val="595959"/>
        </w:rPr>
        <w:t>VCAN expression</w:t>
      </w:r>
      <w:r w:rsidR="00A72C44">
        <w:rPr>
          <w:rFonts w:ascii="Arial" w:eastAsia="SimSun" w:hAnsi="Arial" w:cs="Arial"/>
          <w:color w:val="595959"/>
        </w:rPr>
        <w:t xml:space="preserve"> </w:t>
      </w:r>
      <w:r w:rsidRPr="0054039C">
        <w:rPr>
          <w:rFonts w:ascii="Arial" w:eastAsia="SimSun" w:hAnsi="Arial" w:cs="Arial"/>
          <w:color w:val="595959"/>
        </w:rPr>
        <w:t xml:space="preserve">is upregulated in lung fibrosis and in cancer; </w:t>
      </w:r>
      <w:r w:rsidRPr="0054039C">
        <w:rPr>
          <w:rFonts w:ascii="Arial" w:eastAsia="SimSun" w:hAnsi="Arial" w:cs="Arial"/>
          <w:i/>
          <w:color w:val="595959"/>
        </w:rPr>
        <w:t>In vitro</w:t>
      </w:r>
      <w:r w:rsidRPr="0054039C">
        <w:rPr>
          <w:rFonts w:ascii="Arial" w:eastAsia="SimSun" w:hAnsi="Arial" w:cs="Arial"/>
          <w:color w:val="595959"/>
        </w:rPr>
        <w:t xml:space="preserve"> data has implicated VCAN expression inhibits the deposition of elastin long-term (Huang </w:t>
      </w:r>
      <w:r w:rsidRPr="0054039C">
        <w:rPr>
          <w:rFonts w:ascii="Arial" w:eastAsia="SimSun" w:hAnsi="Arial" w:cs="Arial"/>
          <w:i/>
          <w:color w:val="595959"/>
        </w:rPr>
        <w:t>et al</w:t>
      </w:r>
      <w:r w:rsidRPr="0054039C">
        <w:rPr>
          <w:rFonts w:ascii="Arial" w:eastAsia="SimSun" w:hAnsi="Arial" w:cs="Arial"/>
          <w:color w:val="595959"/>
        </w:rPr>
        <w:t xml:space="preserve">., 2006).  </w:t>
      </w:r>
    </w:p>
    <w:p w14:paraId="26A33AF6" w14:textId="47487A19" w:rsidR="007925E8" w:rsidRPr="009D003D" w:rsidRDefault="0054039C" w:rsidP="0054039C">
      <w:pPr>
        <w:spacing w:line="480" w:lineRule="auto"/>
        <w:jc w:val="both"/>
        <w:rPr>
          <w:rFonts w:ascii="Arial" w:eastAsia="SimSun" w:hAnsi="Arial" w:cs="Arial"/>
          <w:color w:val="595959"/>
        </w:rPr>
      </w:pPr>
      <w:r w:rsidRPr="0054039C">
        <w:rPr>
          <w:rFonts w:ascii="Arial" w:eastAsia="SimSun" w:hAnsi="Arial" w:cs="Arial"/>
          <w:color w:val="595959"/>
        </w:rPr>
        <w:t>To confirm, NOF can be transdifferentiated into activated fibroblasts,</w:t>
      </w:r>
      <w:r w:rsidR="00861EEC">
        <w:rPr>
          <w:rFonts w:ascii="Arial" w:eastAsia="SimSun" w:hAnsi="Arial" w:cs="Arial"/>
          <w:color w:val="595959"/>
        </w:rPr>
        <w:t xml:space="preserve"> by exogenous TGFβ-1 treatment</w:t>
      </w:r>
      <w:r w:rsidRPr="0054039C">
        <w:rPr>
          <w:rFonts w:ascii="Arial" w:eastAsia="SimSun" w:hAnsi="Arial" w:cs="Arial"/>
          <w:color w:val="595959"/>
        </w:rPr>
        <w:t xml:space="preserve"> with a phenotypic response that can be maintained up to 2 weeks </w:t>
      </w:r>
      <w:r w:rsidRPr="0054039C">
        <w:rPr>
          <w:rFonts w:ascii="Arial" w:eastAsia="SimSun" w:hAnsi="Arial" w:cs="Arial"/>
          <w:i/>
          <w:iCs/>
          <w:color w:val="595959"/>
        </w:rPr>
        <w:t>in vitro</w:t>
      </w:r>
      <w:r w:rsidR="00901D33">
        <w:rPr>
          <w:rFonts w:ascii="Arial" w:eastAsia="SimSun" w:hAnsi="Arial" w:cs="Arial"/>
          <w:i/>
          <w:iCs/>
          <w:color w:val="595959"/>
        </w:rPr>
        <w:t>,</w:t>
      </w:r>
      <w:r w:rsidR="009D003D">
        <w:rPr>
          <w:rFonts w:ascii="Arial" w:eastAsia="SimSun" w:hAnsi="Arial" w:cs="Arial"/>
          <w:i/>
          <w:iCs/>
          <w:color w:val="595959"/>
        </w:rPr>
        <w:t xml:space="preserve"> </w:t>
      </w:r>
      <w:r w:rsidR="00BB6EA4">
        <w:rPr>
          <w:rFonts w:ascii="Arial" w:eastAsia="SimSun" w:hAnsi="Arial" w:cs="Arial"/>
          <w:color w:val="595959"/>
        </w:rPr>
        <w:t xml:space="preserve">which is </w:t>
      </w:r>
      <w:r w:rsidR="00901D33">
        <w:rPr>
          <w:rFonts w:ascii="Arial" w:eastAsia="SimSun" w:hAnsi="Arial" w:cs="Arial"/>
          <w:color w:val="595959"/>
        </w:rPr>
        <w:t xml:space="preserve"> v</w:t>
      </w:r>
      <w:r w:rsidR="009D003D">
        <w:rPr>
          <w:rFonts w:ascii="Arial" w:eastAsia="SimSun" w:hAnsi="Arial" w:cs="Arial"/>
          <w:color w:val="595959"/>
        </w:rPr>
        <w:t xml:space="preserve">alidation </w:t>
      </w:r>
      <w:r w:rsidR="005D6C36">
        <w:rPr>
          <w:rFonts w:ascii="Arial" w:eastAsia="SimSun" w:hAnsi="Arial" w:cs="Arial"/>
          <w:color w:val="595959"/>
        </w:rPr>
        <w:t>for</w:t>
      </w:r>
      <w:r w:rsidR="009D003D">
        <w:rPr>
          <w:rFonts w:ascii="Arial" w:eastAsia="SimSun" w:hAnsi="Arial" w:cs="Arial"/>
          <w:color w:val="595959"/>
        </w:rPr>
        <w:t xml:space="preserve"> </w:t>
      </w:r>
      <w:r w:rsidR="001525D7">
        <w:rPr>
          <w:rFonts w:ascii="Arial" w:eastAsia="SimSun" w:hAnsi="Arial" w:cs="Arial"/>
          <w:color w:val="595959"/>
        </w:rPr>
        <w:t>t</w:t>
      </w:r>
      <w:r w:rsidR="00C7071C">
        <w:rPr>
          <w:rFonts w:ascii="Arial" w:eastAsia="SimSun" w:hAnsi="Arial" w:cs="Arial"/>
          <w:color w:val="595959"/>
        </w:rPr>
        <w:t xml:space="preserve">he use of </w:t>
      </w:r>
      <w:r w:rsidR="00901D33">
        <w:rPr>
          <w:rFonts w:ascii="Arial" w:eastAsia="SimSun" w:hAnsi="Arial" w:cs="Arial"/>
          <w:color w:val="595959"/>
        </w:rPr>
        <w:t xml:space="preserve">these </w:t>
      </w:r>
      <w:r w:rsidR="009D003D">
        <w:rPr>
          <w:rFonts w:ascii="Arial" w:eastAsia="SimSun" w:hAnsi="Arial" w:cs="Arial"/>
          <w:color w:val="595959"/>
        </w:rPr>
        <w:t>NOF</w:t>
      </w:r>
      <w:r w:rsidR="00C7071C">
        <w:rPr>
          <w:rFonts w:ascii="Arial" w:eastAsia="SimSun" w:hAnsi="Arial" w:cs="Arial"/>
          <w:color w:val="595959"/>
        </w:rPr>
        <w:t xml:space="preserve"> to develop native ECM scaffolds</w:t>
      </w:r>
      <w:r w:rsidR="00901D33">
        <w:rPr>
          <w:rFonts w:ascii="Arial" w:eastAsia="SimSun" w:hAnsi="Arial" w:cs="Arial"/>
          <w:color w:val="595959"/>
        </w:rPr>
        <w:t xml:space="preserve"> </w:t>
      </w:r>
      <w:r w:rsidR="00C35E34">
        <w:rPr>
          <w:rFonts w:ascii="Arial" w:eastAsia="SimSun" w:hAnsi="Arial" w:cs="Arial"/>
          <w:color w:val="595959"/>
        </w:rPr>
        <w:t>that represent normal ECM characteristics</w:t>
      </w:r>
      <w:r w:rsidR="00E10B9D">
        <w:rPr>
          <w:rFonts w:ascii="Arial" w:eastAsia="SimSun" w:hAnsi="Arial" w:cs="Arial"/>
          <w:color w:val="595959"/>
        </w:rPr>
        <w:t xml:space="preserve"> </w:t>
      </w:r>
      <w:r w:rsidR="00901D33">
        <w:rPr>
          <w:rFonts w:ascii="Arial" w:eastAsia="SimSun" w:hAnsi="Arial" w:cs="Arial"/>
          <w:color w:val="595959"/>
        </w:rPr>
        <w:t>in the successive chapter.</w:t>
      </w:r>
    </w:p>
    <w:p w14:paraId="6706B295" w14:textId="622AF691" w:rsidR="0054039C" w:rsidRPr="0054039C" w:rsidRDefault="00886E2B" w:rsidP="0054039C">
      <w:pPr>
        <w:spacing w:line="480" w:lineRule="auto"/>
        <w:jc w:val="both"/>
        <w:rPr>
          <w:rFonts w:ascii="Arial" w:eastAsia="SimSun" w:hAnsi="Arial" w:cs="Arial"/>
          <w:color w:val="595959"/>
        </w:rPr>
      </w:pPr>
      <w:r>
        <w:rPr>
          <w:rFonts w:ascii="Arial" w:eastAsia="SimSun" w:hAnsi="Arial" w:cs="Arial"/>
          <w:color w:val="595959"/>
        </w:rPr>
        <w:t xml:space="preserve">To </w:t>
      </w:r>
      <w:r w:rsidR="005433DE">
        <w:rPr>
          <w:rFonts w:ascii="Arial" w:eastAsia="SimSun" w:hAnsi="Arial" w:cs="Arial"/>
          <w:color w:val="595959"/>
        </w:rPr>
        <w:t xml:space="preserve">ascertain </w:t>
      </w:r>
      <w:r w:rsidR="0054039C" w:rsidRPr="0054039C">
        <w:rPr>
          <w:rFonts w:ascii="Arial" w:eastAsia="SimSun" w:hAnsi="Arial" w:cs="Arial"/>
          <w:color w:val="595959"/>
        </w:rPr>
        <w:t xml:space="preserve">whether </w:t>
      </w:r>
      <w:r w:rsidR="0038057F">
        <w:rPr>
          <w:rFonts w:ascii="Arial" w:eastAsia="SimSun" w:hAnsi="Arial" w:cs="Arial"/>
          <w:color w:val="595959"/>
        </w:rPr>
        <w:t xml:space="preserve">a </w:t>
      </w:r>
      <w:r w:rsidR="0054039C" w:rsidRPr="0054039C">
        <w:rPr>
          <w:rFonts w:ascii="Arial" w:eastAsia="SimSun" w:hAnsi="Arial" w:cs="Arial"/>
          <w:color w:val="595959"/>
        </w:rPr>
        <w:t xml:space="preserve">similar or different </w:t>
      </w:r>
      <w:r w:rsidR="0038057F">
        <w:rPr>
          <w:rFonts w:ascii="Arial" w:eastAsia="SimSun" w:hAnsi="Arial" w:cs="Arial"/>
          <w:color w:val="595959"/>
        </w:rPr>
        <w:t xml:space="preserve">response </w:t>
      </w:r>
      <w:r w:rsidR="00FA25A7">
        <w:rPr>
          <w:rFonts w:ascii="Arial" w:eastAsia="SimSun" w:hAnsi="Arial" w:cs="Arial"/>
          <w:color w:val="595959"/>
        </w:rPr>
        <w:t>w</w:t>
      </w:r>
      <w:r w:rsidR="0094703F">
        <w:rPr>
          <w:rFonts w:ascii="Arial" w:eastAsia="SimSun" w:hAnsi="Arial" w:cs="Arial"/>
          <w:color w:val="595959"/>
        </w:rPr>
        <w:t xml:space="preserve">ere observed for </w:t>
      </w:r>
      <w:r w:rsidR="005D7947">
        <w:rPr>
          <w:rFonts w:ascii="Arial" w:eastAsia="SimSun" w:hAnsi="Arial" w:cs="Arial"/>
          <w:color w:val="595959"/>
        </w:rPr>
        <w:t xml:space="preserve">native </w:t>
      </w:r>
      <w:r w:rsidR="0054039C" w:rsidRPr="0054039C">
        <w:rPr>
          <w:rFonts w:ascii="Arial" w:eastAsia="SimSun" w:hAnsi="Arial" w:cs="Arial"/>
          <w:color w:val="595959"/>
        </w:rPr>
        <w:t>CAF</w:t>
      </w:r>
      <w:r w:rsidR="00755F17">
        <w:rPr>
          <w:rFonts w:ascii="Arial" w:eastAsia="SimSun" w:hAnsi="Arial" w:cs="Arial"/>
          <w:color w:val="595959"/>
        </w:rPr>
        <w:t>, p</w:t>
      </w:r>
      <w:r w:rsidR="0054039C" w:rsidRPr="0054039C">
        <w:rPr>
          <w:rFonts w:ascii="Arial" w:eastAsia="SimSun" w:hAnsi="Arial" w:cs="Arial"/>
          <w:color w:val="595959" w:themeColor="text1" w:themeTint="A6"/>
        </w:rPr>
        <w:t xml:space="preserve">rimary CAF were isolated from OSCC tumour tissue and their responses to short and long-term exogenous </w:t>
      </w:r>
      <w:r w:rsidR="0054039C" w:rsidRPr="0054039C">
        <w:rPr>
          <w:rFonts w:ascii="Arial" w:eastAsia="SimSun" w:hAnsi="Arial" w:cs="Arial"/>
          <w:color w:val="595959"/>
        </w:rPr>
        <w:t xml:space="preserve">TGFβ-1 treatment </w:t>
      </w:r>
      <w:r w:rsidR="00276815">
        <w:rPr>
          <w:rFonts w:ascii="Arial" w:eastAsia="SimSun" w:hAnsi="Arial" w:cs="Arial"/>
          <w:color w:val="595959"/>
        </w:rPr>
        <w:t>(5</w:t>
      </w:r>
      <w:r w:rsidR="00FA2292">
        <w:rPr>
          <w:rFonts w:ascii="Arial" w:eastAsia="SimSun" w:hAnsi="Arial" w:cs="Arial"/>
          <w:color w:val="595959"/>
        </w:rPr>
        <w:t xml:space="preserve"> </w:t>
      </w:r>
      <w:r w:rsidR="00276815">
        <w:rPr>
          <w:rFonts w:ascii="Arial" w:eastAsia="SimSun" w:hAnsi="Arial" w:cs="Arial"/>
          <w:color w:val="595959"/>
        </w:rPr>
        <w:t>ng/m</w:t>
      </w:r>
      <w:r w:rsidR="00FA2292">
        <w:rPr>
          <w:rFonts w:ascii="Arial" w:eastAsia="SimSun" w:hAnsi="Arial" w:cs="Arial"/>
          <w:color w:val="595959"/>
        </w:rPr>
        <w:t xml:space="preserve">L) </w:t>
      </w:r>
      <w:r w:rsidR="0054039C" w:rsidRPr="0054039C">
        <w:rPr>
          <w:rFonts w:ascii="Arial" w:eastAsia="SimSun" w:hAnsi="Arial" w:cs="Arial"/>
          <w:color w:val="595959"/>
        </w:rPr>
        <w:t>also a</w:t>
      </w:r>
      <w:r w:rsidR="0081538A">
        <w:rPr>
          <w:rFonts w:ascii="Arial" w:eastAsia="SimSun" w:hAnsi="Arial" w:cs="Arial"/>
          <w:color w:val="595959"/>
        </w:rPr>
        <w:t>nalysed</w:t>
      </w:r>
      <w:r w:rsidR="0054039C" w:rsidRPr="0054039C">
        <w:rPr>
          <w:rFonts w:ascii="Arial" w:eastAsia="SimSun" w:hAnsi="Arial" w:cs="Arial"/>
          <w:color w:val="595959"/>
        </w:rPr>
        <w:t xml:space="preserve">. </w:t>
      </w:r>
      <w:r w:rsidR="0054039C" w:rsidRPr="0054039C">
        <w:rPr>
          <w:rFonts w:ascii="Arial" w:eastAsia="SimSun" w:hAnsi="Arial" w:cs="Arial"/>
          <w:color w:val="595959" w:themeColor="text1" w:themeTint="A6"/>
        </w:rPr>
        <w:t>CAF</w:t>
      </w:r>
      <w:r w:rsidR="00494872">
        <w:rPr>
          <w:rFonts w:ascii="Arial" w:eastAsia="SimSun" w:hAnsi="Arial" w:cs="Arial"/>
          <w:color w:val="595959" w:themeColor="text1" w:themeTint="A6"/>
        </w:rPr>
        <w:t xml:space="preserve"> are implicated</w:t>
      </w:r>
      <w:r w:rsidR="0054039C" w:rsidRPr="0054039C">
        <w:rPr>
          <w:rFonts w:ascii="Arial" w:eastAsia="SimSun" w:hAnsi="Arial" w:cs="Arial"/>
          <w:color w:val="595959" w:themeColor="text1" w:themeTint="A6"/>
        </w:rPr>
        <w:t xml:space="preserve"> </w:t>
      </w:r>
      <w:r w:rsidR="0012785C">
        <w:rPr>
          <w:rFonts w:ascii="Arial" w:eastAsia="SimSun" w:hAnsi="Arial" w:cs="Arial"/>
          <w:color w:val="595959" w:themeColor="text1" w:themeTint="A6"/>
        </w:rPr>
        <w:t xml:space="preserve">to be </w:t>
      </w:r>
      <w:r w:rsidR="0054039C" w:rsidRPr="0054039C">
        <w:rPr>
          <w:rFonts w:ascii="Arial" w:eastAsia="SimSun" w:hAnsi="Arial" w:cs="Arial"/>
          <w:color w:val="595959" w:themeColor="text1" w:themeTint="A6"/>
        </w:rPr>
        <w:t xml:space="preserve">a heterogeneous cell type, </w:t>
      </w:r>
      <w:r w:rsidR="00AC79F8">
        <w:rPr>
          <w:rFonts w:ascii="Arial" w:eastAsia="SimSun" w:hAnsi="Arial" w:cs="Arial"/>
          <w:color w:val="595959" w:themeColor="text1" w:themeTint="A6"/>
        </w:rPr>
        <w:t>making them</w:t>
      </w:r>
      <w:r w:rsidR="0054039C" w:rsidRPr="0054039C">
        <w:rPr>
          <w:rFonts w:ascii="Arial" w:eastAsia="SimSun" w:hAnsi="Arial" w:cs="Arial"/>
          <w:color w:val="595959" w:themeColor="text1" w:themeTint="A6"/>
        </w:rPr>
        <w:t xml:space="preserve"> difficult to </w:t>
      </w:r>
      <w:r w:rsidR="0081538A">
        <w:rPr>
          <w:rFonts w:ascii="Arial" w:eastAsia="SimSun" w:hAnsi="Arial" w:cs="Arial"/>
          <w:color w:val="595959" w:themeColor="text1" w:themeTint="A6"/>
        </w:rPr>
        <w:t>phenotyp</w:t>
      </w:r>
      <w:r w:rsidR="0012785C">
        <w:rPr>
          <w:rFonts w:ascii="Arial" w:eastAsia="SimSun" w:hAnsi="Arial" w:cs="Arial"/>
          <w:color w:val="595959" w:themeColor="text1" w:themeTint="A6"/>
        </w:rPr>
        <w:t>ically</w:t>
      </w:r>
      <w:r w:rsidR="0081538A">
        <w:rPr>
          <w:rFonts w:ascii="Arial" w:eastAsia="SimSun" w:hAnsi="Arial" w:cs="Arial"/>
          <w:color w:val="595959" w:themeColor="text1" w:themeTint="A6"/>
        </w:rPr>
        <w:t xml:space="preserve"> </w:t>
      </w:r>
      <w:r w:rsidR="0054039C" w:rsidRPr="0054039C">
        <w:rPr>
          <w:rFonts w:ascii="Arial" w:eastAsia="SimSun" w:hAnsi="Arial" w:cs="Arial"/>
          <w:color w:val="595959" w:themeColor="text1" w:themeTint="A6"/>
        </w:rPr>
        <w:t>characterise</w:t>
      </w:r>
      <w:r w:rsidR="00FC1559">
        <w:rPr>
          <w:rFonts w:ascii="Arial" w:eastAsia="SimSun" w:hAnsi="Arial" w:cs="Arial"/>
          <w:color w:val="595959" w:themeColor="text1" w:themeTint="A6"/>
        </w:rPr>
        <w:t xml:space="preserve"> (</w:t>
      </w:r>
      <w:r w:rsidR="003F04B7">
        <w:rPr>
          <w:rFonts w:ascii="Arial" w:eastAsia="SimSun" w:hAnsi="Arial" w:cs="Arial"/>
          <w:color w:val="595959" w:themeColor="text1" w:themeTint="A6"/>
        </w:rPr>
        <w:t xml:space="preserve">Kalluri, 2016, </w:t>
      </w:r>
      <w:r w:rsidR="00FC1559">
        <w:rPr>
          <w:rFonts w:ascii="Arial" w:eastAsia="SimSun" w:hAnsi="Arial" w:cs="Arial"/>
          <w:color w:val="595959" w:themeColor="text1" w:themeTint="A6"/>
        </w:rPr>
        <w:t xml:space="preserve">Sugimoto </w:t>
      </w:r>
      <w:r w:rsidR="00FC1559" w:rsidRPr="00FC1559">
        <w:rPr>
          <w:rFonts w:ascii="Arial" w:eastAsia="SimSun" w:hAnsi="Arial" w:cs="Arial"/>
          <w:i/>
          <w:iCs/>
          <w:color w:val="595959" w:themeColor="text1" w:themeTint="A6"/>
        </w:rPr>
        <w:t>et al.,</w:t>
      </w:r>
      <w:r w:rsidR="00FC1559">
        <w:rPr>
          <w:rFonts w:ascii="Arial" w:eastAsia="SimSun" w:hAnsi="Arial" w:cs="Arial"/>
          <w:color w:val="595959" w:themeColor="text1" w:themeTint="A6"/>
        </w:rPr>
        <w:t xml:space="preserve"> 2006)</w:t>
      </w:r>
      <w:r w:rsidR="004B47E2">
        <w:rPr>
          <w:rFonts w:ascii="Arial" w:eastAsia="SimSun" w:hAnsi="Arial" w:cs="Arial"/>
          <w:color w:val="595959" w:themeColor="text1" w:themeTint="A6"/>
        </w:rPr>
        <w:t>. This p</w:t>
      </w:r>
      <w:r w:rsidR="0054039C" w:rsidRPr="0054039C">
        <w:rPr>
          <w:rFonts w:ascii="Arial" w:eastAsia="SimSun" w:hAnsi="Arial" w:cs="Arial"/>
          <w:color w:val="595959" w:themeColor="text1" w:themeTint="A6"/>
        </w:rPr>
        <w:t>rovid</w:t>
      </w:r>
      <w:r w:rsidR="004B47E2">
        <w:rPr>
          <w:rFonts w:ascii="Arial" w:eastAsia="SimSun" w:hAnsi="Arial" w:cs="Arial"/>
          <w:color w:val="595959" w:themeColor="text1" w:themeTint="A6"/>
        </w:rPr>
        <w:t>es</w:t>
      </w:r>
      <w:r w:rsidR="0054039C" w:rsidRPr="0054039C">
        <w:rPr>
          <w:rFonts w:ascii="Arial" w:eastAsia="SimSun" w:hAnsi="Arial" w:cs="Arial"/>
          <w:color w:val="595959" w:themeColor="text1" w:themeTint="A6"/>
        </w:rPr>
        <w:t xml:space="preserve"> researchers with a significant caveat for replicating </w:t>
      </w:r>
      <w:r w:rsidR="0033468A">
        <w:rPr>
          <w:rFonts w:ascii="Arial" w:eastAsia="SimSun" w:hAnsi="Arial" w:cs="Arial"/>
          <w:color w:val="595959" w:themeColor="text1" w:themeTint="A6"/>
        </w:rPr>
        <w:t>the</w:t>
      </w:r>
      <w:r w:rsidR="0054039C" w:rsidRPr="0054039C">
        <w:rPr>
          <w:rFonts w:ascii="Arial" w:eastAsia="SimSun" w:hAnsi="Arial" w:cs="Arial"/>
          <w:color w:val="595959" w:themeColor="text1" w:themeTint="A6"/>
        </w:rPr>
        <w:t xml:space="preserve"> </w:t>
      </w:r>
      <w:r w:rsidR="0054039C" w:rsidRPr="0054039C">
        <w:rPr>
          <w:rFonts w:ascii="Arial" w:eastAsia="SimSun" w:hAnsi="Arial" w:cs="Arial"/>
          <w:i/>
          <w:color w:val="595959" w:themeColor="text1" w:themeTint="A6"/>
        </w:rPr>
        <w:t>in vivo</w:t>
      </w:r>
      <w:r w:rsidR="0054039C" w:rsidRPr="0054039C">
        <w:rPr>
          <w:rFonts w:ascii="Arial" w:eastAsia="SimSun" w:hAnsi="Arial" w:cs="Arial"/>
          <w:color w:val="595959" w:themeColor="text1" w:themeTint="A6"/>
        </w:rPr>
        <w:t xml:space="preserve"> </w:t>
      </w:r>
      <w:r w:rsidR="0033468A">
        <w:rPr>
          <w:rFonts w:ascii="Arial" w:eastAsia="SimSun" w:hAnsi="Arial" w:cs="Arial"/>
          <w:color w:val="595959" w:themeColor="text1" w:themeTint="A6"/>
        </w:rPr>
        <w:t>phenotype</w:t>
      </w:r>
      <w:r w:rsidR="009E2771">
        <w:rPr>
          <w:rFonts w:ascii="Arial" w:eastAsia="SimSun" w:hAnsi="Arial" w:cs="Arial"/>
          <w:color w:val="595959" w:themeColor="text1" w:themeTint="A6"/>
        </w:rPr>
        <w:t xml:space="preserve"> of such a diverse stromal cohort. T</w:t>
      </w:r>
      <w:r w:rsidR="00337A94">
        <w:rPr>
          <w:rFonts w:ascii="Arial" w:eastAsia="SimSun" w:hAnsi="Arial" w:cs="Arial"/>
          <w:color w:val="595959" w:themeColor="text1" w:themeTint="A6"/>
        </w:rPr>
        <w:t>h</w:t>
      </w:r>
      <w:r w:rsidR="005B5C9E">
        <w:rPr>
          <w:rFonts w:ascii="Arial" w:eastAsia="SimSun" w:hAnsi="Arial" w:cs="Arial"/>
          <w:color w:val="595959" w:themeColor="text1" w:themeTint="A6"/>
        </w:rPr>
        <w:t xml:space="preserve">is </w:t>
      </w:r>
      <w:r w:rsidR="004F27D2">
        <w:rPr>
          <w:rFonts w:ascii="Arial" w:eastAsia="SimSun" w:hAnsi="Arial" w:cs="Arial"/>
          <w:color w:val="595959" w:themeColor="text1" w:themeTint="A6"/>
        </w:rPr>
        <w:t xml:space="preserve">further </w:t>
      </w:r>
      <w:r w:rsidR="005B5C9E">
        <w:rPr>
          <w:rFonts w:ascii="Arial" w:eastAsia="SimSun" w:hAnsi="Arial" w:cs="Arial"/>
          <w:color w:val="595959" w:themeColor="text1" w:themeTint="A6"/>
        </w:rPr>
        <w:t>emphasises that research should focus on</w:t>
      </w:r>
      <w:r w:rsidR="0054039C" w:rsidRPr="0054039C">
        <w:rPr>
          <w:rFonts w:ascii="Arial" w:eastAsia="SimSun" w:hAnsi="Arial" w:cs="Arial"/>
          <w:color w:val="595959" w:themeColor="text1" w:themeTint="A6"/>
        </w:rPr>
        <w:t xml:space="preserve"> advanc</w:t>
      </w:r>
      <w:r w:rsidR="005B5C9E">
        <w:rPr>
          <w:rFonts w:ascii="Arial" w:eastAsia="SimSun" w:hAnsi="Arial" w:cs="Arial"/>
          <w:color w:val="595959" w:themeColor="text1" w:themeTint="A6"/>
        </w:rPr>
        <w:t>ing</w:t>
      </w:r>
      <w:r w:rsidR="0054039C" w:rsidRPr="0054039C">
        <w:rPr>
          <w:rFonts w:ascii="Arial" w:eastAsia="SimSun" w:hAnsi="Arial" w:cs="Arial"/>
          <w:color w:val="595959" w:themeColor="text1" w:themeTint="A6"/>
        </w:rPr>
        <w:t xml:space="preserve"> in single cell isolation techniques in order to refine the ‘selection’ of markers</w:t>
      </w:r>
      <w:r w:rsidR="00877523">
        <w:rPr>
          <w:rFonts w:ascii="Arial" w:eastAsia="SimSun" w:hAnsi="Arial" w:cs="Arial"/>
          <w:color w:val="595959" w:themeColor="text1" w:themeTint="A6"/>
        </w:rPr>
        <w:t xml:space="preserve"> in CAF</w:t>
      </w:r>
      <w:r w:rsidR="0054039C" w:rsidRPr="0054039C">
        <w:rPr>
          <w:rFonts w:ascii="Arial" w:eastAsia="SimSun" w:hAnsi="Arial" w:cs="Arial"/>
          <w:color w:val="595959" w:themeColor="text1" w:themeTint="A6"/>
        </w:rPr>
        <w:t xml:space="preserve"> (Lui </w:t>
      </w:r>
      <w:r w:rsidR="0054039C" w:rsidRPr="0054039C">
        <w:rPr>
          <w:rFonts w:ascii="Arial" w:eastAsia="SimSun" w:hAnsi="Arial" w:cs="Arial"/>
          <w:i/>
          <w:iCs/>
          <w:color w:val="595959" w:themeColor="text1" w:themeTint="A6"/>
        </w:rPr>
        <w:t>et al.,</w:t>
      </w:r>
      <w:r w:rsidR="0054039C" w:rsidRPr="0054039C">
        <w:rPr>
          <w:rFonts w:ascii="Arial" w:eastAsia="SimSun" w:hAnsi="Arial" w:cs="Arial"/>
          <w:color w:val="595959" w:themeColor="text1" w:themeTint="A6"/>
        </w:rPr>
        <w:t xml:space="preserve"> 2019). Tabib </w:t>
      </w:r>
      <w:r w:rsidR="0054039C" w:rsidRPr="0054039C">
        <w:rPr>
          <w:rFonts w:ascii="Arial" w:eastAsia="SimSun" w:hAnsi="Arial" w:cs="Arial"/>
          <w:i/>
          <w:iCs/>
          <w:color w:val="595959" w:themeColor="text1" w:themeTint="A6"/>
        </w:rPr>
        <w:t>et al.,</w:t>
      </w:r>
      <w:r w:rsidR="0054039C" w:rsidRPr="0054039C">
        <w:rPr>
          <w:rFonts w:ascii="Arial" w:eastAsia="SimSun" w:hAnsi="Arial" w:cs="Arial"/>
          <w:color w:val="595959" w:themeColor="text1" w:themeTint="A6"/>
        </w:rPr>
        <w:t xml:space="preserve"> 2018 performed single-cell transcriptome analysis of cells obtained from whole skin. Two major fibroblast populations were identified by the expression of </w:t>
      </w:r>
      <w:r w:rsidR="00844DB4">
        <w:rPr>
          <w:rFonts w:ascii="Arial" w:eastAsia="SimSun" w:hAnsi="Arial" w:cs="Arial"/>
          <w:color w:val="595959" w:themeColor="text1" w:themeTint="A6"/>
        </w:rPr>
        <w:t>secreted-frizzled related protein-2 (</w:t>
      </w:r>
      <w:r w:rsidR="0054039C" w:rsidRPr="0054039C">
        <w:rPr>
          <w:rFonts w:ascii="Arial" w:eastAsia="SimSun" w:hAnsi="Arial" w:cs="Arial"/>
          <w:color w:val="595959" w:themeColor="text1" w:themeTint="A6"/>
        </w:rPr>
        <w:t>SFRP2/DPP4</w:t>
      </w:r>
      <w:r w:rsidR="00844DB4">
        <w:rPr>
          <w:rFonts w:ascii="Arial" w:eastAsia="SimSun" w:hAnsi="Arial" w:cs="Arial"/>
          <w:color w:val="595959" w:themeColor="text1" w:themeTint="A6"/>
        </w:rPr>
        <w:t>)</w:t>
      </w:r>
      <w:r w:rsidR="0054039C" w:rsidRPr="0054039C">
        <w:rPr>
          <w:rFonts w:ascii="Arial" w:eastAsia="SimSun" w:hAnsi="Arial" w:cs="Arial"/>
          <w:color w:val="595959" w:themeColor="text1" w:themeTint="A6"/>
        </w:rPr>
        <w:t xml:space="preserve"> and </w:t>
      </w:r>
      <w:r w:rsidR="00D445DB">
        <w:rPr>
          <w:rFonts w:ascii="Arial" w:eastAsia="SimSun" w:hAnsi="Arial" w:cs="Arial"/>
          <w:color w:val="595959" w:themeColor="text1" w:themeTint="A6"/>
        </w:rPr>
        <w:t>(Flavin-</w:t>
      </w:r>
      <w:r w:rsidR="00845BE7">
        <w:rPr>
          <w:rFonts w:ascii="Arial" w:eastAsia="SimSun" w:hAnsi="Arial" w:cs="Arial"/>
          <w:color w:val="595959" w:themeColor="text1" w:themeTint="A6"/>
        </w:rPr>
        <w:t>containing monooxygenase-1 (</w:t>
      </w:r>
      <w:r w:rsidR="0054039C" w:rsidRPr="0054039C">
        <w:rPr>
          <w:rFonts w:ascii="Arial" w:eastAsia="SimSun" w:hAnsi="Arial" w:cs="Arial"/>
          <w:color w:val="595959" w:themeColor="text1" w:themeTint="A6"/>
        </w:rPr>
        <w:t>FMO1/LSP1</w:t>
      </w:r>
      <w:r w:rsidR="00845BE7">
        <w:rPr>
          <w:rFonts w:ascii="Arial" w:eastAsia="SimSun" w:hAnsi="Arial" w:cs="Arial"/>
          <w:color w:val="595959" w:themeColor="text1" w:themeTint="A6"/>
        </w:rPr>
        <w:t>)</w:t>
      </w:r>
      <w:r w:rsidR="0054039C" w:rsidRPr="0054039C">
        <w:rPr>
          <w:rFonts w:ascii="Arial" w:eastAsia="SimSun" w:hAnsi="Arial" w:cs="Arial"/>
          <w:color w:val="595959" w:themeColor="text1" w:themeTint="A6"/>
        </w:rPr>
        <w:t xml:space="preserve"> markers and minor fibroblast populations were also </w:t>
      </w:r>
      <w:r w:rsidR="0054039C" w:rsidRPr="0054039C">
        <w:rPr>
          <w:rFonts w:ascii="Arial" w:eastAsia="SimSun" w:hAnsi="Arial" w:cs="Arial"/>
          <w:color w:val="595959" w:themeColor="text1" w:themeTint="A6"/>
        </w:rPr>
        <w:lastRenderedPageBreak/>
        <w:t xml:space="preserve">acknowledged using COL1A1, PRG4, ANGPTL7, and SFRP4. This scRNA-seq data highlights the heterogeneous picture of fibroblast composition and functionality in the human dermis, but questions still remain </w:t>
      </w:r>
      <w:r w:rsidR="002F1F89">
        <w:rPr>
          <w:rFonts w:ascii="Arial" w:eastAsia="SimSun" w:hAnsi="Arial" w:cs="Arial"/>
          <w:color w:val="595959" w:themeColor="text1" w:themeTint="A6"/>
        </w:rPr>
        <w:t xml:space="preserve">as to </w:t>
      </w:r>
      <w:r w:rsidR="0054039C" w:rsidRPr="0054039C">
        <w:rPr>
          <w:rFonts w:ascii="Arial" w:eastAsia="SimSun" w:hAnsi="Arial" w:cs="Arial"/>
          <w:color w:val="595959" w:themeColor="text1" w:themeTint="A6"/>
        </w:rPr>
        <w:t xml:space="preserve">how these subpopulations of fibroblasts react to the tumorigenic process in OSCC and how do oral fibroblasts evolve into myofibroblasts or CAF. </w:t>
      </w:r>
    </w:p>
    <w:p w14:paraId="06FDFF02" w14:textId="7981D04C" w:rsidR="0054039C" w:rsidRPr="0054039C" w:rsidRDefault="0054039C" w:rsidP="0054039C">
      <w:pPr>
        <w:spacing w:line="480" w:lineRule="auto"/>
        <w:jc w:val="both"/>
        <w:rPr>
          <w:rFonts w:ascii="Arial" w:eastAsia="SimSun" w:hAnsi="Arial" w:cs="Arial"/>
          <w:color w:val="595959" w:themeColor="text1" w:themeTint="A6"/>
        </w:rPr>
      </w:pPr>
      <w:r w:rsidRPr="0054039C">
        <w:rPr>
          <w:rFonts w:ascii="Arial" w:eastAsia="SimSun" w:hAnsi="Arial" w:cs="Arial"/>
          <w:color w:val="595959" w:themeColor="text1" w:themeTint="A6"/>
        </w:rPr>
        <w:t>Analysis of αSMA expression in CAF populations showed a significant difference at 48 h with treatment of TGF</w:t>
      </w:r>
      <w:r w:rsidRPr="0054039C">
        <w:rPr>
          <w:rFonts w:ascii="Arial" w:eastAsia="SimSun" w:hAnsi="Arial" w:cs="Arial"/>
          <w:color w:val="595959" w:themeColor="text1" w:themeTint="A6"/>
        </w:rPr>
        <w:sym w:font="Symbol" w:char="F062"/>
      </w:r>
      <w:r w:rsidRPr="0054039C">
        <w:rPr>
          <w:rFonts w:ascii="Arial" w:eastAsia="SimSun" w:hAnsi="Arial" w:cs="Arial"/>
          <w:color w:val="595959" w:themeColor="text1" w:themeTint="A6"/>
        </w:rPr>
        <w:t xml:space="preserve">-1 however basal expression levels of αSMA was high in all CAF controls. This was not comparable to NOF, were basal expression was lower; the presence of αSMA protein in NOF controls, may be indicative of </w:t>
      </w:r>
      <w:r w:rsidRPr="0054039C">
        <w:rPr>
          <w:rFonts w:ascii="Arial" w:eastAsia="SimSun" w:hAnsi="Arial" w:cs="Arial"/>
          <w:i/>
          <w:iCs/>
          <w:color w:val="595959" w:themeColor="text1" w:themeTint="A6"/>
        </w:rPr>
        <w:t>de novo</w:t>
      </w:r>
      <w:r w:rsidRPr="0054039C">
        <w:rPr>
          <w:rFonts w:ascii="Arial" w:eastAsia="SimSun" w:hAnsi="Arial" w:cs="Arial"/>
          <w:color w:val="595959" w:themeColor="text1" w:themeTint="A6"/>
        </w:rPr>
        <w:t xml:space="preserve"> activation cascades by culture conditions (Kalluri, 2016). </w:t>
      </w:r>
      <w:r w:rsidR="00755F17" w:rsidRPr="0054039C">
        <w:rPr>
          <w:rFonts w:ascii="Arial" w:eastAsia="SimSun" w:hAnsi="Arial" w:cs="Arial"/>
          <w:color w:val="595959" w:themeColor="text1" w:themeTint="A6"/>
        </w:rPr>
        <w:t xml:space="preserve">αSMA </w:t>
      </w:r>
      <w:r w:rsidRPr="0054039C">
        <w:rPr>
          <w:rFonts w:ascii="Arial" w:eastAsia="SimSun" w:hAnsi="Arial" w:cs="Arial"/>
          <w:color w:val="595959" w:themeColor="text1" w:themeTint="A6"/>
        </w:rPr>
        <w:t xml:space="preserve">protein was </w:t>
      </w:r>
      <w:r w:rsidR="00755F17">
        <w:rPr>
          <w:rFonts w:ascii="Arial" w:eastAsia="SimSun" w:hAnsi="Arial" w:cs="Arial"/>
          <w:color w:val="595959" w:themeColor="text1" w:themeTint="A6"/>
        </w:rPr>
        <w:t>present</w:t>
      </w:r>
      <w:r w:rsidRPr="0054039C">
        <w:rPr>
          <w:rFonts w:ascii="Arial" w:eastAsia="SimSun" w:hAnsi="Arial" w:cs="Arial"/>
          <w:color w:val="595959" w:themeColor="text1" w:themeTint="A6"/>
        </w:rPr>
        <w:t xml:space="preserve"> in all samples </w:t>
      </w:r>
      <w:r w:rsidR="00DC7294">
        <w:rPr>
          <w:rFonts w:ascii="Arial" w:eastAsia="SimSun" w:hAnsi="Arial" w:cs="Arial"/>
          <w:color w:val="595959" w:themeColor="text1" w:themeTint="A6"/>
        </w:rPr>
        <w:t xml:space="preserve">in the presence or absence of </w:t>
      </w:r>
      <w:r w:rsidRPr="0054039C">
        <w:rPr>
          <w:rFonts w:ascii="Arial" w:eastAsia="SimSun" w:hAnsi="Arial" w:cs="Arial"/>
          <w:color w:val="595959" w:themeColor="text1" w:themeTint="A6"/>
        </w:rPr>
        <w:t>TGF</w:t>
      </w:r>
      <w:r w:rsidRPr="0054039C">
        <w:rPr>
          <w:rFonts w:ascii="Arial" w:eastAsia="SimSun" w:hAnsi="Arial" w:cs="Arial"/>
          <w:color w:val="595959" w:themeColor="text1" w:themeTint="A6"/>
        </w:rPr>
        <w:sym w:font="Symbol" w:char="F062"/>
      </w:r>
      <w:r w:rsidRPr="0054039C">
        <w:rPr>
          <w:rFonts w:ascii="Arial" w:eastAsia="SimSun" w:hAnsi="Arial" w:cs="Arial"/>
          <w:color w:val="595959" w:themeColor="text1" w:themeTint="A6"/>
        </w:rPr>
        <w:t>-1 and this</w:t>
      </w:r>
      <w:r w:rsidR="007959C6">
        <w:rPr>
          <w:rFonts w:ascii="Arial" w:eastAsia="SimSun" w:hAnsi="Arial" w:cs="Arial"/>
          <w:color w:val="595959" w:themeColor="text1" w:themeTint="A6"/>
        </w:rPr>
        <w:t xml:space="preserve"> was confirmed </w:t>
      </w:r>
      <w:r w:rsidRPr="0054039C">
        <w:rPr>
          <w:rFonts w:ascii="Arial" w:eastAsia="SimSun" w:hAnsi="Arial" w:cs="Arial"/>
          <w:color w:val="595959" w:themeColor="text1" w:themeTint="A6"/>
        </w:rPr>
        <w:t xml:space="preserve">by immunofluorescence staining for αSMA. These </w:t>
      </w:r>
      <w:r w:rsidR="00DC7294" w:rsidRPr="0054039C">
        <w:rPr>
          <w:rFonts w:ascii="Arial" w:eastAsia="SimSun" w:hAnsi="Arial" w:cs="Arial"/>
          <w:color w:val="595959" w:themeColor="text1" w:themeTint="A6"/>
        </w:rPr>
        <w:t>αSMA</w:t>
      </w:r>
      <w:r w:rsidR="00DC7294">
        <w:rPr>
          <w:rFonts w:ascii="Arial" w:eastAsia="SimSun" w:hAnsi="Arial" w:cs="Arial"/>
          <w:color w:val="595959" w:themeColor="text1" w:themeTint="A6"/>
        </w:rPr>
        <w:t xml:space="preserve">+ </w:t>
      </w:r>
      <w:r w:rsidRPr="0054039C">
        <w:rPr>
          <w:rFonts w:ascii="Arial" w:eastAsia="SimSun" w:hAnsi="Arial" w:cs="Arial"/>
          <w:color w:val="595959" w:themeColor="text1" w:themeTint="A6"/>
        </w:rPr>
        <w:t xml:space="preserve">fibres were </w:t>
      </w:r>
      <w:r w:rsidR="00DC7294">
        <w:rPr>
          <w:rFonts w:ascii="Arial" w:eastAsia="SimSun" w:hAnsi="Arial" w:cs="Arial"/>
          <w:color w:val="595959" w:themeColor="text1" w:themeTint="A6"/>
        </w:rPr>
        <w:t xml:space="preserve">observable </w:t>
      </w:r>
      <w:r w:rsidRPr="0054039C">
        <w:rPr>
          <w:rFonts w:ascii="Arial" w:eastAsia="SimSun" w:hAnsi="Arial" w:cs="Arial"/>
          <w:color w:val="595959" w:themeColor="text1" w:themeTint="A6"/>
        </w:rPr>
        <w:t>in CAF in</w:t>
      </w:r>
      <w:r w:rsidR="00AC0A3D">
        <w:rPr>
          <w:rFonts w:ascii="Arial" w:eastAsia="SimSun" w:hAnsi="Arial" w:cs="Arial"/>
          <w:color w:val="595959" w:themeColor="text1" w:themeTint="A6"/>
        </w:rPr>
        <w:t xml:space="preserve"> both</w:t>
      </w:r>
      <w:r w:rsidRPr="0054039C">
        <w:rPr>
          <w:rFonts w:ascii="Arial" w:eastAsia="SimSun" w:hAnsi="Arial" w:cs="Arial"/>
          <w:color w:val="595959" w:themeColor="text1" w:themeTint="A6"/>
        </w:rPr>
        <w:t xml:space="preserve"> untreated controls as well as </w:t>
      </w:r>
      <w:r w:rsidR="00AC0A3D">
        <w:rPr>
          <w:rFonts w:ascii="Arial" w:eastAsia="SimSun" w:hAnsi="Arial" w:cs="Arial"/>
          <w:color w:val="595959" w:themeColor="text1" w:themeTint="A6"/>
        </w:rPr>
        <w:t xml:space="preserve">with </w:t>
      </w:r>
      <w:r w:rsidRPr="0054039C">
        <w:rPr>
          <w:rFonts w:ascii="Arial" w:eastAsia="SimSun" w:hAnsi="Arial" w:cs="Arial"/>
          <w:color w:val="595959" w:themeColor="text1" w:themeTint="A6"/>
        </w:rPr>
        <w:t>TGF</w:t>
      </w:r>
      <w:r w:rsidRPr="0054039C">
        <w:rPr>
          <w:rFonts w:ascii="Arial" w:eastAsia="SimSun" w:hAnsi="Arial" w:cs="Arial"/>
          <w:color w:val="595959" w:themeColor="text1" w:themeTint="A6"/>
        </w:rPr>
        <w:sym w:font="Symbol" w:char="F062"/>
      </w:r>
      <w:r w:rsidRPr="0054039C">
        <w:rPr>
          <w:rFonts w:ascii="Arial" w:eastAsia="SimSun" w:hAnsi="Arial" w:cs="Arial"/>
          <w:color w:val="595959" w:themeColor="text1" w:themeTint="A6"/>
        </w:rPr>
        <w:t>-1 treatment at 48 h and at day 7; suggesti</w:t>
      </w:r>
      <w:r w:rsidR="00755F17">
        <w:rPr>
          <w:rFonts w:ascii="Arial" w:eastAsia="SimSun" w:hAnsi="Arial" w:cs="Arial"/>
          <w:color w:val="595959" w:themeColor="text1" w:themeTint="A6"/>
        </w:rPr>
        <w:t>ng</w:t>
      </w:r>
      <w:r w:rsidRPr="0054039C">
        <w:rPr>
          <w:rFonts w:ascii="Arial" w:eastAsia="SimSun" w:hAnsi="Arial" w:cs="Arial"/>
          <w:color w:val="595959" w:themeColor="text1" w:themeTint="A6"/>
        </w:rPr>
        <w:t xml:space="preserve"> that stress fibre formation is a common phenotypic trait in un-stimulated CAF a</w:t>
      </w:r>
      <w:r w:rsidR="009D4753">
        <w:rPr>
          <w:rFonts w:ascii="Arial" w:eastAsia="SimSun" w:hAnsi="Arial" w:cs="Arial"/>
          <w:color w:val="595959" w:themeColor="text1" w:themeTint="A6"/>
        </w:rPr>
        <w:t>s</w:t>
      </w:r>
      <w:r w:rsidRPr="0054039C">
        <w:rPr>
          <w:rFonts w:ascii="Arial" w:eastAsia="SimSun" w:hAnsi="Arial" w:cs="Arial"/>
          <w:color w:val="595959" w:themeColor="text1" w:themeTint="A6"/>
        </w:rPr>
        <w:t xml:space="preserve"> they are constitutively active </w:t>
      </w:r>
      <w:r w:rsidRPr="0054039C">
        <w:rPr>
          <w:rFonts w:ascii="Arial" w:eastAsia="SimSun" w:hAnsi="Arial" w:cs="Arial"/>
          <w:i/>
          <w:color w:val="595959" w:themeColor="text1" w:themeTint="A6"/>
        </w:rPr>
        <w:t>in vitro.</w:t>
      </w:r>
      <w:r w:rsidRPr="0054039C">
        <w:rPr>
          <w:rFonts w:ascii="Arial" w:eastAsia="SimSun" w:hAnsi="Arial" w:cs="Arial"/>
          <w:color w:val="595959" w:themeColor="text1" w:themeTint="A6"/>
        </w:rPr>
        <w:t xml:space="preserve"> Long-term RT-qPCR analysis</w:t>
      </w:r>
      <w:r w:rsidR="00023FAC">
        <w:rPr>
          <w:rFonts w:ascii="Arial" w:eastAsia="SimSun" w:hAnsi="Arial" w:cs="Arial"/>
          <w:color w:val="595959" w:themeColor="text1" w:themeTint="A6"/>
        </w:rPr>
        <w:t xml:space="preserve"> </w:t>
      </w:r>
      <w:r w:rsidR="00AC0A3D">
        <w:rPr>
          <w:rFonts w:ascii="Arial" w:eastAsia="SimSun" w:hAnsi="Arial" w:cs="Arial"/>
          <w:color w:val="595959" w:themeColor="text1" w:themeTint="A6"/>
        </w:rPr>
        <w:t>indicate</w:t>
      </w:r>
      <w:r w:rsidR="00023FAC">
        <w:rPr>
          <w:rFonts w:ascii="Arial" w:eastAsia="SimSun" w:hAnsi="Arial" w:cs="Arial"/>
          <w:color w:val="595959" w:themeColor="text1" w:themeTint="A6"/>
        </w:rPr>
        <w:t>d that in the presence of TGFβ-1</w:t>
      </w:r>
      <w:r w:rsidRPr="0054039C">
        <w:rPr>
          <w:rFonts w:ascii="Arial" w:eastAsia="SimSun" w:hAnsi="Arial" w:cs="Arial"/>
          <w:color w:val="595959" w:themeColor="text1" w:themeTint="A6"/>
        </w:rPr>
        <w:t xml:space="preserve"> </w:t>
      </w:r>
      <w:r w:rsidR="007068BB">
        <w:rPr>
          <w:rFonts w:ascii="Arial" w:eastAsia="SimSun" w:hAnsi="Arial" w:cs="Arial"/>
          <w:color w:val="595959" w:themeColor="text1" w:themeTint="A6"/>
        </w:rPr>
        <w:t xml:space="preserve">both </w:t>
      </w:r>
      <w:r w:rsidR="003200F3">
        <w:rPr>
          <w:rFonts w:ascii="Arial" w:eastAsia="SimSun" w:hAnsi="Arial" w:cs="Arial"/>
          <w:color w:val="595959" w:themeColor="text1" w:themeTint="A6"/>
        </w:rPr>
        <w:t xml:space="preserve">the gene expression and </w:t>
      </w:r>
      <w:r w:rsidRPr="0054039C">
        <w:rPr>
          <w:rFonts w:ascii="Arial" w:eastAsia="SimSun" w:hAnsi="Arial" w:cs="Arial"/>
          <w:color w:val="595959" w:themeColor="text1" w:themeTint="A6"/>
        </w:rPr>
        <w:t xml:space="preserve">protein abundance </w:t>
      </w:r>
      <w:r w:rsidR="00FC30EB">
        <w:rPr>
          <w:rFonts w:ascii="Arial" w:eastAsia="SimSun" w:hAnsi="Arial" w:cs="Arial"/>
          <w:color w:val="595959" w:themeColor="text1" w:themeTint="A6"/>
        </w:rPr>
        <w:t xml:space="preserve">of αSMA </w:t>
      </w:r>
      <w:r w:rsidR="00874318">
        <w:rPr>
          <w:rFonts w:ascii="Arial" w:eastAsia="SimSun" w:hAnsi="Arial" w:cs="Arial"/>
          <w:color w:val="595959" w:themeColor="text1" w:themeTint="A6"/>
        </w:rPr>
        <w:t>was increased</w:t>
      </w:r>
      <w:r w:rsidRPr="0054039C">
        <w:rPr>
          <w:rFonts w:ascii="Arial" w:eastAsia="SimSun" w:hAnsi="Arial" w:cs="Arial"/>
          <w:color w:val="595959" w:themeColor="text1" w:themeTint="A6"/>
        </w:rPr>
        <w:t xml:space="preserve"> in these samples</w:t>
      </w:r>
      <w:r w:rsidR="00774C7E">
        <w:rPr>
          <w:rFonts w:ascii="Arial" w:eastAsia="SimSun" w:hAnsi="Arial" w:cs="Arial"/>
          <w:color w:val="595959" w:themeColor="text1" w:themeTint="A6"/>
        </w:rPr>
        <w:t xml:space="preserve">. It is </w:t>
      </w:r>
      <w:r w:rsidR="00587565">
        <w:rPr>
          <w:rFonts w:ascii="Arial" w:eastAsia="SimSun" w:hAnsi="Arial" w:cs="Arial"/>
          <w:color w:val="595959" w:themeColor="text1" w:themeTint="A6"/>
        </w:rPr>
        <w:t>plausible,</w:t>
      </w:r>
      <w:r w:rsidRPr="0054039C">
        <w:rPr>
          <w:rFonts w:ascii="Arial" w:eastAsia="SimSun" w:hAnsi="Arial" w:cs="Arial"/>
          <w:color w:val="595959" w:themeColor="text1" w:themeTint="A6"/>
        </w:rPr>
        <w:t xml:space="preserve"> </w:t>
      </w:r>
      <w:r w:rsidR="00587565">
        <w:rPr>
          <w:rFonts w:ascii="Arial" w:eastAsia="SimSun" w:hAnsi="Arial" w:cs="Arial"/>
          <w:color w:val="595959" w:themeColor="text1" w:themeTint="A6"/>
        </w:rPr>
        <w:t xml:space="preserve">that </w:t>
      </w:r>
      <w:r w:rsidRPr="0054039C">
        <w:rPr>
          <w:rFonts w:ascii="Arial" w:eastAsia="SimSun" w:hAnsi="Arial" w:cs="Arial"/>
          <w:color w:val="595959" w:themeColor="text1" w:themeTint="A6"/>
        </w:rPr>
        <w:t>this is</w:t>
      </w:r>
      <w:r w:rsidR="00587565">
        <w:rPr>
          <w:rFonts w:ascii="Arial" w:eastAsia="SimSun" w:hAnsi="Arial" w:cs="Arial"/>
          <w:color w:val="595959" w:themeColor="text1" w:themeTint="A6"/>
        </w:rPr>
        <w:t xml:space="preserve"> due to</w:t>
      </w:r>
      <w:r w:rsidRPr="0054039C">
        <w:rPr>
          <w:rFonts w:ascii="Arial" w:eastAsia="SimSun" w:hAnsi="Arial" w:cs="Arial"/>
          <w:color w:val="595959" w:themeColor="text1" w:themeTint="A6"/>
        </w:rPr>
        <w:t xml:space="preserve"> a rapid translation of the target transcript into protein long-term, thus aiding a more contractile phenotype, which is in agreement with other studies on CAF contractility in tumour progression (Albrengues </w:t>
      </w:r>
      <w:r w:rsidRPr="0054039C">
        <w:rPr>
          <w:rFonts w:ascii="Arial" w:eastAsia="SimSun" w:hAnsi="Arial" w:cs="Arial"/>
          <w:i/>
          <w:iCs/>
          <w:color w:val="595959" w:themeColor="text1" w:themeTint="A6"/>
        </w:rPr>
        <w:t>et al.,</w:t>
      </w:r>
      <w:r w:rsidRPr="0054039C">
        <w:rPr>
          <w:rFonts w:ascii="Arial" w:eastAsia="SimSun" w:hAnsi="Arial" w:cs="Arial"/>
          <w:color w:val="595959" w:themeColor="text1" w:themeTint="A6"/>
        </w:rPr>
        <w:t xml:space="preserve"> 2015 and Kalluri, 2016). </w:t>
      </w:r>
    </w:p>
    <w:p w14:paraId="592CB363" w14:textId="4F5FFD0F" w:rsidR="0054039C" w:rsidRPr="0054039C" w:rsidRDefault="0054039C" w:rsidP="0054039C">
      <w:pPr>
        <w:spacing w:line="480" w:lineRule="auto"/>
        <w:jc w:val="both"/>
        <w:rPr>
          <w:rFonts w:ascii="Arial" w:eastAsia="SimSun" w:hAnsi="Arial" w:cs="Arial"/>
          <w:color w:val="595959" w:themeColor="text1" w:themeTint="A6"/>
        </w:rPr>
      </w:pPr>
      <w:r w:rsidRPr="0054039C">
        <w:rPr>
          <w:rFonts w:ascii="Arial" w:eastAsia="SimSun" w:hAnsi="Arial" w:cs="Arial"/>
          <w:color w:val="595959" w:themeColor="text1" w:themeTint="A6"/>
        </w:rPr>
        <w:t>Fibronectin has been shown to play a central role in processes associated with tumour progression</w:t>
      </w:r>
      <w:r w:rsidR="00827BB5">
        <w:rPr>
          <w:rFonts w:ascii="Arial" w:eastAsia="SimSun" w:hAnsi="Arial" w:cs="Arial"/>
          <w:color w:val="595959" w:themeColor="text1" w:themeTint="A6"/>
        </w:rPr>
        <w:t>.</w:t>
      </w:r>
      <w:r w:rsidRPr="0054039C">
        <w:rPr>
          <w:rFonts w:ascii="Arial" w:eastAsia="SimSun" w:hAnsi="Arial" w:cs="Arial"/>
          <w:color w:val="595959" w:themeColor="text1" w:themeTint="A6"/>
        </w:rPr>
        <w:t xml:space="preserve"> </w:t>
      </w:r>
      <w:r w:rsidR="00827BB5">
        <w:rPr>
          <w:rFonts w:ascii="Arial" w:eastAsia="SimSun" w:hAnsi="Arial" w:cs="Arial"/>
          <w:color w:val="595959" w:themeColor="text1" w:themeTint="A6"/>
        </w:rPr>
        <w:t>The</w:t>
      </w:r>
      <w:r w:rsidRPr="0054039C">
        <w:rPr>
          <w:rFonts w:ascii="Arial" w:eastAsia="SimSun" w:hAnsi="Arial" w:cs="Arial"/>
          <w:color w:val="595959" w:themeColor="text1" w:themeTint="A6"/>
        </w:rPr>
        <w:t xml:space="preserve"> increase in cellular fibronectin is indicative of CAF phenotype (Kalluri 2016, Melling </w:t>
      </w:r>
      <w:r w:rsidRPr="0054039C">
        <w:rPr>
          <w:rFonts w:ascii="Arial" w:eastAsia="SimSun" w:hAnsi="Arial" w:cs="Arial"/>
          <w:i/>
          <w:iCs/>
          <w:color w:val="595959" w:themeColor="text1" w:themeTint="A6"/>
        </w:rPr>
        <w:t xml:space="preserve">et al., </w:t>
      </w:r>
      <w:r w:rsidRPr="0054039C">
        <w:rPr>
          <w:rFonts w:ascii="Arial" w:eastAsia="SimSun" w:hAnsi="Arial" w:cs="Arial"/>
          <w:color w:val="595959" w:themeColor="text1" w:themeTint="A6"/>
        </w:rPr>
        <w:t xml:space="preserve">2018, Klinberg </w:t>
      </w:r>
      <w:r w:rsidRPr="0054039C">
        <w:rPr>
          <w:rFonts w:ascii="Arial" w:eastAsia="SimSun" w:hAnsi="Arial" w:cs="Arial"/>
          <w:i/>
          <w:iCs/>
          <w:color w:val="595959" w:themeColor="text1" w:themeTint="A6"/>
        </w:rPr>
        <w:t>et al.,</w:t>
      </w:r>
      <w:r w:rsidRPr="0054039C">
        <w:rPr>
          <w:rFonts w:ascii="Arial" w:eastAsia="SimSun" w:hAnsi="Arial" w:cs="Arial"/>
          <w:color w:val="595959" w:themeColor="text1" w:themeTint="A6"/>
        </w:rPr>
        <w:t xml:space="preserve"> 2018) and can promote the invasiveness of cancers;</w:t>
      </w:r>
      <w:r w:rsidRPr="0054039C">
        <w:t xml:space="preserve"> </w:t>
      </w:r>
      <w:r w:rsidRPr="0054039C">
        <w:rPr>
          <w:rFonts w:ascii="Arial" w:eastAsia="SimSun" w:hAnsi="Arial" w:cs="Arial"/>
          <w:color w:val="595959" w:themeColor="text1" w:themeTint="A6"/>
        </w:rPr>
        <w:t xml:space="preserve">fibronectin-rich cell-derived matrices (CDM) isolated from CAF cultures, but not normal fibroblast (NF) cultures, have been shown to exhibit aligned fibre organisation and which promoted directional cancer cell migration (Erdogan </w:t>
      </w:r>
      <w:r w:rsidRPr="0054039C">
        <w:rPr>
          <w:rFonts w:ascii="Arial" w:eastAsia="SimSun" w:hAnsi="Arial" w:cs="Arial"/>
          <w:i/>
          <w:iCs/>
          <w:color w:val="595959" w:themeColor="text1" w:themeTint="A6"/>
        </w:rPr>
        <w:t>et al.,</w:t>
      </w:r>
      <w:r w:rsidRPr="0054039C">
        <w:rPr>
          <w:rFonts w:ascii="Arial" w:eastAsia="SimSun" w:hAnsi="Arial" w:cs="Arial"/>
          <w:color w:val="595959" w:themeColor="text1" w:themeTint="A6"/>
        </w:rPr>
        <w:t xml:space="preserve"> 2019). </w:t>
      </w:r>
      <w:r w:rsidR="008B74A0">
        <w:rPr>
          <w:rFonts w:ascii="Arial" w:eastAsia="SimSun" w:hAnsi="Arial" w:cs="Arial"/>
          <w:color w:val="595959" w:themeColor="text1" w:themeTint="A6"/>
        </w:rPr>
        <w:t xml:space="preserve">We observed that the </w:t>
      </w:r>
      <w:r w:rsidRPr="0054039C">
        <w:rPr>
          <w:rFonts w:ascii="Arial" w:eastAsia="SimSun" w:hAnsi="Arial" w:cs="Arial"/>
          <w:color w:val="595959" w:themeColor="text1" w:themeTint="A6"/>
        </w:rPr>
        <w:t>expression of FN1-EDA was increased in CAF basal controls compared to NOF, indicating discrete phenotypic differences in the NOF and CAF investigated</w:t>
      </w:r>
      <w:r w:rsidRPr="0054039C">
        <w:rPr>
          <w:rFonts w:ascii="Arial" w:eastAsia="SimSun" w:hAnsi="Arial" w:cs="Arial"/>
          <w:i/>
          <w:color w:val="595959" w:themeColor="text1" w:themeTint="A6"/>
        </w:rPr>
        <w:t xml:space="preserve"> in vitro.</w:t>
      </w:r>
      <w:r w:rsidRPr="0054039C">
        <w:rPr>
          <w:rFonts w:ascii="Arial" w:eastAsia="SimSun" w:hAnsi="Arial" w:cs="Arial"/>
          <w:iCs/>
          <w:color w:val="595959" w:themeColor="text1" w:themeTint="A6"/>
        </w:rPr>
        <w:t xml:space="preserve"> In the long-term analysis, the protein abundance of FN1-EDA reduced in NOF controls but remained </w:t>
      </w:r>
      <w:r w:rsidRPr="0054039C">
        <w:rPr>
          <w:rFonts w:ascii="Arial" w:eastAsia="SimSun" w:hAnsi="Arial" w:cs="Arial"/>
          <w:iCs/>
          <w:color w:val="595959" w:themeColor="text1" w:themeTint="A6"/>
        </w:rPr>
        <w:lastRenderedPageBreak/>
        <w:t xml:space="preserve">detectable in CAF controls and this long-term protein expression could be associated with a long-term fibrotic response by CAF. FN1-EDA expression in dermal </w:t>
      </w:r>
      <w:r w:rsidR="009F5158">
        <w:rPr>
          <w:rFonts w:ascii="Arial" w:eastAsia="SimSun" w:hAnsi="Arial" w:cs="Arial"/>
          <w:iCs/>
          <w:color w:val="595959" w:themeColor="text1" w:themeTint="A6"/>
        </w:rPr>
        <w:t xml:space="preserve">normal </w:t>
      </w:r>
      <w:r w:rsidR="004C2A6E">
        <w:rPr>
          <w:rFonts w:ascii="Arial" w:eastAsia="SimSun" w:hAnsi="Arial" w:cs="Arial"/>
          <w:iCs/>
          <w:color w:val="595959" w:themeColor="text1" w:themeTint="A6"/>
        </w:rPr>
        <w:t>fibroblasts</w:t>
      </w:r>
      <w:r w:rsidRPr="0054039C">
        <w:rPr>
          <w:rFonts w:ascii="Arial" w:eastAsia="SimSun" w:hAnsi="Arial" w:cs="Arial"/>
          <w:iCs/>
          <w:color w:val="595959" w:themeColor="text1" w:themeTint="A6"/>
        </w:rPr>
        <w:t xml:space="preserve"> and CAF has been associated with acting as a storage reservoir for </w:t>
      </w:r>
      <w:r w:rsidRPr="0054039C">
        <w:rPr>
          <w:rFonts w:ascii="Arial" w:eastAsia="SimSun" w:hAnsi="Arial" w:cs="Arial"/>
          <w:color w:val="595959" w:themeColor="text1" w:themeTint="A6"/>
        </w:rPr>
        <w:t xml:space="preserve">TGFβ-1 as it immobilises latent TGF-β-binding protein-1 (LTBP-1) (Klinberg </w:t>
      </w:r>
      <w:r w:rsidRPr="0054039C">
        <w:rPr>
          <w:rFonts w:ascii="Arial" w:eastAsia="SimSun" w:hAnsi="Arial" w:cs="Arial"/>
          <w:i/>
          <w:iCs/>
          <w:color w:val="595959" w:themeColor="text1" w:themeTint="A6"/>
        </w:rPr>
        <w:t>et al.,</w:t>
      </w:r>
      <w:r w:rsidRPr="0054039C">
        <w:rPr>
          <w:rFonts w:ascii="Arial" w:eastAsia="SimSun" w:hAnsi="Arial" w:cs="Arial"/>
          <w:color w:val="595959" w:themeColor="text1" w:themeTint="A6"/>
        </w:rPr>
        <w:t xml:space="preserve"> 2018). This mechanism could also be applicable to </w:t>
      </w:r>
      <w:r w:rsidR="00F86497">
        <w:rPr>
          <w:rFonts w:ascii="Arial" w:eastAsia="SimSun" w:hAnsi="Arial" w:cs="Arial"/>
          <w:color w:val="595959" w:themeColor="text1" w:themeTint="A6"/>
        </w:rPr>
        <w:t>the phenotype of the</w:t>
      </w:r>
      <w:r w:rsidR="00700EB4">
        <w:rPr>
          <w:rFonts w:ascii="Arial" w:eastAsia="SimSun" w:hAnsi="Arial" w:cs="Arial"/>
          <w:color w:val="595959" w:themeColor="text1" w:themeTint="A6"/>
        </w:rPr>
        <w:t xml:space="preserve"> oral</w:t>
      </w:r>
      <w:r w:rsidR="00F86497">
        <w:rPr>
          <w:rFonts w:ascii="Arial" w:eastAsia="SimSun" w:hAnsi="Arial" w:cs="Arial"/>
          <w:color w:val="595959" w:themeColor="text1" w:themeTint="A6"/>
        </w:rPr>
        <w:t xml:space="preserve"> </w:t>
      </w:r>
      <w:r w:rsidRPr="0054039C">
        <w:rPr>
          <w:rFonts w:ascii="Arial" w:eastAsia="SimSun" w:hAnsi="Arial" w:cs="Arial"/>
          <w:color w:val="595959" w:themeColor="text1" w:themeTint="A6"/>
        </w:rPr>
        <w:t>CAF</w:t>
      </w:r>
      <w:r w:rsidR="00700EB4">
        <w:rPr>
          <w:rFonts w:ascii="Arial" w:eastAsia="SimSun" w:hAnsi="Arial" w:cs="Arial"/>
          <w:color w:val="595959" w:themeColor="text1" w:themeTint="A6"/>
        </w:rPr>
        <w:t xml:space="preserve"> described here</w:t>
      </w:r>
      <w:r w:rsidRPr="0054039C">
        <w:rPr>
          <w:rFonts w:ascii="Arial" w:eastAsia="SimSun" w:hAnsi="Arial" w:cs="Arial"/>
          <w:i/>
          <w:iCs/>
          <w:color w:val="595959" w:themeColor="text1" w:themeTint="A6"/>
        </w:rPr>
        <w:t>.</w:t>
      </w:r>
      <w:r w:rsidRPr="0054039C">
        <w:rPr>
          <w:rFonts w:ascii="Arial" w:eastAsia="SimSun" w:hAnsi="Arial" w:cs="Arial"/>
          <w:color w:val="595959" w:themeColor="text1" w:themeTint="A6"/>
        </w:rPr>
        <w:t xml:space="preserve"> </w:t>
      </w:r>
    </w:p>
    <w:p w14:paraId="22EAB7A1" w14:textId="2967C23D" w:rsidR="0054039C" w:rsidRPr="0054039C" w:rsidRDefault="0054039C" w:rsidP="0054039C">
      <w:pPr>
        <w:spacing w:line="480" w:lineRule="auto"/>
        <w:jc w:val="both"/>
        <w:rPr>
          <w:rFonts w:ascii="Arial" w:eastAsia="SimSun" w:hAnsi="Arial" w:cs="Arial"/>
          <w:color w:val="595959" w:themeColor="text1" w:themeTint="A6"/>
        </w:rPr>
      </w:pPr>
      <w:r w:rsidRPr="0054039C">
        <w:rPr>
          <w:rFonts w:ascii="Arial" w:eastAsia="SimSun" w:hAnsi="Arial" w:cs="Arial"/>
          <w:color w:val="595959" w:themeColor="text1" w:themeTint="A6"/>
        </w:rPr>
        <w:t xml:space="preserve">Collagen type 1 is the most widely expressed protein in humans, responsible for maintaining the structural integrity of the cells (Ralston </w:t>
      </w:r>
      <w:r w:rsidRPr="0054039C">
        <w:rPr>
          <w:rFonts w:ascii="Arial" w:eastAsia="SimSun" w:hAnsi="Arial" w:cs="Arial"/>
          <w:i/>
          <w:color w:val="595959" w:themeColor="text1" w:themeTint="A6"/>
        </w:rPr>
        <w:t>et al</w:t>
      </w:r>
      <w:r w:rsidRPr="0054039C">
        <w:rPr>
          <w:rFonts w:ascii="Arial" w:eastAsia="SimSun" w:hAnsi="Arial" w:cs="Arial"/>
          <w:color w:val="595959" w:themeColor="text1" w:themeTint="A6"/>
        </w:rPr>
        <w:t>., 1997). During cancer where a desmoplastic response is triggered and mediated by CAF</w:t>
      </w:r>
      <w:r w:rsidR="006B6102">
        <w:rPr>
          <w:rFonts w:ascii="Arial" w:eastAsia="SimSun" w:hAnsi="Arial" w:cs="Arial"/>
          <w:color w:val="595959" w:themeColor="text1" w:themeTint="A6"/>
        </w:rPr>
        <w:t>,</w:t>
      </w:r>
      <w:r w:rsidRPr="0054039C">
        <w:rPr>
          <w:rFonts w:ascii="Arial" w:eastAsia="SimSun" w:hAnsi="Arial" w:cs="Arial"/>
          <w:color w:val="595959" w:themeColor="text1" w:themeTint="A6"/>
        </w:rPr>
        <w:t xml:space="preserve"> the deposition of collagen is elevated (Provenzano and Hingorani, 2013</w:t>
      </w:r>
      <w:r w:rsidR="006B6102">
        <w:rPr>
          <w:rFonts w:ascii="Arial" w:eastAsia="SimSun" w:hAnsi="Arial" w:cs="Arial"/>
          <w:color w:val="595959" w:themeColor="text1" w:themeTint="A6"/>
        </w:rPr>
        <w:t>, Kalluri, 2016</w:t>
      </w:r>
      <w:r w:rsidR="00FB4440">
        <w:rPr>
          <w:rFonts w:ascii="Arial" w:eastAsia="SimSun" w:hAnsi="Arial" w:cs="Arial"/>
          <w:color w:val="595959" w:themeColor="text1" w:themeTint="A6"/>
        </w:rPr>
        <w:t xml:space="preserve">, Hanley </w:t>
      </w:r>
      <w:r w:rsidR="00FB4440" w:rsidRPr="00FB4440">
        <w:rPr>
          <w:rFonts w:ascii="Arial" w:eastAsia="SimSun" w:hAnsi="Arial" w:cs="Arial"/>
          <w:i/>
          <w:iCs/>
          <w:color w:val="595959" w:themeColor="text1" w:themeTint="A6"/>
        </w:rPr>
        <w:t>et al.,</w:t>
      </w:r>
      <w:r w:rsidR="00FB4440">
        <w:rPr>
          <w:rFonts w:ascii="Arial" w:eastAsia="SimSun" w:hAnsi="Arial" w:cs="Arial"/>
          <w:color w:val="595959" w:themeColor="text1" w:themeTint="A6"/>
        </w:rPr>
        <w:t xml:space="preserve"> 2</w:t>
      </w:r>
      <w:r w:rsidR="00673F9C">
        <w:rPr>
          <w:rFonts w:ascii="Arial" w:eastAsia="SimSun" w:hAnsi="Arial" w:cs="Arial"/>
          <w:color w:val="595959" w:themeColor="text1" w:themeTint="A6"/>
        </w:rPr>
        <w:t>0</w:t>
      </w:r>
      <w:r w:rsidR="00B47AD3">
        <w:rPr>
          <w:rFonts w:ascii="Arial" w:eastAsia="SimSun" w:hAnsi="Arial" w:cs="Arial"/>
          <w:color w:val="595959" w:themeColor="text1" w:themeTint="A6"/>
        </w:rPr>
        <w:t>16</w:t>
      </w:r>
      <w:r w:rsidRPr="0054039C">
        <w:rPr>
          <w:rFonts w:ascii="Arial" w:eastAsia="SimSun" w:hAnsi="Arial" w:cs="Arial"/>
          <w:color w:val="595959" w:themeColor="text1" w:themeTint="A6"/>
        </w:rPr>
        <w:t xml:space="preserve">). </w:t>
      </w:r>
      <w:r w:rsidRPr="0054039C">
        <w:rPr>
          <w:rFonts w:ascii="Arial" w:eastAsia="SimSun" w:hAnsi="Arial" w:cs="Arial"/>
          <w:i/>
          <w:color w:val="595959" w:themeColor="text1" w:themeTint="A6"/>
        </w:rPr>
        <w:t>In vitro</w:t>
      </w:r>
      <w:r w:rsidRPr="0054039C">
        <w:rPr>
          <w:rFonts w:ascii="Arial" w:eastAsia="SimSun" w:hAnsi="Arial" w:cs="Arial"/>
          <w:color w:val="595959" w:themeColor="text1" w:themeTint="A6"/>
        </w:rPr>
        <w:t xml:space="preserve"> molecular analysis of COL1A1 expression in CAF shows only a significant change in COL1A1 short-term with 48 h TGF</w:t>
      </w:r>
      <w:r w:rsidRPr="0054039C">
        <w:rPr>
          <w:rFonts w:ascii="Arial" w:eastAsia="SimSun" w:hAnsi="Arial" w:cs="Arial"/>
          <w:color w:val="595959" w:themeColor="text1" w:themeTint="A6"/>
        </w:rPr>
        <w:sym w:font="Symbol" w:char="F062"/>
      </w:r>
      <w:r w:rsidRPr="0054039C">
        <w:rPr>
          <w:rFonts w:ascii="Arial" w:eastAsia="SimSun" w:hAnsi="Arial" w:cs="Arial"/>
          <w:color w:val="595959" w:themeColor="text1" w:themeTint="A6"/>
        </w:rPr>
        <w:t xml:space="preserve">-1 treatment and a high basal expression of this sub-type of collagen in all </w:t>
      </w:r>
      <w:r w:rsidR="005249AB">
        <w:rPr>
          <w:rFonts w:ascii="Arial" w:eastAsia="SimSun" w:hAnsi="Arial" w:cs="Arial"/>
          <w:color w:val="595959" w:themeColor="text1" w:themeTint="A6"/>
        </w:rPr>
        <w:t xml:space="preserve">vehicle </w:t>
      </w:r>
      <w:r w:rsidRPr="0054039C">
        <w:rPr>
          <w:rFonts w:ascii="Arial" w:eastAsia="SimSun" w:hAnsi="Arial" w:cs="Arial"/>
          <w:color w:val="595959" w:themeColor="text1" w:themeTint="A6"/>
        </w:rPr>
        <w:t xml:space="preserve">control treated samples, suggesting a ubiquitous expression of the target in all CAF populations. This was also </w:t>
      </w:r>
      <w:r w:rsidR="00C4786F">
        <w:rPr>
          <w:rFonts w:ascii="Arial" w:eastAsia="SimSun" w:hAnsi="Arial" w:cs="Arial"/>
          <w:color w:val="595959" w:themeColor="text1" w:themeTint="A6"/>
        </w:rPr>
        <w:t>observed</w:t>
      </w:r>
      <w:r w:rsidRPr="0054039C">
        <w:rPr>
          <w:rFonts w:ascii="Arial" w:eastAsia="SimSun" w:hAnsi="Arial" w:cs="Arial"/>
          <w:color w:val="595959" w:themeColor="text1" w:themeTint="A6"/>
        </w:rPr>
        <w:t xml:space="preserve"> for protein abundance short-term, where there was no statistical difference </w:t>
      </w:r>
      <w:r w:rsidR="00C10048">
        <w:rPr>
          <w:rFonts w:ascii="Arial" w:eastAsia="SimSun" w:hAnsi="Arial" w:cs="Arial"/>
          <w:color w:val="595959" w:themeColor="text1" w:themeTint="A6"/>
        </w:rPr>
        <w:t xml:space="preserve">in COL1A1 protein </w:t>
      </w:r>
      <w:r w:rsidRPr="0054039C">
        <w:rPr>
          <w:rFonts w:ascii="Arial" w:eastAsia="SimSun" w:hAnsi="Arial" w:cs="Arial"/>
          <w:color w:val="595959" w:themeColor="text1" w:themeTint="A6"/>
        </w:rPr>
        <w:t>with TGF</w:t>
      </w:r>
      <w:r w:rsidRPr="0054039C">
        <w:rPr>
          <w:rFonts w:ascii="Arial" w:eastAsia="SimSun" w:hAnsi="Arial" w:cs="Arial"/>
          <w:color w:val="595959" w:themeColor="text1" w:themeTint="A6"/>
        </w:rPr>
        <w:sym w:font="Symbol" w:char="F062"/>
      </w:r>
      <w:r w:rsidRPr="0054039C">
        <w:rPr>
          <w:rFonts w:ascii="Arial" w:eastAsia="SimSun" w:hAnsi="Arial" w:cs="Arial"/>
          <w:color w:val="595959" w:themeColor="text1" w:themeTint="A6"/>
        </w:rPr>
        <w:t xml:space="preserve">-1 treatment, and prominent banding for the protein in all CAF samples. Long-term expression analysis was highly variable, but again the protein was </w:t>
      </w:r>
      <w:r w:rsidR="00D624E3">
        <w:rPr>
          <w:rFonts w:ascii="Arial" w:eastAsia="SimSun" w:hAnsi="Arial" w:cs="Arial"/>
          <w:color w:val="595959" w:themeColor="text1" w:themeTint="A6"/>
        </w:rPr>
        <w:t>visible</w:t>
      </w:r>
      <w:r w:rsidRPr="0054039C">
        <w:rPr>
          <w:rFonts w:ascii="Arial" w:eastAsia="SimSun" w:hAnsi="Arial" w:cs="Arial"/>
          <w:color w:val="595959" w:themeColor="text1" w:themeTint="A6"/>
        </w:rPr>
        <w:t xml:space="preserve"> in all CAF samples suggesting that COL1A1 deposition in a phenotypic feature of CAF in culture regardless of exogenous stimuli.</w:t>
      </w:r>
    </w:p>
    <w:p w14:paraId="21936D16" w14:textId="24A0378A" w:rsidR="0054039C" w:rsidRPr="0054039C" w:rsidRDefault="0054039C" w:rsidP="0054039C">
      <w:pPr>
        <w:spacing w:line="480" w:lineRule="auto"/>
        <w:jc w:val="both"/>
        <w:rPr>
          <w:rFonts w:ascii="Arial" w:eastAsia="SimSun" w:hAnsi="Arial" w:cs="Arial"/>
          <w:color w:val="595959" w:themeColor="text1" w:themeTint="A6"/>
        </w:rPr>
      </w:pPr>
      <w:r w:rsidRPr="0054039C">
        <w:rPr>
          <w:rFonts w:ascii="Arial" w:eastAsia="SimSun" w:hAnsi="Arial" w:cs="Arial"/>
          <w:color w:val="595959" w:themeColor="text1" w:themeTint="A6"/>
        </w:rPr>
        <w:t>Tenascin-C expression in CAF is observed upregulated in pathological strom</w:t>
      </w:r>
      <w:r w:rsidR="00153763">
        <w:rPr>
          <w:rFonts w:ascii="Arial" w:eastAsia="SimSun" w:hAnsi="Arial" w:cs="Arial"/>
          <w:color w:val="595959" w:themeColor="text1" w:themeTint="A6"/>
        </w:rPr>
        <w:t>a with a p</w:t>
      </w:r>
      <w:r w:rsidRPr="0054039C">
        <w:rPr>
          <w:rFonts w:ascii="Arial" w:eastAsia="SimSun" w:hAnsi="Arial" w:cs="Arial"/>
          <w:color w:val="595959" w:themeColor="text1" w:themeTint="A6"/>
        </w:rPr>
        <w:t xml:space="preserve">revious study in salivary glands tumours, </w:t>
      </w:r>
      <w:r w:rsidR="00277BA4">
        <w:rPr>
          <w:rFonts w:ascii="Arial" w:eastAsia="SimSun" w:hAnsi="Arial" w:cs="Arial"/>
          <w:color w:val="595959" w:themeColor="text1" w:themeTint="A6"/>
        </w:rPr>
        <w:t xml:space="preserve">showed </w:t>
      </w:r>
      <w:r w:rsidRPr="0054039C">
        <w:rPr>
          <w:rFonts w:ascii="Arial" w:eastAsia="SimSun" w:hAnsi="Arial" w:cs="Arial"/>
          <w:color w:val="595959" w:themeColor="text1" w:themeTint="A6"/>
        </w:rPr>
        <w:t>TNC expression</w:t>
      </w:r>
      <w:r w:rsidR="00553388">
        <w:rPr>
          <w:rFonts w:ascii="Arial" w:eastAsia="SimSun" w:hAnsi="Arial" w:cs="Arial"/>
          <w:color w:val="595959" w:themeColor="text1" w:themeTint="A6"/>
        </w:rPr>
        <w:t xml:space="preserve"> to be </w:t>
      </w:r>
      <w:r w:rsidR="00666CCE">
        <w:rPr>
          <w:rFonts w:ascii="Arial" w:eastAsia="SimSun" w:hAnsi="Arial" w:cs="Arial"/>
          <w:color w:val="595959" w:themeColor="text1" w:themeTint="A6"/>
        </w:rPr>
        <w:t>heterogeneous</w:t>
      </w:r>
      <w:r w:rsidRPr="0054039C">
        <w:rPr>
          <w:rFonts w:ascii="Arial" w:eastAsia="SimSun" w:hAnsi="Arial" w:cs="Arial"/>
          <w:color w:val="595959" w:themeColor="text1" w:themeTint="A6"/>
        </w:rPr>
        <w:t xml:space="preserve"> with</w:t>
      </w:r>
      <w:r w:rsidR="00A26432">
        <w:rPr>
          <w:rFonts w:ascii="Arial" w:eastAsia="SimSun" w:hAnsi="Arial" w:cs="Arial"/>
          <w:color w:val="595959" w:themeColor="text1" w:themeTint="A6"/>
        </w:rPr>
        <w:t xml:space="preserve"> the </w:t>
      </w:r>
      <w:r w:rsidRPr="0054039C">
        <w:rPr>
          <w:rFonts w:ascii="Arial" w:eastAsia="SimSun" w:hAnsi="Arial" w:cs="Arial"/>
          <w:color w:val="595959" w:themeColor="text1" w:themeTint="A6"/>
        </w:rPr>
        <w:t>highest expression associated with poor</w:t>
      </w:r>
      <w:r w:rsidR="00E9404E">
        <w:rPr>
          <w:rFonts w:ascii="Arial" w:eastAsia="SimSun" w:hAnsi="Arial" w:cs="Arial"/>
          <w:color w:val="595959" w:themeColor="text1" w:themeTint="A6"/>
        </w:rPr>
        <w:t>ly</w:t>
      </w:r>
      <w:r w:rsidRPr="0054039C">
        <w:rPr>
          <w:rFonts w:ascii="Arial" w:eastAsia="SimSun" w:hAnsi="Arial" w:cs="Arial"/>
          <w:color w:val="595959" w:themeColor="text1" w:themeTint="A6"/>
        </w:rPr>
        <w:t xml:space="preserve"> differentiat</w:t>
      </w:r>
      <w:r w:rsidR="00127968">
        <w:rPr>
          <w:rFonts w:ascii="Arial" w:eastAsia="SimSun" w:hAnsi="Arial" w:cs="Arial"/>
          <w:color w:val="595959" w:themeColor="text1" w:themeTint="A6"/>
        </w:rPr>
        <w:t>ed</w:t>
      </w:r>
      <w:r w:rsidRPr="0054039C">
        <w:rPr>
          <w:rFonts w:ascii="Arial" w:eastAsia="SimSun" w:hAnsi="Arial" w:cs="Arial"/>
          <w:color w:val="595959" w:themeColor="text1" w:themeTint="A6"/>
        </w:rPr>
        <w:t xml:space="preserve"> and malignant features (Raitz </w:t>
      </w:r>
      <w:r w:rsidRPr="0054039C">
        <w:rPr>
          <w:rFonts w:ascii="Arial" w:eastAsia="SimSun" w:hAnsi="Arial" w:cs="Arial"/>
          <w:i/>
          <w:iCs/>
          <w:color w:val="595959" w:themeColor="text1" w:themeTint="A6"/>
        </w:rPr>
        <w:t>et al.,</w:t>
      </w:r>
      <w:r w:rsidRPr="0054039C">
        <w:rPr>
          <w:rFonts w:ascii="Arial" w:eastAsia="SimSun" w:hAnsi="Arial" w:cs="Arial"/>
          <w:color w:val="595959" w:themeColor="text1" w:themeTint="A6"/>
        </w:rPr>
        <w:t xml:space="preserve"> 2003</w:t>
      </w:r>
      <w:r w:rsidR="00BD551C">
        <w:rPr>
          <w:rFonts w:ascii="Arial" w:eastAsia="SimSun" w:hAnsi="Arial" w:cs="Arial"/>
          <w:color w:val="595959" w:themeColor="text1" w:themeTint="A6"/>
        </w:rPr>
        <w:t>, Bern</w:t>
      </w:r>
      <w:r w:rsidR="00813FF0">
        <w:rPr>
          <w:rFonts w:ascii="Arial" w:eastAsia="SimSun" w:hAnsi="Arial" w:cs="Arial"/>
          <w:color w:val="595959" w:themeColor="text1" w:themeTint="A6"/>
        </w:rPr>
        <w:t>d</w:t>
      </w:r>
      <w:r w:rsidR="00BD551C">
        <w:rPr>
          <w:rFonts w:ascii="Arial" w:eastAsia="SimSun" w:hAnsi="Arial" w:cs="Arial"/>
          <w:color w:val="595959" w:themeColor="text1" w:themeTint="A6"/>
        </w:rPr>
        <w:t xml:space="preserve">t </w:t>
      </w:r>
      <w:r w:rsidR="00813FF0">
        <w:rPr>
          <w:rFonts w:ascii="Arial" w:eastAsia="SimSun" w:hAnsi="Arial" w:cs="Arial"/>
          <w:i/>
          <w:iCs/>
          <w:color w:val="595959" w:themeColor="text1" w:themeTint="A6"/>
        </w:rPr>
        <w:t>et al.,</w:t>
      </w:r>
      <w:r w:rsidR="00BD551C">
        <w:rPr>
          <w:rFonts w:ascii="Arial" w:eastAsia="SimSun" w:hAnsi="Arial" w:cs="Arial"/>
          <w:color w:val="595959" w:themeColor="text1" w:themeTint="A6"/>
        </w:rPr>
        <w:t xml:space="preserve"> 2015</w:t>
      </w:r>
      <w:r w:rsidRPr="0054039C">
        <w:rPr>
          <w:rFonts w:ascii="Arial" w:eastAsia="SimSun" w:hAnsi="Arial" w:cs="Arial"/>
          <w:color w:val="595959" w:themeColor="text1" w:themeTint="A6"/>
        </w:rPr>
        <w:t>). TNC</w:t>
      </w:r>
      <w:r w:rsidR="00500CAB">
        <w:rPr>
          <w:rFonts w:ascii="Arial" w:eastAsia="SimSun" w:hAnsi="Arial" w:cs="Arial"/>
          <w:color w:val="595959" w:themeColor="text1" w:themeTint="A6"/>
        </w:rPr>
        <w:t>,</w:t>
      </w:r>
      <w:r w:rsidRPr="0054039C">
        <w:rPr>
          <w:rFonts w:ascii="Arial" w:eastAsia="SimSun" w:hAnsi="Arial" w:cs="Arial"/>
          <w:color w:val="595959" w:themeColor="text1" w:themeTint="A6"/>
        </w:rPr>
        <w:t xml:space="preserve"> expression was therefore analysed at the transcript level. Within CAF, controls exhibit high </w:t>
      </w:r>
      <w:r w:rsidR="00EA4450">
        <w:rPr>
          <w:rFonts w:ascii="Arial" w:eastAsia="SimSun" w:hAnsi="Arial" w:cs="Arial"/>
          <w:color w:val="595959" w:themeColor="text1" w:themeTint="A6"/>
        </w:rPr>
        <w:t xml:space="preserve">gene </w:t>
      </w:r>
      <w:r w:rsidRPr="0054039C">
        <w:rPr>
          <w:rFonts w:ascii="Arial" w:eastAsia="SimSun" w:hAnsi="Arial" w:cs="Arial"/>
          <w:color w:val="595959" w:themeColor="text1" w:themeTint="A6"/>
        </w:rPr>
        <w:t>amplification and the expression was maintained long-term with and without TGF</w:t>
      </w:r>
      <w:r w:rsidRPr="0054039C">
        <w:rPr>
          <w:rFonts w:ascii="Arial" w:eastAsia="SimSun" w:hAnsi="Arial" w:cs="Arial"/>
          <w:color w:val="595959" w:themeColor="text1" w:themeTint="A6"/>
        </w:rPr>
        <w:sym w:font="Symbol" w:char="F062"/>
      </w:r>
      <w:r w:rsidRPr="0054039C">
        <w:rPr>
          <w:rFonts w:ascii="Arial" w:eastAsia="SimSun" w:hAnsi="Arial" w:cs="Arial"/>
          <w:color w:val="595959" w:themeColor="text1" w:themeTint="A6"/>
        </w:rPr>
        <w:t>-1 treatment</w:t>
      </w:r>
      <w:r w:rsidR="006D46C6">
        <w:rPr>
          <w:rFonts w:ascii="Arial" w:eastAsia="SimSun" w:hAnsi="Arial" w:cs="Arial"/>
          <w:color w:val="595959" w:themeColor="text1" w:themeTint="A6"/>
        </w:rPr>
        <w:t>.</w:t>
      </w:r>
      <w:r w:rsidR="00063331">
        <w:rPr>
          <w:rFonts w:ascii="Arial" w:eastAsia="SimSun" w:hAnsi="Arial" w:cs="Arial"/>
          <w:color w:val="595959" w:themeColor="text1" w:themeTint="A6"/>
        </w:rPr>
        <w:t xml:space="preserve"> One explanation could be </w:t>
      </w:r>
      <w:r w:rsidR="00FD0063">
        <w:rPr>
          <w:rFonts w:ascii="Arial" w:eastAsia="SimSun" w:hAnsi="Arial" w:cs="Arial"/>
          <w:color w:val="595959" w:themeColor="text1" w:themeTint="A6"/>
        </w:rPr>
        <w:t>that CAF</w:t>
      </w:r>
      <w:r w:rsidR="004B0D88">
        <w:rPr>
          <w:rFonts w:ascii="Arial" w:eastAsia="SimSun" w:hAnsi="Arial" w:cs="Arial"/>
          <w:color w:val="595959" w:themeColor="text1" w:themeTint="A6"/>
        </w:rPr>
        <w:t xml:space="preserve"> </w:t>
      </w:r>
      <w:r w:rsidR="00491D32">
        <w:rPr>
          <w:rFonts w:ascii="Arial" w:eastAsia="SimSun" w:hAnsi="Arial" w:cs="Arial"/>
          <w:color w:val="595959" w:themeColor="text1" w:themeTint="A6"/>
        </w:rPr>
        <w:t>universally</w:t>
      </w:r>
      <w:r w:rsidR="004B0D88">
        <w:rPr>
          <w:rFonts w:ascii="Arial" w:eastAsia="SimSun" w:hAnsi="Arial" w:cs="Arial"/>
          <w:color w:val="595959" w:themeColor="text1" w:themeTint="A6"/>
        </w:rPr>
        <w:t xml:space="preserve"> </w:t>
      </w:r>
      <w:r w:rsidR="00071D99">
        <w:rPr>
          <w:rFonts w:ascii="Arial" w:eastAsia="SimSun" w:hAnsi="Arial" w:cs="Arial"/>
          <w:color w:val="595959" w:themeColor="text1" w:themeTint="A6"/>
        </w:rPr>
        <w:t xml:space="preserve">express </w:t>
      </w:r>
      <w:r w:rsidRPr="0054039C">
        <w:rPr>
          <w:rFonts w:ascii="Arial" w:eastAsia="SimSun" w:hAnsi="Arial" w:cs="Arial"/>
          <w:color w:val="595959" w:themeColor="text1" w:themeTint="A6"/>
        </w:rPr>
        <w:t>TNC</w:t>
      </w:r>
      <w:r w:rsidR="00FD0063">
        <w:rPr>
          <w:rFonts w:ascii="Arial" w:eastAsia="SimSun" w:hAnsi="Arial" w:cs="Arial"/>
          <w:color w:val="595959" w:themeColor="text1" w:themeTint="A6"/>
        </w:rPr>
        <w:t>. This active tran</w:t>
      </w:r>
      <w:r w:rsidR="00DD555B">
        <w:rPr>
          <w:rFonts w:ascii="Arial" w:eastAsia="SimSun" w:hAnsi="Arial" w:cs="Arial"/>
          <w:color w:val="595959" w:themeColor="text1" w:themeTint="A6"/>
        </w:rPr>
        <w:t>scription</w:t>
      </w:r>
      <w:r w:rsidRPr="0054039C">
        <w:rPr>
          <w:rFonts w:ascii="Arial" w:eastAsia="SimSun" w:hAnsi="Arial" w:cs="Arial"/>
          <w:color w:val="595959" w:themeColor="text1" w:themeTint="A6"/>
        </w:rPr>
        <w:t xml:space="preserve"> by CAF populations differ</w:t>
      </w:r>
      <w:r w:rsidR="00DD555B">
        <w:rPr>
          <w:rFonts w:ascii="Arial" w:eastAsia="SimSun" w:hAnsi="Arial" w:cs="Arial"/>
          <w:color w:val="595959" w:themeColor="text1" w:themeTint="A6"/>
        </w:rPr>
        <w:t>s to our observation</w:t>
      </w:r>
      <w:r w:rsidRPr="0054039C">
        <w:rPr>
          <w:rFonts w:ascii="Arial" w:eastAsia="SimSun" w:hAnsi="Arial" w:cs="Arial"/>
          <w:color w:val="595959" w:themeColor="text1" w:themeTint="A6"/>
        </w:rPr>
        <w:t xml:space="preserve"> </w:t>
      </w:r>
      <w:r w:rsidR="00DD555B">
        <w:rPr>
          <w:rFonts w:ascii="Arial" w:eastAsia="SimSun" w:hAnsi="Arial" w:cs="Arial"/>
          <w:color w:val="595959" w:themeColor="text1" w:themeTint="A6"/>
        </w:rPr>
        <w:t>in</w:t>
      </w:r>
      <w:r w:rsidRPr="0054039C">
        <w:rPr>
          <w:rFonts w:ascii="Arial" w:eastAsia="SimSun" w:hAnsi="Arial" w:cs="Arial"/>
          <w:color w:val="595959" w:themeColor="text1" w:themeTint="A6"/>
        </w:rPr>
        <w:t xml:space="preserve"> NOF</w:t>
      </w:r>
      <w:r w:rsidR="0078522C">
        <w:rPr>
          <w:rFonts w:ascii="Arial" w:eastAsia="SimSun" w:hAnsi="Arial" w:cs="Arial"/>
          <w:color w:val="595959" w:themeColor="text1" w:themeTint="A6"/>
        </w:rPr>
        <w:t>;</w:t>
      </w:r>
      <w:r w:rsidRPr="0054039C">
        <w:rPr>
          <w:rFonts w:ascii="Arial" w:eastAsia="SimSun" w:hAnsi="Arial" w:cs="Arial"/>
          <w:color w:val="595959" w:themeColor="text1" w:themeTint="A6"/>
        </w:rPr>
        <w:t xml:space="preserve"> where </w:t>
      </w:r>
      <w:r w:rsidR="0078522C">
        <w:rPr>
          <w:rFonts w:ascii="Arial" w:eastAsia="SimSun" w:hAnsi="Arial" w:cs="Arial"/>
          <w:color w:val="595959" w:themeColor="text1" w:themeTint="A6"/>
        </w:rPr>
        <w:t xml:space="preserve">TNC </w:t>
      </w:r>
      <w:r w:rsidRPr="0054039C">
        <w:rPr>
          <w:rFonts w:ascii="Arial" w:eastAsia="SimSun" w:hAnsi="Arial" w:cs="Arial"/>
          <w:color w:val="595959" w:themeColor="text1" w:themeTint="A6"/>
        </w:rPr>
        <w:t xml:space="preserve">transcript expression only increased with </w:t>
      </w:r>
      <w:r w:rsidR="009C305E">
        <w:rPr>
          <w:rFonts w:ascii="Arial" w:eastAsia="SimSun" w:hAnsi="Arial" w:cs="Arial"/>
          <w:color w:val="595959" w:themeColor="text1" w:themeTint="A6"/>
        </w:rPr>
        <w:t xml:space="preserve">the addition of </w:t>
      </w:r>
      <w:r w:rsidRPr="0054039C">
        <w:rPr>
          <w:rFonts w:ascii="Arial" w:eastAsia="SimSun" w:hAnsi="Arial" w:cs="Arial"/>
          <w:color w:val="595959" w:themeColor="text1" w:themeTint="A6"/>
        </w:rPr>
        <w:t>TGF</w:t>
      </w:r>
      <w:r w:rsidRPr="0054039C">
        <w:rPr>
          <w:rFonts w:ascii="Arial" w:eastAsia="SimSun" w:hAnsi="Arial" w:cs="Arial"/>
          <w:color w:val="595959" w:themeColor="text1" w:themeTint="A6"/>
        </w:rPr>
        <w:sym w:font="Symbol" w:char="F062"/>
      </w:r>
      <w:r w:rsidRPr="0054039C">
        <w:rPr>
          <w:rFonts w:ascii="Arial" w:eastAsia="SimSun" w:hAnsi="Arial" w:cs="Arial"/>
          <w:color w:val="595959" w:themeColor="text1" w:themeTint="A6"/>
        </w:rPr>
        <w:t xml:space="preserve">-1. </w:t>
      </w:r>
      <w:r w:rsidR="00F4794C">
        <w:rPr>
          <w:rFonts w:ascii="Arial" w:eastAsia="SimSun" w:hAnsi="Arial" w:cs="Arial"/>
          <w:color w:val="595959" w:themeColor="text1" w:themeTint="A6"/>
        </w:rPr>
        <w:t xml:space="preserve">Evidence </w:t>
      </w:r>
      <w:r w:rsidR="00D82B63">
        <w:rPr>
          <w:rFonts w:ascii="Arial" w:eastAsia="SimSun" w:hAnsi="Arial" w:cs="Arial"/>
          <w:color w:val="595959" w:themeColor="text1" w:themeTint="A6"/>
        </w:rPr>
        <w:t>for the active tran</w:t>
      </w:r>
      <w:r w:rsidRPr="0054039C">
        <w:rPr>
          <w:rFonts w:ascii="Arial" w:eastAsia="SimSun" w:hAnsi="Arial" w:cs="Arial"/>
          <w:color w:val="595959" w:themeColor="text1" w:themeTint="A6"/>
        </w:rPr>
        <w:t>slation of TNC</w:t>
      </w:r>
      <w:r w:rsidR="00F4794C">
        <w:rPr>
          <w:rFonts w:ascii="Arial" w:eastAsia="SimSun" w:hAnsi="Arial" w:cs="Arial"/>
          <w:color w:val="595959" w:themeColor="text1" w:themeTint="A6"/>
        </w:rPr>
        <w:t xml:space="preserve"> </w:t>
      </w:r>
      <w:r w:rsidRPr="0054039C">
        <w:rPr>
          <w:rFonts w:ascii="Arial" w:eastAsia="SimSun" w:hAnsi="Arial" w:cs="Arial"/>
          <w:color w:val="595959" w:themeColor="text1" w:themeTint="A6"/>
        </w:rPr>
        <w:t xml:space="preserve">would be </w:t>
      </w:r>
      <w:r w:rsidR="00D82B63">
        <w:rPr>
          <w:rFonts w:ascii="Arial" w:eastAsia="SimSun" w:hAnsi="Arial" w:cs="Arial"/>
          <w:color w:val="595959" w:themeColor="text1" w:themeTint="A6"/>
        </w:rPr>
        <w:t xml:space="preserve">a </w:t>
      </w:r>
      <w:r w:rsidRPr="0054039C">
        <w:rPr>
          <w:rFonts w:ascii="Arial" w:eastAsia="SimSun" w:hAnsi="Arial" w:cs="Arial"/>
          <w:color w:val="595959" w:themeColor="text1" w:themeTint="A6"/>
        </w:rPr>
        <w:t>beneficial</w:t>
      </w:r>
      <w:r w:rsidR="00D82B63">
        <w:rPr>
          <w:rFonts w:ascii="Arial" w:eastAsia="SimSun" w:hAnsi="Arial" w:cs="Arial"/>
          <w:color w:val="595959" w:themeColor="text1" w:themeTint="A6"/>
        </w:rPr>
        <w:t xml:space="preserve"> observation</w:t>
      </w:r>
      <w:r w:rsidRPr="0054039C">
        <w:rPr>
          <w:rFonts w:ascii="Arial" w:eastAsia="SimSun" w:hAnsi="Arial" w:cs="Arial"/>
          <w:color w:val="595959" w:themeColor="text1" w:themeTint="A6"/>
        </w:rPr>
        <w:t xml:space="preserve"> </w:t>
      </w:r>
      <w:r w:rsidR="00D82B63">
        <w:rPr>
          <w:rFonts w:ascii="Arial" w:eastAsia="SimSun" w:hAnsi="Arial" w:cs="Arial"/>
          <w:color w:val="595959" w:themeColor="text1" w:themeTint="A6"/>
        </w:rPr>
        <w:t>in our</w:t>
      </w:r>
      <w:r w:rsidRPr="0054039C">
        <w:rPr>
          <w:rFonts w:ascii="Arial" w:eastAsia="SimSun" w:hAnsi="Arial" w:cs="Arial"/>
          <w:color w:val="595959" w:themeColor="text1" w:themeTint="A6"/>
        </w:rPr>
        <w:t xml:space="preserve"> CAF samples</w:t>
      </w:r>
      <w:r w:rsidR="00D4073A">
        <w:rPr>
          <w:rFonts w:ascii="Arial" w:eastAsia="SimSun" w:hAnsi="Arial" w:cs="Arial"/>
          <w:color w:val="595959" w:themeColor="text1" w:themeTint="A6"/>
        </w:rPr>
        <w:t xml:space="preserve">. </w:t>
      </w:r>
      <w:r w:rsidR="009E76F0">
        <w:rPr>
          <w:rFonts w:ascii="Arial" w:eastAsia="SimSun" w:hAnsi="Arial" w:cs="Arial"/>
          <w:color w:val="595959" w:themeColor="text1" w:themeTint="A6"/>
        </w:rPr>
        <w:t xml:space="preserve">No TNC protein was detectable at a </w:t>
      </w:r>
      <w:r w:rsidR="00D4073A">
        <w:rPr>
          <w:rFonts w:ascii="Arial" w:eastAsia="SimSun" w:hAnsi="Arial" w:cs="Arial"/>
          <w:color w:val="595959" w:themeColor="text1" w:themeTint="A6"/>
        </w:rPr>
        <w:t>protein</w:t>
      </w:r>
      <w:r w:rsidR="009E76F0">
        <w:rPr>
          <w:rFonts w:ascii="Arial" w:eastAsia="SimSun" w:hAnsi="Arial" w:cs="Arial"/>
          <w:color w:val="595959" w:themeColor="text1" w:themeTint="A6"/>
        </w:rPr>
        <w:t xml:space="preserve"> concentration of </w:t>
      </w:r>
      <w:r w:rsidR="00D01518" w:rsidRPr="0054039C">
        <w:rPr>
          <w:rFonts w:ascii="Arial" w:eastAsia="SimSun" w:hAnsi="Arial" w:cs="Arial"/>
          <w:color w:val="595959" w:themeColor="text1" w:themeTint="A6"/>
        </w:rPr>
        <w:t>10 µg</w:t>
      </w:r>
      <w:r w:rsidR="006A7813">
        <w:rPr>
          <w:rFonts w:ascii="Arial" w:eastAsia="SimSun" w:hAnsi="Arial" w:cs="Arial"/>
          <w:color w:val="595959" w:themeColor="text1" w:themeTint="A6"/>
        </w:rPr>
        <w:t xml:space="preserve">. </w:t>
      </w:r>
      <w:r w:rsidRPr="0054039C">
        <w:rPr>
          <w:rFonts w:ascii="Arial" w:eastAsia="SimSun" w:hAnsi="Arial" w:cs="Arial"/>
          <w:color w:val="595959" w:themeColor="text1" w:themeTint="A6"/>
        </w:rPr>
        <w:t xml:space="preserve">This </w:t>
      </w:r>
      <w:r w:rsidR="0041390F">
        <w:rPr>
          <w:rFonts w:ascii="Arial" w:eastAsia="SimSun" w:hAnsi="Arial" w:cs="Arial"/>
          <w:color w:val="595959" w:themeColor="text1" w:themeTint="A6"/>
        </w:rPr>
        <w:t xml:space="preserve">may </w:t>
      </w:r>
      <w:r w:rsidRPr="0054039C">
        <w:rPr>
          <w:rFonts w:ascii="Arial" w:eastAsia="SimSun" w:hAnsi="Arial" w:cs="Arial"/>
          <w:color w:val="595959" w:themeColor="text1" w:themeTint="A6"/>
        </w:rPr>
        <w:t xml:space="preserve">be due to the </w:t>
      </w:r>
      <w:r w:rsidRPr="0054039C">
        <w:rPr>
          <w:rFonts w:ascii="Arial" w:eastAsia="SimSun" w:hAnsi="Arial" w:cs="Arial"/>
          <w:color w:val="595959" w:themeColor="text1" w:themeTint="A6"/>
        </w:rPr>
        <w:lastRenderedPageBreak/>
        <w:t xml:space="preserve">susceptibility of TNC to degradation by MMP and therefore immunoblotting for degraded fragments may also be indicative of transcribed protein in CAF samples. </w:t>
      </w:r>
    </w:p>
    <w:p w14:paraId="2FCCB76A" w14:textId="476C7081" w:rsidR="0054039C" w:rsidRDefault="0054039C" w:rsidP="0054039C">
      <w:pPr>
        <w:spacing w:line="480" w:lineRule="auto"/>
        <w:jc w:val="both"/>
        <w:rPr>
          <w:rFonts w:ascii="Arial" w:eastAsia="SimSun" w:hAnsi="Arial" w:cs="Arial"/>
          <w:color w:val="595959" w:themeColor="text1" w:themeTint="A6"/>
        </w:rPr>
      </w:pPr>
      <w:r w:rsidRPr="0054039C">
        <w:rPr>
          <w:rFonts w:ascii="Arial" w:eastAsia="SimSun" w:hAnsi="Arial" w:cs="Arial"/>
          <w:color w:val="595959" w:themeColor="text1" w:themeTint="A6"/>
        </w:rPr>
        <w:t>VCAN plays a role in proliferative signalling, evasion of growth suppressor signalling, promotion of tissue invasion and metastasis, angiogenesis, and resistance to cell death by interacting with growth factors and cytokines to modify their activity and involvement in the cancer response (Wight, 2002).</w:t>
      </w:r>
      <w:r w:rsidR="002A4BA0">
        <w:rPr>
          <w:rFonts w:ascii="Arial" w:eastAsia="SimSun" w:hAnsi="Arial" w:cs="Arial"/>
          <w:color w:val="595959" w:themeColor="text1" w:themeTint="A6"/>
        </w:rPr>
        <w:t xml:space="preserve"> </w:t>
      </w:r>
      <w:r w:rsidRPr="0054039C">
        <w:rPr>
          <w:rFonts w:ascii="Arial" w:eastAsia="SimSun" w:hAnsi="Arial" w:cs="Arial"/>
          <w:color w:val="595959" w:themeColor="text1" w:themeTint="A6"/>
        </w:rPr>
        <w:t xml:space="preserve">VCAN expression was </w:t>
      </w:r>
      <w:r w:rsidR="00E641C7">
        <w:rPr>
          <w:rFonts w:ascii="Arial" w:eastAsia="SimSun" w:hAnsi="Arial" w:cs="Arial"/>
          <w:color w:val="595959" w:themeColor="text1" w:themeTint="A6"/>
        </w:rPr>
        <w:t>observed</w:t>
      </w:r>
      <w:r w:rsidRPr="0054039C">
        <w:rPr>
          <w:rFonts w:ascii="Arial" w:eastAsia="SimSun" w:hAnsi="Arial" w:cs="Arial"/>
          <w:color w:val="595959" w:themeColor="text1" w:themeTint="A6"/>
        </w:rPr>
        <w:t xml:space="preserve"> in both CAF controls and significantly upregulated long-term with TGFβ-1 treatment. This was also reflected in the translation into its protein equivalent with </w:t>
      </w:r>
      <w:r w:rsidR="00056F94">
        <w:rPr>
          <w:rFonts w:ascii="Arial" w:eastAsia="SimSun" w:hAnsi="Arial" w:cs="Arial"/>
          <w:color w:val="595959" w:themeColor="text1" w:themeTint="A6"/>
        </w:rPr>
        <w:t xml:space="preserve">its </w:t>
      </w:r>
      <w:r w:rsidRPr="0054039C">
        <w:rPr>
          <w:rFonts w:ascii="Arial" w:eastAsia="SimSun" w:hAnsi="Arial" w:cs="Arial"/>
          <w:color w:val="595959" w:themeColor="text1" w:themeTint="A6"/>
        </w:rPr>
        <w:t>abundance</w:t>
      </w:r>
      <w:r w:rsidR="00056F94">
        <w:rPr>
          <w:rFonts w:ascii="Arial" w:eastAsia="SimSun" w:hAnsi="Arial" w:cs="Arial"/>
          <w:color w:val="595959" w:themeColor="text1" w:themeTint="A6"/>
        </w:rPr>
        <w:t xml:space="preserve"> increased</w:t>
      </w:r>
      <w:r w:rsidRPr="0054039C">
        <w:rPr>
          <w:rFonts w:ascii="Arial" w:eastAsia="SimSun" w:hAnsi="Arial" w:cs="Arial"/>
          <w:color w:val="595959" w:themeColor="text1" w:themeTint="A6"/>
        </w:rPr>
        <w:t xml:space="preserve"> in CAF samples both shot and long-term. This is in agreement with </w:t>
      </w:r>
      <w:r w:rsidR="002A4BA0">
        <w:rPr>
          <w:rFonts w:ascii="Arial" w:eastAsia="SimSun" w:hAnsi="Arial" w:cs="Arial"/>
          <w:color w:val="595959" w:themeColor="text1" w:themeTint="A6"/>
        </w:rPr>
        <w:t xml:space="preserve">the </w:t>
      </w:r>
      <w:r w:rsidRPr="0054039C">
        <w:rPr>
          <w:rFonts w:ascii="Arial" w:eastAsia="SimSun" w:hAnsi="Arial" w:cs="Arial"/>
          <w:color w:val="595959" w:themeColor="text1" w:themeTint="A6"/>
        </w:rPr>
        <w:t xml:space="preserve">current literature indicating an aberrant VCAN functionality and indicative of activated CAF phenotype in OSCC (Melling </w:t>
      </w:r>
      <w:r w:rsidRPr="0054039C">
        <w:rPr>
          <w:rFonts w:ascii="Arial" w:eastAsia="SimSun" w:hAnsi="Arial" w:cs="Arial"/>
          <w:i/>
          <w:iCs/>
          <w:color w:val="595959" w:themeColor="text1" w:themeTint="A6"/>
        </w:rPr>
        <w:t>et al.,</w:t>
      </w:r>
      <w:r w:rsidRPr="0054039C">
        <w:rPr>
          <w:rFonts w:ascii="Arial" w:eastAsia="SimSun" w:hAnsi="Arial" w:cs="Arial"/>
          <w:color w:val="595959" w:themeColor="text1" w:themeTint="A6"/>
        </w:rPr>
        <w:t xml:space="preserve"> 2018, Pukkila </w:t>
      </w:r>
      <w:r w:rsidRPr="0054039C">
        <w:rPr>
          <w:rFonts w:ascii="Arial" w:eastAsia="SimSun" w:hAnsi="Arial" w:cs="Arial"/>
          <w:i/>
          <w:iCs/>
          <w:color w:val="595959" w:themeColor="text1" w:themeTint="A6"/>
        </w:rPr>
        <w:t>et al.,</w:t>
      </w:r>
      <w:r w:rsidRPr="0054039C">
        <w:rPr>
          <w:rFonts w:ascii="Arial" w:eastAsia="SimSun" w:hAnsi="Arial" w:cs="Arial"/>
          <w:color w:val="595959" w:themeColor="text1" w:themeTint="A6"/>
        </w:rPr>
        <w:t xml:space="preserve"> 2002 and Mulini </w:t>
      </w:r>
      <w:r w:rsidRPr="0054039C">
        <w:rPr>
          <w:rFonts w:ascii="Arial" w:eastAsia="SimSun" w:hAnsi="Arial" w:cs="Arial"/>
          <w:i/>
          <w:iCs/>
          <w:color w:val="595959" w:themeColor="text1" w:themeTint="A6"/>
        </w:rPr>
        <w:t>et al.,</w:t>
      </w:r>
      <w:r w:rsidRPr="0054039C">
        <w:rPr>
          <w:rFonts w:ascii="Arial" w:eastAsia="SimSun" w:hAnsi="Arial" w:cs="Arial"/>
          <w:color w:val="595959" w:themeColor="text1" w:themeTint="A6"/>
        </w:rPr>
        <w:t xml:space="preserve"> 2017). </w:t>
      </w:r>
    </w:p>
    <w:p w14:paraId="2624EE4A" w14:textId="1C8F9F8D" w:rsidR="002610E5" w:rsidRPr="0054039C" w:rsidRDefault="002610E5" w:rsidP="0054039C">
      <w:pPr>
        <w:spacing w:line="480" w:lineRule="auto"/>
        <w:jc w:val="both"/>
        <w:rPr>
          <w:rFonts w:ascii="Arial" w:eastAsia="SimSun" w:hAnsi="Arial" w:cs="Arial"/>
          <w:color w:val="595959" w:themeColor="text1" w:themeTint="A6"/>
        </w:rPr>
      </w:pPr>
      <w:r>
        <w:rPr>
          <w:rFonts w:ascii="Arial" w:eastAsia="SimSun" w:hAnsi="Arial" w:cs="Arial"/>
          <w:color w:val="595959" w:themeColor="text1" w:themeTint="A6"/>
        </w:rPr>
        <w:t xml:space="preserve">To confirm, CAF were capable of </w:t>
      </w:r>
      <w:r w:rsidR="00A97F51">
        <w:rPr>
          <w:rFonts w:ascii="Arial" w:eastAsia="SimSun" w:hAnsi="Arial" w:cs="Arial"/>
          <w:color w:val="595959" w:themeColor="text1" w:themeTint="A6"/>
        </w:rPr>
        <w:t>maintaining</w:t>
      </w:r>
      <w:r>
        <w:rPr>
          <w:rFonts w:ascii="Arial" w:eastAsia="SimSun" w:hAnsi="Arial" w:cs="Arial"/>
          <w:color w:val="595959" w:themeColor="text1" w:themeTint="A6"/>
        </w:rPr>
        <w:t xml:space="preserve"> a myofibroblastic phenotype for up to 72 h + 14 days in culture </w:t>
      </w:r>
      <w:r w:rsidR="009C1DA1">
        <w:rPr>
          <w:rFonts w:ascii="Arial" w:eastAsia="SimSun" w:hAnsi="Arial" w:cs="Arial"/>
          <w:color w:val="595959" w:themeColor="text1" w:themeTint="A6"/>
        </w:rPr>
        <w:t xml:space="preserve">in the </w:t>
      </w:r>
      <w:r w:rsidR="00E76D23">
        <w:rPr>
          <w:rFonts w:ascii="Arial" w:eastAsia="SimSun" w:hAnsi="Arial" w:cs="Arial"/>
          <w:color w:val="595959" w:themeColor="text1" w:themeTint="A6"/>
        </w:rPr>
        <w:t xml:space="preserve">absence and </w:t>
      </w:r>
      <w:r w:rsidR="009C1DA1">
        <w:rPr>
          <w:rFonts w:ascii="Arial" w:eastAsia="SimSun" w:hAnsi="Arial" w:cs="Arial"/>
          <w:color w:val="595959" w:themeColor="text1" w:themeTint="A6"/>
        </w:rPr>
        <w:t>presence of TGFβ-1, wi</w:t>
      </w:r>
      <w:r w:rsidR="00A97F51">
        <w:rPr>
          <w:rFonts w:ascii="Arial" w:eastAsia="SimSun" w:hAnsi="Arial" w:cs="Arial"/>
          <w:color w:val="595959" w:themeColor="text1" w:themeTint="A6"/>
        </w:rPr>
        <w:t>th</w:t>
      </w:r>
      <w:r w:rsidR="009C1DA1">
        <w:rPr>
          <w:rFonts w:ascii="Arial" w:eastAsia="SimSun" w:hAnsi="Arial" w:cs="Arial"/>
          <w:color w:val="595959" w:themeColor="text1" w:themeTint="A6"/>
        </w:rPr>
        <w:t xml:space="preserve"> increased expression and abundance </w:t>
      </w:r>
      <w:r w:rsidR="005F3665">
        <w:rPr>
          <w:rFonts w:ascii="Arial" w:eastAsia="SimSun" w:hAnsi="Arial" w:cs="Arial"/>
          <w:color w:val="595959" w:themeColor="text1" w:themeTint="A6"/>
        </w:rPr>
        <w:t xml:space="preserve">of </w:t>
      </w:r>
      <w:r w:rsidR="006505AA">
        <w:rPr>
          <w:rFonts w:ascii="Arial" w:eastAsia="SimSun" w:hAnsi="Arial" w:cs="Arial"/>
          <w:color w:val="595959" w:themeColor="text1" w:themeTint="A6"/>
        </w:rPr>
        <w:t xml:space="preserve">all </w:t>
      </w:r>
      <w:r w:rsidR="005F3665">
        <w:rPr>
          <w:rFonts w:ascii="Arial" w:eastAsia="SimSun" w:hAnsi="Arial" w:cs="Arial"/>
          <w:color w:val="595959" w:themeColor="text1" w:themeTint="A6"/>
        </w:rPr>
        <w:t>myofibroblast markers</w:t>
      </w:r>
      <w:r w:rsidR="00514836">
        <w:rPr>
          <w:rFonts w:ascii="Arial" w:eastAsia="SimSun" w:hAnsi="Arial" w:cs="Arial"/>
          <w:color w:val="595959" w:themeColor="text1" w:themeTint="A6"/>
        </w:rPr>
        <w:t>. The</w:t>
      </w:r>
      <w:r w:rsidR="00D126DA">
        <w:rPr>
          <w:rFonts w:ascii="Arial" w:eastAsia="SimSun" w:hAnsi="Arial" w:cs="Arial"/>
          <w:color w:val="595959" w:themeColor="text1" w:themeTint="A6"/>
        </w:rPr>
        <w:t xml:space="preserve"> </w:t>
      </w:r>
      <w:r w:rsidR="002D1F21">
        <w:rPr>
          <w:rFonts w:ascii="Arial" w:eastAsia="SimSun" w:hAnsi="Arial" w:cs="Arial"/>
          <w:color w:val="595959" w:themeColor="text1" w:themeTint="A6"/>
        </w:rPr>
        <w:t xml:space="preserve">molecular </w:t>
      </w:r>
      <w:r w:rsidR="00514836">
        <w:rPr>
          <w:rFonts w:ascii="Arial" w:eastAsia="SimSun" w:hAnsi="Arial" w:cs="Arial"/>
          <w:color w:val="595959" w:themeColor="text1" w:themeTint="A6"/>
        </w:rPr>
        <w:t>differences detect</w:t>
      </w:r>
      <w:r w:rsidR="00180E16">
        <w:rPr>
          <w:rFonts w:ascii="Arial" w:eastAsia="SimSun" w:hAnsi="Arial" w:cs="Arial"/>
          <w:color w:val="595959" w:themeColor="text1" w:themeTint="A6"/>
        </w:rPr>
        <w:t>able</w:t>
      </w:r>
      <w:r w:rsidR="00514836">
        <w:rPr>
          <w:rFonts w:ascii="Arial" w:eastAsia="SimSun" w:hAnsi="Arial" w:cs="Arial"/>
          <w:color w:val="595959" w:themeColor="text1" w:themeTint="A6"/>
        </w:rPr>
        <w:t xml:space="preserve"> between the NOF and CAF cultures studied here</w:t>
      </w:r>
      <w:r w:rsidR="00D126DA">
        <w:rPr>
          <w:rFonts w:ascii="Arial" w:eastAsia="SimSun" w:hAnsi="Arial" w:cs="Arial"/>
          <w:color w:val="595959" w:themeColor="text1" w:themeTint="A6"/>
        </w:rPr>
        <w:t>,</w:t>
      </w:r>
      <w:r w:rsidR="00F64432">
        <w:rPr>
          <w:rFonts w:ascii="Arial" w:eastAsia="SimSun" w:hAnsi="Arial" w:cs="Arial"/>
          <w:color w:val="595959" w:themeColor="text1" w:themeTint="A6"/>
        </w:rPr>
        <w:t xml:space="preserve"> although from un-matched patient tissue,</w:t>
      </w:r>
      <w:r w:rsidR="00306DFA">
        <w:rPr>
          <w:rFonts w:ascii="Arial" w:eastAsia="SimSun" w:hAnsi="Arial" w:cs="Arial"/>
          <w:color w:val="595959" w:themeColor="text1" w:themeTint="A6"/>
        </w:rPr>
        <w:t xml:space="preserve"> provide evidence for the distinct phenotypic</w:t>
      </w:r>
      <w:r w:rsidR="002D1F21">
        <w:rPr>
          <w:rFonts w:ascii="Arial" w:eastAsia="SimSun" w:hAnsi="Arial" w:cs="Arial"/>
          <w:color w:val="595959" w:themeColor="text1" w:themeTint="A6"/>
        </w:rPr>
        <w:t xml:space="preserve"> changes observed between </w:t>
      </w:r>
      <w:r w:rsidR="009C1A85">
        <w:rPr>
          <w:rFonts w:ascii="Arial" w:eastAsia="SimSun" w:hAnsi="Arial" w:cs="Arial"/>
          <w:color w:val="595959" w:themeColor="text1" w:themeTint="A6"/>
        </w:rPr>
        <w:t>NOF and CAF.</w:t>
      </w:r>
      <w:r w:rsidR="00D126DA">
        <w:rPr>
          <w:rFonts w:ascii="Arial" w:eastAsia="SimSun" w:hAnsi="Arial" w:cs="Arial"/>
          <w:color w:val="595959" w:themeColor="text1" w:themeTint="A6"/>
        </w:rPr>
        <w:t xml:space="preserve"> </w:t>
      </w:r>
      <w:r w:rsidR="00DB7181">
        <w:rPr>
          <w:rFonts w:ascii="Arial" w:eastAsia="SimSun" w:hAnsi="Arial" w:cs="Arial"/>
          <w:color w:val="595959" w:themeColor="text1" w:themeTint="A6"/>
        </w:rPr>
        <w:t>Evidence that</w:t>
      </w:r>
      <w:r w:rsidR="00C02173">
        <w:rPr>
          <w:rFonts w:ascii="Arial" w:eastAsia="SimSun" w:hAnsi="Arial" w:cs="Arial"/>
          <w:color w:val="595959" w:themeColor="text1" w:themeTint="A6"/>
        </w:rPr>
        <w:t xml:space="preserve"> </w:t>
      </w:r>
      <w:r w:rsidR="00DB7181">
        <w:rPr>
          <w:rFonts w:ascii="Arial" w:eastAsia="SimSun" w:hAnsi="Arial" w:cs="Arial"/>
          <w:color w:val="595959" w:themeColor="text1" w:themeTint="A6"/>
        </w:rPr>
        <w:t xml:space="preserve">the </w:t>
      </w:r>
      <w:r w:rsidR="00B35F0F">
        <w:rPr>
          <w:rFonts w:ascii="Arial" w:eastAsia="SimSun" w:hAnsi="Arial" w:cs="Arial"/>
          <w:color w:val="595959" w:themeColor="text1" w:themeTint="A6"/>
        </w:rPr>
        <w:t xml:space="preserve"> oral fibroblasts</w:t>
      </w:r>
      <w:r w:rsidR="00DB7181">
        <w:rPr>
          <w:rFonts w:ascii="Arial" w:eastAsia="SimSun" w:hAnsi="Arial" w:cs="Arial"/>
          <w:color w:val="595959" w:themeColor="text1" w:themeTint="A6"/>
        </w:rPr>
        <w:t xml:space="preserve"> studied here, </w:t>
      </w:r>
      <w:r w:rsidR="00CF62C1">
        <w:rPr>
          <w:rFonts w:ascii="Arial" w:eastAsia="SimSun" w:hAnsi="Arial" w:cs="Arial"/>
          <w:color w:val="595959" w:themeColor="text1" w:themeTint="A6"/>
        </w:rPr>
        <w:t xml:space="preserve">are capable of </w:t>
      </w:r>
      <w:r w:rsidR="004C38DC">
        <w:rPr>
          <w:rFonts w:ascii="Arial" w:eastAsia="SimSun" w:hAnsi="Arial" w:cs="Arial"/>
          <w:color w:val="595959" w:themeColor="text1" w:themeTint="A6"/>
        </w:rPr>
        <w:t>deposit</w:t>
      </w:r>
      <w:r w:rsidR="00CF62C1">
        <w:rPr>
          <w:rFonts w:ascii="Arial" w:eastAsia="SimSun" w:hAnsi="Arial" w:cs="Arial"/>
          <w:color w:val="595959" w:themeColor="text1" w:themeTint="A6"/>
        </w:rPr>
        <w:t xml:space="preserve">ing </w:t>
      </w:r>
      <w:r w:rsidR="00DB7181">
        <w:rPr>
          <w:rFonts w:ascii="Arial" w:eastAsia="SimSun" w:hAnsi="Arial" w:cs="Arial"/>
          <w:color w:val="595959" w:themeColor="text1" w:themeTint="A6"/>
        </w:rPr>
        <w:t>ECM</w:t>
      </w:r>
      <w:r w:rsidR="003126C7">
        <w:rPr>
          <w:rFonts w:ascii="Arial" w:eastAsia="SimSun" w:hAnsi="Arial" w:cs="Arial"/>
          <w:color w:val="595959" w:themeColor="text1" w:themeTint="A6"/>
        </w:rPr>
        <w:t xml:space="preserve"> in</w:t>
      </w:r>
      <w:r w:rsidR="0072527B">
        <w:rPr>
          <w:rFonts w:ascii="Arial" w:eastAsia="SimSun" w:hAnsi="Arial" w:cs="Arial"/>
          <w:color w:val="595959" w:themeColor="text1" w:themeTint="A6"/>
        </w:rPr>
        <w:t xml:space="preserve"> long-term</w:t>
      </w:r>
      <w:r w:rsidR="003126C7">
        <w:rPr>
          <w:rFonts w:ascii="Arial" w:eastAsia="SimSun" w:hAnsi="Arial" w:cs="Arial"/>
          <w:color w:val="595959" w:themeColor="text1" w:themeTint="A6"/>
        </w:rPr>
        <w:t xml:space="preserve"> cultures</w:t>
      </w:r>
      <w:r w:rsidR="00E6319A">
        <w:rPr>
          <w:rFonts w:ascii="Arial" w:eastAsia="SimSun" w:hAnsi="Arial" w:cs="Arial"/>
          <w:color w:val="595959" w:themeColor="text1" w:themeTint="A6"/>
        </w:rPr>
        <w:t>,</w:t>
      </w:r>
      <w:r w:rsidR="004E1A0A">
        <w:rPr>
          <w:rFonts w:ascii="Arial" w:eastAsia="SimSun" w:hAnsi="Arial" w:cs="Arial"/>
          <w:color w:val="595959" w:themeColor="text1" w:themeTint="A6"/>
        </w:rPr>
        <w:t xml:space="preserve"> thus,</w:t>
      </w:r>
      <w:r w:rsidR="00E6319A">
        <w:rPr>
          <w:rFonts w:ascii="Arial" w:eastAsia="SimSun" w:hAnsi="Arial" w:cs="Arial"/>
          <w:color w:val="595959" w:themeColor="text1" w:themeTint="A6"/>
        </w:rPr>
        <w:t xml:space="preserve"> </w:t>
      </w:r>
      <w:r w:rsidR="00CF62C1">
        <w:rPr>
          <w:rFonts w:ascii="Arial" w:eastAsia="SimSun" w:hAnsi="Arial" w:cs="Arial"/>
          <w:color w:val="595959" w:themeColor="text1" w:themeTint="A6"/>
        </w:rPr>
        <w:t>validat</w:t>
      </w:r>
      <w:r w:rsidR="004E1A0A">
        <w:rPr>
          <w:rFonts w:ascii="Arial" w:eastAsia="SimSun" w:hAnsi="Arial" w:cs="Arial"/>
          <w:color w:val="595959" w:themeColor="text1" w:themeTint="A6"/>
        </w:rPr>
        <w:t>ing</w:t>
      </w:r>
      <w:r w:rsidR="00CF62C1">
        <w:rPr>
          <w:rFonts w:ascii="Arial" w:eastAsia="SimSun" w:hAnsi="Arial" w:cs="Arial"/>
          <w:color w:val="595959" w:themeColor="text1" w:themeTint="A6"/>
        </w:rPr>
        <w:t xml:space="preserve"> </w:t>
      </w:r>
      <w:r w:rsidR="003B1D54">
        <w:rPr>
          <w:rFonts w:ascii="Arial" w:eastAsia="SimSun" w:hAnsi="Arial" w:cs="Arial"/>
          <w:color w:val="595959" w:themeColor="text1" w:themeTint="A6"/>
        </w:rPr>
        <w:t xml:space="preserve">their </w:t>
      </w:r>
      <w:r w:rsidR="00CF2789">
        <w:rPr>
          <w:rFonts w:ascii="Arial" w:eastAsia="SimSun" w:hAnsi="Arial" w:cs="Arial"/>
          <w:color w:val="595959" w:themeColor="text1" w:themeTint="A6"/>
        </w:rPr>
        <w:t xml:space="preserve">suitability to be </w:t>
      </w:r>
      <w:r w:rsidR="00CF62C1">
        <w:rPr>
          <w:rFonts w:ascii="Arial" w:eastAsia="SimSun" w:hAnsi="Arial" w:cs="Arial"/>
          <w:color w:val="595959" w:themeColor="text1" w:themeTint="A6"/>
        </w:rPr>
        <w:t xml:space="preserve">further </w:t>
      </w:r>
      <w:r w:rsidR="00CF2789">
        <w:rPr>
          <w:rFonts w:ascii="Arial" w:eastAsia="SimSun" w:hAnsi="Arial" w:cs="Arial"/>
          <w:color w:val="595959" w:themeColor="text1" w:themeTint="A6"/>
        </w:rPr>
        <w:t xml:space="preserve">engineered </w:t>
      </w:r>
      <w:r w:rsidR="00CF62C1">
        <w:rPr>
          <w:rFonts w:ascii="Arial" w:eastAsia="SimSun" w:hAnsi="Arial" w:cs="Arial"/>
          <w:color w:val="595959" w:themeColor="text1" w:themeTint="A6"/>
        </w:rPr>
        <w:t>into</w:t>
      </w:r>
      <w:r w:rsidR="00D7588B">
        <w:rPr>
          <w:rFonts w:ascii="Arial" w:eastAsia="SimSun" w:hAnsi="Arial" w:cs="Arial"/>
          <w:color w:val="595959" w:themeColor="text1" w:themeTint="A6"/>
        </w:rPr>
        <w:t xml:space="preserve"> scaffolds, </w:t>
      </w:r>
      <w:r w:rsidR="005C09E4">
        <w:rPr>
          <w:rFonts w:ascii="Arial" w:eastAsia="SimSun" w:hAnsi="Arial" w:cs="Arial"/>
          <w:color w:val="595959" w:themeColor="text1" w:themeTint="A6"/>
        </w:rPr>
        <w:t>form</w:t>
      </w:r>
      <w:r w:rsidR="00D7588B">
        <w:rPr>
          <w:rFonts w:ascii="Arial" w:eastAsia="SimSun" w:hAnsi="Arial" w:cs="Arial"/>
          <w:color w:val="595959" w:themeColor="text1" w:themeTint="A6"/>
        </w:rPr>
        <w:t>ed by</w:t>
      </w:r>
      <w:r w:rsidR="005C09E4">
        <w:rPr>
          <w:rFonts w:ascii="Arial" w:eastAsia="SimSun" w:hAnsi="Arial" w:cs="Arial"/>
          <w:color w:val="595959" w:themeColor="text1" w:themeTint="A6"/>
        </w:rPr>
        <w:t xml:space="preserve"> </w:t>
      </w:r>
      <w:r w:rsidR="007F54D7">
        <w:rPr>
          <w:rFonts w:ascii="Arial" w:eastAsia="SimSun" w:hAnsi="Arial" w:cs="Arial"/>
          <w:color w:val="595959" w:themeColor="text1" w:themeTint="A6"/>
        </w:rPr>
        <w:t xml:space="preserve">deposition of </w:t>
      </w:r>
      <w:r w:rsidR="00841475">
        <w:rPr>
          <w:rFonts w:ascii="Arial" w:eastAsia="SimSun" w:hAnsi="Arial" w:cs="Arial"/>
          <w:color w:val="595959" w:themeColor="text1" w:themeTint="A6"/>
        </w:rPr>
        <w:t xml:space="preserve">their </w:t>
      </w:r>
      <w:r w:rsidR="00986438">
        <w:rPr>
          <w:rFonts w:ascii="Arial" w:eastAsia="SimSun" w:hAnsi="Arial" w:cs="Arial"/>
          <w:color w:val="595959" w:themeColor="text1" w:themeTint="A6"/>
        </w:rPr>
        <w:t>native ECM</w:t>
      </w:r>
      <w:r w:rsidR="00D7588B">
        <w:rPr>
          <w:rFonts w:ascii="Arial" w:eastAsia="SimSun" w:hAnsi="Arial" w:cs="Arial"/>
          <w:color w:val="595959" w:themeColor="text1" w:themeTint="A6"/>
        </w:rPr>
        <w:t xml:space="preserve">. </w:t>
      </w:r>
    </w:p>
    <w:p w14:paraId="658E7E7D" w14:textId="789C09F9" w:rsidR="006C77F4" w:rsidRDefault="0054039C" w:rsidP="0054039C">
      <w:pPr>
        <w:spacing w:line="480" w:lineRule="auto"/>
        <w:jc w:val="both"/>
        <w:rPr>
          <w:rFonts w:ascii="Arial" w:eastAsia="Times New Roman" w:hAnsi="Arial" w:cs="Arial"/>
          <w:color w:val="595959" w:themeColor="text1" w:themeTint="A6"/>
          <w:lang w:eastAsia="en-GB"/>
        </w:rPr>
      </w:pPr>
      <w:r w:rsidRPr="0054039C">
        <w:rPr>
          <w:rFonts w:ascii="Arial" w:eastAsia="Times New Roman" w:hAnsi="Arial" w:cs="Arial"/>
          <w:color w:val="595959" w:themeColor="text1" w:themeTint="A6"/>
          <w:lang w:eastAsia="en-GB"/>
        </w:rPr>
        <w:t xml:space="preserve">Mechanisms of drug resistance in cancer conferred by the stroma is the result of </w:t>
      </w:r>
      <w:r w:rsidR="003126C7">
        <w:rPr>
          <w:rFonts w:ascii="Arial" w:eastAsia="Times New Roman" w:hAnsi="Arial" w:cs="Arial"/>
          <w:color w:val="595959" w:themeColor="text1" w:themeTint="A6"/>
          <w:lang w:eastAsia="en-GB"/>
        </w:rPr>
        <w:t xml:space="preserve">the </w:t>
      </w:r>
      <w:r w:rsidRPr="0054039C">
        <w:rPr>
          <w:rFonts w:ascii="Arial" w:eastAsia="Times New Roman" w:hAnsi="Arial" w:cs="Arial"/>
          <w:color w:val="595959" w:themeColor="text1" w:themeTint="A6"/>
          <w:lang w:eastAsia="en-GB"/>
        </w:rPr>
        <w:t>modulation of pathways involving cancer cell-ECM interactions, CAF-ECM adhesions as well as CAF</w:t>
      </w:r>
      <w:r w:rsidR="00242646">
        <w:rPr>
          <w:rFonts w:ascii="Arial" w:eastAsia="Times New Roman" w:hAnsi="Arial" w:cs="Arial"/>
          <w:color w:val="595959" w:themeColor="text1" w:themeTint="A6"/>
          <w:lang w:eastAsia="en-GB"/>
        </w:rPr>
        <w:t xml:space="preserve"> </w:t>
      </w:r>
      <w:r w:rsidRPr="0054039C">
        <w:rPr>
          <w:rFonts w:ascii="Arial" w:eastAsia="Times New Roman" w:hAnsi="Arial" w:cs="Arial"/>
          <w:color w:val="595959" w:themeColor="text1" w:themeTint="A6"/>
          <w:lang w:eastAsia="en-GB"/>
        </w:rPr>
        <w:t>signalling (Kalluri, 2016).</w:t>
      </w:r>
      <w:r w:rsidR="00242646">
        <w:rPr>
          <w:rFonts w:ascii="Arial" w:eastAsia="Times New Roman" w:hAnsi="Arial" w:cs="Arial"/>
          <w:color w:val="595959" w:themeColor="text1" w:themeTint="A6"/>
          <w:lang w:eastAsia="en-GB"/>
        </w:rPr>
        <w:t xml:space="preserve"> Therefore, targeting the </w:t>
      </w:r>
      <w:r w:rsidR="004F4970">
        <w:rPr>
          <w:rFonts w:ascii="Arial" w:eastAsia="Times New Roman" w:hAnsi="Arial" w:cs="Arial"/>
          <w:color w:val="595959" w:themeColor="text1" w:themeTint="A6"/>
          <w:lang w:eastAsia="en-GB"/>
        </w:rPr>
        <w:t xml:space="preserve">pathways or processes that lead to the activation of fibroblasts into a myofibroblast phenotype, could </w:t>
      </w:r>
      <w:r w:rsidR="002D537B">
        <w:rPr>
          <w:rFonts w:ascii="Arial" w:eastAsia="Times New Roman" w:hAnsi="Arial" w:cs="Arial"/>
          <w:color w:val="595959" w:themeColor="text1" w:themeTint="A6"/>
          <w:lang w:eastAsia="en-GB"/>
        </w:rPr>
        <w:t>be an effective therapeutic target.</w:t>
      </w:r>
      <w:r w:rsidR="00CF11E9">
        <w:rPr>
          <w:rFonts w:ascii="Arial" w:eastAsia="Times New Roman" w:hAnsi="Arial" w:cs="Arial"/>
          <w:color w:val="595959" w:themeColor="text1" w:themeTint="A6"/>
          <w:lang w:eastAsia="en-GB"/>
        </w:rPr>
        <w:t xml:space="preserve"> </w:t>
      </w:r>
      <w:r w:rsidR="00B60CC5" w:rsidRPr="00B60CC5">
        <w:rPr>
          <w:rFonts w:ascii="Arial" w:eastAsia="Times New Roman" w:hAnsi="Arial" w:cs="Arial"/>
          <w:color w:val="595959" w:themeColor="text1" w:themeTint="A6"/>
          <w:lang w:eastAsia="en-GB"/>
        </w:rPr>
        <w:t>The conversion of non-CAF into CA</w:t>
      </w:r>
      <w:r w:rsidR="00587E10">
        <w:rPr>
          <w:rFonts w:ascii="Arial" w:eastAsia="Times New Roman" w:hAnsi="Arial" w:cs="Arial"/>
          <w:color w:val="595959" w:themeColor="text1" w:themeTint="A6"/>
          <w:lang w:eastAsia="en-GB"/>
        </w:rPr>
        <w:t xml:space="preserve">F </w:t>
      </w:r>
      <w:r w:rsidR="00ED2B65">
        <w:rPr>
          <w:rFonts w:ascii="Arial" w:eastAsia="Times New Roman" w:hAnsi="Arial" w:cs="Arial"/>
          <w:color w:val="595959" w:themeColor="text1" w:themeTint="A6"/>
          <w:lang w:eastAsia="en-GB"/>
        </w:rPr>
        <w:t>is an irreversible process</w:t>
      </w:r>
      <w:r w:rsidR="00B60CC5" w:rsidRPr="00B60CC5">
        <w:rPr>
          <w:rFonts w:ascii="Arial" w:eastAsia="Times New Roman" w:hAnsi="Arial" w:cs="Arial"/>
          <w:color w:val="595959" w:themeColor="text1" w:themeTint="A6"/>
          <w:lang w:eastAsia="en-GB"/>
        </w:rPr>
        <w:t xml:space="preserve"> </w:t>
      </w:r>
      <w:r w:rsidR="00ED2B65">
        <w:rPr>
          <w:rFonts w:ascii="Arial" w:eastAsia="Times New Roman" w:hAnsi="Arial" w:cs="Arial"/>
          <w:color w:val="595959" w:themeColor="text1" w:themeTint="A6"/>
          <w:lang w:eastAsia="en-GB"/>
        </w:rPr>
        <w:t xml:space="preserve">that </w:t>
      </w:r>
      <w:r w:rsidR="00B60CC5" w:rsidRPr="00B60CC5">
        <w:rPr>
          <w:rFonts w:ascii="Arial" w:eastAsia="Times New Roman" w:hAnsi="Arial" w:cs="Arial"/>
          <w:color w:val="595959" w:themeColor="text1" w:themeTint="A6"/>
          <w:lang w:eastAsia="en-GB"/>
        </w:rPr>
        <w:t>occurs through</w:t>
      </w:r>
      <w:r w:rsidR="00ED2B65">
        <w:rPr>
          <w:rFonts w:ascii="Arial" w:eastAsia="Times New Roman" w:hAnsi="Arial" w:cs="Arial"/>
          <w:color w:val="595959" w:themeColor="text1" w:themeTint="A6"/>
          <w:lang w:eastAsia="en-GB"/>
        </w:rPr>
        <w:t xml:space="preserve"> the </w:t>
      </w:r>
      <w:r w:rsidR="0005691B" w:rsidRPr="00B60CC5">
        <w:rPr>
          <w:rFonts w:ascii="Arial" w:eastAsia="Times New Roman" w:hAnsi="Arial" w:cs="Arial"/>
          <w:color w:val="595959" w:themeColor="text1" w:themeTint="A6"/>
          <w:lang w:eastAsia="en-GB"/>
        </w:rPr>
        <w:t>corresponding</w:t>
      </w:r>
      <w:r w:rsidR="00B60CC5" w:rsidRPr="00B60CC5">
        <w:rPr>
          <w:rFonts w:ascii="Arial" w:eastAsia="Times New Roman" w:hAnsi="Arial" w:cs="Arial"/>
          <w:color w:val="595959" w:themeColor="text1" w:themeTint="A6"/>
          <w:lang w:eastAsia="en-GB"/>
        </w:rPr>
        <w:t xml:space="preserve"> action of transcriptional activators/repressors</w:t>
      </w:r>
      <w:r w:rsidR="007C0589">
        <w:rPr>
          <w:rFonts w:ascii="Arial" w:eastAsia="Times New Roman" w:hAnsi="Arial" w:cs="Arial"/>
          <w:color w:val="595959" w:themeColor="text1" w:themeTint="A6"/>
          <w:lang w:eastAsia="en-GB"/>
        </w:rPr>
        <w:t xml:space="preserve">, as well as a repertoire of </w:t>
      </w:r>
      <w:r w:rsidR="00B60CC5" w:rsidRPr="00B60CC5">
        <w:rPr>
          <w:rFonts w:ascii="Arial" w:eastAsia="Times New Roman" w:hAnsi="Arial" w:cs="Arial"/>
          <w:color w:val="595959" w:themeColor="text1" w:themeTint="A6"/>
          <w:lang w:eastAsia="en-GB"/>
        </w:rPr>
        <w:t>genome-wide epigenetic reprogramming mediated by miRNAs and DNA/histone modifying enzymes</w:t>
      </w:r>
      <w:r w:rsidR="00E82FED">
        <w:rPr>
          <w:rFonts w:ascii="Arial" w:eastAsia="Times New Roman" w:hAnsi="Arial" w:cs="Arial"/>
          <w:color w:val="595959" w:themeColor="text1" w:themeTint="A6"/>
          <w:lang w:eastAsia="en-GB"/>
        </w:rPr>
        <w:t xml:space="preserve"> including</w:t>
      </w:r>
      <w:r w:rsidR="00B60CC5" w:rsidRPr="00B60CC5">
        <w:rPr>
          <w:rFonts w:ascii="Arial" w:eastAsia="Times New Roman" w:hAnsi="Arial" w:cs="Arial"/>
          <w:color w:val="595959" w:themeColor="text1" w:themeTint="A6"/>
          <w:lang w:eastAsia="en-GB"/>
        </w:rPr>
        <w:t xml:space="preserve"> histone deacetylases (HDACs)</w:t>
      </w:r>
      <w:r w:rsidR="00E82FED">
        <w:rPr>
          <w:rFonts w:ascii="Arial" w:eastAsia="Times New Roman" w:hAnsi="Arial" w:cs="Arial"/>
          <w:color w:val="595959" w:themeColor="text1" w:themeTint="A6"/>
          <w:lang w:eastAsia="en-GB"/>
        </w:rPr>
        <w:t xml:space="preserve"> (Kim </w:t>
      </w:r>
      <w:r w:rsidR="00E82FED" w:rsidRPr="00E82FED">
        <w:rPr>
          <w:rFonts w:ascii="Arial" w:eastAsia="Times New Roman" w:hAnsi="Arial" w:cs="Arial"/>
          <w:i/>
          <w:iCs/>
          <w:color w:val="595959" w:themeColor="text1" w:themeTint="A6"/>
          <w:lang w:eastAsia="en-GB"/>
        </w:rPr>
        <w:t>et al.,</w:t>
      </w:r>
      <w:r w:rsidR="00E82FED">
        <w:rPr>
          <w:rFonts w:ascii="Arial" w:eastAsia="Times New Roman" w:hAnsi="Arial" w:cs="Arial"/>
          <w:color w:val="595959" w:themeColor="text1" w:themeTint="A6"/>
          <w:lang w:eastAsia="en-GB"/>
        </w:rPr>
        <w:t xml:space="preserve"> 2018</w:t>
      </w:r>
      <w:r w:rsidR="00876FFE">
        <w:rPr>
          <w:rFonts w:ascii="Arial" w:eastAsia="Times New Roman" w:hAnsi="Arial" w:cs="Arial"/>
          <w:color w:val="595959" w:themeColor="text1" w:themeTint="A6"/>
          <w:lang w:eastAsia="en-GB"/>
        </w:rPr>
        <w:t xml:space="preserve">, </w:t>
      </w:r>
      <w:r w:rsidR="009C5DBF">
        <w:rPr>
          <w:rFonts w:ascii="Arial" w:eastAsia="Times New Roman" w:hAnsi="Arial" w:cs="Arial"/>
          <w:color w:val="595959" w:themeColor="text1" w:themeTint="A6"/>
          <w:lang w:eastAsia="en-GB"/>
        </w:rPr>
        <w:t xml:space="preserve">Kalluri, 2016, </w:t>
      </w:r>
      <w:r w:rsidR="004E4CF5">
        <w:rPr>
          <w:rFonts w:ascii="Arial" w:eastAsia="Times New Roman" w:hAnsi="Arial" w:cs="Arial"/>
          <w:color w:val="595959" w:themeColor="text1" w:themeTint="A6"/>
          <w:lang w:eastAsia="en-GB"/>
        </w:rPr>
        <w:t>Zeis</w:t>
      </w:r>
      <w:r w:rsidR="001F4C35">
        <w:rPr>
          <w:rFonts w:ascii="Arial" w:eastAsia="Times New Roman" w:hAnsi="Arial" w:cs="Arial"/>
          <w:color w:val="595959" w:themeColor="text1" w:themeTint="A6"/>
          <w:lang w:eastAsia="en-GB"/>
        </w:rPr>
        <w:t xml:space="preserve">berg </w:t>
      </w:r>
      <w:r w:rsidR="001F4C35">
        <w:rPr>
          <w:rFonts w:ascii="Arial" w:eastAsia="Times New Roman" w:hAnsi="Arial" w:cs="Arial"/>
          <w:color w:val="595959" w:themeColor="text1" w:themeTint="A6"/>
          <w:lang w:eastAsia="en-GB"/>
        </w:rPr>
        <w:lastRenderedPageBreak/>
        <w:t>and Zeisberg, 2013</w:t>
      </w:r>
      <w:r w:rsidR="00260854">
        <w:rPr>
          <w:rFonts w:ascii="Arial" w:eastAsia="Times New Roman" w:hAnsi="Arial" w:cs="Arial"/>
          <w:color w:val="595959" w:themeColor="text1" w:themeTint="A6"/>
          <w:lang w:eastAsia="en-GB"/>
        </w:rPr>
        <w:t>, Mrazek</w:t>
      </w:r>
      <w:r w:rsidR="00260854" w:rsidRPr="0085451B">
        <w:rPr>
          <w:rFonts w:ascii="Arial" w:eastAsia="Times New Roman" w:hAnsi="Arial" w:cs="Arial"/>
          <w:i/>
          <w:iCs/>
          <w:color w:val="595959" w:themeColor="text1" w:themeTint="A6"/>
          <w:lang w:eastAsia="en-GB"/>
        </w:rPr>
        <w:t xml:space="preserve"> et</w:t>
      </w:r>
      <w:r w:rsidR="0085451B">
        <w:rPr>
          <w:rFonts w:ascii="Arial" w:eastAsia="Times New Roman" w:hAnsi="Arial" w:cs="Arial"/>
          <w:i/>
          <w:iCs/>
          <w:color w:val="595959" w:themeColor="text1" w:themeTint="A6"/>
          <w:lang w:eastAsia="en-GB"/>
        </w:rPr>
        <w:t xml:space="preserve"> </w:t>
      </w:r>
      <w:r w:rsidR="00260854" w:rsidRPr="0085451B">
        <w:rPr>
          <w:rFonts w:ascii="Arial" w:eastAsia="Times New Roman" w:hAnsi="Arial" w:cs="Arial"/>
          <w:i/>
          <w:iCs/>
          <w:color w:val="595959" w:themeColor="text1" w:themeTint="A6"/>
          <w:lang w:eastAsia="en-GB"/>
        </w:rPr>
        <w:t xml:space="preserve">al., </w:t>
      </w:r>
      <w:r w:rsidR="00260854">
        <w:rPr>
          <w:rFonts w:ascii="Arial" w:eastAsia="Times New Roman" w:hAnsi="Arial" w:cs="Arial"/>
          <w:color w:val="595959" w:themeColor="text1" w:themeTint="A6"/>
          <w:lang w:eastAsia="en-GB"/>
        </w:rPr>
        <w:t>201</w:t>
      </w:r>
      <w:r w:rsidR="0085451B">
        <w:rPr>
          <w:rFonts w:ascii="Arial" w:eastAsia="Times New Roman" w:hAnsi="Arial" w:cs="Arial"/>
          <w:color w:val="595959" w:themeColor="text1" w:themeTint="A6"/>
          <w:lang w:eastAsia="en-GB"/>
        </w:rPr>
        <w:t xml:space="preserve">4, Li </w:t>
      </w:r>
      <w:r w:rsidR="0085451B" w:rsidRPr="0085451B">
        <w:rPr>
          <w:rFonts w:ascii="Arial" w:eastAsia="Times New Roman" w:hAnsi="Arial" w:cs="Arial"/>
          <w:i/>
          <w:iCs/>
          <w:color w:val="595959" w:themeColor="text1" w:themeTint="A6"/>
          <w:lang w:eastAsia="en-GB"/>
        </w:rPr>
        <w:t>et al.,</w:t>
      </w:r>
      <w:r w:rsidR="0085451B">
        <w:rPr>
          <w:rFonts w:ascii="Arial" w:eastAsia="Times New Roman" w:hAnsi="Arial" w:cs="Arial"/>
          <w:color w:val="595959" w:themeColor="text1" w:themeTint="A6"/>
          <w:lang w:eastAsia="en-GB"/>
        </w:rPr>
        <w:t xml:space="preserve"> 2015</w:t>
      </w:r>
      <w:r w:rsidR="001F4C35">
        <w:rPr>
          <w:rFonts w:ascii="Arial" w:eastAsia="Times New Roman" w:hAnsi="Arial" w:cs="Arial"/>
          <w:color w:val="595959" w:themeColor="text1" w:themeTint="A6"/>
          <w:lang w:eastAsia="en-GB"/>
        </w:rPr>
        <w:t>).</w:t>
      </w:r>
      <w:r w:rsidR="00840EEB">
        <w:rPr>
          <w:rFonts w:ascii="Arial" w:eastAsia="Times New Roman" w:hAnsi="Arial" w:cs="Arial"/>
          <w:color w:val="595959" w:themeColor="text1" w:themeTint="A6"/>
          <w:lang w:eastAsia="en-GB"/>
        </w:rPr>
        <w:t xml:space="preserve"> </w:t>
      </w:r>
      <w:r w:rsidR="00306022">
        <w:rPr>
          <w:rFonts w:ascii="Arial" w:eastAsia="Times New Roman" w:hAnsi="Arial" w:cs="Arial"/>
          <w:color w:val="595959" w:themeColor="text1" w:themeTint="A6"/>
          <w:lang w:eastAsia="en-GB"/>
        </w:rPr>
        <w:t>Scriptaid, a HDAC inhibitor selective for HDAC 1</w:t>
      </w:r>
      <w:r w:rsidR="00264325">
        <w:rPr>
          <w:rFonts w:ascii="Arial" w:eastAsia="Times New Roman" w:hAnsi="Arial" w:cs="Arial"/>
          <w:color w:val="595959" w:themeColor="text1" w:themeTint="A6"/>
          <w:lang w:eastAsia="en-GB"/>
        </w:rPr>
        <w:t>, 3 and</w:t>
      </w:r>
      <w:r w:rsidR="00950B8B">
        <w:rPr>
          <w:rFonts w:ascii="Arial" w:eastAsia="Times New Roman" w:hAnsi="Arial" w:cs="Arial"/>
          <w:color w:val="595959" w:themeColor="text1" w:themeTint="A6"/>
          <w:lang w:eastAsia="en-GB"/>
        </w:rPr>
        <w:t xml:space="preserve"> 8 has been shown to</w:t>
      </w:r>
      <w:r w:rsidR="0028169B">
        <w:rPr>
          <w:rFonts w:ascii="Arial" w:eastAsia="Times New Roman" w:hAnsi="Arial" w:cs="Arial"/>
          <w:color w:val="595959" w:themeColor="text1" w:themeTint="A6"/>
          <w:lang w:eastAsia="en-GB"/>
        </w:rPr>
        <w:t xml:space="preserve"> </w:t>
      </w:r>
      <w:r w:rsidR="0028169B" w:rsidRPr="0028169B">
        <w:rPr>
          <w:rFonts w:ascii="Arial" w:eastAsia="Times New Roman" w:hAnsi="Arial" w:cs="Arial"/>
          <w:color w:val="595959" w:themeColor="text1" w:themeTint="A6"/>
          <w:lang w:eastAsia="en-GB"/>
        </w:rPr>
        <w:t xml:space="preserve">reverse </w:t>
      </w:r>
      <w:r w:rsidR="00B3512B">
        <w:rPr>
          <w:rFonts w:ascii="Arial" w:eastAsia="Times New Roman" w:hAnsi="Arial" w:cs="Arial"/>
          <w:color w:val="595959" w:themeColor="text1" w:themeTint="A6"/>
          <w:lang w:eastAsia="en-GB"/>
        </w:rPr>
        <w:t xml:space="preserve">human </w:t>
      </w:r>
      <w:r w:rsidR="00AB38F6">
        <w:rPr>
          <w:rFonts w:ascii="Arial" w:eastAsia="Times New Roman" w:hAnsi="Arial" w:cs="Arial"/>
          <w:color w:val="595959" w:themeColor="text1" w:themeTint="A6"/>
          <w:lang w:eastAsia="en-GB"/>
        </w:rPr>
        <w:t>CAF-</w:t>
      </w:r>
      <w:r w:rsidR="00AB38F6" w:rsidRPr="0028169B">
        <w:rPr>
          <w:rFonts w:ascii="Arial" w:eastAsia="Times New Roman" w:hAnsi="Arial" w:cs="Arial"/>
          <w:color w:val="595959" w:themeColor="text1" w:themeTint="A6"/>
          <w:lang w:eastAsia="en-GB"/>
        </w:rPr>
        <w:t>features</w:t>
      </w:r>
      <w:r w:rsidR="00B3512B">
        <w:rPr>
          <w:rFonts w:ascii="Arial" w:eastAsia="Times New Roman" w:hAnsi="Arial" w:cs="Arial"/>
          <w:color w:val="595959" w:themeColor="text1" w:themeTint="A6"/>
          <w:lang w:eastAsia="en-GB"/>
        </w:rPr>
        <w:t>,</w:t>
      </w:r>
      <w:r w:rsidR="000D3669">
        <w:rPr>
          <w:rFonts w:ascii="Arial" w:eastAsia="Times New Roman" w:hAnsi="Arial" w:cs="Arial"/>
          <w:color w:val="595959" w:themeColor="text1" w:themeTint="A6"/>
          <w:lang w:eastAsia="en-GB"/>
        </w:rPr>
        <w:t xml:space="preserve"> </w:t>
      </w:r>
      <w:r w:rsidR="0028169B" w:rsidRPr="0028169B">
        <w:rPr>
          <w:rFonts w:ascii="Arial" w:eastAsia="Times New Roman" w:hAnsi="Arial" w:cs="Arial"/>
          <w:color w:val="595959" w:themeColor="text1" w:themeTint="A6"/>
          <w:lang w:eastAsia="en-GB"/>
        </w:rPr>
        <w:t>including their enhanced contractility, abundant ECM expression, and TGFβ pathway activation</w:t>
      </w:r>
      <w:r w:rsidR="00B3512B">
        <w:rPr>
          <w:rFonts w:ascii="Arial" w:eastAsia="Times New Roman" w:hAnsi="Arial" w:cs="Arial"/>
          <w:color w:val="595959" w:themeColor="text1" w:themeTint="A6"/>
          <w:lang w:eastAsia="en-GB"/>
        </w:rPr>
        <w:t xml:space="preserve"> (Kim </w:t>
      </w:r>
      <w:r w:rsidR="00B3512B" w:rsidRPr="0004600D">
        <w:rPr>
          <w:rFonts w:ascii="Arial" w:eastAsia="Times New Roman" w:hAnsi="Arial" w:cs="Arial"/>
          <w:i/>
          <w:iCs/>
          <w:color w:val="595959" w:themeColor="text1" w:themeTint="A6"/>
          <w:lang w:eastAsia="en-GB"/>
        </w:rPr>
        <w:t xml:space="preserve">et al., </w:t>
      </w:r>
      <w:r w:rsidR="0004600D">
        <w:rPr>
          <w:rFonts w:ascii="Arial" w:eastAsia="Times New Roman" w:hAnsi="Arial" w:cs="Arial"/>
          <w:color w:val="595959" w:themeColor="text1" w:themeTint="A6"/>
          <w:lang w:eastAsia="en-GB"/>
        </w:rPr>
        <w:t>2018), but th</w:t>
      </w:r>
      <w:r w:rsidR="005C6A4E">
        <w:rPr>
          <w:rFonts w:ascii="Arial" w:eastAsia="Times New Roman" w:hAnsi="Arial" w:cs="Arial"/>
          <w:color w:val="595959" w:themeColor="text1" w:themeTint="A6"/>
          <w:lang w:eastAsia="en-GB"/>
        </w:rPr>
        <w:t xml:space="preserve">e effect of Scriptaid on reversing the myofibroblastic phenotype </w:t>
      </w:r>
      <w:r w:rsidR="00DB3C9E">
        <w:rPr>
          <w:rFonts w:ascii="Arial" w:eastAsia="Times New Roman" w:hAnsi="Arial" w:cs="Arial"/>
          <w:color w:val="595959" w:themeColor="text1" w:themeTint="A6"/>
          <w:lang w:eastAsia="en-GB"/>
        </w:rPr>
        <w:t xml:space="preserve">in </w:t>
      </w:r>
      <w:r w:rsidR="00CF0B8A">
        <w:rPr>
          <w:rFonts w:ascii="Arial" w:eastAsia="Times New Roman" w:hAnsi="Arial" w:cs="Arial"/>
          <w:color w:val="595959" w:themeColor="text1" w:themeTint="A6"/>
          <w:lang w:eastAsia="en-GB"/>
        </w:rPr>
        <w:t xml:space="preserve"> oral fibroblasts </w:t>
      </w:r>
      <w:r w:rsidR="005C6A4E">
        <w:rPr>
          <w:rFonts w:ascii="Arial" w:eastAsia="Times New Roman" w:hAnsi="Arial" w:cs="Arial"/>
          <w:color w:val="595959" w:themeColor="text1" w:themeTint="A6"/>
          <w:lang w:eastAsia="en-GB"/>
        </w:rPr>
        <w:t xml:space="preserve">has not </w:t>
      </w:r>
      <w:r w:rsidR="00CF0B8A">
        <w:rPr>
          <w:rFonts w:ascii="Arial" w:eastAsia="Times New Roman" w:hAnsi="Arial" w:cs="Arial"/>
          <w:color w:val="595959" w:themeColor="text1" w:themeTint="A6"/>
          <w:lang w:eastAsia="en-GB"/>
        </w:rPr>
        <w:t xml:space="preserve">previously </w:t>
      </w:r>
      <w:r w:rsidR="005C6A4E">
        <w:rPr>
          <w:rFonts w:ascii="Arial" w:eastAsia="Times New Roman" w:hAnsi="Arial" w:cs="Arial"/>
          <w:color w:val="595959" w:themeColor="text1" w:themeTint="A6"/>
          <w:lang w:eastAsia="en-GB"/>
        </w:rPr>
        <w:t xml:space="preserve">been </w:t>
      </w:r>
      <w:r w:rsidR="00FC0365">
        <w:rPr>
          <w:rFonts w:ascii="Arial" w:eastAsia="Times New Roman" w:hAnsi="Arial" w:cs="Arial"/>
          <w:color w:val="595959" w:themeColor="text1" w:themeTint="A6"/>
          <w:lang w:eastAsia="en-GB"/>
        </w:rPr>
        <w:t>re</w:t>
      </w:r>
      <w:r w:rsidR="00CF0B8A">
        <w:rPr>
          <w:rFonts w:ascii="Arial" w:eastAsia="Times New Roman" w:hAnsi="Arial" w:cs="Arial"/>
          <w:color w:val="595959" w:themeColor="text1" w:themeTint="A6"/>
          <w:lang w:eastAsia="en-GB"/>
        </w:rPr>
        <w:t>ported</w:t>
      </w:r>
      <w:r w:rsidR="00FC0365">
        <w:rPr>
          <w:rFonts w:ascii="Arial" w:eastAsia="Times New Roman" w:hAnsi="Arial" w:cs="Arial"/>
          <w:color w:val="595959" w:themeColor="text1" w:themeTint="A6"/>
          <w:lang w:eastAsia="en-GB"/>
        </w:rPr>
        <w:t xml:space="preserve">. </w:t>
      </w:r>
      <w:r w:rsidR="00A64020">
        <w:rPr>
          <w:rFonts w:ascii="Arial" w:eastAsia="Times New Roman" w:hAnsi="Arial" w:cs="Arial"/>
          <w:color w:val="595959" w:themeColor="text1" w:themeTint="A6"/>
          <w:lang w:eastAsia="en-GB"/>
        </w:rPr>
        <w:t>Batimastat</w:t>
      </w:r>
      <w:r w:rsidR="001C5448">
        <w:rPr>
          <w:rFonts w:ascii="Arial" w:eastAsia="Times New Roman" w:hAnsi="Arial" w:cs="Arial"/>
          <w:color w:val="595959" w:themeColor="text1" w:themeTint="A6"/>
          <w:lang w:eastAsia="en-GB"/>
        </w:rPr>
        <w:t xml:space="preserve">, a broad </w:t>
      </w:r>
      <w:r w:rsidR="001C5448" w:rsidRPr="006D022E">
        <w:rPr>
          <w:rFonts w:ascii="Arial" w:eastAsia="Times New Roman" w:hAnsi="Arial" w:cs="Arial"/>
          <w:color w:val="595959" w:themeColor="text1" w:themeTint="A6"/>
          <w:lang w:eastAsia="en-GB"/>
        </w:rPr>
        <w:t>spec</w:t>
      </w:r>
      <w:r w:rsidR="00A761B9" w:rsidRPr="006D022E">
        <w:rPr>
          <w:rFonts w:ascii="Arial" w:eastAsia="Times New Roman" w:hAnsi="Arial" w:cs="Arial"/>
          <w:color w:val="595959" w:themeColor="text1" w:themeTint="A6"/>
          <w:lang w:eastAsia="en-GB"/>
        </w:rPr>
        <w:t>trum</w:t>
      </w:r>
      <w:r w:rsidR="001C5448" w:rsidRPr="006D022E">
        <w:rPr>
          <w:rFonts w:ascii="Arial" w:eastAsia="Times New Roman" w:hAnsi="Arial" w:cs="Arial"/>
          <w:color w:val="595959" w:themeColor="text1" w:themeTint="A6"/>
          <w:lang w:eastAsia="en-GB"/>
        </w:rPr>
        <w:t xml:space="preserve"> MMP inhibitor</w:t>
      </w:r>
      <w:r w:rsidR="00506BC7" w:rsidRPr="006D022E">
        <w:rPr>
          <w:rFonts w:ascii="Arial" w:eastAsia="Times New Roman" w:hAnsi="Arial" w:cs="Arial"/>
          <w:color w:val="595959" w:themeColor="text1" w:themeTint="A6"/>
          <w:lang w:eastAsia="en-GB"/>
        </w:rPr>
        <w:t xml:space="preserve">, </w:t>
      </w:r>
      <w:r w:rsidR="00506BC7">
        <w:rPr>
          <w:rFonts w:ascii="Arial" w:eastAsia="Times New Roman" w:hAnsi="Arial" w:cs="Arial"/>
          <w:color w:val="595959" w:themeColor="text1" w:themeTint="A6"/>
          <w:lang w:eastAsia="en-GB"/>
        </w:rPr>
        <w:t>has shown efficacy in reducing the stro</w:t>
      </w:r>
      <w:r w:rsidR="00631F08">
        <w:rPr>
          <w:rFonts w:ascii="Arial" w:eastAsia="Times New Roman" w:hAnsi="Arial" w:cs="Arial"/>
          <w:color w:val="595959" w:themeColor="text1" w:themeTint="A6"/>
          <w:lang w:eastAsia="en-GB"/>
        </w:rPr>
        <w:t xml:space="preserve">mal burden </w:t>
      </w:r>
      <w:r w:rsidR="00E37F62">
        <w:rPr>
          <w:rFonts w:ascii="Arial" w:eastAsia="Times New Roman" w:hAnsi="Arial" w:cs="Arial"/>
          <w:color w:val="595959" w:themeColor="text1" w:themeTint="A6"/>
          <w:lang w:eastAsia="en-GB"/>
        </w:rPr>
        <w:t xml:space="preserve">in tumourigenesis </w:t>
      </w:r>
      <w:r w:rsidR="00631F08">
        <w:rPr>
          <w:rFonts w:ascii="Arial" w:eastAsia="Times New Roman" w:hAnsi="Arial" w:cs="Arial"/>
          <w:color w:val="595959" w:themeColor="text1" w:themeTint="A6"/>
          <w:lang w:eastAsia="en-GB"/>
        </w:rPr>
        <w:t xml:space="preserve">by inhibiting MMP activity </w:t>
      </w:r>
      <w:r w:rsidR="00631F08" w:rsidRPr="00631F08">
        <w:rPr>
          <w:rFonts w:ascii="Arial" w:eastAsia="Times New Roman" w:hAnsi="Arial" w:cs="Arial"/>
          <w:i/>
          <w:iCs/>
          <w:color w:val="595959" w:themeColor="text1" w:themeTint="A6"/>
          <w:lang w:eastAsia="en-GB"/>
        </w:rPr>
        <w:t>in vitro</w:t>
      </w:r>
      <w:r w:rsidR="00631F08">
        <w:rPr>
          <w:rFonts w:ascii="Arial" w:eastAsia="Times New Roman" w:hAnsi="Arial" w:cs="Arial"/>
          <w:color w:val="595959" w:themeColor="text1" w:themeTint="A6"/>
          <w:lang w:eastAsia="en-GB"/>
        </w:rPr>
        <w:t xml:space="preserve"> and </w:t>
      </w:r>
      <w:r w:rsidR="00631F08" w:rsidRPr="00631F08">
        <w:rPr>
          <w:rFonts w:ascii="Arial" w:eastAsia="Times New Roman" w:hAnsi="Arial" w:cs="Arial"/>
          <w:i/>
          <w:iCs/>
          <w:color w:val="595959" w:themeColor="text1" w:themeTint="A6"/>
          <w:lang w:eastAsia="en-GB"/>
        </w:rPr>
        <w:t>in vivo</w:t>
      </w:r>
      <w:r w:rsidR="00631F08">
        <w:rPr>
          <w:rFonts w:ascii="Arial" w:eastAsia="Times New Roman" w:hAnsi="Arial" w:cs="Arial"/>
          <w:color w:val="595959" w:themeColor="text1" w:themeTint="A6"/>
          <w:lang w:eastAsia="en-GB"/>
        </w:rPr>
        <w:t xml:space="preserve"> (</w:t>
      </w:r>
      <w:r w:rsidR="005F7792">
        <w:rPr>
          <w:rFonts w:ascii="Arial" w:eastAsia="Times New Roman" w:hAnsi="Arial" w:cs="Arial"/>
          <w:color w:val="595959" w:themeColor="text1" w:themeTint="A6"/>
          <w:lang w:eastAsia="en-GB"/>
        </w:rPr>
        <w:t xml:space="preserve">Zobier </w:t>
      </w:r>
      <w:r w:rsidR="005F7792" w:rsidRPr="004541E8">
        <w:rPr>
          <w:rFonts w:ascii="Arial" w:eastAsia="Times New Roman" w:hAnsi="Arial" w:cs="Arial"/>
          <w:i/>
          <w:iCs/>
          <w:color w:val="595959" w:themeColor="text1" w:themeTint="A6"/>
          <w:lang w:eastAsia="en-GB"/>
        </w:rPr>
        <w:t>et al.,</w:t>
      </w:r>
      <w:r w:rsidR="005F7792">
        <w:rPr>
          <w:rFonts w:ascii="Arial" w:eastAsia="Times New Roman" w:hAnsi="Arial" w:cs="Arial"/>
          <w:color w:val="595959" w:themeColor="text1" w:themeTint="A6"/>
          <w:lang w:eastAsia="en-GB"/>
        </w:rPr>
        <w:t xml:space="preserve"> 2001</w:t>
      </w:r>
      <w:r w:rsidR="00560689">
        <w:rPr>
          <w:rFonts w:ascii="Arial" w:eastAsia="Times New Roman" w:hAnsi="Arial" w:cs="Arial"/>
          <w:color w:val="595959" w:themeColor="text1" w:themeTint="A6"/>
          <w:lang w:eastAsia="en-GB"/>
        </w:rPr>
        <w:t>, Brown and Giavazzi, 199</w:t>
      </w:r>
      <w:r w:rsidR="006E7E9D">
        <w:rPr>
          <w:rFonts w:ascii="Arial" w:eastAsia="Times New Roman" w:hAnsi="Arial" w:cs="Arial"/>
          <w:color w:val="595959" w:themeColor="text1" w:themeTint="A6"/>
          <w:lang w:eastAsia="en-GB"/>
        </w:rPr>
        <w:t>5</w:t>
      </w:r>
      <w:r w:rsidR="00A15ADD">
        <w:rPr>
          <w:rFonts w:ascii="Arial" w:eastAsia="Times New Roman" w:hAnsi="Arial" w:cs="Arial"/>
          <w:color w:val="595959" w:themeColor="text1" w:themeTint="A6"/>
          <w:lang w:eastAsia="en-GB"/>
        </w:rPr>
        <w:t xml:space="preserve">, </w:t>
      </w:r>
      <w:r w:rsidR="00100DF9">
        <w:rPr>
          <w:rFonts w:ascii="Arial" w:eastAsia="Times New Roman" w:hAnsi="Arial" w:cs="Arial"/>
          <w:color w:val="595959" w:themeColor="text1" w:themeTint="A6"/>
          <w:lang w:eastAsia="en-GB"/>
        </w:rPr>
        <w:t xml:space="preserve">Sledge </w:t>
      </w:r>
      <w:r w:rsidR="00100DF9" w:rsidRPr="003932AF">
        <w:rPr>
          <w:rFonts w:ascii="Arial" w:eastAsia="Times New Roman" w:hAnsi="Arial" w:cs="Arial"/>
          <w:i/>
          <w:iCs/>
          <w:color w:val="595959" w:themeColor="text1" w:themeTint="A6"/>
          <w:lang w:eastAsia="en-GB"/>
        </w:rPr>
        <w:t>et al.,</w:t>
      </w:r>
      <w:r w:rsidR="00100DF9">
        <w:rPr>
          <w:rFonts w:ascii="Arial" w:eastAsia="Times New Roman" w:hAnsi="Arial" w:cs="Arial"/>
          <w:color w:val="595959" w:themeColor="text1" w:themeTint="A6"/>
          <w:lang w:eastAsia="en-GB"/>
        </w:rPr>
        <w:t xml:space="preserve"> 199</w:t>
      </w:r>
      <w:r w:rsidR="003932AF">
        <w:rPr>
          <w:rFonts w:ascii="Arial" w:eastAsia="Times New Roman" w:hAnsi="Arial" w:cs="Arial"/>
          <w:color w:val="595959" w:themeColor="text1" w:themeTint="A6"/>
          <w:lang w:eastAsia="en-GB"/>
        </w:rPr>
        <w:t xml:space="preserve">5, </w:t>
      </w:r>
      <w:r w:rsidR="00100DF9">
        <w:rPr>
          <w:rFonts w:ascii="Arial" w:eastAsia="Times New Roman" w:hAnsi="Arial" w:cs="Arial"/>
          <w:color w:val="595959" w:themeColor="text1" w:themeTint="A6"/>
          <w:lang w:eastAsia="en-GB"/>
        </w:rPr>
        <w:t>L</w:t>
      </w:r>
      <w:r w:rsidR="00A15ADD">
        <w:rPr>
          <w:rFonts w:ascii="Arial" w:eastAsia="Times New Roman" w:hAnsi="Arial" w:cs="Arial"/>
          <w:color w:val="595959" w:themeColor="text1" w:themeTint="A6"/>
          <w:lang w:eastAsia="en-GB"/>
        </w:rPr>
        <w:t xml:space="preserve">ow </w:t>
      </w:r>
      <w:r w:rsidR="00A15ADD" w:rsidRPr="00A15ADD">
        <w:rPr>
          <w:rFonts w:ascii="Arial" w:eastAsia="Times New Roman" w:hAnsi="Arial" w:cs="Arial"/>
          <w:i/>
          <w:iCs/>
          <w:color w:val="595959" w:themeColor="text1" w:themeTint="A6"/>
          <w:lang w:eastAsia="en-GB"/>
        </w:rPr>
        <w:t xml:space="preserve">et al., </w:t>
      </w:r>
      <w:r w:rsidR="00A15ADD">
        <w:rPr>
          <w:rFonts w:ascii="Arial" w:eastAsia="Times New Roman" w:hAnsi="Arial" w:cs="Arial"/>
          <w:color w:val="595959" w:themeColor="text1" w:themeTint="A6"/>
          <w:lang w:eastAsia="en-GB"/>
        </w:rPr>
        <w:t>1996</w:t>
      </w:r>
      <w:r w:rsidR="005F7792">
        <w:rPr>
          <w:rFonts w:ascii="Arial" w:eastAsia="Times New Roman" w:hAnsi="Arial" w:cs="Arial"/>
          <w:color w:val="595959" w:themeColor="text1" w:themeTint="A6"/>
          <w:lang w:eastAsia="en-GB"/>
        </w:rPr>
        <w:t>)</w:t>
      </w:r>
      <w:r w:rsidR="00A15ADD">
        <w:rPr>
          <w:rFonts w:ascii="Arial" w:eastAsia="Times New Roman" w:hAnsi="Arial" w:cs="Arial"/>
          <w:color w:val="595959" w:themeColor="text1" w:themeTint="A6"/>
          <w:lang w:eastAsia="en-GB"/>
        </w:rPr>
        <w:t>.</w:t>
      </w:r>
      <w:r w:rsidR="007B5909">
        <w:rPr>
          <w:rFonts w:ascii="Arial" w:eastAsia="Times New Roman" w:hAnsi="Arial" w:cs="Arial"/>
          <w:color w:val="595959" w:themeColor="text1" w:themeTint="A6"/>
          <w:lang w:eastAsia="en-GB"/>
        </w:rPr>
        <w:t xml:space="preserve"> T</w:t>
      </w:r>
      <w:r w:rsidR="00A43B01">
        <w:rPr>
          <w:rFonts w:ascii="Arial" w:eastAsia="Times New Roman" w:hAnsi="Arial" w:cs="Arial"/>
          <w:color w:val="595959" w:themeColor="text1" w:themeTint="A6"/>
          <w:lang w:eastAsia="en-GB"/>
        </w:rPr>
        <w:t>he effects of which</w:t>
      </w:r>
      <w:r w:rsidR="007B5909">
        <w:rPr>
          <w:rFonts w:ascii="Arial" w:eastAsia="Times New Roman" w:hAnsi="Arial" w:cs="Arial"/>
          <w:color w:val="595959" w:themeColor="text1" w:themeTint="A6"/>
          <w:lang w:eastAsia="en-GB"/>
        </w:rPr>
        <w:t>, ha</w:t>
      </w:r>
      <w:r w:rsidR="00A43B01">
        <w:rPr>
          <w:rFonts w:ascii="Arial" w:eastAsia="Times New Roman" w:hAnsi="Arial" w:cs="Arial"/>
          <w:color w:val="595959" w:themeColor="text1" w:themeTint="A6"/>
          <w:lang w:eastAsia="en-GB"/>
        </w:rPr>
        <w:t>ve</w:t>
      </w:r>
      <w:r w:rsidR="007B5909">
        <w:rPr>
          <w:rFonts w:ascii="Arial" w:eastAsia="Times New Roman" w:hAnsi="Arial" w:cs="Arial"/>
          <w:color w:val="595959" w:themeColor="text1" w:themeTint="A6"/>
          <w:lang w:eastAsia="en-GB"/>
        </w:rPr>
        <w:t xml:space="preserve"> not been investigated in oral CAF</w:t>
      </w:r>
      <w:r w:rsidR="00A43B01">
        <w:rPr>
          <w:rFonts w:ascii="Arial" w:eastAsia="Times New Roman" w:hAnsi="Arial" w:cs="Arial"/>
          <w:color w:val="595959" w:themeColor="text1" w:themeTint="A6"/>
          <w:lang w:eastAsia="en-GB"/>
        </w:rPr>
        <w:t xml:space="preserve">. </w:t>
      </w:r>
    </w:p>
    <w:p w14:paraId="43147941" w14:textId="18713A00" w:rsidR="00E53B83" w:rsidRDefault="005C0FD7" w:rsidP="00E13998">
      <w:pPr>
        <w:spacing w:line="480" w:lineRule="auto"/>
        <w:jc w:val="both"/>
        <w:rPr>
          <w:rFonts w:ascii="Arial" w:eastAsia="Times New Roman" w:hAnsi="Arial" w:cs="Arial"/>
          <w:color w:val="595959" w:themeColor="text1" w:themeTint="A6"/>
          <w:lang w:eastAsia="en-GB"/>
        </w:rPr>
      </w:pPr>
      <w:r w:rsidRPr="005C0FD7">
        <w:rPr>
          <w:rFonts w:ascii="Arial" w:eastAsia="Times New Roman" w:hAnsi="Arial" w:cs="Arial"/>
          <w:color w:val="595959" w:themeColor="text1" w:themeTint="A6"/>
          <w:lang w:eastAsia="en-GB"/>
        </w:rPr>
        <w:t xml:space="preserve">Here we have used </w:t>
      </w:r>
      <w:r w:rsidR="00D74567">
        <w:rPr>
          <w:rFonts w:ascii="Arial" w:eastAsia="Times New Roman" w:hAnsi="Arial" w:cs="Arial"/>
          <w:color w:val="595959" w:themeColor="text1" w:themeTint="A6"/>
          <w:lang w:eastAsia="en-GB"/>
        </w:rPr>
        <w:t xml:space="preserve">NOF </w:t>
      </w:r>
      <w:r w:rsidRPr="005C0FD7">
        <w:rPr>
          <w:rFonts w:ascii="Arial" w:eastAsia="Times New Roman" w:hAnsi="Arial" w:cs="Arial"/>
          <w:color w:val="595959" w:themeColor="text1" w:themeTint="A6"/>
          <w:lang w:eastAsia="en-GB"/>
        </w:rPr>
        <w:t xml:space="preserve">and </w:t>
      </w:r>
      <w:r w:rsidRPr="003E0F58">
        <w:rPr>
          <w:rFonts w:ascii="Arial" w:eastAsia="Times New Roman" w:hAnsi="Arial" w:cs="Arial"/>
          <w:i/>
          <w:iCs/>
          <w:color w:val="595959" w:themeColor="text1" w:themeTint="A6"/>
          <w:lang w:eastAsia="en-GB"/>
        </w:rPr>
        <w:t>bona fide</w:t>
      </w:r>
      <w:r w:rsidRPr="005C0FD7">
        <w:rPr>
          <w:rFonts w:ascii="Arial" w:eastAsia="Times New Roman" w:hAnsi="Arial" w:cs="Arial"/>
          <w:color w:val="595959" w:themeColor="text1" w:themeTint="A6"/>
          <w:lang w:eastAsia="en-GB"/>
        </w:rPr>
        <w:t xml:space="preserve"> </w:t>
      </w:r>
      <w:r w:rsidR="00D74567">
        <w:rPr>
          <w:rFonts w:ascii="Arial" w:eastAsia="Times New Roman" w:hAnsi="Arial" w:cs="Arial"/>
          <w:color w:val="595959" w:themeColor="text1" w:themeTint="A6"/>
          <w:lang w:eastAsia="en-GB"/>
        </w:rPr>
        <w:t xml:space="preserve">oral </w:t>
      </w:r>
      <w:r w:rsidRPr="005C0FD7">
        <w:rPr>
          <w:rFonts w:ascii="Arial" w:eastAsia="Times New Roman" w:hAnsi="Arial" w:cs="Arial"/>
          <w:color w:val="595959" w:themeColor="text1" w:themeTint="A6"/>
          <w:lang w:eastAsia="en-GB"/>
        </w:rPr>
        <w:t>CAF to explore the epigenetic pathways that promote non-CAF to CAF conversion</w:t>
      </w:r>
      <w:r w:rsidR="003E0F58">
        <w:rPr>
          <w:rFonts w:ascii="Arial" w:eastAsia="Times New Roman" w:hAnsi="Arial" w:cs="Arial"/>
          <w:color w:val="595959" w:themeColor="text1" w:themeTint="A6"/>
          <w:lang w:eastAsia="en-GB"/>
        </w:rPr>
        <w:t>, as well as the effect of inhibiting native pro</w:t>
      </w:r>
      <w:r w:rsidR="0008448F">
        <w:rPr>
          <w:rFonts w:ascii="Arial" w:eastAsia="Times New Roman" w:hAnsi="Arial" w:cs="Arial"/>
          <w:color w:val="595959" w:themeColor="text1" w:themeTint="A6"/>
          <w:lang w:eastAsia="en-GB"/>
        </w:rPr>
        <w:t xml:space="preserve">teases in the </w:t>
      </w:r>
      <w:r w:rsidR="0053127C">
        <w:rPr>
          <w:rFonts w:ascii="Arial" w:eastAsia="Times New Roman" w:hAnsi="Arial" w:cs="Arial"/>
          <w:color w:val="595959" w:themeColor="text1" w:themeTint="A6"/>
          <w:lang w:eastAsia="en-GB"/>
        </w:rPr>
        <w:t>p</w:t>
      </w:r>
      <w:r w:rsidR="0008448F">
        <w:rPr>
          <w:rFonts w:ascii="Arial" w:eastAsia="Times New Roman" w:hAnsi="Arial" w:cs="Arial"/>
          <w:color w:val="595959" w:themeColor="text1" w:themeTint="A6"/>
          <w:lang w:eastAsia="en-GB"/>
        </w:rPr>
        <w:t xml:space="preserve">resence and absence of TGFβ-1. </w:t>
      </w:r>
      <w:r w:rsidR="00D44539">
        <w:rPr>
          <w:rFonts w:ascii="Arial" w:eastAsia="Times New Roman" w:hAnsi="Arial" w:cs="Arial"/>
          <w:color w:val="595959" w:themeColor="text1" w:themeTint="A6"/>
          <w:lang w:eastAsia="en-GB"/>
        </w:rPr>
        <w:t xml:space="preserve">No significant differences </w:t>
      </w:r>
      <w:r w:rsidR="00AB07CC">
        <w:rPr>
          <w:rFonts w:ascii="Arial" w:eastAsia="Times New Roman" w:hAnsi="Arial" w:cs="Arial"/>
          <w:color w:val="595959" w:themeColor="text1" w:themeTint="A6"/>
          <w:lang w:eastAsia="en-GB"/>
        </w:rPr>
        <w:t xml:space="preserve">in expression or abundance </w:t>
      </w:r>
      <w:r w:rsidR="00D44539">
        <w:rPr>
          <w:rFonts w:ascii="Arial" w:eastAsia="Times New Roman" w:hAnsi="Arial" w:cs="Arial"/>
          <w:color w:val="595959" w:themeColor="text1" w:themeTint="A6"/>
          <w:lang w:eastAsia="en-GB"/>
        </w:rPr>
        <w:t>w</w:t>
      </w:r>
      <w:r w:rsidR="00AB07CC">
        <w:rPr>
          <w:rFonts w:ascii="Arial" w:eastAsia="Times New Roman" w:hAnsi="Arial" w:cs="Arial"/>
          <w:color w:val="595959" w:themeColor="text1" w:themeTint="A6"/>
          <w:lang w:eastAsia="en-GB"/>
        </w:rPr>
        <w:t>as</w:t>
      </w:r>
      <w:r w:rsidR="00D44539">
        <w:rPr>
          <w:rFonts w:ascii="Arial" w:eastAsia="Times New Roman" w:hAnsi="Arial" w:cs="Arial"/>
          <w:color w:val="595959" w:themeColor="text1" w:themeTint="A6"/>
          <w:lang w:eastAsia="en-GB"/>
        </w:rPr>
        <w:t xml:space="preserve"> observed for the myofibroblast markers </w:t>
      </w:r>
      <w:r w:rsidR="00AB07CC">
        <w:rPr>
          <w:rFonts w:ascii="Arial" w:eastAsia="Times New Roman" w:hAnsi="Arial" w:cs="Arial"/>
          <w:color w:val="595959" w:themeColor="text1" w:themeTint="A6"/>
          <w:lang w:eastAsia="en-GB"/>
        </w:rPr>
        <w:t xml:space="preserve">in </w:t>
      </w:r>
      <w:r w:rsidR="00A27078">
        <w:rPr>
          <w:rFonts w:ascii="Arial" w:eastAsia="Times New Roman" w:hAnsi="Arial" w:cs="Arial"/>
          <w:color w:val="595959" w:themeColor="text1" w:themeTint="A6"/>
          <w:lang w:eastAsia="en-GB"/>
        </w:rPr>
        <w:t>NOF</w:t>
      </w:r>
      <w:r w:rsidR="00AB07CC">
        <w:rPr>
          <w:rFonts w:ascii="Arial" w:eastAsia="Times New Roman" w:hAnsi="Arial" w:cs="Arial"/>
          <w:color w:val="595959" w:themeColor="text1" w:themeTint="A6"/>
          <w:lang w:eastAsia="en-GB"/>
        </w:rPr>
        <w:t xml:space="preserve"> cultures treated with Scriptaid. </w:t>
      </w:r>
      <w:r w:rsidR="00EF75F1">
        <w:rPr>
          <w:rFonts w:ascii="Arial" w:eastAsia="Times New Roman" w:hAnsi="Arial" w:cs="Arial"/>
          <w:color w:val="595959" w:themeColor="text1" w:themeTint="A6"/>
          <w:lang w:eastAsia="en-GB"/>
        </w:rPr>
        <w:t xml:space="preserve">This </w:t>
      </w:r>
      <w:r w:rsidR="002778F2">
        <w:rPr>
          <w:rFonts w:ascii="Arial" w:eastAsia="Times New Roman" w:hAnsi="Arial" w:cs="Arial"/>
          <w:color w:val="595959" w:themeColor="text1" w:themeTint="A6"/>
          <w:lang w:eastAsia="en-GB"/>
        </w:rPr>
        <w:t>evidences</w:t>
      </w:r>
      <w:r w:rsidR="00EF75F1">
        <w:rPr>
          <w:rFonts w:ascii="Arial" w:eastAsia="Times New Roman" w:hAnsi="Arial" w:cs="Arial"/>
          <w:color w:val="595959" w:themeColor="text1" w:themeTint="A6"/>
          <w:lang w:eastAsia="en-GB"/>
        </w:rPr>
        <w:t xml:space="preserve"> that the </w:t>
      </w:r>
      <w:r w:rsidR="00123190">
        <w:rPr>
          <w:rFonts w:ascii="Arial" w:eastAsia="Times New Roman" w:hAnsi="Arial" w:cs="Arial"/>
          <w:color w:val="595959" w:themeColor="text1" w:themeTint="A6"/>
          <w:lang w:eastAsia="en-GB"/>
        </w:rPr>
        <w:t>NOF</w:t>
      </w:r>
      <w:r w:rsidR="00EF75F1">
        <w:rPr>
          <w:rFonts w:ascii="Arial" w:eastAsia="Times New Roman" w:hAnsi="Arial" w:cs="Arial"/>
          <w:color w:val="595959" w:themeColor="text1" w:themeTint="A6"/>
          <w:lang w:eastAsia="en-GB"/>
        </w:rPr>
        <w:t xml:space="preserve"> studied here</w:t>
      </w:r>
      <w:r w:rsidR="00123190">
        <w:rPr>
          <w:rFonts w:ascii="Arial" w:eastAsia="Times New Roman" w:hAnsi="Arial" w:cs="Arial"/>
          <w:color w:val="595959" w:themeColor="text1" w:themeTint="A6"/>
          <w:lang w:eastAsia="en-GB"/>
        </w:rPr>
        <w:t xml:space="preserve"> </w:t>
      </w:r>
      <w:r w:rsidR="00EF75F1">
        <w:rPr>
          <w:rFonts w:ascii="Arial" w:eastAsia="Times New Roman" w:hAnsi="Arial" w:cs="Arial"/>
          <w:color w:val="595959" w:themeColor="text1" w:themeTint="A6"/>
          <w:lang w:eastAsia="en-GB"/>
        </w:rPr>
        <w:t xml:space="preserve">are </w:t>
      </w:r>
      <w:r w:rsidR="00123190">
        <w:rPr>
          <w:rFonts w:ascii="Arial" w:eastAsia="Times New Roman" w:hAnsi="Arial" w:cs="Arial"/>
          <w:color w:val="595959" w:themeColor="text1" w:themeTint="A6"/>
          <w:lang w:eastAsia="en-GB"/>
        </w:rPr>
        <w:t>epigenetically stable cell</w:t>
      </w:r>
      <w:r w:rsidR="00091DA5">
        <w:rPr>
          <w:rFonts w:ascii="Arial" w:eastAsia="Times New Roman" w:hAnsi="Arial" w:cs="Arial"/>
          <w:color w:val="595959" w:themeColor="text1" w:themeTint="A6"/>
          <w:lang w:eastAsia="en-GB"/>
        </w:rPr>
        <w:t>s</w:t>
      </w:r>
      <w:r w:rsidR="00EF75F1">
        <w:rPr>
          <w:rFonts w:ascii="Arial" w:eastAsia="Times New Roman" w:hAnsi="Arial" w:cs="Arial"/>
          <w:color w:val="595959" w:themeColor="text1" w:themeTint="A6"/>
          <w:lang w:eastAsia="en-GB"/>
        </w:rPr>
        <w:t>,</w:t>
      </w:r>
      <w:r w:rsidR="001D5C38">
        <w:rPr>
          <w:rFonts w:ascii="Arial" w:eastAsia="Times New Roman" w:hAnsi="Arial" w:cs="Arial"/>
          <w:color w:val="595959" w:themeColor="text1" w:themeTint="A6"/>
          <w:lang w:eastAsia="en-GB"/>
        </w:rPr>
        <w:t xml:space="preserve"> </w:t>
      </w:r>
      <w:r w:rsidR="006C66D1">
        <w:rPr>
          <w:rFonts w:ascii="Arial" w:eastAsia="Times New Roman" w:hAnsi="Arial" w:cs="Arial"/>
          <w:color w:val="595959" w:themeColor="text1" w:themeTint="A6"/>
          <w:lang w:eastAsia="en-GB"/>
        </w:rPr>
        <w:t xml:space="preserve">with a reduced sensitivity to the HDACi. </w:t>
      </w:r>
      <w:r w:rsidR="00417A58">
        <w:rPr>
          <w:rFonts w:ascii="Arial" w:eastAsia="Times New Roman" w:hAnsi="Arial" w:cs="Arial"/>
          <w:color w:val="595959" w:themeColor="text1" w:themeTint="A6"/>
          <w:lang w:eastAsia="en-GB"/>
        </w:rPr>
        <w:t>In culture</w:t>
      </w:r>
      <w:r w:rsidR="00732BE6">
        <w:rPr>
          <w:rFonts w:ascii="Arial" w:eastAsia="Times New Roman" w:hAnsi="Arial" w:cs="Arial"/>
          <w:color w:val="595959" w:themeColor="text1" w:themeTint="A6"/>
          <w:lang w:eastAsia="en-GB"/>
        </w:rPr>
        <w:t xml:space="preserve"> at 48 h </w:t>
      </w:r>
      <w:r w:rsidR="003B63FD">
        <w:rPr>
          <w:rFonts w:ascii="Arial" w:eastAsia="Times New Roman" w:hAnsi="Arial" w:cs="Arial"/>
          <w:color w:val="595959" w:themeColor="text1" w:themeTint="A6"/>
          <w:lang w:eastAsia="en-GB"/>
        </w:rPr>
        <w:t xml:space="preserve">NOF </w:t>
      </w:r>
      <w:r w:rsidR="00091DA5">
        <w:rPr>
          <w:rFonts w:ascii="Arial" w:eastAsia="Times New Roman" w:hAnsi="Arial" w:cs="Arial"/>
          <w:color w:val="595959" w:themeColor="text1" w:themeTint="A6"/>
          <w:lang w:eastAsia="en-GB"/>
        </w:rPr>
        <w:t>show</w:t>
      </w:r>
      <w:r w:rsidR="003B63FD">
        <w:rPr>
          <w:rFonts w:ascii="Arial" w:eastAsia="Times New Roman" w:hAnsi="Arial" w:cs="Arial"/>
          <w:color w:val="595959" w:themeColor="text1" w:themeTint="A6"/>
          <w:lang w:eastAsia="en-GB"/>
        </w:rPr>
        <w:t>ed</w:t>
      </w:r>
      <w:r w:rsidR="00091DA5">
        <w:rPr>
          <w:rFonts w:ascii="Arial" w:eastAsia="Times New Roman" w:hAnsi="Arial" w:cs="Arial"/>
          <w:color w:val="595959" w:themeColor="text1" w:themeTint="A6"/>
          <w:lang w:eastAsia="en-GB"/>
        </w:rPr>
        <w:t xml:space="preserve"> </w:t>
      </w:r>
      <w:r w:rsidR="00D44539">
        <w:rPr>
          <w:rFonts w:ascii="Arial" w:eastAsia="Times New Roman" w:hAnsi="Arial" w:cs="Arial"/>
          <w:color w:val="595959" w:themeColor="text1" w:themeTint="A6"/>
          <w:lang w:eastAsia="en-GB"/>
        </w:rPr>
        <w:t>sensitivity to</w:t>
      </w:r>
      <w:r w:rsidR="005462D5">
        <w:rPr>
          <w:rFonts w:ascii="Arial" w:eastAsia="Times New Roman" w:hAnsi="Arial" w:cs="Arial"/>
          <w:color w:val="595959" w:themeColor="text1" w:themeTint="A6"/>
          <w:lang w:eastAsia="en-GB"/>
        </w:rPr>
        <w:t>wards</w:t>
      </w:r>
      <w:r w:rsidR="00091DA5">
        <w:rPr>
          <w:rFonts w:ascii="Arial" w:eastAsia="Times New Roman" w:hAnsi="Arial" w:cs="Arial"/>
          <w:color w:val="595959" w:themeColor="text1" w:themeTint="A6"/>
          <w:lang w:eastAsia="en-GB"/>
        </w:rPr>
        <w:t xml:space="preserve"> treatment with Batimastat, where </w:t>
      </w:r>
      <w:r w:rsidR="000701CA">
        <w:rPr>
          <w:rFonts w:ascii="Arial" w:eastAsia="Times New Roman" w:hAnsi="Arial" w:cs="Arial"/>
          <w:color w:val="595959" w:themeColor="text1" w:themeTint="A6"/>
          <w:lang w:eastAsia="en-GB"/>
        </w:rPr>
        <w:t>FN1-EDA and COL1A1 transcript expression w</w:t>
      </w:r>
      <w:r w:rsidR="00670E3B">
        <w:rPr>
          <w:rFonts w:ascii="Arial" w:eastAsia="Times New Roman" w:hAnsi="Arial" w:cs="Arial"/>
          <w:color w:val="595959" w:themeColor="text1" w:themeTint="A6"/>
          <w:lang w:eastAsia="en-GB"/>
        </w:rPr>
        <w:t>ere</w:t>
      </w:r>
      <w:r w:rsidR="000701CA">
        <w:rPr>
          <w:rFonts w:ascii="Arial" w:eastAsia="Times New Roman" w:hAnsi="Arial" w:cs="Arial"/>
          <w:color w:val="595959" w:themeColor="text1" w:themeTint="A6"/>
          <w:lang w:eastAsia="en-GB"/>
        </w:rPr>
        <w:t xml:space="preserve"> significantly reduced (p &lt;</w:t>
      </w:r>
      <w:r w:rsidR="00E53B83">
        <w:rPr>
          <w:rFonts w:ascii="Arial" w:eastAsia="Times New Roman" w:hAnsi="Arial" w:cs="Arial"/>
          <w:color w:val="595959" w:themeColor="text1" w:themeTint="A6"/>
          <w:lang w:eastAsia="en-GB"/>
        </w:rPr>
        <w:t xml:space="preserve">0.05). </w:t>
      </w:r>
      <w:r w:rsidR="00BF7550">
        <w:rPr>
          <w:rFonts w:ascii="Arial" w:eastAsia="Times New Roman" w:hAnsi="Arial" w:cs="Arial"/>
          <w:color w:val="595959" w:themeColor="text1" w:themeTint="A6"/>
          <w:lang w:eastAsia="en-GB"/>
        </w:rPr>
        <w:t xml:space="preserve">Batimastat targets </w:t>
      </w:r>
      <w:r w:rsidR="00BF7550" w:rsidRPr="0054039C">
        <w:rPr>
          <w:rFonts w:ascii="Arial" w:eastAsia="Times New Roman" w:hAnsi="Arial" w:cs="Arial"/>
          <w:color w:val="595959" w:themeColor="text1" w:themeTint="A6"/>
          <w:lang w:eastAsia="en-GB"/>
        </w:rPr>
        <w:t>MMPs</w:t>
      </w:r>
      <w:r w:rsidR="00D6742C">
        <w:rPr>
          <w:rFonts w:ascii="Arial" w:eastAsia="Times New Roman" w:hAnsi="Arial" w:cs="Arial"/>
          <w:color w:val="595959" w:themeColor="text1" w:themeTint="A6"/>
          <w:lang w:eastAsia="en-GB"/>
        </w:rPr>
        <w:t xml:space="preserve"> and the reduced FN1-EDA</w:t>
      </w:r>
      <w:r w:rsidR="00127609">
        <w:rPr>
          <w:rFonts w:ascii="Arial" w:eastAsia="Times New Roman" w:hAnsi="Arial" w:cs="Arial"/>
          <w:color w:val="595959" w:themeColor="text1" w:themeTint="A6"/>
          <w:lang w:eastAsia="en-GB"/>
        </w:rPr>
        <w:t xml:space="preserve"> protein observed with </w:t>
      </w:r>
      <w:r w:rsidR="00BF7550" w:rsidRPr="0054039C">
        <w:rPr>
          <w:rFonts w:ascii="Arial" w:eastAsia="Times New Roman" w:hAnsi="Arial" w:cs="Arial"/>
          <w:color w:val="595959" w:themeColor="text1" w:themeTint="A6"/>
          <w:lang w:eastAsia="en-GB"/>
        </w:rPr>
        <w:t>TGF</w:t>
      </w:r>
      <w:r w:rsidR="00BF7550" w:rsidRPr="0054039C">
        <w:rPr>
          <w:rFonts w:ascii="Arial" w:eastAsia="Times New Roman" w:hAnsi="Arial" w:cs="Arial"/>
          <w:color w:val="595959" w:themeColor="text1" w:themeTint="A6"/>
          <w:lang w:eastAsia="en-GB"/>
        </w:rPr>
        <w:sym w:font="Symbol" w:char="F062"/>
      </w:r>
      <w:r w:rsidR="00BF7550" w:rsidRPr="0054039C">
        <w:rPr>
          <w:rFonts w:ascii="Arial" w:eastAsia="Times New Roman" w:hAnsi="Arial" w:cs="Arial"/>
          <w:color w:val="595959" w:themeColor="text1" w:themeTint="A6"/>
          <w:lang w:eastAsia="en-GB"/>
        </w:rPr>
        <w:t>-1</w:t>
      </w:r>
      <w:r w:rsidR="00127609">
        <w:rPr>
          <w:rFonts w:ascii="Arial" w:eastAsia="Times New Roman" w:hAnsi="Arial" w:cs="Arial"/>
          <w:color w:val="595959" w:themeColor="text1" w:themeTint="A6"/>
          <w:lang w:eastAsia="en-GB"/>
        </w:rPr>
        <w:t xml:space="preserve">, implicates its role in providing </w:t>
      </w:r>
      <w:r w:rsidR="00BF7550" w:rsidRPr="0054039C">
        <w:rPr>
          <w:rFonts w:ascii="Arial" w:eastAsia="Times New Roman" w:hAnsi="Arial" w:cs="Arial"/>
          <w:color w:val="595959" w:themeColor="text1" w:themeTint="A6"/>
          <w:lang w:eastAsia="en-GB"/>
        </w:rPr>
        <w:t>regulatory activit</w:t>
      </w:r>
      <w:r w:rsidR="00F86D78">
        <w:rPr>
          <w:rFonts w:ascii="Arial" w:eastAsia="Times New Roman" w:hAnsi="Arial" w:cs="Arial"/>
          <w:color w:val="595959" w:themeColor="text1" w:themeTint="A6"/>
          <w:lang w:eastAsia="en-GB"/>
        </w:rPr>
        <w:t xml:space="preserve">y </w:t>
      </w:r>
      <w:r w:rsidR="00BF7550" w:rsidRPr="0054039C">
        <w:rPr>
          <w:rFonts w:ascii="Arial" w:eastAsia="Times New Roman" w:hAnsi="Arial" w:cs="Arial"/>
          <w:color w:val="595959" w:themeColor="text1" w:themeTint="A6"/>
          <w:lang w:eastAsia="en-GB"/>
        </w:rPr>
        <w:t xml:space="preserve">(Margulis </w:t>
      </w:r>
      <w:r w:rsidR="00BF7550" w:rsidRPr="0054039C">
        <w:rPr>
          <w:rFonts w:ascii="Arial" w:eastAsia="Times New Roman" w:hAnsi="Arial" w:cs="Arial"/>
          <w:i/>
          <w:color w:val="595959" w:themeColor="text1" w:themeTint="A6"/>
          <w:lang w:eastAsia="en-GB"/>
        </w:rPr>
        <w:t>et al.,</w:t>
      </w:r>
      <w:r w:rsidR="00BF7550" w:rsidRPr="0054039C">
        <w:rPr>
          <w:rFonts w:ascii="Arial" w:eastAsia="Times New Roman" w:hAnsi="Arial" w:cs="Arial"/>
          <w:color w:val="595959" w:themeColor="text1" w:themeTint="A6"/>
          <w:lang w:eastAsia="en-GB"/>
        </w:rPr>
        <w:t xml:space="preserve"> 2009). </w:t>
      </w:r>
      <w:r w:rsidR="00E53B83">
        <w:rPr>
          <w:rFonts w:ascii="Arial" w:eastAsia="Times New Roman" w:hAnsi="Arial" w:cs="Arial"/>
          <w:color w:val="595959" w:themeColor="text1" w:themeTint="A6"/>
          <w:lang w:eastAsia="en-GB"/>
        </w:rPr>
        <w:t xml:space="preserve">COL1A1 protein abundance did not </w:t>
      </w:r>
      <w:r w:rsidR="0035537E">
        <w:rPr>
          <w:rFonts w:ascii="Arial" w:eastAsia="Times New Roman" w:hAnsi="Arial" w:cs="Arial"/>
          <w:color w:val="595959" w:themeColor="text1" w:themeTint="A6"/>
          <w:lang w:eastAsia="en-GB"/>
        </w:rPr>
        <w:t xml:space="preserve">significantly alter in response to inhibitor treatment in combination with </w:t>
      </w:r>
      <w:r w:rsidR="0035537E">
        <w:rPr>
          <w:rFonts w:ascii="Arial" w:eastAsia="SimSun" w:hAnsi="Arial" w:cs="Arial"/>
          <w:color w:val="595959" w:themeColor="text1" w:themeTint="A6"/>
        </w:rPr>
        <w:t>TGFβ-1</w:t>
      </w:r>
      <w:r w:rsidR="00AA2C87">
        <w:rPr>
          <w:rFonts w:ascii="Arial" w:eastAsia="SimSun" w:hAnsi="Arial" w:cs="Arial"/>
          <w:color w:val="595959" w:themeColor="text1" w:themeTint="A6"/>
        </w:rPr>
        <w:t xml:space="preserve">, but Scriptaid in combination with TGFβ-1 </w:t>
      </w:r>
      <w:r w:rsidR="00EB716F">
        <w:rPr>
          <w:rFonts w:ascii="Arial" w:eastAsia="Times New Roman" w:hAnsi="Arial" w:cs="Arial"/>
          <w:color w:val="595959" w:themeColor="text1" w:themeTint="A6"/>
          <w:lang w:eastAsia="en-GB"/>
        </w:rPr>
        <w:t xml:space="preserve">significant reduced FN1-EDA and αSMA protein </w:t>
      </w:r>
      <w:r w:rsidR="00FB7303">
        <w:rPr>
          <w:rFonts w:ascii="Arial" w:eastAsia="Times New Roman" w:hAnsi="Arial" w:cs="Arial"/>
          <w:color w:val="595959" w:themeColor="text1" w:themeTint="A6"/>
          <w:lang w:eastAsia="en-GB"/>
        </w:rPr>
        <w:t>in NOF cultures</w:t>
      </w:r>
      <w:r w:rsidR="00671A65">
        <w:rPr>
          <w:rFonts w:ascii="Arial" w:eastAsia="Times New Roman" w:hAnsi="Arial" w:cs="Arial"/>
          <w:color w:val="595959" w:themeColor="text1" w:themeTint="A6"/>
          <w:lang w:eastAsia="en-GB"/>
        </w:rPr>
        <w:t xml:space="preserve"> compared to TGFβ-1 treatment alone</w:t>
      </w:r>
      <w:r w:rsidR="00307408">
        <w:rPr>
          <w:rFonts w:ascii="Arial" w:eastAsia="Times New Roman" w:hAnsi="Arial" w:cs="Arial"/>
          <w:color w:val="595959" w:themeColor="text1" w:themeTint="A6"/>
          <w:lang w:eastAsia="en-GB"/>
        </w:rPr>
        <w:t xml:space="preserve">, evidencing myoFB as targets. </w:t>
      </w:r>
      <w:r w:rsidR="00FB7303">
        <w:rPr>
          <w:rFonts w:ascii="Arial" w:eastAsia="Times New Roman" w:hAnsi="Arial" w:cs="Arial"/>
          <w:color w:val="595959" w:themeColor="text1" w:themeTint="A6"/>
          <w:lang w:eastAsia="en-GB"/>
        </w:rPr>
        <w:t xml:space="preserve"> </w:t>
      </w:r>
    </w:p>
    <w:p w14:paraId="5D48649D" w14:textId="7FE8585C" w:rsidR="00F86D78" w:rsidRPr="0054039C" w:rsidRDefault="00E66CCE" w:rsidP="00885015">
      <w:pPr>
        <w:spacing w:line="480" w:lineRule="auto"/>
        <w:jc w:val="both"/>
        <w:rPr>
          <w:rFonts w:ascii="Arial" w:eastAsia="Times New Roman" w:hAnsi="Arial" w:cs="Arial"/>
          <w:color w:val="595959" w:themeColor="text1" w:themeTint="A6"/>
          <w:lang w:eastAsia="en-GB"/>
        </w:rPr>
      </w:pPr>
      <w:r>
        <w:rPr>
          <w:rFonts w:ascii="Arial" w:eastAsia="Times New Roman" w:hAnsi="Arial" w:cs="Arial"/>
          <w:color w:val="595959" w:themeColor="text1" w:themeTint="A6"/>
          <w:lang w:eastAsia="en-GB"/>
        </w:rPr>
        <w:t xml:space="preserve">In </w:t>
      </w:r>
      <w:r w:rsidR="0054039C" w:rsidRPr="0054039C">
        <w:rPr>
          <w:rFonts w:ascii="Arial" w:eastAsia="Times New Roman" w:hAnsi="Arial" w:cs="Arial"/>
          <w:color w:val="595959" w:themeColor="text1" w:themeTint="A6"/>
          <w:lang w:eastAsia="en-GB"/>
        </w:rPr>
        <w:t>contrast</w:t>
      </w:r>
      <w:r w:rsidR="00B754FC">
        <w:rPr>
          <w:rFonts w:ascii="Arial" w:eastAsia="Times New Roman" w:hAnsi="Arial" w:cs="Arial"/>
          <w:color w:val="595959" w:themeColor="text1" w:themeTint="A6"/>
          <w:lang w:eastAsia="en-GB"/>
        </w:rPr>
        <w:t>,</w:t>
      </w:r>
      <w:r w:rsidR="0054039C" w:rsidRPr="0054039C">
        <w:rPr>
          <w:rFonts w:ascii="Arial" w:eastAsia="Times New Roman" w:hAnsi="Arial" w:cs="Arial"/>
          <w:color w:val="595959" w:themeColor="text1" w:themeTint="A6"/>
          <w:lang w:eastAsia="en-GB"/>
        </w:rPr>
        <w:t xml:space="preserve"> </w:t>
      </w:r>
      <w:r w:rsidR="00E37BF3">
        <w:rPr>
          <w:rFonts w:ascii="Arial" w:eastAsia="Times New Roman" w:hAnsi="Arial" w:cs="Arial"/>
          <w:color w:val="595959" w:themeColor="text1" w:themeTint="A6"/>
          <w:lang w:eastAsia="en-GB"/>
        </w:rPr>
        <w:t xml:space="preserve">2D </w:t>
      </w:r>
      <w:r w:rsidR="0054039C" w:rsidRPr="0054039C">
        <w:rPr>
          <w:rFonts w:ascii="Arial" w:eastAsia="Times New Roman" w:hAnsi="Arial" w:cs="Arial"/>
          <w:color w:val="595959" w:themeColor="text1" w:themeTint="A6"/>
          <w:lang w:eastAsia="en-GB"/>
        </w:rPr>
        <w:t>CAF</w:t>
      </w:r>
      <w:r w:rsidR="00E37BF3">
        <w:rPr>
          <w:rFonts w:ascii="Arial" w:eastAsia="Times New Roman" w:hAnsi="Arial" w:cs="Arial"/>
          <w:color w:val="595959" w:themeColor="text1" w:themeTint="A6"/>
          <w:lang w:eastAsia="en-GB"/>
        </w:rPr>
        <w:t xml:space="preserve"> cultures</w:t>
      </w:r>
      <w:r w:rsidR="0064589A">
        <w:rPr>
          <w:rFonts w:ascii="Arial" w:eastAsia="Times New Roman" w:hAnsi="Arial" w:cs="Arial"/>
          <w:color w:val="595959" w:themeColor="text1" w:themeTint="A6"/>
          <w:lang w:eastAsia="en-GB"/>
        </w:rPr>
        <w:t>,</w:t>
      </w:r>
      <w:r w:rsidR="00DB57C9">
        <w:rPr>
          <w:rFonts w:ascii="Arial" w:eastAsia="Times New Roman" w:hAnsi="Arial" w:cs="Arial"/>
          <w:color w:val="595959" w:themeColor="text1" w:themeTint="A6"/>
          <w:lang w:eastAsia="en-GB"/>
        </w:rPr>
        <w:t xml:space="preserve"> </w:t>
      </w:r>
      <w:r w:rsidR="0064589A">
        <w:rPr>
          <w:rFonts w:ascii="Arial" w:eastAsia="Times New Roman" w:hAnsi="Arial" w:cs="Arial"/>
          <w:color w:val="595959" w:themeColor="text1" w:themeTint="A6"/>
          <w:lang w:eastAsia="en-GB"/>
        </w:rPr>
        <w:t xml:space="preserve">showed sensitivity to Batimastat in </w:t>
      </w:r>
      <w:r w:rsidR="00240EBA">
        <w:rPr>
          <w:rFonts w:ascii="Arial" w:eastAsia="Times New Roman" w:hAnsi="Arial" w:cs="Arial"/>
          <w:color w:val="595959" w:themeColor="text1" w:themeTint="A6"/>
          <w:lang w:eastAsia="en-GB"/>
        </w:rPr>
        <w:t>combination</w:t>
      </w:r>
      <w:r w:rsidR="0064589A">
        <w:rPr>
          <w:rFonts w:ascii="Arial" w:eastAsia="Times New Roman" w:hAnsi="Arial" w:cs="Arial"/>
          <w:color w:val="595959" w:themeColor="text1" w:themeTint="A6"/>
          <w:lang w:eastAsia="en-GB"/>
        </w:rPr>
        <w:t xml:space="preserve"> with </w:t>
      </w:r>
      <w:r w:rsidR="00240EBA">
        <w:rPr>
          <w:rFonts w:ascii="Arial" w:eastAsia="Times New Roman" w:hAnsi="Arial" w:cs="Arial"/>
          <w:color w:val="595959" w:themeColor="text1" w:themeTint="A6"/>
          <w:lang w:eastAsia="en-GB"/>
        </w:rPr>
        <w:t xml:space="preserve">TGFβ-1, </w:t>
      </w:r>
      <w:r w:rsidR="008B7144">
        <w:rPr>
          <w:rFonts w:ascii="Arial" w:eastAsia="Times New Roman" w:hAnsi="Arial" w:cs="Arial"/>
          <w:color w:val="595959" w:themeColor="text1" w:themeTint="A6"/>
          <w:lang w:eastAsia="en-GB"/>
        </w:rPr>
        <w:t>in wh</w:t>
      </w:r>
      <w:r w:rsidR="00B2022F">
        <w:rPr>
          <w:rFonts w:ascii="Arial" w:eastAsia="Times New Roman" w:hAnsi="Arial" w:cs="Arial"/>
          <w:color w:val="595959" w:themeColor="text1" w:themeTint="A6"/>
          <w:lang w:eastAsia="en-GB"/>
        </w:rPr>
        <w:t xml:space="preserve">ich </w:t>
      </w:r>
      <w:r w:rsidR="00240EBA">
        <w:rPr>
          <w:rFonts w:ascii="Arial" w:eastAsia="Times New Roman" w:hAnsi="Arial" w:cs="Arial"/>
          <w:color w:val="595959" w:themeColor="text1" w:themeTint="A6"/>
          <w:lang w:eastAsia="en-GB"/>
        </w:rPr>
        <w:t>αSMA, FN1-EDA, and COL1A1</w:t>
      </w:r>
      <w:r w:rsidR="00FA3BA6">
        <w:rPr>
          <w:rFonts w:ascii="Arial" w:eastAsia="Times New Roman" w:hAnsi="Arial" w:cs="Arial"/>
          <w:color w:val="595959" w:themeColor="text1" w:themeTint="A6"/>
          <w:lang w:eastAsia="en-GB"/>
        </w:rPr>
        <w:t xml:space="preserve"> </w:t>
      </w:r>
      <w:r w:rsidR="00B2022F">
        <w:rPr>
          <w:rFonts w:ascii="Arial" w:eastAsia="Times New Roman" w:hAnsi="Arial" w:cs="Arial"/>
          <w:color w:val="595959" w:themeColor="text1" w:themeTint="A6"/>
          <w:lang w:eastAsia="en-GB"/>
        </w:rPr>
        <w:t xml:space="preserve">protein abundance, </w:t>
      </w:r>
      <w:r w:rsidR="00240EBA">
        <w:rPr>
          <w:rFonts w:ascii="Arial" w:eastAsia="Times New Roman" w:hAnsi="Arial" w:cs="Arial"/>
          <w:color w:val="595959" w:themeColor="text1" w:themeTint="A6"/>
          <w:lang w:eastAsia="en-GB"/>
        </w:rPr>
        <w:t>reduced</w:t>
      </w:r>
      <w:r w:rsidR="00880FEE">
        <w:rPr>
          <w:rFonts w:ascii="Arial" w:eastAsia="Times New Roman" w:hAnsi="Arial" w:cs="Arial"/>
          <w:color w:val="595959" w:themeColor="text1" w:themeTint="A6"/>
          <w:lang w:eastAsia="en-GB"/>
        </w:rPr>
        <w:t xml:space="preserve"> significantly</w:t>
      </w:r>
      <w:r w:rsidR="00B2022F">
        <w:rPr>
          <w:rFonts w:ascii="Arial" w:eastAsia="Times New Roman" w:hAnsi="Arial" w:cs="Arial"/>
          <w:color w:val="595959" w:themeColor="text1" w:themeTint="A6"/>
          <w:lang w:eastAsia="en-GB"/>
        </w:rPr>
        <w:t>,</w:t>
      </w:r>
      <w:r w:rsidR="00240EBA">
        <w:rPr>
          <w:rFonts w:ascii="Arial" w:eastAsia="Times New Roman" w:hAnsi="Arial" w:cs="Arial"/>
          <w:color w:val="595959" w:themeColor="text1" w:themeTint="A6"/>
          <w:lang w:eastAsia="en-GB"/>
        </w:rPr>
        <w:t xml:space="preserve"> compared to </w:t>
      </w:r>
      <w:r w:rsidR="00C06037">
        <w:rPr>
          <w:rFonts w:ascii="Arial" w:eastAsia="Times New Roman" w:hAnsi="Arial" w:cs="Arial"/>
          <w:color w:val="595959" w:themeColor="text1" w:themeTint="A6"/>
          <w:lang w:eastAsia="en-GB"/>
        </w:rPr>
        <w:t>CAF in the presence of TGFβ-1</w:t>
      </w:r>
      <w:r w:rsidR="00B2022F">
        <w:rPr>
          <w:rFonts w:ascii="Arial" w:eastAsia="Times New Roman" w:hAnsi="Arial" w:cs="Arial"/>
          <w:color w:val="595959" w:themeColor="text1" w:themeTint="A6"/>
          <w:lang w:eastAsia="en-GB"/>
        </w:rPr>
        <w:t xml:space="preserve"> alone. </w:t>
      </w:r>
      <w:r w:rsidR="00880FEE">
        <w:rPr>
          <w:rFonts w:ascii="Arial" w:eastAsia="Times New Roman" w:hAnsi="Arial" w:cs="Arial"/>
          <w:color w:val="595959" w:themeColor="text1" w:themeTint="A6"/>
          <w:lang w:eastAsia="en-GB"/>
        </w:rPr>
        <w:t>The role of TGFβ-1 in MMP regulation has been well established</w:t>
      </w:r>
      <w:r w:rsidR="001E0EA5">
        <w:rPr>
          <w:rFonts w:ascii="Arial" w:eastAsia="Times New Roman" w:hAnsi="Arial" w:cs="Arial"/>
          <w:color w:val="595959" w:themeColor="text1" w:themeTint="A6"/>
          <w:lang w:eastAsia="en-GB"/>
        </w:rPr>
        <w:t xml:space="preserve"> (</w:t>
      </w:r>
      <w:r w:rsidR="001E0EA5" w:rsidRPr="001E0EA5">
        <w:rPr>
          <w:rFonts w:ascii="Arial" w:eastAsia="Times New Roman" w:hAnsi="Arial" w:cs="Arial"/>
          <w:color w:val="595959" w:themeColor="text1" w:themeTint="A6"/>
          <w:lang w:eastAsia="en-GB"/>
        </w:rPr>
        <w:t>Jabło</w:t>
      </w:r>
      <w:r w:rsidR="00E34D20">
        <w:rPr>
          <w:rFonts w:ascii="Arial" w:eastAsia="Times New Roman" w:hAnsi="Arial" w:cs="Arial"/>
          <w:color w:val="595959" w:themeColor="text1" w:themeTint="A6"/>
          <w:lang w:eastAsia="en-GB"/>
        </w:rPr>
        <w:t>ń</w:t>
      </w:r>
      <w:r w:rsidR="001E0EA5" w:rsidRPr="001E0EA5">
        <w:rPr>
          <w:rFonts w:ascii="Arial" w:eastAsia="Times New Roman" w:hAnsi="Arial" w:cs="Arial"/>
          <w:color w:val="595959" w:themeColor="text1" w:themeTint="A6"/>
          <w:lang w:eastAsia="en-GB"/>
        </w:rPr>
        <w:t>ska-Trypuc</w:t>
      </w:r>
      <w:r w:rsidR="001E0EA5">
        <w:rPr>
          <w:rFonts w:ascii="Arial" w:eastAsia="Times New Roman" w:hAnsi="Arial" w:cs="Arial"/>
          <w:color w:val="595959" w:themeColor="text1" w:themeTint="A6"/>
          <w:lang w:eastAsia="en-GB"/>
        </w:rPr>
        <w:t xml:space="preserve"> </w:t>
      </w:r>
      <w:r w:rsidR="001E0EA5" w:rsidRPr="001E0EA5">
        <w:rPr>
          <w:rFonts w:ascii="Arial" w:eastAsia="Times New Roman" w:hAnsi="Arial" w:cs="Arial"/>
          <w:i/>
          <w:iCs/>
          <w:color w:val="595959" w:themeColor="text1" w:themeTint="A6"/>
          <w:lang w:eastAsia="en-GB"/>
        </w:rPr>
        <w:t>et al.,</w:t>
      </w:r>
      <w:r w:rsidR="001E0EA5">
        <w:rPr>
          <w:rFonts w:ascii="Arial" w:eastAsia="Times New Roman" w:hAnsi="Arial" w:cs="Arial"/>
          <w:color w:val="595959" w:themeColor="text1" w:themeTint="A6"/>
          <w:lang w:eastAsia="en-GB"/>
        </w:rPr>
        <w:t xml:space="preserve"> 2016)</w:t>
      </w:r>
      <w:r w:rsidR="00E84C2C">
        <w:rPr>
          <w:rFonts w:ascii="Arial" w:eastAsia="Times New Roman" w:hAnsi="Arial" w:cs="Arial"/>
          <w:color w:val="595959" w:themeColor="text1" w:themeTint="A6"/>
          <w:lang w:eastAsia="en-GB"/>
        </w:rPr>
        <w:t>, and therefore in the presence of TGFβ-1</w:t>
      </w:r>
      <w:r w:rsidR="00182507">
        <w:rPr>
          <w:rFonts w:ascii="Arial" w:eastAsia="Times New Roman" w:hAnsi="Arial" w:cs="Arial"/>
          <w:color w:val="595959" w:themeColor="text1" w:themeTint="A6"/>
          <w:lang w:eastAsia="en-GB"/>
        </w:rPr>
        <w:t xml:space="preserve">, Batimastat may be exhibiting an inhibitory effect. </w:t>
      </w:r>
      <w:r w:rsidR="00CF6293">
        <w:rPr>
          <w:rFonts w:ascii="Arial" w:eastAsia="Times New Roman" w:hAnsi="Arial" w:cs="Arial"/>
          <w:color w:val="595959" w:themeColor="text1" w:themeTint="A6"/>
          <w:lang w:eastAsia="en-GB"/>
        </w:rPr>
        <w:t xml:space="preserve">Scriptaid </w:t>
      </w:r>
      <w:r w:rsidR="00B5756D">
        <w:rPr>
          <w:rFonts w:ascii="Arial" w:eastAsia="Times New Roman" w:hAnsi="Arial" w:cs="Arial"/>
          <w:color w:val="595959" w:themeColor="text1" w:themeTint="A6"/>
          <w:lang w:eastAsia="en-GB"/>
        </w:rPr>
        <w:t xml:space="preserve">treatment </w:t>
      </w:r>
      <w:r w:rsidR="00BA63CC">
        <w:rPr>
          <w:rFonts w:ascii="Arial" w:eastAsia="Times New Roman" w:hAnsi="Arial" w:cs="Arial"/>
          <w:color w:val="595959" w:themeColor="text1" w:themeTint="A6"/>
          <w:lang w:eastAsia="en-GB"/>
        </w:rPr>
        <w:t xml:space="preserve">did not </w:t>
      </w:r>
      <w:r w:rsidR="00520E56">
        <w:rPr>
          <w:rFonts w:ascii="Arial" w:eastAsia="Times New Roman" w:hAnsi="Arial" w:cs="Arial"/>
          <w:color w:val="595959" w:themeColor="text1" w:themeTint="A6"/>
          <w:lang w:eastAsia="en-GB"/>
        </w:rPr>
        <w:t xml:space="preserve">significantly alter transcript expression in </w:t>
      </w:r>
      <w:r w:rsidR="00B5756D">
        <w:rPr>
          <w:rFonts w:ascii="Arial" w:eastAsia="Times New Roman" w:hAnsi="Arial" w:cs="Arial"/>
          <w:color w:val="595959" w:themeColor="text1" w:themeTint="A6"/>
          <w:lang w:eastAsia="en-GB"/>
        </w:rPr>
        <w:t>CAF cultures at 48 h</w:t>
      </w:r>
      <w:r w:rsidR="00520E56">
        <w:rPr>
          <w:rFonts w:ascii="Arial" w:eastAsia="Times New Roman" w:hAnsi="Arial" w:cs="Arial"/>
          <w:color w:val="595959" w:themeColor="text1" w:themeTint="A6"/>
          <w:lang w:eastAsia="en-GB"/>
        </w:rPr>
        <w:t xml:space="preserve">. </w:t>
      </w:r>
      <w:r w:rsidR="0081247C">
        <w:rPr>
          <w:rFonts w:ascii="Arial" w:eastAsia="Times New Roman" w:hAnsi="Arial" w:cs="Arial"/>
          <w:color w:val="595959" w:themeColor="text1" w:themeTint="A6"/>
          <w:lang w:eastAsia="en-GB"/>
        </w:rPr>
        <w:t xml:space="preserve">FN1-EA protein </w:t>
      </w:r>
      <w:r w:rsidR="00B5756D">
        <w:rPr>
          <w:rFonts w:ascii="Arial" w:eastAsia="Times New Roman" w:hAnsi="Arial" w:cs="Arial"/>
          <w:color w:val="595959" w:themeColor="text1" w:themeTint="A6"/>
          <w:lang w:eastAsia="en-GB"/>
        </w:rPr>
        <w:t xml:space="preserve">significantly reduced </w:t>
      </w:r>
      <w:r w:rsidR="0081247C">
        <w:rPr>
          <w:rFonts w:ascii="Arial" w:eastAsia="Times New Roman" w:hAnsi="Arial" w:cs="Arial"/>
          <w:color w:val="595959" w:themeColor="text1" w:themeTint="A6"/>
          <w:lang w:eastAsia="en-GB"/>
        </w:rPr>
        <w:t xml:space="preserve">in its presence, as well as reducing </w:t>
      </w:r>
      <w:r w:rsidR="005A7974">
        <w:rPr>
          <w:rFonts w:ascii="Arial" w:eastAsia="Times New Roman" w:hAnsi="Arial" w:cs="Arial"/>
          <w:color w:val="595959" w:themeColor="text1" w:themeTint="A6"/>
          <w:lang w:eastAsia="en-GB"/>
        </w:rPr>
        <w:t>when the HDACi was used in combination therapy with TGFβ-</w:t>
      </w:r>
      <w:r w:rsidR="005A7974">
        <w:rPr>
          <w:rFonts w:ascii="Arial" w:eastAsia="Times New Roman" w:hAnsi="Arial" w:cs="Arial"/>
          <w:color w:val="595959" w:themeColor="text1" w:themeTint="A6"/>
          <w:lang w:eastAsia="en-GB"/>
        </w:rPr>
        <w:lastRenderedPageBreak/>
        <w:t>1</w:t>
      </w:r>
      <w:r w:rsidR="00470187">
        <w:rPr>
          <w:rFonts w:ascii="Arial" w:eastAsia="Times New Roman" w:hAnsi="Arial" w:cs="Arial"/>
          <w:color w:val="595959" w:themeColor="text1" w:themeTint="A6"/>
          <w:lang w:eastAsia="en-GB"/>
        </w:rPr>
        <w:t xml:space="preserve">. This was also observable for COL1A1 protein, which also visibly reduced. These </w:t>
      </w:r>
      <w:r w:rsidR="009D4B5A">
        <w:rPr>
          <w:rFonts w:ascii="Arial" w:eastAsia="Times New Roman" w:hAnsi="Arial" w:cs="Arial"/>
          <w:color w:val="595959" w:themeColor="text1" w:themeTint="A6"/>
          <w:lang w:eastAsia="en-GB"/>
        </w:rPr>
        <w:t xml:space="preserve">preliminary </w:t>
      </w:r>
      <w:r w:rsidR="00470187">
        <w:rPr>
          <w:rFonts w:ascii="Arial" w:eastAsia="Times New Roman" w:hAnsi="Arial" w:cs="Arial"/>
          <w:color w:val="595959" w:themeColor="text1" w:themeTint="A6"/>
          <w:lang w:eastAsia="en-GB"/>
        </w:rPr>
        <w:t>results indicate that</w:t>
      </w:r>
      <w:r w:rsidR="009D4B5A">
        <w:rPr>
          <w:rFonts w:ascii="Arial" w:eastAsia="Times New Roman" w:hAnsi="Arial" w:cs="Arial"/>
          <w:color w:val="595959" w:themeColor="text1" w:themeTint="A6"/>
          <w:lang w:eastAsia="en-GB"/>
        </w:rPr>
        <w:t>, Scriptaid</w:t>
      </w:r>
      <w:r w:rsidR="006017A8">
        <w:rPr>
          <w:rFonts w:ascii="Arial" w:eastAsia="Times New Roman" w:hAnsi="Arial" w:cs="Arial"/>
          <w:color w:val="595959" w:themeColor="text1" w:themeTint="A6"/>
          <w:lang w:eastAsia="en-GB"/>
        </w:rPr>
        <w:t xml:space="preserve"> and Batimastat</w:t>
      </w:r>
      <w:r w:rsidR="009D4B5A">
        <w:rPr>
          <w:rFonts w:ascii="Arial" w:eastAsia="Times New Roman" w:hAnsi="Arial" w:cs="Arial"/>
          <w:color w:val="595959" w:themeColor="text1" w:themeTint="A6"/>
          <w:lang w:eastAsia="en-GB"/>
        </w:rPr>
        <w:t xml:space="preserve"> may be reversing some CAF phenotypic traits in 2D at 48 h</w:t>
      </w:r>
      <w:r w:rsidR="006017A8">
        <w:rPr>
          <w:rFonts w:ascii="Arial" w:eastAsia="Times New Roman" w:hAnsi="Arial" w:cs="Arial"/>
          <w:color w:val="595959" w:themeColor="text1" w:themeTint="A6"/>
          <w:lang w:eastAsia="en-GB"/>
        </w:rPr>
        <w:t xml:space="preserve"> and should be further investigated. Some of the n</w:t>
      </w:r>
      <w:r w:rsidR="0054039C" w:rsidRPr="0054039C">
        <w:rPr>
          <w:rFonts w:ascii="Arial" w:eastAsia="Times New Roman" w:hAnsi="Arial" w:cs="Arial"/>
          <w:color w:val="595959" w:themeColor="text1" w:themeTint="A6"/>
          <w:lang w:eastAsia="en-GB"/>
        </w:rPr>
        <w:t xml:space="preserve">on-significant changes in protein abundance in CAF as a result of Scriptaid treatment may be improved with altering the time-course of treatment. Longer-term treatment time-points would give additional information on the permanency of these results and their application for </w:t>
      </w:r>
      <w:r w:rsidR="00BA2E0F">
        <w:rPr>
          <w:rFonts w:ascii="Arial" w:eastAsia="Times New Roman" w:hAnsi="Arial" w:cs="Arial"/>
          <w:color w:val="595959" w:themeColor="text1" w:themeTint="A6"/>
          <w:lang w:eastAsia="en-GB"/>
        </w:rPr>
        <w:t>dosage regimens in</w:t>
      </w:r>
      <w:r w:rsidR="0054039C" w:rsidRPr="0054039C">
        <w:rPr>
          <w:rFonts w:ascii="Arial" w:eastAsia="Times New Roman" w:hAnsi="Arial" w:cs="Arial"/>
          <w:color w:val="595959" w:themeColor="text1" w:themeTint="A6"/>
          <w:lang w:eastAsia="en-GB"/>
        </w:rPr>
        <w:t xml:space="preserve"> </w:t>
      </w:r>
      <w:r w:rsidR="0054039C" w:rsidRPr="0054039C">
        <w:rPr>
          <w:rFonts w:ascii="Arial" w:eastAsia="Times New Roman" w:hAnsi="Arial" w:cs="Arial"/>
          <w:i/>
          <w:color w:val="595959" w:themeColor="text1" w:themeTint="A6"/>
          <w:lang w:eastAsia="en-GB"/>
        </w:rPr>
        <w:t xml:space="preserve">in vivo </w:t>
      </w:r>
      <w:r w:rsidR="0054039C" w:rsidRPr="0054039C">
        <w:rPr>
          <w:rFonts w:ascii="Arial" w:eastAsia="Times New Roman" w:hAnsi="Arial" w:cs="Arial"/>
          <w:color w:val="595959" w:themeColor="text1" w:themeTint="A6"/>
          <w:lang w:eastAsia="en-GB"/>
        </w:rPr>
        <w:t>studies.</w:t>
      </w:r>
      <w:r w:rsidR="00885015">
        <w:rPr>
          <w:rFonts w:ascii="Arial" w:eastAsia="Times New Roman" w:hAnsi="Arial" w:cs="Arial"/>
          <w:color w:val="595959" w:themeColor="text1" w:themeTint="A6"/>
          <w:lang w:eastAsia="en-GB"/>
        </w:rPr>
        <w:t xml:space="preserve"> </w:t>
      </w:r>
      <w:r w:rsidR="0054039C" w:rsidRPr="0054039C">
        <w:rPr>
          <w:rFonts w:ascii="Arial" w:eastAsia="Times New Roman" w:hAnsi="Arial" w:cs="Arial"/>
          <w:color w:val="595959" w:themeColor="text1" w:themeTint="A6"/>
          <w:lang w:eastAsia="en-GB"/>
        </w:rPr>
        <w:t xml:space="preserve">Further work into targeting the stroma will be analysed </w:t>
      </w:r>
      <w:r w:rsidR="00B579AD">
        <w:rPr>
          <w:rFonts w:ascii="Arial" w:eastAsia="Times New Roman" w:hAnsi="Arial" w:cs="Arial"/>
          <w:color w:val="595959" w:themeColor="text1" w:themeTint="A6"/>
          <w:lang w:eastAsia="en-GB"/>
        </w:rPr>
        <w:t>the</w:t>
      </w:r>
      <w:r w:rsidR="0054039C" w:rsidRPr="0054039C">
        <w:rPr>
          <w:rFonts w:ascii="Arial" w:eastAsia="Times New Roman" w:hAnsi="Arial" w:cs="Arial"/>
          <w:color w:val="595959" w:themeColor="text1" w:themeTint="A6"/>
          <w:lang w:eastAsia="en-GB"/>
        </w:rPr>
        <w:t xml:space="preserve"> subsequent chapter. </w:t>
      </w:r>
    </w:p>
    <w:p w14:paraId="785C00B1" w14:textId="3E6C7F05" w:rsidR="0054039C" w:rsidRPr="0054039C" w:rsidRDefault="0054039C" w:rsidP="0054039C">
      <w:pPr>
        <w:spacing w:line="480" w:lineRule="auto"/>
        <w:jc w:val="both"/>
        <w:rPr>
          <w:rFonts w:ascii="Arial" w:eastAsia="SimSun" w:hAnsi="Arial" w:cs="Arial"/>
          <w:color w:val="595959" w:themeColor="text1" w:themeTint="A6"/>
        </w:rPr>
      </w:pPr>
      <w:r w:rsidRPr="0054039C">
        <w:rPr>
          <w:rFonts w:ascii="Arial" w:eastAsia="SimSun" w:hAnsi="Arial" w:cs="Arial"/>
          <w:color w:val="595959" w:themeColor="text1" w:themeTint="A6"/>
        </w:rPr>
        <w:t>Although, similarities and differences in phenotype have been assessed for NOF and CAF, these samples were isolated from different patients and therefore</w:t>
      </w:r>
      <w:r w:rsidR="000D62A0">
        <w:rPr>
          <w:rFonts w:ascii="Arial" w:eastAsia="SimSun" w:hAnsi="Arial" w:cs="Arial"/>
          <w:color w:val="595959" w:themeColor="text1" w:themeTint="A6"/>
        </w:rPr>
        <w:t>,</w:t>
      </w:r>
      <w:r w:rsidRPr="0054039C">
        <w:rPr>
          <w:rFonts w:ascii="Arial" w:eastAsia="SimSun" w:hAnsi="Arial" w:cs="Arial"/>
          <w:color w:val="595959" w:themeColor="text1" w:themeTint="A6"/>
        </w:rPr>
        <w:t xml:space="preserve"> these investigations can only direct our understanding of very broad differences in phenotype. Future work assessing patient matched NOF and CAF would allow directly comparable analysis o</w:t>
      </w:r>
      <w:r w:rsidR="002E01E8">
        <w:rPr>
          <w:rFonts w:ascii="Arial" w:eastAsia="SimSun" w:hAnsi="Arial" w:cs="Arial"/>
          <w:color w:val="595959" w:themeColor="text1" w:themeTint="A6"/>
        </w:rPr>
        <w:t>f</w:t>
      </w:r>
      <w:r w:rsidRPr="0054039C">
        <w:rPr>
          <w:rFonts w:ascii="Arial" w:eastAsia="SimSun" w:hAnsi="Arial" w:cs="Arial"/>
          <w:color w:val="595959" w:themeColor="text1" w:themeTint="A6"/>
        </w:rPr>
        <w:t xml:space="preserve"> changes in </w:t>
      </w:r>
      <w:r w:rsidR="002E01E8">
        <w:rPr>
          <w:rFonts w:ascii="Arial" w:eastAsia="SimSun" w:hAnsi="Arial" w:cs="Arial"/>
          <w:color w:val="595959" w:themeColor="text1" w:themeTint="A6"/>
        </w:rPr>
        <w:t xml:space="preserve">gene </w:t>
      </w:r>
      <w:r w:rsidRPr="0054039C">
        <w:rPr>
          <w:rFonts w:ascii="Arial" w:eastAsia="SimSun" w:hAnsi="Arial" w:cs="Arial"/>
          <w:color w:val="595959" w:themeColor="text1" w:themeTint="A6"/>
        </w:rPr>
        <w:t xml:space="preserve">transcripts and would help distinguish molecular pathways involved in NOF to CAF conversion. Another caveat of the above experimental analyses on NOF and CAF is that these </w:t>
      </w:r>
      <w:r w:rsidRPr="0054039C">
        <w:rPr>
          <w:rFonts w:ascii="Arial" w:eastAsia="SimSun" w:hAnsi="Arial" w:cs="Arial"/>
          <w:i/>
          <w:color w:val="595959" w:themeColor="text1" w:themeTint="A6"/>
        </w:rPr>
        <w:t xml:space="preserve">in vitro </w:t>
      </w:r>
      <w:r w:rsidRPr="0054039C">
        <w:rPr>
          <w:rFonts w:ascii="Arial" w:eastAsia="SimSun" w:hAnsi="Arial" w:cs="Arial"/>
          <w:color w:val="595959" w:themeColor="text1" w:themeTint="A6"/>
        </w:rPr>
        <w:t xml:space="preserve">studies are hampered by the susceptibility of alterations in gene expression caused by culture conditions and therefore understanding the phenotypic changes between NOF and CAF would benefit from more physiological </w:t>
      </w:r>
      <w:r w:rsidRPr="0054039C">
        <w:rPr>
          <w:rFonts w:ascii="Arial" w:eastAsia="SimSun" w:hAnsi="Arial" w:cs="Arial"/>
          <w:i/>
          <w:color w:val="595959" w:themeColor="text1" w:themeTint="A6"/>
        </w:rPr>
        <w:t xml:space="preserve">in vitro </w:t>
      </w:r>
      <w:r w:rsidRPr="0054039C">
        <w:rPr>
          <w:rFonts w:ascii="Arial" w:eastAsia="SimSun" w:hAnsi="Arial" w:cs="Arial"/>
          <w:color w:val="595959" w:themeColor="text1" w:themeTint="A6"/>
        </w:rPr>
        <w:t xml:space="preserve">model systems. Therefore, investigating the molecular profile of these cells and their ‘secretome’ in a 3D environment is a much more relevant culture system and forms the foundation of the next chapter. </w:t>
      </w:r>
    </w:p>
    <w:p w14:paraId="7C9379C3" w14:textId="5213AA16" w:rsidR="0054039C" w:rsidRPr="0054039C" w:rsidRDefault="0054039C" w:rsidP="0054039C">
      <w:pPr>
        <w:spacing w:line="480" w:lineRule="auto"/>
        <w:jc w:val="both"/>
        <w:rPr>
          <w:rFonts w:ascii="Arial" w:eastAsia="SimSun" w:hAnsi="Arial" w:cs="Arial"/>
          <w:color w:val="595959" w:themeColor="text1" w:themeTint="A6"/>
        </w:rPr>
      </w:pPr>
      <w:r w:rsidRPr="0054039C">
        <w:rPr>
          <w:rFonts w:ascii="Arial" w:eastAsia="SimSun" w:hAnsi="Arial" w:cs="Arial"/>
          <w:color w:val="595959" w:themeColor="text1" w:themeTint="A6"/>
        </w:rPr>
        <w:t>In summary</w:t>
      </w:r>
      <w:r w:rsidR="00871A2C">
        <w:rPr>
          <w:rFonts w:ascii="Arial" w:eastAsia="SimSun" w:hAnsi="Arial" w:cs="Arial"/>
          <w:color w:val="595959" w:themeColor="text1" w:themeTint="A6"/>
        </w:rPr>
        <w:t>,</w:t>
      </w:r>
      <w:r w:rsidRPr="0054039C">
        <w:rPr>
          <w:rFonts w:ascii="Arial" w:eastAsia="SimSun" w:hAnsi="Arial" w:cs="Arial"/>
          <w:color w:val="595959" w:themeColor="text1" w:themeTint="A6"/>
        </w:rPr>
        <w:t xml:space="preserve"> TGFβ-1 stimulates the transdifferentiation of patient NOF into myofibroblasts </w:t>
      </w:r>
      <w:r w:rsidRPr="0054039C">
        <w:rPr>
          <w:rFonts w:ascii="Arial" w:eastAsia="SimSun" w:hAnsi="Arial" w:cs="Arial"/>
          <w:i/>
          <w:color w:val="595959" w:themeColor="text1" w:themeTint="A6"/>
        </w:rPr>
        <w:t xml:space="preserve">in vitro </w:t>
      </w:r>
      <w:r w:rsidRPr="0054039C">
        <w:rPr>
          <w:rFonts w:ascii="Arial" w:eastAsia="SimSun" w:hAnsi="Arial" w:cs="Arial"/>
          <w:color w:val="595959" w:themeColor="text1" w:themeTint="A6"/>
        </w:rPr>
        <w:t xml:space="preserve">and is characterised by upregulation of myofibroblasts markers (αSMA, FN1-EDA, TN-C, </w:t>
      </w:r>
      <w:r w:rsidR="00B4300C">
        <w:rPr>
          <w:rFonts w:ascii="Arial" w:eastAsia="SimSun" w:hAnsi="Arial" w:cs="Arial"/>
          <w:color w:val="595959" w:themeColor="text1" w:themeTint="A6"/>
        </w:rPr>
        <w:t xml:space="preserve">COL1A1, </w:t>
      </w:r>
      <w:r w:rsidRPr="0054039C">
        <w:rPr>
          <w:rFonts w:ascii="Arial" w:eastAsia="SimSun" w:hAnsi="Arial" w:cs="Arial"/>
          <w:color w:val="595959" w:themeColor="text1" w:themeTint="A6"/>
        </w:rPr>
        <w:t xml:space="preserve">VCAN) indicative of a role for TGFβ-1 as a potential paracrine growth factor capable of inducing phenotypic change in resident NOF in OSCC. Analysis of these transcripts in patient CAF shows a distinct phenotypic expression in which higher levels of myofibroblasts markers and ECM transcripts </w:t>
      </w:r>
      <w:r w:rsidR="006A1857">
        <w:rPr>
          <w:rFonts w:ascii="Arial" w:eastAsia="SimSun" w:hAnsi="Arial" w:cs="Arial"/>
          <w:color w:val="595959" w:themeColor="text1" w:themeTint="A6"/>
        </w:rPr>
        <w:t>were observed</w:t>
      </w:r>
      <w:r w:rsidR="00B35851">
        <w:rPr>
          <w:rFonts w:ascii="Arial" w:eastAsia="SimSun" w:hAnsi="Arial" w:cs="Arial"/>
          <w:color w:val="595959" w:themeColor="text1" w:themeTint="A6"/>
        </w:rPr>
        <w:t xml:space="preserve"> </w:t>
      </w:r>
      <w:r w:rsidRPr="0054039C">
        <w:rPr>
          <w:rFonts w:ascii="Arial" w:eastAsia="SimSun" w:hAnsi="Arial" w:cs="Arial"/>
          <w:color w:val="595959" w:themeColor="text1" w:themeTint="A6"/>
        </w:rPr>
        <w:t xml:space="preserve">without the requirement for exogenous stimulation, </w:t>
      </w:r>
      <w:r w:rsidR="006B459F">
        <w:rPr>
          <w:rFonts w:ascii="Arial" w:eastAsia="SimSun" w:hAnsi="Arial" w:cs="Arial"/>
          <w:color w:val="595959" w:themeColor="text1" w:themeTint="A6"/>
        </w:rPr>
        <w:t xml:space="preserve">this </w:t>
      </w:r>
      <w:r w:rsidRPr="0054039C">
        <w:rPr>
          <w:rFonts w:ascii="Arial" w:eastAsia="SimSun" w:hAnsi="Arial" w:cs="Arial"/>
          <w:color w:val="595959" w:themeColor="text1" w:themeTint="A6"/>
        </w:rPr>
        <w:t xml:space="preserve">in contrast to NOF, suggesting a that the ‘secretome’ of CAF is fundamentally altered to exhibit the desmoplastic response </w:t>
      </w:r>
      <w:r w:rsidR="00C4786F">
        <w:rPr>
          <w:rFonts w:ascii="Arial" w:eastAsia="SimSun" w:hAnsi="Arial" w:cs="Arial"/>
          <w:color w:val="595959" w:themeColor="text1" w:themeTint="A6"/>
        </w:rPr>
        <w:t>observable</w:t>
      </w:r>
      <w:r w:rsidRPr="0054039C">
        <w:rPr>
          <w:rFonts w:ascii="Arial" w:eastAsia="SimSun" w:hAnsi="Arial" w:cs="Arial"/>
          <w:color w:val="595959" w:themeColor="text1" w:themeTint="A6"/>
        </w:rPr>
        <w:t xml:space="preserve"> in OSCC.</w:t>
      </w:r>
      <w:r w:rsidR="000532B0">
        <w:rPr>
          <w:rFonts w:ascii="Arial" w:eastAsia="SimSun" w:hAnsi="Arial" w:cs="Arial"/>
          <w:color w:val="595959" w:themeColor="text1" w:themeTint="A6"/>
        </w:rPr>
        <w:t xml:space="preserve"> </w:t>
      </w:r>
      <w:r w:rsidR="00807053">
        <w:rPr>
          <w:rFonts w:ascii="Arial" w:eastAsia="SimSun" w:hAnsi="Arial" w:cs="Arial"/>
          <w:color w:val="595959" w:themeColor="text1" w:themeTint="A6"/>
        </w:rPr>
        <w:t xml:space="preserve"> As</w:t>
      </w:r>
      <w:r w:rsidR="009D3D1D">
        <w:rPr>
          <w:rFonts w:ascii="Arial" w:eastAsia="SimSun" w:hAnsi="Arial" w:cs="Arial"/>
          <w:color w:val="595959" w:themeColor="text1" w:themeTint="A6"/>
        </w:rPr>
        <w:t xml:space="preserve"> </w:t>
      </w:r>
      <w:r w:rsidR="00807053">
        <w:rPr>
          <w:rFonts w:ascii="Arial" w:eastAsia="SimSun" w:hAnsi="Arial" w:cs="Arial"/>
          <w:color w:val="595959" w:themeColor="text1" w:themeTint="A6"/>
        </w:rPr>
        <w:t xml:space="preserve">CAF </w:t>
      </w:r>
      <w:r w:rsidR="00655F24">
        <w:rPr>
          <w:rFonts w:ascii="Arial" w:eastAsia="SimSun" w:hAnsi="Arial" w:cs="Arial"/>
          <w:color w:val="595959" w:themeColor="text1" w:themeTint="A6"/>
        </w:rPr>
        <w:t xml:space="preserve">showed sensitivity </w:t>
      </w:r>
      <w:r w:rsidR="00655F24">
        <w:rPr>
          <w:rFonts w:ascii="Arial" w:eastAsia="SimSun" w:hAnsi="Arial" w:cs="Arial"/>
          <w:color w:val="595959" w:themeColor="text1" w:themeTint="A6"/>
        </w:rPr>
        <w:lastRenderedPageBreak/>
        <w:t xml:space="preserve">to </w:t>
      </w:r>
      <w:r w:rsidR="00076007">
        <w:rPr>
          <w:rFonts w:ascii="Arial" w:eastAsia="SimSun" w:hAnsi="Arial" w:cs="Arial"/>
          <w:color w:val="595959" w:themeColor="text1" w:themeTint="A6"/>
        </w:rPr>
        <w:t>treatment with</w:t>
      </w:r>
      <w:r w:rsidR="00655F24">
        <w:rPr>
          <w:rFonts w:ascii="Arial" w:eastAsia="SimSun" w:hAnsi="Arial" w:cs="Arial"/>
          <w:color w:val="595959" w:themeColor="text1" w:themeTint="A6"/>
        </w:rPr>
        <w:t xml:space="preserve"> </w:t>
      </w:r>
      <w:r w:rsidR="00807053">
        <w:rPr>
          <w:rFonts w:ascii="Arial" w:eastAsia="SimSun" w:hAnsi="Arial" w:cs="Arial"/>
          <w:color w:val="595959" w:themeColor="text1" w:themeTint="A6"/>
        </w:rPr>
        <w:t>inhibitors in 2D, t</w:t>
      </w:r>
      <w:r w:rsidR="000532B0">
        <w:rPr>
          <w:rFonts w:ascii="Arial" w:eastAsia="SimSun" w:hAnsi="Arial" w:cs="Arial"/>
          <w:color w:val="595959" w:themeColor="text1" w:themeTint="A6"/>
        </w:rPr>
        <w:t xml:space="preserve">he potential </w:t>
      </w:r>
      <w:r w:rsidR="00586B24">
        <w:rPr>
          <w:rFonts w:ascii="Arial" w:eastAsia="SimSun" w:hAnsi="Arial" w:cs="Arial"/>
          <w:color w:val="595959" w:themeColor="text1" w:themeTint="A6"/>
        </w:rPr>
        <w:t>for stromal</w:t>
      </w:r>
      <w:r w:rsidR="00A0652C">
        <w:rPr>
          <w:rFonts w:ascii="Arial" w:eastAsia="SimSun" w:hAnsi="Arial" w:cs="Arial"/>
          <w:color w:val="595959" w:themeColor="text1" w:themeTint="A6"/>
        </w:rPr>
        <w:t xml:space="preserve"> </w:t>
      </w:r>
      <w:r w:rsidR="00586B24">
        <w:rPr>
          <w:rFonts w:ascii="Arial" w:eastAsia="SimSun" w:hAnsi="Arial" w:cs="Arial"/>
          <w:color w:val="595959" w:themeColor="text1" w:themeTint="A6"/>
        </w:rPr>
        <w:t>targeting</w:t>
      </w:r>
      <w:r w:rsidR="00807053">
        <w:rPr>
          <w:rFonts w:ascii="Arial" w:eastAsia="SimSun" w:hAnsi="Arial" w:cs="Arial"/>
          <w:color w:val="595959" w:themeColor="text1" w:themeTint="A6"/>
        </w:rPr>
        <w:t>, will be further investigated on</w:t>
      </w:r>
      <w:r w:rsidR="00A0652C">
        <w:rPr>
          <w:rFonts w:ascii="Arial" w:eastAsia="SimSun" w:hAnsi="Arial" w:cs="Arial"/>
          <w:color w:val="595959" w:themeColor="text1" w:themeTint="A6"/>
        </w:rPr>
        <w:t xml:space="preserve"> </w:t>
      </w:r>
      <w:r w:rsidR="00807053">
        <w:rPr>
          <w:rFonts w:ascii="Arial" w:eastAsia="SimSun" w:hAnsi="Arial" w:cs="Arial"/>
          <w:color w:val="595959" w:themeColor="text1" w:themeTint="A6"/>
        </w:rPr>
        <w:t>th</w:t>
      </w:r>
      <w:r w:rsidR="00A0652C">
        <w:rPr>
          <w:rFonts w:ascii="Arial" w:eastAsia="SimSun" w:hAnsi="Arial" w:cs="Arial"/>
          <w:color w:val="595959" w:themeColor="text1" w:themeTint="A6"/>
        </w:rPr>
        <w:t>e</w:t>
      </w:r>
      <w:r w:rsidR="00807053">
        <w:rPr>
          <w:rFonts w:ascii="Arial" w:eastAsia="SimSun" w:hAnsi="Arial" w:cs="Arial"/>
          <w:color w:val="595959" w:themeColor="text1" w:themeTint="A6"/>
        </w:rPr>
        <w:t xml:space="preserve"> fibroblast-derived matrices generated in the next chapter. </w:t>
      </w:r>
    </w:p>
    <w:p w14:paraId="39283180" w14:textId="648F9BBA" w:rsidR="0054039C" w:rsidRDefault="0054039C" w:rsidP="0054039C">
      <w:pPr>
        <w:spacing w:line="480" w:lineRule="auto"/>
        <w:ind w:firstLine="720"/>
        <w:jc w:val="both"/>
        <w:rPr>
          <w:rFonts w:ascii="Arial" w:hAnsi="Arial" w:cs="Arial"/>
          <w:color w:val="595959" w:themeColor="text1" w:themeTint="A6"/>
          <w:szCs w:val="24"/>
        </w:rPr>
      </w:pPr>
    </w:p>
    <w:p w14:paraId="74562926" w14:textId="28759D4E" w:rsidR="008C21BF" w:rsidRDefault="008C21BF" w:rsidP="0054039C">
      <w:pPr>
        <w:spacing w:line="480" w:lineRule="auto"/>
        <w:ind w:firstLine="720"/>
        <w:jc w:val="both"/>
        <w:rPr>
          <w:rFonts w:ascii="Arial" w:hAnsi="Arial" w:cs="Arial"/>
          <w:color w:val="595959" w:themeColor="text1" w:themeTint="A6"/>
          <w:szCs w:val="24"/>
        </w:rPr>
      </w:pPr>
    </w:p>
    <w:p w14:paraId="43206E9C" w14:textId="4E403621" w:rsidR="008C21BF" w:rsidRDefault="008C21BF" w:rsidP="0054039C">
      <w:pPr>
        <w:spacing w:line="480" w:lineRule="auto"/>
        <w:ind w:firstLine="720"/>
        <w:jc w:val="both"/>
        <w:rPr>
          <w:rFonts w:ascii="Arial" w:hAnsi="Arial" w:cs="Arial"/>
          <w:color w:val="595959" w:themeColor="text1" w:themeTint="A6"/>
          <w:szCs w:val="24"/>
        </w:rPr>
      </w:pPr>
    </w:p>
    <w:p w14:paraId="7043C608" w14:textId="77777777" w:rsidR="00A87404" w:rsidRDefault="00A87404" w:rsidP="00A87404">
      <w:pPr>
        <w:spacing w:line="480" w:lineRule="auto"/>
        <w:jc w:val="both"/>
        <w:rPr>
          <w:rFonts w:ascii="Arial" w:hAnsi="Arial" w:cs="Arial"/>
          <w:color w:val="595959" w:themeColor="text1" w:themeTint="A6"/>
          <w:szCs w:val="24"/>
        </w:rPr>
      </w:pPr>
    </w:p>
    <w:p w14:paraId="1FF01C1E" w14:textId="59736784" w:rsidR="008C21BF" w:rsidRDefault="008C21BF" w:rsidP="0054039C">
      <w:pPr>
        <w:spacing w:line="480" w:lineRule="auto"/>
        <w:ind w:firstLine="720"/>
        <w:jc w:val="both"/>
        <w:rPr>
          <w:rFonts w:ascii="Arial" w:hAnsi="Arial" w:cs="Arial"/>
          <w:color w:val="595959" w:themeColor="text1" w:themeTint="A6"/>
          <w:szCs w:val="24"/>
        </w:rPr>
      </w:pPr>
    </w:p>
    <w:p w14:paraId="514A7376" w14:textId="77777777" w:rsidR="00B65CAF" w:rsidRDefault="00B65CAF" w:rsidP="008C21BF">
      <w:pPr>
        <w:pStyle w:val="Title"/>
        <w:jc w:val="both"/>
        <w:outlineLvl w:val="0"/>
        <w:rPr>
          <w:color w:val="4472C4" w:themeColor="accent1"/>
        </w:rPr>
      </w:pPr>
      <w:bookmarkStart w:id="356" w:name="_Toc7678133"/>
      <w:bookmarkStart w:id="357" w:name="_Hlk522101526"/>
    </w:p>
    <w:p w14:paraId="14BF24F2" w14:textId="77777777" w:rsidR="00B65CAF" w:rsidRDefault="00B65CAF" w:rsidP="008C21BF">
      <w:pPr>
        <w:pStyle w:val="Title"/>
        <w:jc w:val="both"/>
        <w:outlineLvl w:val="0"/>
        <w:rPr>
          <w:color w:val="4472C4" w:themeColor="accent1"/>
        </w:rPr>
      </w:pPr>
    </w:p>
    <w:p w14:paraId="069DF154" w14:textId="77777777" w:rsidR="00B65CAF" w:rsidRDefault="00B65CAF" w:rsidP="008C21BF">
      <w:pPr>
        <w:pStyle w:val="Title"/>
        <w:jc w:val="both"/>
        <w:outlineLvl w:val="0"/>
        <w:rPr>
          <w:color w:val="4472C4" w:themeColor="accent1"/>
        </w:rPr>
      </w:pPr>
    </w:p>
    <w:p w14:paraId="50279FF2" w14:textId="77777777" w:rsidR="00B65CAF" w:rsidRDefault="00B65CAF" w:rsidP="008C21BF">
      <w:pPr>
        <w:pStyle w:val="Title"/>
        <w:jc w:val="both"/>
        <w:outlineLvl w:val="0"/>
        <w:rPr>
          <w:color w:val="4472C4" w:themeColor="accent1"/>
        </w:rPr>
      </w:pPr>
    </w:p>
    <w:p w14:paraId="16C29E4E" w14:textId="21AF365F" w:rsidR="00B65CAF" w:rsidRDefault="00B65CAF" w:rsidP="008C21BF">
      <w:pPr>
        <w:pStyle w:val="Title"/>
        <w:jc w:val="both"/>
        <w:outlineLvl w:val="0"/>
        <w:rPr>
          <w:color w:val="4472C4" w:themeColor="accent1"/>
        </w:rPr>
      </w:pPr>
    </w:p>
    <w:p w14:paraId="59C5A5BD" w14:textId="0E742B97" w:rsidR="00C81EB4" w:rsidRDefault="00C81EB4" w:rsidP="00C81EB4"/>
    <w:p w14:paraId="19B8F0DC" w14:textId="731D0D91" w:rsidR="00C81EB4" w:rsidRDefault="00C81EB4" w:rsidP="00C81EB4"/>
    <w:p w14:paraId="3C9E66EB" w14:textId="1922CE30" w:rsidR="00C81EB4" w:rsidRDefault="00C81EB4" w:rsidP="00C81EB4"/>
    <w:p w14:paraId="674CB49E" w14:textId="04B9FF8C" w:rsidR="00D35762" w:rsidRDefault="00D35762" w:rsidP="00C81EB4"/>
    <w:p w14:paraId="6E8D51C8" w14:textId="3E876123" w:rsidR="00D35762" w:rsidRDefault="00D35762" w:rsidP="00C81EB4"/>
    <w:p w14:paraId="6AA662BD" w14:textId="0C26E380" w:rsidR="00D35762" w:rsidRDefault="00D35762" w:rsidP="00C81EB4"/>
    <w:p w14:paraId="4AF25C1F" w14:textId="4EC4FB0F" w:rsidR="00D35762" w:rsidRDefault="00D35762" w:rsidP="00C81EB4"/>
    <w:p w14:paraId="75E05A91" w14:textId="3AFF7100" w:rsidR="00D35762" w:rsidRDefault="00D35762" w:rsidP="00C81EB4"/>
    <w:p w14:paraId="749EDE72" w14:textId="0DC8A644" w:rsidR="00D35762" w:rsidRDefault="00D35762" w:rsidP="00C81EB4"/>
    <w:p w14:paraId="659F3313" w14:textId="27775ED5" w:rsidR="00D35762" w:rsidRDefault="00D35762" w:rsidP="00C81EB4"/>
    <w:p w14:paraId="297DDFAE" w14:textId="5CFAE8EE" w:rsidR="00D35762" w:rsidRDefault="00D35762" w:rsidP="00C81EB4"/>
    <w:p w14:paraId="20C6E0AF" w14:textId="08A65479" w:rsidR="00D35762" w:rsidRDefault="00D35762" w:rsidP="00C81EB4"/>
    <w:p w14:paraId="70035097" w14:textId="4A379842" w:rsidR="00D35762" w:rsidRDefault="00D35762" w:rsidP="00C81EB4"/>
    <w:p w14:paraId="51D8E8ED" w14:textId="096CBAD8" w:rsidR="00D35762" w:rsidRDefault="00D35762" w:rsidP="00C81EB4"/>
    <w:p w14:paraId="2B48B5C7" w14:textId="1F726DCF" w:rsidR="00D35762" w:rsidRDefault="00D35762" w:rsidP="00C81EB4"/>
    <w:p w14:paraId="03EB61DD" w14:textId="78160F95" w:rsidR="00D35762" w:rsidRDefault="00D35762" w:rsidP="00C81EB4"/>
    <w:p w14:paraId="0160BF18" w14:textId="778FA7D9" w:rsidR="00D35762" w:rsidRDefault="00D35762" w:rsidP="00C81EB4"/>
    <w:p w14:paraId="5D272F82" w14:textId="43568763" w:rsidR="00D35762" w:rsidRDefault="00D35762" w:rsidP="00C81EB4"/>
    <w:p w14:paraId="6994AFCA" w14:textId="0828B586" w:rsidR="00D35762" w:rsidRDefault="00D35762" w:rsidP="00C81EB4"/>
    <w:p w14:paraId="1CC880B1" w14:textId="52FDC3D1" w:rsidR="00D35762" w:rsidRDefault="00D35762" w:rsidP="00C81EB4"/>
    <w:p w14:paraId="6C4E07A2" w14:textId="77777777" w:rsidR="00D35762" w:rsidRDefault="00D35762" w:rsidP="00C81EB4"/>
    <w:p w14:paraId="6ED785F5" w14:textId="77777777" w:rsidR="00C81EB4" w:rsidRPr="00C81EB4" w:rsidRDefault="00C81EB4" w:rsidP="00C81EB4"/>
    <w:p w14:paraId="0D6F5E9E" w14:textId="77777777" w:rsidR="00B65CAF" w:rsidRPr="00B65CAF" w:rsidRDefault="008C21BF" w:rsidP="00B65CAF">
      <w:pPr>
        <w:pStyle w:val="Title"/>
        <w:jc w:val="center"/>
        <w:outlineLvl w:val="0"/>
        <w:rPr>
          <w:color w:val="4472C4" w:themeColor="accent1"/>
          <w:sz w:val="72"/>
          <w:szCs w:val="72"/>
        </w:rPr>
      </w:pPr>
      <w:bookmarkStart w:id="358" w:name="_Toc34208405"/>
      <w:r w:rsidRPr="00B65CAF">
        <w:rPr>
          <w:color w:val="4472C4" w:themeColor="accent1"/>
          <w:sz w:val="72"/>
          <w:szCs w:val="72"/>
        </w:rPr>
        <w:t>Chapter 4</w:t>
      </w:r>
      <w:bookmarkEnd w:id="358"/>
    </w:p>
    <w:p w14:paraId="65668CE2" w14:textId="18A2055B" w:rsidR="008C21BF" w:rsidRDefault="008C21BF" w:rsidP="00B65CAF">
      <w:pPr>
        <w:pStyle w:val="Title"/>
        <w:jc w:val="center"/>
        <w:outlineLvl w:val="0"/>
        <w:rPr>
          <w:color w:val="4472C4" w:themeColor="accent1"/>
          <w:sz w:val="72"/>
          <w:szCs w:val="72"/>
        </w:rPr>
      </w:pPr>
      <w:bookmarkStart w:id="359" w:name="_Toc34208406"/>
      <w:r w:rsidRPr="00B65CAF">
        <w:rPr>
          <w:color w:val="4472C4" w:themeColor="accent1"/>
          <w:sz w:val="72"/>
          <w:szCs w:val="72"/>
        </w:rPr>
        <w:t>Development and characterisation of tissue-engineered fibroblast-derived matrix from normal and cancer-associated oral fibroblasts</w:t>
      </w:r>
      <w:bookmarkEnd w:id="359"/>
    </w:p>
    <w:p w14:paraId="1AB427C3" w14:textId="0C66240F" w:rsidR="00B65CAF" w:rsidRDefault="00B65CAF" w:rsidP="00B65CAF"/>
    <w:p w14:paraId="4581FA1D" w14:textId="647DF38E" w:rsidR="00B65CAF" w:rsidRDefault="00B65CAF" w:rsidP="00B65CAF"/>
    <w:p w14:paraId="4EF57516" w14:textId="75C55FFE" w:rsidR="00B65CAF" w:rsidRDefault="00B65CAF" w:rsidP="00B65CAF"/>
    <w:p w14:paraId="3000980C" w14:textId="4824895A" w:rsidR="00B65CAF" w:rsidRDefault="00B65CAF" w:rsidP="00B65CAF"/>
    <w:p w14:paraId="3CB61CCF" w14:textId="213B20BA" w:rsidR="00B65CAF" w:rsidRDefault="00B65CAF" w:rsidP="00B65CAF"/>
    <w:p w14:paraId="746335E4" w14:textId="3C36828A" w:rsidR="00B65CAF" w:rsidRDefault="00B65CAF" w:rsidP="00B65CAF"/>
    <w:p w14:paraId="123AC785" w14:textId="1927BC8C" w:rsidR="00B65CAF" w:rsidRDefault="00B65CAF" w:rsidP="00B65CAF"/>
    <w:p w14:paraId="2478FB3C" w14:textId="3E46E1C9" w:rsidR="00B65CAF" w:rsidRDefault="00B65CAF" w:rsidP="00B65CAF">
      <w:pPr>
        <w:spacing w:after="0"/>
      </w:pPr>
    </w:p>
    <w:p w14:paraId="4050B26A" w14:textId="72D9508A" w:rsidR="00B65CAF" w:rsidRDefault="00B65CAF" w:rsidP="00B65CAF">
      <w:pPr>
        <w:spacing w:after="0"/>
      </w:pPr>
    </w:p>
    <w:p w14:paraId="07998A17" w14:textId="77777777" w:rsidR="00B65CAF" w:rsidRPr="00B65CAF" w:rsidRDefault="00B65CAF" w:rsidP="00B65CAF"/>
    <w:p w14:paraId="749085E3" w14:textId="5E14D396" w:rsidR="008C21BF" w:rsidRPr="008C21BF" w:rsidRDefault="008C21BF" w:rsidP="008C21BF">
      <w:pPr>
        <w:keepNext/>
        <w:keepLines/>
        <w:spacing w:before="40" w:after="0"/>
        <w:outlineLvl w:val="1"/>
        <w:rPr>
          <w:rFonts w:ascii="Arial" w:eastAsiaTheme="majorEastAsia" w:hAnsi="Arial" w:cs="Arial"/>
          <w:color w:val="595959" w:themeColor="text1" w:themeTint="A6"/>
          <w:sz w:val="24"/>
          <w:szCs w:val="21"/>
        </w:rPr>
      </w:pPr>
      <w:bookmarkStart w:id="360" w:name="_Toc7678134"/>
      <w:bookmarkStart w:id="361" w:name="_Toc34208407"/>
      <w:bookmarkEnd w:id="356"/>
      <w:bookmarkEnd w:id="357"/>
      <w:r w:rsidRPr="008C21BF">
        <w:rPr>
          <w:rFonts w:ascii="Arial" w:eastAsiaTheme="majorEastAsia" w:hAnsi="Arial" w:cs="Arial"/>
          <w:color w:val="595959" w:themeColor="text1" w:themeTint="A6"/>
          <w:sz w:val="24"/>
          <w:szCs w:val="21"/>
        </w:rPr>
        <w:lastRenderedPageBreak/>
        <w:t>4.1 Introduction</w:t>
      </w:r>
      <w:bookmarkEnd w:id="360"/>
      <w:bookmarkEnd w:id="361"/>
      <w:r w:rsidRPr="008C21BF">
        <w:rPr>
          <w:rFonts w:ascii="Arial" w:eastAsiaTheme="majorEastAsia" w:hAnsi="Arial" w:cs="Arial"/>
          <w:color w:val="595959" w:themeColor="text1" w:themeTint="A6"/>
          <w:sz w:val="24"/>
          <w:szCs w:val="21"/>
        </w:rPr>
        <w:t xml:space="preserve"> </w:t>
      </w:r>
    </w:p>
    <w:p w14:paraId="676D4F99" w14:textId="77777777" w:rsidR="008C21BF" w:rsidRPr="008C21BF" w:rsidRDefault="008C21BF" w:rsidP="008C21BF"/>
    <w:p w14:paraId="67937D6B" w14:textId="422D2618" w:rsidR="008C21BF" w:rsidRPr="008C21BF" w:rsidRDefault="008C21BF" w:rsidP="008C21BF">
      <w:pPr>
        <w:spacing w:line="480" w:lineRule="auto"/>
        <w:jc w:val="both"/>
        <w:rPr>
          <w:rFonts w:ascii="Arial" w:hAnsi="Arial" w:cs="Arial"/>
          <w:color w:val="595959" w:themeColor="text1" w:themeTint="A6"/>
        </w:rPr>
      </w:pPr>
      <w:bookmarkStart w:id="362" w:name="_Hlk530658989"/>
      <w:r w:rsidRPr="008C21BF">
        <w:rPr>
          <w:rFonts w:ascii="Arial" w:hAnsi="Arial" w:cs="Arial"/>
          <w:color w:val="595959" w:themeColor="text1" w:themeTint="A6"/>
        </w:rPr>
        <w:t xml:space="preserve">The premise of tissue engineering is the development of regenerative and growth techniques for whole organs and/or connective tissues using a combination of both cells and a scaffold-based material (Kim </w:t>
      </w:r>
      <w:r w:rsidRPr="008C21BF">
        <w:rPr>
          <w:rFonts w:ascii="Arial" w:hAnsi="Arial" w:cs="Arial"/>
          <w:i/>
          <w:color w:val="595959" w:themeColor="text1" w:themeTint="A6"/>
        </w:rPr>
        <w:t>et al.,</w:t>
      </w:r>
      <w:r w:rsidRPr="008C21BF">
        <w:rPr>
          <w:rFonts w:ascii="Arial" w:hAnsi="Arial" w:cs="Arial"/>
          <w:color w:val="595959" w:themeColor="text1" w:themeTint="A6"/>
        </w:rPr>
        <w:t xml:space="preserve"> 2016). These engineering methods require an adequate environment </w:t>
      </w:r>
      <w:r w:rsidR="00252B35">
        <w:rPr>
          <w:rFonts w:ascii="Arial" w:hAnsi="Arial" w:cs="Arial"/>
          <w:color w:val="595959" w:themeColor="text1" w:themeTint="A6"/>
        </w:rPr>
        <w:t xml:space="preserve">and geometry </w:t>
      </w:r>
      <w:r w:rsidRPr="008C21BF">
        <w:rPr>
          <w:rFonts w:ascii="Arial" w:hAnsi="Arial" w:cs="Arial"/>
          <w:color w:val="595959" w:themeColor="text1" w:themeTint="A6"/>
        </w:rPr>
        <w:t>for cells to be grown and functionalised</w:t>
      </w:r>
      <w:r w:rsidR="00252B35">
        <w:rPr>
          <w:rFonts w:ascii="Arial" w:hAnsi="Arial" w:cs="Arial"/>
          <w:color w:val="595959" w:themeColor="text1" w:themeTint="A6"/>
        </w:rPr>
        <w:t>.</w:t>
      </w:r>
      <w:r w:rsidRPr="008C21BF">
        <w:rPr>
          <w:rFonts w:ascii="Arial" w:hAnsi="Arial" w:cs="Arial"/>
          <w:color w:val="595959" w:themeColor="text1" w:themeTint="A6"/>
        </w:rPr>
        <w:t xml:space="preserve"> </w:t>
      </w:r>
      <w:r w:rsidR="00252B35">
        <w:rPr>
          <w:rFonts w:ascii="Arial" w:hAnsi="Arial" w:cs="Arial"/>
          <w:color w:val="595959" w:themeColor="text1" w:themeTint="A6"/>
        </w:rPr>
        <w:t>S</w:t>
      </w:r>
      <w:r w:rsidRPr="008C21BF">
        <w:rPr>
          <w:rFonts w:ascii="Arial" w:hAnsi="Arial" w:cs="Arial"/>
          <w:color w:val="595959" w:themeColor="text1" w:themeTint="A6"/>
        </w:rPr>
        <w:t>caffold technology provides the foundation support for cells</w:t>
      </w:r>
      <w:r w:rsidR="00252B35">
        <w:rPr>
          <w:rFonts w:ascii="Arial" w:hAnsi="Arial" w:cs="Arial"/>
          <w:color w:val="595959" w:themeColor="text1" w:themeTint="A6"/>
        </w:rPr>
        <w:t xml:space="preserve"> and </w:t>
      </w:r>
      <w:r w:rsidRPr="008C21BF">
        <w:rPr>
          <w:rFonts w:ascii="Arial" w:hAnsi="Arial" w:cs="Arial"/>
          <w:color w:val="595959" w:themeColor="text1" w:themeTint="A6"/>
        </w:rPr>
        <w:t>can be generated using an array of methods including polymer chemistry (</w:t>
      </w:r>
      <w:r w:rsidRPr="008C21BF">
        <w:rPr>
          <w:rFonts w:ascii="Arial" w:hAnsi="Arial" w:cs="Arial"/>
          <w:iCs/>
          <w:color w:val="595959" w:themeColor="text1" w:themeTint="A6"/>
        </w:rPr>
        <w:t xml:space="preserve">Villanueva </w:t>
      </w:r>
      <w:r w:rsidRPr="008C21BF">
        <w:rPr>
          <w:rFonts w:ascii="Arial" w:hAnsi="Arial" w:cs="Arial"/>
          <w:i/>
          <w:iCs/>
          <w:color w:val="595959" w:themeColor="text1" w:themeTint="A6"/>
        </w:rPr>
        <w:t>et al.</w:t>
      </w:r>
      <w:r w:rsidRPr="008C21BF">
        <w:rPr>
          <w:rFonts w:ascii="Arial" w:hAnsi="Arial" w:cs="Arial"/>
          <w:iCs/>
          <w:color w:val="595959" w:themeColor="text1" w:themeTint="A6"/>
        </w:rPr>
        <w:t xml:space="preserve"> 2009</w:t>
      </w:r>
      <w:r w:rsidRPr="008C21BF">
        <w:rPr>
          <w:rFonts w:ascii="Arial" w:hAnsi="Arial" w:cs="Arial"/>
          <w:color w:val="595959" w:themeColor="text1" w:themeTint="A6"/>
        </w:rPr>
        <w:t xml:space="preserve">, </w:t>
      </w:r>
      <w:r w:rsidRPr="008C21BF">
        <w:rPr>
          <w:rFonts w:ascii="Arial" w:hAnsi="Arial" w:cs="Arial"/>
          <w:iCs/>
          <w:color w:val="595959" w:themeColor="text1" w:themeTint="A6"/>
        </w:rPr>
        <w:t xml:space="preserve">Weigel </w:t>
      </w:r>
      <w:r w:rsidRPr="008C21BF">
        <w:rPr>
          <w:rFonts w:ascii="Arial" w:hAnsi="Arial" w:cs="Arial"/>
          <w:i/>
          <w:iCs/>
          <w:color w:val="595959" w:themeColor="text1" w:themeTint="A6"/>
        </w:rPr>
        <w:t xml:space="preserve">et al., </w:t>
      </w:r>
      <w:r w:rsidRPr="008C21BF">
        <w:rPr>
          <w:rFonts w:ascii="Arial" w:hAnsi="Arial" w:cs="Arial"/>
          <w:iCs/>
          <w:color w:val="595959" w:themeColor="text1" w:themeTint="A6"/>
        </w:rPr>
        <w:t xml:space="preserve">2006, and Knight </w:t>
      </w:r>
      <w:r w:rsidRPr="008C21BF">
        <w:rPr>
          <w:rFonts w:ascii="Arial" w:hAnsi="Arial" w:cs="Arial"/>
          <w:i/>
          <w:color w:val="595959" w:themeColor="text1" w:themeTint="A6"/>
        </w:rPr>
        <w:t>et al.,</w:t>
      </w:r>
      <w:r w:rsidRPr="008C21BF">
        <w:rPr>
          <w:rFonts w:ascii="Arial" w:hAnsi="Arial" w:cs="Arial"/>
          <w:iCs/>
          <w:color w:val="595959" w:themeColor="text1" w:themeTint="A6"/>
        </w:rPr>
        <w:t xml:space="preserve"> 2011)</w:t>
      </w:r>
      <w:r w:rsidRPr="008C21BF">
        <w:rPr>
          <w:rFonts w:ascii="Arial" w:hAnsi="Arial" w:cs="Arial"/>
          <w:color w:val="595959" w:themeColor="text1" w:themeTint="A6"/>
        </w:rPr>
        <w:t xml:space="preserve"> </w:t>
      </w:r>
      <w:r w:rsidR="0077264B" w:rsidRPr="008C21BF">
        <w:rPr>
          <w:rFonts w:ascii="Arial" w:hAnsi="Arial" w:cs="Arial"/>
          <w:color w:val="595959" w:themeColor="text1" w:themeTint="A6"/>
        </w:rPr>
        <w:t>a</w:t>
      </w:r>
      <w:r w:rsidR="0077264B">
        <w:rPr>
          <w:rFonts w:ascii="Arial" w:hAnsi="Arial" w:cs="Arial"/>
          <w:color w:val="595959" w:themeColor="text1" w:themeTint="A6"/>
        </w:rPr>
        <w:t xml:space="preserve">s well as using </w:t>
      </w:r>
      <w:r w:rsidRPr="008C21BF">
        <w:rPr>
          <w:rFonts w:ascii="Arial" w:hAnsi="Arial" w:cs="Arial"/>
          <w:color w:val="595959" w:themeColor="text1" w:themeTint="A6"/>
        </w:rPr>
        <w:t>human/animal-derived ECM (</w:t>
      </w:r>
      <w:r w:rsidRPr="008C21BF">
        <w:rPr>
          <w:rFonts w:ascii="Arial" w:hAnsi="Arial" w:cs="Arial"/>
          <w:iCs/>
          <w:color w:val="595959" w:themeColor="text1" w:themeTint="A6"/>
        </w:rPr>
        <w:t xml:space="preserve">Holliday </w:t>
      </w:r>
      <w:r w:rsidRPr="008C21BF">
        <w:rPr>
          <w:rFonts w:ascii="Arial" w:hAnsi="Arial" w:cs="Arial"/>
          <w:i/>
          <w:iCs/>
          <w:color w:val="595959" w:themeColor="text1" w:themeTint="A6"/>
        </w:rPr>
        <w:t>et al.,</w:t>
      </w:r>
      <w:r w:rsidRPr="008C21BF">
        <w:rPr>
          <w:rFonts w:ascii="Arial" w:hAnsi="Arial" w:cs="Arial"/>
          <w:iCs/>
          <w:color w:val="595959" w:themeColor="text1" w:themeTint="A6"/>
        </w:rPr>
        <w:t xml:space="preserve"> 2009, Kleinman </w:t>
      </w:r>
      <w:r w:rsidRPr="008C21BF">
        <w:rPr>
          <w:rFonts w:ascii="Arial" w:hAnsi="Arial" w:cs="Arial"/>
          <w:i/>
          <w:iCs/>
          <w:color w:val="595959" w:themeColor="text1" w:themeTint="A6"/>
        </w:rPr>
        <w:t>et al.,</w:t>
      </w:r>
      <w:r w:rsidRPr="008C21BF">
        <w:rPr>
          <w:rFonts w:ascii="Arial" w:hAnsi="Arial" w:cs="Arial"/>
          <w:iCs/>
          <w:color w:val="595959" w:themeColor="text1" w:themeTint="A6"/>
        </w:rPr>
        <w:t xml:space="preserve"> 1986, </w:t>
      </w:r>
      <w:r w:rsidRPr="008C21BF">
        <w:rPr>
          <w:rFonts w:ascii="Arial" w:hAnsi="Arial" w:cs="Arial"/>
          <w:color w:val="595959" w:themeColor="text1" w:themeTint="A6"/>
        </w:rPr>
        <w:t xml:space="preserve">Berning </w:t>
      </w:r>
      <w:r w:rsidRPr="008C21BF">
        <w:rPr>
          <w:rFonts w:ascii="Arial" w:hAnsi="Arial" w:cs="Arial"/>
          <w:i/>
          <w:color w:val="595959" w:themeColor="text1" w:themeTint="A6"/>
        </w:rPr>
        <w:t>et al.,</w:t>
      </w:r>
      <w:r w:rsidRPr="008C21BF">
        <w:rPr>
          <w:rFonts w:ascii="Arial" w:hAnsi="Arial" w:cs="Arial"/>
          <w:color w:val="595959" w:themeColor="text1" w:themeTint="A6"/>
        </w:rPr>
        <w:t xml:space="preserve"> 2015</w:t>
      </w:r>
      <w:r w:rsidRPr="008C21BF">
        <w:rPr>
          <w:rFonts w:ascii="Arial" w:hAnsi="Arial" w:cs="Arial"/>
          <w:iCs/>
          <w:color w:val="595959" w:themeColor="text1" w:themeTint="A6"/>
        </w:rPr>
        <w:t xml:space="preserve">, Salo </w:t>
      </w:r>
      <w:r w:rsidRPr="008C21BF">
        <w:rPr>
          <w:rFonts w:ascii="Arial" w:hAnsi="Arial" w:cs="Arial"/>
          <w:i/>
          <w:iCs/>
          <w:color w:val="595959" w:themeColor="text1" w:themeTint="A6"/>
        </w:rPr>
        <w:t>et al.,</w:t>
      </w:r>
      <w:r w:rsidRPr="008C21BF">
        <w:rPr>
          <w:rFonts w:ascii="Arial" w:hAnsi="Arial" w:cs="Arial"/>
          <w:iCs/>
          <w:color w:val="595959" w:themeColor="text1" w:themeTint="A6"/>
        </w:rPr>
        <w:t xml:space="preserve"> 2015)</w:t>
      </w:r>
      <w:r w:rsidR="00223467">
        <w:rPr>
          <w:rFonts w:ascii="Arial" w:hAnsi="Arial" w:cs="Arial"/>
          <w:color w:val="595959" w:themeColor="text1" w:themeTint="A6"/>
        </w:rPr>
        <w:t xml:space="preserve">. This structural support </w:t>
      </w:r>
      <w:r w:rsidR="00534B3A">
        <w:rPr>
          <w:rFonts w:ascii="Arial" w:hAnsi="Arial" w:cs="Arial"/>
          <w:color w:val="595959" w:themeColor="text1" w:themeTint="A6"/>
        </w:rPr>
        <w:t>along with</w:t>
      </w:r>
      <w:r w:rsidR="00223467">
        <w:rPr>
          <w:rFonts w:ascii="Arial" w:hAnsi="Arial" w:cs="Arial"/>
          <w:color w:val="595959" w:themeColor="text1" w:themeTint="A6"/>
        </w:rPr>
        <w:t xml:space="preserve"> the </w:t>
      </w:r>
      <w:r w:rsidRPr="008C21BF">
        <w:rPr>
          <w:rFonts w:ascii="Arial" w:hAnsi="Arial" w:cs="Arial"/>
          <w:color w:val="595959" w:themeColor="text1" w:themeTint="A6"/>
        </w:rPr>
        <w:t>addi</w:t>
      </w:r>
      <w:r w:rsidR="00223467">
        <w:rPr>
          <w:rFonts w:ascii="Arial" w:hAnsi="Arial" w:cs="Arial"/>
          <w:color w:val="595959" w:themeColor="text1" w:themeTint="A6"/>
        </w:rPr>
        <w:t>tion of</w:t>
      </w:r>
      <w:r w:rsidRPr="008C21BF">
        <w:rPr>
          <w:rFonts w:ascii="Arial" w:hAnsi="Arial" w:cs="Arial"/>
          <w:color w:val="595959" w:themeColor="text1" w:themeTint="A6"/>
        </w:rPr>
        <w:t xml:space="preserve"> growth factors</w:t>
      </w:r>
      <w:r w:rsidR="00223467">
        <w:rPr>
          <w:rFonts w:ascii="Arial" w:hAnsi="Arial" w:cs="Arial"/>
          <w:color w:val="595959" w:themeColor="text1" w:themeTint="A6"/>
        </w:rPr>
        <w:t xml:space="preserve"> </w:t>
      </w:r>
      <w:r w:rsidRPr="008C21BF">
        <w:rPr>
          <w:rFonts w:ascii="Arial" w:hAnsi="Arial" w:cs="Arial"/>
          <w:color w:val="595959" w:themeColor="text1" w:themeTint="A6"/>
        </w:rPr>
        <w:t>provid</w:t>
      </w:r>
      <w:r w:rsidR="00223467">
        <w:rPr>
          <w:rFonts w:ascii="Arial" w:hAnsi="Arial" w:cs="Arial"/>
          <w:color w:val="595959" w:themeColor="text1" w:themeTint="A6"/>
        </w:rPr>
        <w:t>e</w:t>
      </w:r>
      <w:r w:rsidRPr="008C21BF">
        <w:rPr>
          <w:rFonts w:ascii="Arial" w:hAnsi="Arial" w:cs="Arial"/>
          <w:color w:val="595959" w:themeColor="text1" w:themeTint="A6"/>
        </w:rPr>
        <w:t xml:space="preserve"> a suitable 3D environment for cells and </w:t>
      </w:r>
      <w:r w:rsidR="00DB147D">
        <w:rPr>
          <w:rFonts w:ascii="Arial" w:hAnsi="Arial" w:cs="Arial"/>
          <w:color w:val="595959" w:themeColor="text1" w:themeTint="A6"/>
        </w:rPr>
        <w:t>aid the co</w:t>
      </w:r>
      <w:r w:rsidRPr="008C21BF">
        <w:rPr>
          <w:rFonts w:ascii="Arial" w:hAnsi="Arial" w:cs="Arial"/>
          <w:color w:val="595959" w:themeColor="text1" w:themeTint="A6"/>
        </w:rPr>
        <w:t xml:space="preserve">nstruction of tissues. </w:t>
      </w:r>
    </w:p>
    <w:p w14:paraId="203F4DBC" w14:textId="4F47CA3B" w:rsidR="008C21BF" w:rsidRPr="008C21BF" w:rsidRDefault="008C21BF" w:rsidP="008C21BF">
      <w:pPr>
        <w:spacing w:line="480" w:lineRule="auto"/>
        <w:jc w:val="both"/>
        <w:rPr>
          <w:rFonts w:ascii="Arial" w:hAnsi="Arial" w:cs="Arial"/>
          <w:color w:val="595959" w:themeColor="text1" w:themeTint="A6"/>
        </w:rPr>
      </w:pPr>
      <w:r w:rsidRPr="008C21BF">
        <w:rPr>
          <w:rFonts w:ascii="Arial" w:hAnsi="Arial" w:cs="Arial"/>
          <w:color w:val="595959" w:themeColor="text1" w:themeTint="A6"/>
        </w:rPr>
        <w:t xml:space="preserve">Of these scaffolds, human-derived ECM, which contains a </w:t>
      </w:r>
      <w:r w:rsidR="00755253">
        <w:rPr>
          <w:rFonts w:ascii="Arial" w:hAnsi="Arial" w:cs="Arial"/>
          <w:color w:val="595959" w:themeColor="text1" w:themeTint="A6"/>
        </w:rPr>
        <w:t xml:space="preserve">native </w:t>
      </w:r>
      <w:r w:rsidRPr="008C21BF">
        <w:rPr>
          <w:rFonts w:ascii="Arial" w:hAnsi="Arial" w:cs="Arial"/>
          <w:color w:val="595959" w:themeColor="text1" w:themeTint="A6"/>
        </w:rPr>
        <w:t>heterogeneous connective network, composed of fibrous proteins, glycoproteins, glycosaminoglycans and smaller interacting molecules would be the most suitable</w:t>
      </w:r>
      <w:r w:rsidR="0068476B">
        <w:rPr>
          <w:rFonts w:ascii="Arial" w:hAnsi="Arial" w:cs="Arial"/>
          <w:color w:val="595959" w:themeColor="text1" w:themeTint="A6"/>
        </w:rPr>
        <w:t>.</w:t>
      </w:r>
      <w:r w:rsidR="00223467">
        <w:rPr>
          <w:rFonts w:ascii="Arial" w:hAnsi="Arial" w:cs="Arial"/>
          <w:color w:val="595959" w:themeColor="text1" w:themeTint="A6"/>
        </w:rPr>
        <w:t xml:space="preserve"> </w:t>
      </w:r>
      <w:r w:rsidR="0068476B">
        <w:rPr>
          <w:rFonts w:ascii="Arial" w:hAnsi="Arial" w:cs="Arial"/>
          <w:color w:val="595959" w:themeColor="text1" w:themeTint="A6"/>
        </w:rPr>
        <w:t>P</w:t>
      </w:r>
      <w:r w:rsidRPr="008C21BF">
        <w:rPr>
          <w:rFonts w:ascii="Arial" w:hAnsi="Arial" w:cs="Arial"/>
          <w:color w:val="595959" w:themeColor="text1" w:themeTint="A6"/>
        </w:rPr>
        <w:t>rovid</w:t>
      </w:r>
      <w:r w:rsidR="00223467">
        <w:rPr>
          <w:rFonts w:ascii="Arial" w:hAnsi="Arial" w:cs="Arial"/>
          <w:color w:val="595959" w:themeColor="text1" w:themeTint="A6"/>
        </w:rPr>
        <w:t>ing</w:t>
      </w:r>
      <w:r w:rsidRPr="008C21BF">
        <w:rPr>
          <w:rFonts w:ascii="Arial" w:hAnsi="Arial" w:cs="Arial"/>
          <w:color w:val="595959" w:themeColor="text1" w:themeTint="A6"/>
        </w:rPr>
        <w:t xml:space="preserve"> </w:t>
      </w:r>
      <w:r w:rsidR="00223467">
        <w:rPr>
          <w:rFonts w:ascii="Arial" w:hAnsi="Arial" w:cs="Arial"/>
          <w:color w:val="595959" w:themeColor="text1" w:themeTint="A6"/>
        </w:rPr>
        <w:t xml:space="preserve">adequate </w:t>
      </w:r>
      <w:r w:rsidRPr="008C21BF">
        <w:rPr>
          <w:rFonts w:ascii="Arial" w:hAnsi="Arial" w:cs="Arial"/>
          <w:color w:val="595959" w:themeColor="text1" w:themeTint="A6"/>
        </w:rPr>
        <w:t>physiological</w:t>
      </w:r>
      <w:r w:rsidR="00223467">
        <w:rPr>
          <w:rFonts w:ascii="Arial" w:hAnsi="Arial" w:cs="Arial"/>
          <w:color w:val="595959" w:themeColor="text1" w:themeTint="A6"/>
        </w:rPr>
        <w:t>,</w:t>
      </w:r>
      <w:r w:rsidRPr="008C21BF">
        <w:rPr>
          <w:rFonts w:ascii="Arial" w:hAnsi="Arial" w:cs="Arial"/>
          <w:color w:val="595959" w:themeColor="text1" w:themeTint="A6"/>
        </w:rPr>
        <w:t xml:space="preserve"> biochemical, biophysical, and mechanical support for tissue homeostasis</w:t>
      </w:r>
      <w:r w:rsidR="00DB147D">
        <w:rPr>
          <w:rFonts w:ascii="Arial" w:hAnsi="Arial" w:cs="Arial"/>
          <w:color w:val="595959" w:themeColor="text1" w:themeTint="A6"/>
        </w:rPr>
        <w:t xml:space="preserve"> (</w:t>
      </w:r>
      <w:r w:rsidR="00F377FE">
        <w:rPr>
          <w:rFonts w:ascii="Arial" w:hAnsi="Arial" w:cs="Arial"/>
          <w:color w:val="595959" w:themeColor="text1" w:themeTint="A6"/>
        </w:rPr>
        <w:t xml:space="preserve">Walker </w:t>
      </w:r>
      <w:r w:rsidR="00F377FE" w:rsidRPr="00F377FE">
        <w:rPr>
          <w:rFonts w:ascii="Arial" w:hAnsi="Arial" w:cs="Arial"/>
          <w:i/>
          <w:iCs/>
          <w:color w:val="595959" w:themeColor="text1" w:themeTint="A6"/>
        </w:rPr>
        <w:t>et al.,</w:t>
      </w:r>
      <w:r w:rsidR="00F377FE">
        <w:rPr>
          <w:rFonts w:ascii="Arial" w:hAnsi="Arial" w:cs="Arial"/>
          <w:color w:val="595959" w:themeColor="text1" w:themeTint="A6"/>
        </w:rPr>
        <w:t xml:space="preserve"> 2018</w:t>
      </w:r>
      <w:r w:rsidR="00DB147D">
        <w:rPr>
          <w:rFonts w:ascii="Arial" w:hAnsi="Arial" w:cs="Arial"/>
          <w:color w:val="595959" w:themeColor="text1" w:themeTint="A6"/>
        </w:rPr>
        <w:t>)</w:t>
      </w:r>
      <w:r w:rsidRPr="008C21BF">
        <w:rPr>
          <w:rFonts w:ascii="Arial" w:hAnsi="Arial" w:cs="Arial"/>
          <w:color w:val="595959" w:themeColor="text1" w:themeTint="A6"/>
        </w:rPr>
        <w:t xml:space="preserve">. </w:t>
      </w:r>
      <w:r w:rsidRPr="008C21BF">
        <w:rPr>
          <w:rFonts w:ascii="Arial" w:hAnsi="Arial" w:cs="Arial"/>
          <w:iCs/>
          <w:color w:val="595959" w:themeColor="text1" w:themeTint="A6"/>
        </w:rPr>
        <w:t xml:space="preserve">Tumour activation of host stroma </w:t>
      </w:r>
      <w:r w:rsidR="00DB147D">
        <w:rPr>
          <w:rFonts w:ascii="Arial" w:hAnsi="Arial" w:cs="Arial"/>
          <w:iCs/>
          <w:color w:val="595959" w:themeColor="text1" w:themeTint="A6"/>
        </w:rPr>
        <w:t xml:space="preserve">occurs </w:t>
      </w:r>
      <w:r w:rsidRPr="008C21BF">
        <w:rPr>
          <w:rFonts w:ascii="Arial" w:hAnsi="Arial" w:cs="Arial"/>
          <w:iCs/>
          <w:color w:val="595959" w:themeColor="text1" w:themeTint="A6"/>
        </w:rPr>
        <w:t xml:space="preserve">via the desmoplastic response; a fibrotic state that is characterised by an </w:t>
      </w:r>
      <w:r w:rsidR="00223467" w:rsidRPr="008C21BF">
        <w:rPr>
          <w:rFonts w:ascii="Arial" w:hAnsi="Arial" w:cs="Arial"/>
          <w:iCs/>
          <w:color w:val="595959" w:themeColor="text1" w:themeTint="A6"/>
        </w:rPr>
        <w:t>a</w:t>
      </w:r>
      <w:r w:rsidR="00223467">
        <w:rPr>
          <w:rFonts w:ascii="Arial" w:hAnsi="Arial" w:cs="Arial"/>
          <w:iCs/>
          <w:color w:val="595959" w:themeColor="text1" w:themeTint="A6"/>
        </w:rPr>
        <w:t xml:space="preserve">bnormal </w:t>
      </w:r>
      <w:r w:rsidR="00223467" w:rsidRPr="008C21BF">
        <w:rPr>
          <w:rFonts w:ascii="Arial" w:hAnsi="Arial" w:cs="Arial"/>
          <w:iCs/>
          <w:color w:val="595959" w:themeColor="text1" w:themeTint="A6"/>
        </w:rPr>
        <w:t>organisation</w:t>
      </w:r>
      <w:r w:rsidRPr="008C21BF">
        <w:rPr>
          <w:rFonts w:ascii="Arial" w:hAnsi="Arial" w:cs="Arial"/>
          <w:iCs/>
          <w:color w:val="595959" w:themeColor="text1" w:themeTint="A6"/>
        </w:rPr>
        <w:t xml:space="preserve"> and composition of ECM proteins </w:t>
      </w:r>
      <w:r w:rsidR="00223467">
        <w:rPr>
          <w:rFonts w:ascii="Arial" w:hAnsi="Arial" w:cs="Arial"/>
          <w:iCs/>
          <w:color w:val="595959" w:themeColor="text1" w:themeTint="A6"/>
        </w:rPr>
        <w:t>(</w:t>
      </w:r>
      <w:r w:rsidR="00223467" w:rsidRPr="008C21BF">
        <w:rPr>
          <w:rFonts w:ascii="Arial" w:hAnsi="Arial" w:cs="Arial"/>
          <w:iCs/>
          <w:color w:val="595959" w:themeColor="text1" w:themeTint="A6"/>
        </w:rPr>
        <w:t xml:space="preserve">Lu </w:t>
      </w:r>
      <w:r w:rsidR="00223467" w:rsidRPr="008C21BF">
        <w:rPr>
          <w:rFonts w:ascii="Arial" w:hAnsi="Arial" w:cs="Arial"/>
          <w:i/>
          <w:iCs/>
          <w:color w:val="595959" w:themeColor="text1" w:themeTint="A6"/>
        </w:rPr>
        <w:t>et al</w:t>
      </w:r>
      <w:r w:rsidR="00223467" w:rsidRPr="008C21BF">
        <w:rPr>
          <w:rFonts w:ascii="Arial" w:hAnsi="Arial" w:cs="Arial"/>
          <w:iCs/>
          <w:color w:val="595959" w:themeColor="text1" w:themeTint="A6"/>
        </w:rPr>
        <w:t>., 2012)</w:t>
      </w:r>
      <w:r w:rsidRPr="008C21BF">
        <w:rPr>
          <w:rFonts w:ascii="Arial" w:hAnsi="Arial" w:cs="Arial"/>
          <w:iCs/>
          <w:color w:val="595959" w:themeColor="text1" w:themeTint="A6"/>
        </w:rPr>
        <w:t xml:space="preserve">. This </w:t>
      </w:r>
      <w:r w:rsidR="00DB147D">
        <w:rPr>
          <w:rFonts w:ascii="Arial" w:hAnsi="Arial" w:cs="Arial"/>
          <w:iCs/>
          <w:color w:val="595959" w:themeColor="text1" w:themeTint="A6"/>
        </w:rPr>
        <w:t xml:space="preserve">desmoplasia </w:t>
      </w:r>
      <w:r w:rsidRPr="008C21BF">
        <w:rPr>
          <w:rFonts w:ascii="Arial" w:hAnsi="Arial" w:cs="Arial"/>
          <w:iCs/>
          <w:color w:val="595959" w:themeColor="text1" w:themeTint="A6"/>
        </w:rPr>
        <w:t>affects cancer progression by supporting cellular transformation and metastasis, facilitates sustained angiogenesis and maintains a pro-inflammatory response, leading to the generation of a tumour permissive microenvironment</w:t>
      </w:r>
      <w:r w:rsidR="00B034D9">
        <w:rPr>
          <w:rFonts w:ascii="Arial" w:hAnsi="Arial" w:cs="Arial"/>
          <w:iCs/>
          <w:color w:val="595959" w:themeColor="text1" w:themeTint="A6"/>
        </w:rPr>
        <w:t xml:space="preserve"> (</w:t>
      </w:r>
      <w:r w:rsidR="00AA54C1">
        <w:rPr>
          <w:rFonts w:ascii="Arial" w:hAnsi="Arial" w:cs="Arial"/>
          <w:iCs/>
          <w:color w:val="595959" w:themeColor="text1" w:themeTint="A6"/>
        </w:rPr>
        <w:t>G</w:t>
      </w:r>
      <w:r w:rsidR="007020D0">
        <w:rPr>
          <w:rFonts w:ascii="Arial" w:hAnsi="Arial" w:cs="Arial"/>
          <w:iCs/>
          <w:color w:val="595959" w:themeColor="text1" w:themeTint="A6"/>
        </w:rPr>
        <w:t>k</w:t>
      </w:r>
      <w:r w:rsidR="00AA54C1">
        <w:rPr>
          <w:rFonts w:ascii="Arial" w:hAnsi="Arial" w:cs="Arial"/>
          <w:iCs/>
          <w:color w:val="595959" w:themeColor="text1" w:themeTint="A6"/>
        </w:rPr>
        <w:t>ret</w:t>
      </w:r>
      <w:r w:rsidR="007020D0">
        <w:rPr>
          <w:rFonts w:ascii="Arial" w:hAnsi="Arial" w:cs="Arial"/>
          <w:iCs/>
          <w:color w:val="595959" w:themeColor="text1" w:themeTint="A6"/>
        </w:rPr>
        <w:t>si and Stylianopoulos, 2018)</w:t>
      </w:r>
      <w:r w:rsidRPr="008C21BF">
        <w:rPr>
          <w:rFonts w:ascii="Arial" w:hAnsi="Arial" w:cs="Arial"/>
          <w:iCs/>
          <w:color w:val="595959" w:themeColor="text1" w:themeTint="A6"/>
        </w:rPr>
        <w:t xml:space="preserve">. </w:t>
      </w:r>
      <w:r w:rsidR="00DB147D">
        <w:rPr>
          <w:rFonts w:ascii="Arial" w:hAnsi="Arial" w:cs="Arial"/>
          <w:iCs/>
          <w:color w:val="595959" w:themeColor="text1" w:themeTint="A6"/>
        </w:rPr>
        <w:t xml:space="preserve">Chapter 3 provided evidence of </w:t>
      </w:r>
      <w:r w:rsidR="00F42F16">
        <w:rPr>
          <w:rFonts w:ascii="Arial" w:hAnsi="Arial" w:cs="Arial"/>
          <w:iCs/>
          <w:color w:val="595959" w:themeColor="text1" w:themeTint="A6"/>
        </w:rPr>
        <w:t xml:space="preserve">NOF and </w:t>
      </w:r>
      <w:r w:rsidR="00DB147D">
        <w:rPr>
          <w:rFonts w:ascii="Arial" w:hAnsi="Arial" w:cs="Arial"/>
          <w:iCs/>
          <w:color w:val="595959" w:themeColor="text1" w:themeTint="A6"/>
        </w:rPr>
        <w:t>CAF-deposited ECM in 2D, however the extent to which</w:t>
      </w:r>
      <w:r w:rsidR="004F5965">
        <w:rPr>
          <w:rFonts w:ascii="Arial" w:hAnsi="Arial" w:cs="Arial"/>
          <w:iCs/>
          <w:color w:val="595959" w:themeColor="text1" w:themeTint="A6"/>
        </w:rPr>
        <w:t xml:space="preserve"> oral CAF</w:t>
      </w:r>
      <w:r w:rsidR="00DB147D">
        <w:rPr>
          <w:rFonts w:ascii="Arial" w:hAnsi="Arial" w:cs="Arial"/>
          <w:iCs/>
          <w:color w:val="595959" w:themeColor="text1" w:themeTint="A6"/>
        </w:rPr>
        <w:t xml:space="preserve"> can deposited ECM for the use as an oral mucosal scaffold in cancer has yet to be determined. </w:t>
      </w:r>
      <w:r w:rsidRPr="008C21BF">
        <w:rPr>
          <w:rFonts w:ascii="Arial" w:hAnsi="Arial" w:cs="Arial"/>
          <w:iCs/>
          <w:color w:val="595959" w:themeColor="text1" w:themeTint="A6"/>
        </w:rPr>
        <w:t>Therefore</w:t>
      </w:r>
      <w:r w:rsidR="00223467">
        <w:rPr>
          <w:rFonts w:ascii="Arial" w:hAnsi="Arial" w:cs="Arial"/>
          <w:iCs/>
          <w:color w:val="595959" w:themeColor="text1" w:themeTint="A6"/>
        </w:rPr>
        <w:t>,</w:t>
      </w:r>
      <w:r w:rsidRPr="008C21BF">
        <w:rPr>
          <w:rFonts w:ascii="Arial" w:hAnsi="Arial" w:cs="Arial"/>
          <w:iCs/>
          <w:color w:val="595959" w:themeColor="text1" w:themeTint="A6"/>
        </w:rPr>
        <w:t xml:space="preserve"> generation of an all human-</w:t>
      </w:r>
      <w:r w:rsidR="004F5965">
        <w:rPr>
          <w:rFonts w:ascii="Arial" w:hAnsi="Arial" w:cs="Arial"/>
          <w:iCs/>
          <w:color w:val="595959" w:themeColor="text1" w:themeTint="A6"/>
        </w:rPr>
        <w:t>CAF</w:t>
      </w:r>
      <w:r w:rsidRPr="008C21BF">
        <w:rPr>
          <w:rFonts w:ascii="Arial" w:hAnsi="Arial" w:cs="Arial"/>
          <w:iCs/>
          <w:color w:val="595959" w:themeColor="text1" w:themeTint="A6"/>
        </w:rPr>
        <w:t xml:space="preserve"> derived ECM </w:t>
      </w:r>
      <w:r w:rsidRPr="008C21BF">
        <w:rPr>
          <w:rFonts w:ascii="Arial" w:hAnsi="Arial" w:cs="Arial"/>
          <w:color w:val="595959" w:themeColor="text1" w:themeTint="A6"/>
        </w:rPr>
        <w:t xml:space="preserve">would be </w:t>
      </w:r>
      <w:r w:rsidR="00CC06D2">
        <w:rPr>
          <w:rFonts w:ascii="Arial" w:hAnsi="Arial" w:cs="Arial"/>
          <w:color w:val="595959" w:themeColor="text1" w:themeTint="A6"/>
        </w:rPr>
        <w:t>an</w:t>
      </w:r>
      <w:r w:rsidRPr="008C21BF">
        <w:rPr>
          <w:rFonts w:ascii="Arial" w:hAnsi="Arial" w:cs="Arial"/>
          <w:color w:val="595959" w:themeColor="text1" w:themeTint="A6"/>
        </w:rPr>
        <w:t xml:space="preserve"> advantageous scaffold type to study </w:t>
      </w:r>
      <w:r w:rsidR="003A382F">
        <w:rPr>
          <w:rFonts w:ascii="Arial" w:hAnsi="Arial" w:cs="Arial"/>
          <w:color w:val="595959" w:themeColor="text1" w:themeTint="A6"/>
        </w:rPr>
        <w:t xml:space="preserve">tumour: </w:t>
      </w:r>
      <w:r w:rsidRPr="008C21BF">
        <w:rPr>
          <w:rFonts w:ascii="Arial" w:hAnsi="Arial" w:cs="Arial"/>
          <w:color w:val="595959" w:themeColor="text1" w:themeTint="A6"/>
        </w:rPr>
        <w:t xml:space="preserve">ECM </w:t>
      </w:r>
      <w:r w:rsidR="003A382F">
        <w:rPr>
          <w:rFonts w:ascii="Arial" w:hAnsi="Arial" w:cs="Arial"/>
          <w:color w:val="595959" w:themeColor="text1" w:themeTint="A6"/>
        </w:rPr>
        <w:t>interaction</w:t>
      </w:r>
      <w:r w:rsidRPr="008C21BF">
        <w:rPr>
          <w:rFonts w:ascii="Arial" w:hAnsi="Arial" w:cs="Arial"/>
          <w:color w:val="595959" w:themeColor="text1" w:themeTint="A6"/>
        </w:rPr>
        <w:t xml:space="preserve">s in </w:t>
      </w:r>
      <w:r w:rsidR="007C7EB1">
        <w:rPr>
          <w:rFonts w:ascii="Arial" w:hAnsi="Arial" w:cs="Arial"/>
          <w:color w:val="595959" w:themeColor="text1" w:themeTint="A6"/>
        </w:rPr>
        <w:t xml:space="preserve">an </w:t>
      </w:r>
      <w:r w:rsidRPr="008C21BF">
        <w:rPr>
          <w:rFonts w:ascii="Arial" w:hAnsi="Arial" w:cs="Arial"/>
          <w:color w:val="595959" w:themeColor="text1" w:themeTint="A6"/>
        </w:rPr>
        <w:t>OSCC tumorigenesi</w:t>
      </w:r>
      <w:bookmarkEnd w:id="362"/>
      <w:r w:rsidR="007C7EB1">
        <w:rPr>
          <w:rFonts w:ascii="Arial" w:hAnsi="Arial" w:cs="Arial"/>
          <w:color w:val="595959" w:themeColor="text1" w:themeTint="A6"/>
        </w:rPr>
        <w:t xml:space="preserve">s model. </w:t>
      </w:r>
    </w:p>
    <w:p w14:paraId="3795F34C" w14:textId="07EDD228" w:rsidR="008C21BF" w:rsidRPr="008C21BF" w:rsidRDefault="008C21BF" w:rsidP="008C21BF">
      <w:pPr>
        <w:spacing w:line="480" w:lineRule="auto"/>
        <w:jc w:val="both"/>
        <w:rPr>
          <w:rFonts w:ascii="Arial" w:hAnsi="Arial" w:cs="Arial"/>
          <w:color w:val="595959" w:themeColor="text1" w:themeTint="A6"/>
        </w:rPr>
      </w:pPr>
      <w:r w:rsidRPr="008C21BF">
        <w:rPr>
          <w:rFonts w:ascii="Arial" w:hAnsi="Arial" w:cs="Arial"/>
          <w:color w:val="595959" w:themeColor="text1" w:themeTint="A6"/>
        </w:rPr>
        <w:t>This chapter describes the development of a novel methodology for constructing oral fibroblast ECM equivalent</w:t>
      </w:r>
      <w:r w:rsidR="005D194D">
        <w:rPr>
          <w:rFonts w:ascii="Arial" w:hAnsi="Arial" w:cs="Arial"/>
          <w:color w:val="595959" w:themeColor="text1" w:themeTint="A6"/>
        </w:rPr>
        <w:t xml:space="preserve">, </w:t>
      </w:r>
      <w:r w:rsidRPr="008C21BF">
        <w:rPr>
          <w:rFonts w:ascii="Arial" w:hAnsi="Arial" w:cs="Arial"/>
          <w:color w:val="595959" w:themeColor="text1" w:themeTint="A6"/>
        </w:rPr>
        <w:t>describ</w:t>
      </w:r>
      <w:r w:rsidR="005D194D">
        <w:rPr>
          <w:rFonts w:ascii="Arial" w:hAnsi="Arial" w:cs="Arial"/>
          <w:color w:val="595959" w:themeColor="text1" w:themeTint="A6"/>
        </w:rPr>
        <w:t>i</w:t>
      </w:r>
      <w:r w:rsidR="001D7486">
        <w:rPr>
          <w:rFonts w:ascii="Arial" w:hAnsi="Arial" w:cs="Arial"/>
          <w:color w:val="595959" w:themeColor="text1" w:themeTint="A6"/>
        </w:rPr>
        <w:t>ng</w:t>
      </w:r>
      <w:r w:rsidRPr="008C21BF">
        <w:rPr>
          <w:rFonts w:ascii="Arial" w:hAnsi="Arial" w:cs="Arial"/>
          <w:color w:val="595959" w:themeColor="text1" w:themeTint="A6"/>
        </w:rPr>
        <w:t xml:space="preserve"> the development and characterisation of NOF- and CAF-derived </w:t>
      </w:r>
      <w:r w:rsidRPr="008C21BF">
        <w:rPr>
          <w:rFonts w:ascii="Arial" w:hAnsi="Arial" w:cs="Arial"/>
          <w:color w:val="595959" w:themeColor="text1" w:themeTint="A6"/>
        </w:rPr>
        <w:lastRenderedPageBreak/>
        <w:t>matrices (NOF/CAF-DM)</w:t>
      </w:r>
      <w:r w:rsidR="00B728E4">
        <w:rPr>
          <w:rFonts w:ascii="Arial" w:hAnsi="Arial" w:cs="Arial"/>
          <w:color w:val="595959" w:themeColor="text1" w:themeTint="A6"/>
        </w:rPr>
        <w:t>. This will</w:t>
      </w:r>
      <w:r w:rsidR="003A382F">
        <w:rPr>
          <w:rFonts w:ascii="Arial" w:hAnsi="Arial" w:cs="Arial"/>
          <w:color w:val="595959" w:themeColor="text1" w:themeTint="A6"/>
        </w:rPr>
        <w:t xml:space="preserve"> </w:t>
      </w:r>
      <w:r w:rsidRPr="008C21BF">
        <w:rPr>
          <w:rFonts w:ascii="Arial" w:hAnsi="Arial" w:cs="Arial"/>
          <w:color w:val="595959" w:themeColor="text1" w:themeTint="A6"/>
        </w:rPr>
        <w:t>establish their use</w:t>
      </w:r>
      <w:r w:rsidR="004F7DF4">
        <w:rPr>
          <w:rFonts w:ascii="Arial" w:hAnsi="Arial" w:cs="Arial"/>
          <w:color w:val="595959" w:themeColor="text1" w:themeTint="A6"/>
        </w:rPr>
        <w:t>fulness</w:t>
      </w:r>
      <w:r w:rsidRPr="008C21BF">
        <w:rPr>
          <w:rFonts w:ascii="Arial" w:hAnsi="Arial" w:cs="Arial"/>
          <w:color w:val="595959" w:themeColor="text1" w:themeTint="A6"/>
        </w:rPr>
        <w:t xml:space="preserve"> as cell-derived ECM scaffolds, and evaluate their potential</w:t>
      </w:r>
      <w:r w:rsidR="00BD0886">
        <w:rPr>
          <w:rFonts w:ascii="Arial" w:hAnsi="Arial" w:cs="Arial"/>
          <w:color w:val="595959" w:themeColor="text1" w:themeTint="A6"/>
        </w:rPr>
        <w:t xml:space="preserve"> use</w:t>
      </w:r>
      <w:r w:rsidRPr="008C21BF">
        <w:rPr>
          <w:rFonts w:ascii="Arial" w:hAnsi="Arial" w:cs="Arial"/>
          <w:color w:val="595959" w:themeColor="text1" w:themeTint="A6"/>
        </w:rPr>
        <w:t xml:space="preserve"> as a scaffold to generate full thickness oral mucosa equivalents in </w:t>
      </w:r>
      <w:r w:rsidR="00BD0886">
        <w:rPr>
          <w:rFonts w:ascii="Arial" w:hAnsi="Arial" w:cs="Arial"/>
          <w:color w:val="595959" w:themeColor="text1" w:themeTint="A6"/>
        </w:rPr>
        <w:t xml:space="preserve">the </w:t>
      </w:r>
      <w:r w:rsidRPr="008C21BF">
        <w:rPr>
          <w:rFonts w:ascii="Arial" w:hAnsi="Arial" w:cs="Arial"/>
          <w:color w:val="595959" w:themeColor="text1" w:themeTint="A6"/>
        </w:rPr>
        <w:t xml:space="preserve">subsequent chapter. </w:t>
      </w:r>
    </w:p>
    <w:p w14:paraId="0EA387D3" w14:textId="77777777" w:rsidR="008C21BF" w:rsidRPr="008C21BF" w:rsidRDefault="008C21BF" w:rsidP="008C21BF">
      <w:pPr>
        <w:spacing w:line="480" w:lineRule="auto"/>
        <w:jc w:val="both"/>
        <w:rPr>
          <w:rFonts w:ascii="Arial" w:hAnsi="Arial" w:cs="Arial"/>
          <w:color w:val="595959" w:themeColor="text1" w:themeTint="A6"/>
        </w:rPr>
      </w:pPr>
      <w:r w:rsidRPr="008C21BF">
        <w:rPr>
          <w:rFonts w:ascii="Arial" w:hAnsi="Arial" w:cs="Arial"/>
          <w:color w:val="595959" w:themeColor="text1" w:themeTint="A6"/>
        </w:rPr>
        <w:t>The specific sub-aims of this chapter are as follows:</w:t>
      </w:r>
    </w:p>
    <w:p w14:paraId="329E5BA1" w14:textId="6FEAB4DC" w:rsidR="008C21BF" w:rsidRPr="00223467" w:rsidRDefault="008C21BF" w:rsidP="00223467">
      <w:pPr>
        <w:pStyle w:val="ListParagraph"/>
        <w:numPr>
          <w:ilvl w:val="0"/>
          <w:numId w:val="8"/>
        </w:numPr>
        <w:spacing w:line="480" w:lineRule="auto"/>
        <w:jc w:val="both"/>
        <w:rPr>
          <w:rFonts w:ascii="Arial" w:hAnsi="Arial" w:cs="Arial"/>
          <w:color w:val="595959" w:themeColor="text1" w:themeTint="A6"/>
        </w:rPr>
      </w:pPr>
      <w:bookmarkStart w:id="363" w:name="_Hlk534635011"/>
      <w:r w:rsidRPr="00223467">
        <w:rPr>
          <w:rFonts w:ascii="Arial" w:hAnsi="Arial" w:cs="Arial"/>
          <w:color w:val="595959" w:themeColor="text1" w:themeTint="A6"/>
        </w:rPr>
        <w:t xml:space="preserve">Using NOF and CAF, develop novel tissue-engineered </w:t>
      </w:r>
      <w:r w:rsidRPr="00223467">
        <w:rPr>
          <w:rFonts w:ascii="Arial" w:hAnsi="Arial" w:cs="Arial"/>
          <w:i/>
          <w:color w:val="595959" w:themeColor="text1" w:themeTint="A6"/>
        </w:rPr>
        <w:t>in vitro</w:t>
      </w:r>
      <w:r w:rsidRPr="00223467">
        <w:rPr>
          <w:rFonts w:ascii="Arial" w:hAnsi="Arial" w:cs="Arial"/>
          <w:color w:val="595959" w:themeColor="text1" w:themeTint="A6"/>
        </w:rPr>
        <w:t xml:space="preserve"> human ECM mimetics to examine differences in the matrix produced by both cell types.</w:t>
      </w:r>
    </w:p>
    <w:p w14:paraId="002E0F40" w14:textId="08A82CFE" w:rsidR="008C21BF" w:rsidRPr="00223467" w:rsidRDefault="008C21BF" w:rsidP="00223467">
      <w:pPr>
        <w:pStyle w:val="ListParagraph"/>
        <w:numPr>
          <w:ilvl w:val="0"/>
          <w:numId w:val="8"/>
        </w:numPr>
        <w:spacing w:line="480" w:lineRule="auto"/>
        <w:jc w:val="both"/>
        <w:rPr>
          <w:rFonts w:ascii="Arial" w:hAnsi="Arial" w:cs="Arial"/>
          <w:color w:val="595959" w:themeColor="text1" w:themeTint="A6"/>
        </w:rPr>
      </w:pPr>
      <w:r w:rsidRPr="00223467">
        <w:rPr>
          <w:rFonts w:ascii="Arial" w:hAnsi="Arial" w:cs="Arial"/>
          <w:color w:val="595959" w:themeColor="text1" w:themeTint="A6"/>
        </w:rPr>
        <w:t>Characterise</w:t>
      </w:r>
      <w:r w:rsidR="002230B4">
        <w:rPr>
          <w:rFonts w:ascii="Arial" w:hAnsi="Arial" w:cs="Arial"/>
          <w:color w:val="595959" w:themeColor="text1" w:themeTint="A6"/>
        </w:rPr>
        <w:t xml:space="preserve"> </w:t>
      </w:r>
      <w:r w:rsidR="00C4786F">
        <w:rPr>
          <w:rFonts w:ascii="Arial" w:hAnsi="Arial" w:cs="Arial"/>
          <w:color w:val="595959" w:themeColor="text1" w:themeTint="A6"/>
        </w:rPr>
        <w:t>these</w:t>
      </w:r>
      <w:r w:rsidRPr="00223467">
        <w:rPr>
          <w:rFonts w:ascii="Arial" w:hAnsi="Arial" w:cs="Arial"/>
          <w:color w:val="595959" w:themeColor="text1" w:themeTint="A6"/>
        </w:rPr>
        <w:t xml:space="preserve"> fibroblast-derived matrix (FDM) using immunoblotting, histology, immunohistochemistry and second harmonic generation microscopy. </w:t>
      </w:r>
    </w:p>
    <w:p w14:paraId="020BC2FA" w14:textId="6F0C6C01" w:rsidR="008C21BF" w:rsidRPr="00223467" w:rsidRDefault="008C21BF" w:rsidP="00223467">
      <w:pPr>
        <w:pStyle w:val="ListParagraph"/>
        <w:numPr>
          <w:ilvl w:val="0"/>
          <w:numId w:val="8"/>
        </w:numPr>
        <w:spacing w:line="480" w:lineRule="auto"/>
        <w:jc w:val="both"/>
        <w:rPr>
          <w:rFonts w:ascii="Arial" w:hAnsi="Arial" w:cs="Arial"/>
          <w:color w:val="595959" w:themeColor="text1" w:themeTint="A6"/>
        </w:rPr>
      </w:pPr>
      <w:r w:rsidRPr="00223467">
        <w:rPr>
          <w:rFonts w:ascii="Arial" w:hAnsi="Arial" w:cs="Arial"/>
          <w:color w:val="595959" w:themeColor="text1" w:themeTint="A6"/>
        </w:rPr>
        <w:t>Examine the ultrastructure features of FDM using scanning electron microscopy</w:t>
      </w:r>
      <w:r w:rsidR="00D03019">
        <w:rPr>
          <w:rFonts w:ascii="Arial" w:hAnsi="Arial" w:cs="Arial"/>
          <w:color w:val="595959" w:themeColor="text1" w:themeTint="A6"/>
        </w:rPr>
        <w:t xml:space="preserve"> (SEM)</w:t>
      </w:r>
      <w:r w:rsidRPr="00223467">
        <w:rPr>
          <w:rFonts w:ascii="Arial" w:hAnsi="Arial" w:cs="Arial"/>
          <w:color w:val="595959" w:themeColor="text1" w:themeTint="A6"/>
        </w:rPr>
        <w:t>.</w:t>
      </w:r>
    </w:p>
    <w:p w14:paraId="18439132" w14:textId="007369E8" w:rsidR="008C21BF" w:rsidRPr="00223467" w:rsidRDefault="008C21BF" w:rsidP="00223467">
      <w:pPr>
        <w:pStyle w:val="ListParagraph"/>
        <w:numPr>
          <w:ilvl w:val="0"/>
          <w:numId w:val="8"/>
        </w:numPr>
        <w:spacing w:line="480" w:lineRule="auto"/>
        <w:jc w:val="both"/>
        <w:rPr>
          <w:rFonts w:ascii="Arial" w:hAnsi="Arial" w:cs="Arial"/>
          <w:color w:val="595959" w:themeColor="text1" w:themeTint="A6"/>
        </w:rPr>
      </w:pPr>
      <w:r w:rsidRPr="00223467">
        <w:rPr>
          <w:rFonts w:ascii="Arial" w:hAnsi="Arial" w:cs="Arial"/>
          <w:color w:val="595959" w:themeColor="text1" w:themeTint="A6"/>
        </w:rPr>
        <w:t>Investigate the mechanical properties of the ECM using atomic force microscopy (AFM)</w:t>
      </w:r>
      <w:bookmarkEnd w:id="363"/>
      <w:r w:rsidRPr="00223467">
        <w:rPr>
          <w:rFonts w:ascii="Arial" w:hAnsi="Arial" w:cs="Arial"/>
          <w:color w:val="595959" w:themeColor="text1" w:themeTint="A6"/>
        </w:rPr>
        <w:t>.</w:t>
      </w:r>
    </w:p>
    <w:p w14:paraId="7325D8A2" w14:textId="4F71361B" w:rsidR="008C21BF" w:rsidRPr="00223467" w:rsidRDefault="008C21BF" w:rsidP="00223467">
      <w:pPr>
        <w:pStyle w:val="ListParagraph"/>
        <w:numPr>
          <w:ilvl w:val="0"/>
          <w:numId w:val="8"/>
        </w:numPr>
        <w:spacing w:line="480" w:lineRule="auto"/>
        <w:jc w:val="both"/>
        <w:rPr>
          <w:rFonts w:ascii="Arial" w:hAnsi="Arial" w:cs="Arial"/>
          <w:color w:val="595959" w:themeColor="text1" w:themeTint="A6"/>
        </w:rPr>
      </w:pPr>
      <w:r w:rsidRPr="00223467">
        <w:rPr>
          <w:rFonts w:ascii="Arial" w:hAnsi="Arial" w:cs="Arial"/>
          <w:color w:val="595959" w:themeColor="text1" w:themeTint="A6"/>
        </w:rPr>
        <w:t xml:space="preserve">Investigate FDM remodelling capabilities by examining MMP activity using zymography. </w:t>
      </w:r>
    </w:p>
    <w:p w14:paraId="0DF4A29F" w14:textId="6E053E93" w:rsidR="008C21BF" w:rsidRDefault="00E522FF" w:rsidP="00223467">
      <w:pPr>
        <w:pStyle w:val="ListParagraph"/>
        <w:numPr>
          <w:ilvl w:val="0"/>
          <w:numId w:val="8"/>
        </w:numPr>
        <w:spacing w:line="480" w:lineRule="auto"/>
        <w:jc w:val="both"/>
        <w:rPr>
          <w:rFonts w:ascii="Arial" w:hAnsi="Arial" w:cs="Arial"/>
          <w:color w:val="595959" w:themeColor="text1" w:themeTint="A6"/>
        </w:rPr>
      </w:pPr>
      <w:r>
        <w:rPr>
          <w:rFonts w:ascii="Arial" w:hAnsi="Arial" w:cs="Arial"/>
          <w:color w:val="595959" w:themeColor="text1" w:themeTint="A6"/>
        </w:rPr>
        <w:t>S</w:t>
      </w:r>
      <w:r w:rsidR="00DE044A">
        <w:rPr>
          <w:rFonts w:ascii="Arial" w:hAnsi="Arial" w:cs="Arial"/>
          <w:color w:val="595959" w:themeColor="text1" w:themeTint="A6"/>
        </w:rPr>
        <w:t>troma targeted drug screening platforms</w:t>
      </w:r>
      <w:r w:rsidR="00DE044A" w:rsidRPr="00223467">
        <w:rPr>
          <w:rFonts w:ascii="Arial" w:hAnsi="Arial" w:cs="Arial"/>
          <w:color w:val="595959" w:themeColor="text1" w:themeTint="A6"/>
        </w:rPr>
        <w:t xml:space="preserve"> </w:t>
      </w:r>
      <w:r w:rsidR="009E72EA">
        <w:rPr>
          <w:rFonts w:ascii="Arial" w:hAnsi="Arial" w:cs="Arial"/>
          <w:color w:val="595959" w:themeColor="text1" w:themeTint="A6"/>
        </w:rPr>
        <w:t>by i</w:t>
      </w:r>
      <w:r w:rsidR="008C21BF" w:rsidRPr="00223467">
        <w:rPr>
          <w:rFonts w:ascii="Arial" w:hAnsi="Arial" w:cs="Arial"/>
          <w:color w:val="595959" w:themeColor="text1" w:themeTint="A6"/>
        </w:rPr>
        <w:t>nvestigat</w:t>
      </w:r>
      <w:r w:rsidR="009E72EA">
        <w:rPr>
          <w:rFonts w:ascii="Arial" w:hAnsi="Arial" w:cs="Arial"/>
          <w:color w:val="595959" w:themeColor="text1" w:themeTint="A6"/>
        </w:rPr>
        <w:t>ing</w:t>
      </w:r>
      <w:r w:rsidR="008C21BF" w:rsidRPr="00223467">
        <w:rPr>
          <w:rFonts w:ascii="Arial" w:hAnsi="Arial" w:cs="Arial"/>
          <w:color w:val="595959" w:themeColor="text1" w:themeTint="A6"/>
        </w:rPr>
        <w:t xml:space="preserve"> the effects of drugs</w:t>
      </w:r>
      <w:r w:rsidR="009E72EA">
        <w:rPr>
          <w:rFonts w:ascii="Arial" w:hAnsi="Arial" w:cs="Arial"/>
          <w:color w:val="595959" w:themeColor="text1" w:themeTint="A6"/>
        </w:rPr>
        <w:t xml:space="preserve"> Batimastat and Scriptaid,</w:t>
      </w:r>
      <w:r w:rsidR="008C21BF" w:rsidRPr="00223467">
        <w:rPr>
          <w:rFonts w:ascii="Arial" w:hAnsi="Arial" w:cs="Arial"/>
          <w:color w:val="595959" w:themeColor="text1" w:themeTint="A6"/>
        </w:rPr>
        <w:t xml:space="preserve"> on reversing the phenotype of pathological stroma in CAF-DM</w:t>
      </w:r>
      <w:r w:rsidR="001D4A84">
        <w:rPr>
          <w:rFonts w:ascii="Arial" w:hAnsi="Arial" w:cs="Arial"/>
          <w:color w:val="595959" w:themeColor="text1" w:themeTint="A6"/>
        </w:rPr>
        <w:t xml:space="preserve"> and the use of FDM as. </w:t>
      </w:r>
    </w:p>
    <w:p w14:paraId="5A3E7434" w14:textId="68095805" w:rsidR="008F101D" w:rsidRDefault="008F101D" w:rsidP="008F101D">
      <w:pPr>
        <w:spacing w:line="480" w:lineRule="auto"/>
        <w:jc w:val="both"/>
        <w:rPr>
          <w:rFonts w:ascii="Arial" w:hAnsi="Arial" w:cs="Arial"/>
          <w:color w:val="595959" w:themeColor="text1" w:themeTint="A6"/>
        </w:rPr>
      </w:pPr>
    </w:p>
    <w:p w14:paraId="4982A330" w14:textId="38BEA354" w:rsidR="008F101D" w:rsidRDefault="008F101D" w:rsidP="008F101D">
      <w:pPr>
        <w:spacing w:line="480" w:lineRule="auto"/>
        <w:jc w:val="both"/>
        <w:rPr>
          <w:rFonts w:ascii="Arial" w:hAnsi="Arial" w:cs="Arial"/>
          <w:color w:val="595959" w:themeColor="text1" w:themeTint="A6"/>
        </w:rPr>
      </w:pPr>
    </w:p>
    <w:p w14:paraId="048CAD34" w14:textId="04ED0832" w:rsidR="008F101D" w:rsidRDefault="008F101D" w:rsidP="008F101D">
      <w:pPr>
        <w:spacing w:line="480" w:lineRule="auto"/>
        <w:jc w:val="both"/>
        <w:rPr>
          <w:rFonts w:ascii="Arial" w:hAnsi="Arial" w:cs="Arial"/>
          <w:color w:val="595959" w:themeColor="text1" w:themeTint="A6"/>
        </w:rPr>
      </w:pPr>
    </w:p>
    <w:p w14:paraId="14602BED" w14:textId="46FE4D47" w:rsidR="008F101D" w:rsidRDefault="008F101D" w:rsidP="008F101D">
      <w:pPr>
        <w:spacing w:line="480" w:lineRule="auto"/>
        <w:jc w:val="both"/>
        <w:rPr>
          <w:rFonts w:ascii="Arial" w:hAnsi="Arial" w:cs="Arial"/>
          <w:color w:val="595959" w:themeColor="text1" w:themeTint="A6"/>
        </w:rPr>
      </w:pPr>
    </w:p>
    <w:p w14:paraId="24E77FA0" w14:textId="4EACB518" w:rsidR="008F101D" w:rsidRDefault="008F101D" w:rsidP="008F101D">
      <w:pPr>
        <w:spacing w:line="480" w:lineRule="auto"/>
        <w:jc w:val="both"/>
        <w:rPr>
          <w:rFonts w:ascii="Arial" w:hAnsi="Arial" w:cs="Arial"/>
          <w:color w:val="595959" w:themeColor="text1" w:themeTint="A6"/>
        </w:rPr>
      </w:pPr>
    </w:p>
    <w:p w14:paraId="52AC4B3C" w14:textId="40E1F578" w:rsidR="008F101D" w:rsidRDefault="008F101D" w:rsidP="008F101D">
      <w:pPr>
        <w:spacing w:line="480" w:lineRule="auto"/>
        <w:jc w:val="both"/>
        <w:rPr>
          <w:rFonts w:ascii="Arial" w:hAnsi="Arial" w:cs="Arial"/>
          <w:color w:val="595959" w:themeColor="text1" w:themeTint="A6"/>
        </w:rPr>
      </w:pPr>
    </w:p>
    <w:p w14:paraId="083A817A" w14:textId="77777777" w:rsidR="008F101D" w:rsidRPr="008F101D" w:rsidRDefault="008F101D" w:rsidP="008F101D">
      <w:pPr>
        <w:spacing w:line="480" w:lineRule="auto"/>
        <w:jc w:val="both"/>
        <w:rPr>
          <w:rFonts w:ascii="Arial" w:hAnsi="Arial" w:cs="Arial"/>
          <w:color w:val="595959" w:themeColor="text1" w:themeTint="A6"/>
        </w:rPr>
      </w:pPr>
    </w:p>
    <w:p w14:paraId="16A8FE57" w14:textId="77777777" w:rsidR="008C21BF" w:rsidRPr="008C21BF" w:rsidRDefault="008C21BF" w:rsidP="008C21BF">
      <w:pPr>
        <w:keepNext/>
        <w:keepLines/>
        <w:spacing w:before="40" w:after="0"/>
        <w:outlineLvl w:val="1"/>
        <w:rPr>
          <w:rFonts w:ascii="Arial" w:eastAsiaTheme="majorEastAsia" w:hAnsi="Arial" w:cs="Arial"/>
          <w:color w:val="595959" w:themeColor="text1" w:themeTint="A6"/>
          <w:sz w:val="26"/>
        </w:rPr>
      </w:pPr>
      <w:bookmarkStart w:id="364" w:name="_Toc7678135"/>
      <w:bookmarkStart w:id="365" w:name="_Toc34208408"/>
      <w:r w:rsidRPr="008C21BF">
        <w:rPr>
          <w:rFonts w:ascii="Arial" w:eastAsiaTheme="majorEastAsia" w:hAnsi="Arial" w:cs="Arial"/>
          <w:color w:val="595959" w:themeColor="text1" w:themeTint="A6"/>
          <w:sz w:val="26"/>
        </w:rPr>
        <w:lastRenderedPageBreak/>
        <w:t>4.2 Materials and methods</w:t>
      </w:r>
      <w:bookmarkEnd w:id="364"/>
      <w:bookmarkEnd w:id="365"/>
    </w:p>
    <w:p w14:paraId="6C320DDE" w14:textId="77777777" w:rsidR="008C21BF" w:rsidRPr="008C21BF" w:rsidRDefault="008C21BF" w:rsidP="008C21BF">
      <w:pPr>
        <w:rPr>
          <w:color w:val="595959" w:themeColor="text1" w:themeTint="A6"/>
        </w:rPr>
      </w:pPr>
    </w:p>
    <w:p w14:paraId="49945811" w14:textId="26A3940E" w:rsidR="008C0D91" w:rsidRPr="008C0E85" w:rsidRDefault="008C0D91" w:rsidP="008C21BF">
      <w:pPr>
        <w:spacing w:line="480" w:lineRule="auto"/>
        <w:jc w:val="both"/>
        <w:rPr>
          <w:rFonts w:ascii="Arial" w:hAnsi="Arial" w:cs="Arial"/>
          <w:color w:val="595959" w:themeColor="text1" w:themeTint="A6"/>
        </w:rPr>
      </w:pPr>
      <w:r w:rsidRPr="008C0E85">
        <w:rPr>
          <w:rFonts w:ascii="Arial" w:hAnsi="Arial" w:cs="Arial"/>
          <w:color w:val="595959" w:themeColor="text1" w:themeTint="A6"/>
        </w:rPr>
        <w:t>To stimulate native ECM production by NOF and CAF</w:t>
      </w:r>
      <w:r w:rsidR="00C54DD5" w:rsidRPr="008C0E85">
        <w:rPr>
          <w:rFonts w:ascii="Arial" w:hAnsi="Arial" w:cs="Arial"/>
          <w:color w:val="595959" w:themeColor="text1" w:themeTint="A6"/>
        </w:rPr>
        <w:t xml:space="preserve"> in 3D</w:t>
      </w:r>
      <w:r w:rsidRPr="008C0E85">
        <w:rPr>
          <w:rFonts w:ascii="Arial" w:hAnsi="Arial" w:cs="Arial"/>
          <w:color w:val="595959" w:themeColor="text1" w:themeTint="A6"/>
        </w:rPr>
        <w:t xml:space="preserve">, various culture techniques will be </w:t>
      </w:r>
      <w:r w:rsidR="00C54DD5" w:rsidRPr="008C0E85">
        <w:rPr>
          <w:rFonts w:ascii="Arial" w:hAnsi="Arial" w:cs="Arial"/>
          <w:color w:val="595959" w:themeColor="text1" w:themeTint="A6"/>
        </w:rPr>
        <w:t>evaluated</w:t>
      </w:r>
      <w:r w:rsidR="00356D8E" w:rsidRPr="008C0E85">
        <w:rPr>
          <w:rFonts w:ascii="Arial" w:hAnsi="Arial" w:cs="Arial"/>
          <w:color w:val="595959" w:themeColor="text1" w:themeTint="A6"/>
        </w:rPr>
        <w:t xml:space="preserve"> to produce maximum ECM </w:t>
      </w:r>
      <w:r w:rsidR="00035576" w:rsidRPr="008C0E85">
        <w:rPr>
          <w:rFonts w:ascii="Arial" w:hAnsi="Arial" w:cs="Arial"/>
          <w:color w:val="595959" w:themeColor="text1" w:themeTint="A6"/>
        </w:rPr>
        <w:t xml:space="preserve">deposition, </w:t>
      </w:r>
      <w:r w:rsidR="001121D0">
        <w:rPr>
          <w:rFonts w:ascii="Arial" w:hAnsi="Arial" w:cs="Arial"/>
          <w:color w:val="595959" w:themeColor="text1" w:themeTint="A6"/>
        </w:rPr>
        <w:t xml:space="preserve">analysed by </w:t>
      </w:r>
      <w:r w:rsidR="00035576" w:rsidRPr="008C0E85">
        <w:rPr>
          <w:rFonts w:ascii="Arial" w:hAnsi="Arial" w:cs="Arial"/>
          <w:color w:val="595959" w:themeColor="text1" w:themeTint="A6"/>
        </w:rPr>
        <w:t xml:space="preserve">matrix thickness measurements (section 2.2.10.3) </w:t>
      </w:r>
      <w:r w:rsidR="00356D8E" w:rsidRPr="008C0E85">
        <w:rPr>
          <w:rFonts w:ascii="Arial" w:hAnsi="Arial" w:cs="Arial"/>
          <w:color w:val="595959" w:themeColor="text1" w:themeTint="A6"/>
        </w:rPr>
        <w:t xml:space="preserve">and </w:t>
      </w:r>
      <w:r w:rsidR="00035576" w:rsidRPr="008C0E85">
        <w:rPr>
          <w:rFonts w:ascii="Arial" w:hAnsi="Arial" w:cs="Arial"/>
          <w:color w:val="595959" w:themeColor="text1" w:themeTint="A6"/>
        </w:rPr>
        <w:t xml:space="preserve">assessment of structure by H&amp;E (section 2.2.8). The </w:t>
      </w:r>
      <w:r w:rsidR="00356D8E" w:rsidRPr="008C0E85">
        <w:rPr>
          <w:rFonts w:ascii="Arial" w:hAnsi="Arial" w:cs="Arial"/>
          <w:color w:val="595959" w:themeColor="text1" w:themeTint="A6"/>
        </w:rPr>
        <w:t xml:space="preserve">use </w:t>
      </w:r>
      <w:r w:rsidR="00035576" w:rsidRPr="008C0E85">
        <w:rPr>
          <w:rFonts w:ascii="Arial" w:hAnsi="Arial" w:cs="Arial"/>
          <w:color w:val="595959" w:themeColor="text1" w:themeTint="A6"/>
        </w:rPr>
        <w:t xml:space="preserve">of </w:t>
      </w:r>
      <w:r w:rsidR="00356D8E" w:rsidRPr="008C0E85">
        <w:rPr>
          <w:rFonts w:ascii="Arial" w:hAnsi="Arial" w:cs="Arial"/>
          <w:color w:val="595959" w:themeColor="text1" w:themeTint="A6"/>
        </w:rPr>
        <w:t>a transwell system and various media conditions</w:t>
      </w:r>
      <w:r w:rsidR="00035576" w:rsidRPr="008C0E85">
        <w:rPr>
          <w:rFonts w:ascii="Arial" w:hAnsi="Arial" w:cs="Arial"/>
          <w:color w:val="595959" w:themeColor="text1" w:themeTint="A6"/>
        </w:rPr>
        <w:t xml:space="preserve">, </w:t>
      </w:r>
      <w:r w:rsidR="00FF000A" w:rsidRPr="008C0E85">
        <w:rPr>
          <w:rFonts w:ascii="Arial" w:hAnsi="Arial" w:cs="Arial"/>
          <w:color w:val="595959" w:themeColor="text1" w:themeTint="A6"/>
        </w:rPr>
        <w:t xml:space="preserve">outlined further </w:t>
      </w:r>
      <w:r w:rsidR="00356D8E" w:rsidRPr="008C0E85">
        <w:rPr>
          <w:rFonts w:ascii="Arial" w:hAnsi="Arial" w:cs="Arial"/>
          <w:color w:val="595959" w:themeColor="text1" w:themeTint="A6"/>
        </w:rPr>
        <w:t xml:space="preserve">in </w:t>
      </w:r>
      <w:r w:rsidR="00FF000A" w:rsidRPr="008C0E85">
        <w:rPr>
          <w:rFonts w:ascii="Arial" w:hAnsi="Arial" w:cs="Arial"/>
          <w:color w:val="595959" w:themeColor="text1" w:themeTint="A6"/>
        </w:rPr>
        <w:t xml:space="preserve">results </w:t>
      </w:r>
      <w:r w:rsidR="00356D8E" w:rsidRPr="008C0E85">
        <w:rPr>
          <w:rFonts w:ascii="Arial" w:hAnsi="Arial" w:cs="Arial"/>
          <w:color w:val="595959" w:themeColor="text1" w:themeTint="A6"/>
        </w:rPr>
        <w:t>section 4.3.1</w:t>
      </w:r>
      <w:r w:rsidR="00035576" w:rsidRPr="008C0E85">
        <w:rPr>
          <w:rFonts w:ascii="Arial" w:hAnsi="Arial" w:cs="Arial"/>
          <w:color w:val="595959" w:themeColor="text1" w:themeTint="A6"/>
        </w:rPr>
        <w:t>, will describe the novel design methodology for these natural cell-produced scaffolds</w:t>
      </w:r>
      <w:r w:rsidR="003E2D64" w:rsidRPr="008C0E85">
        <w:rPr>
          <w:rFonts w:ascii="Arial" w:hAnsi="Arial" w:cs="Arial"/>
          <w:color w:val="595959" w:themeColor="text1" w:themeTint="A6"/>
        </w:rPr>
        <w:t xml:space="preserve">. To assess the viability of </w:t>
      </w:r>
      <w:r w:rsidR="00FF000A" w:rsidRPr="008C0E85">
        <w:rPr>
          <w:rFonts w:ascii="Arial" w:hAnsi="Arial" w:cs="Arial"/>
          <w:color w:val="595959" w:themeColor="text1" w:themeTint="A6"/>
        </w:rPr>
        <w:t xml:space="preserve">FDM </w:t>
      </w:r>
      <w:r w:rsidR="003E2D64" w:rsidRPr="008C0E85">
        <w:rPr>
          <w:rFonts w:ascii="Arial" w:hAnsi="Arial" w:cs="Arial"/>
          <w:color w:val="595959" w:themeColor="text1" w:themeTint="A6"/>
        </w:rPr>
        <w:t>cultures long-term, fibroblast metabolism over-time w</w:t>
      </w:r>
      <w:r w:rsidR="00035576" w:rsidRPr="008C0E85">
        <w:rPr>
          <w:rFonts w:ascii="Arial" w:hAnsi="Arial" w:cs="Arial"/>
          <w:color w:val="595959" w:themeColor="text1" w:themeTint="A6"/>
        </w:rPr>
        <w:t>ill be</w:t>
      </w:r>
      <w:r w:rsidR="003E2D64" w:rsidRPr="008C0E85">
        <w:rPr>
          <w:rFonts w:ascii="Arial" w:hAnsi="Arial" w:cs="Arial"/>
          <w:color w:val="595959" w:themeColor="text1" w:themeTint="A6"/>
        </w:rPr>
        <w:t xml:space="preserve"> assessed by </w:t>
      </w:r>
      <w:r w:rsidR="00823D2B" w:rsidRPr="008C0E85">
        <w:rPr>
          <w:rFonts w:ascii="Arial" w:hAnsi="Arial" w:cs="Arial"/>
          <w:color w:val="595959" w:themeColor="text1" w:themeTint="A6"/>
        </w:rPr>
        <w:t xml:space="preserve">standardised </w:t>
      </w:r>
      <w:r w:rsidR="003E2D64" w:rsidRPr="008C0E85">
        <w:rPr>
          <w:rFonts w:ascii="Arial" w:hAnsi="Arial" w:cs="Arial"/>
          <w:color w:val="595959" w:themeColor="text1" w:themeTint="A6"/>
        </w:rPr>
        <w:t>presto blue assay (section 2.2.10.1). Matrix integrity</w:t>
      </w:r>
      <w:r w:rsidR="00035576" w:rsidRPr="008C0E85">
        <w:rPr>
          <w:rFonts w:ascii="Arial" w:hAnsi="Arial" w:cs="Arial"/>
          <w:color w:val="595959" w:themeColor="text1" w:themeTint="A6"/>
        </w:rPr>
        <w:t xml:space="preserve"> will be investigated by transepithelial electrical resistance, measured across matrix surface (section 2.2.10.2).  </w:t>
      </w:r>
      <w:r w:rsidR="00FF000A" w:rsidRPr="008C0E85">
        <w:rPr>
          <w:rFonts w:ascii="Arial" w:hAnsi="Arial" w:cs="Arial"/>
          <w:color w:val="595959" w:themeColor="text1" w:themeTint="A6"/>
        </w:rPr>
        <w:t xml:space="preserve">Characterisation methodology of FDM will be assessed using various microscopy techniques. Biomechanical properties of FDM will be </w:t>
      </w:r>
      <w:r w:rsidR="00823D2B" w:rsidRPr="008C0E85">
        <w:rPr>
          <w:rFonts w:ascii="Arial" w:hAnsi="Arial" w:cs="Arial"/>
          <w:color w:val="595959" w:themeColor="text1" w:themeTint="A6"/>
        </w:rPr>
        <w:t>evaluated</w:t>
      </w:r>
      <w:r w:rsidR="00FF000A" w:rsidRPr="008C0E85">
        <w:rPr>
          <w:rFonts w:ascii="Arial" w:hAnsi="Arial" w:cs="Arial"/>
          <w:color w:val="595959" w:themeColor="text1" w:themeTint="A6"/>
        </w:rPr>
        <w:t xml:space="preserve"> using atomic force microscopy to measure stif</w:t>
      </w:r>
      <w:r w:rsidR="00823D2B" w:rsidRPr="008C0E85">
        <w:rPr>
          <w:rFonts w:ascii="Arial" w:hAnsi="Arial" w:cs="Arial"/>
          <w:color w:val="595959" w:themeColor="text1" w:themeTint="A6"/>
        </w:rPr>
        <w:t>fness (section 2.2.11.4). Collagen</w:t>
      </w:r>
      <w:r w:rsidR="00F66D1D" w:rsidRPr="008C0E85">
        <w:rPr>
          <w:rFonts w:ascii="Arial" w:hAnsi="Arial" w:cs="Arial"/>
          <w:color w:val="595959" w:themeColor="text1" w:themeTint="A6"/>
        </w:rPr>
        <w:t xml:space="preserve"> </w:t>
      </w:r>
      <w:r w:rsidR="00823D2B" w:rsidRPr="008C0E85">
        <w:rPr>
          <w:rFonts w:ascii="Arial" w:hAnsi="Arial" w:cs="Arial"/>
          <w:color w:val="595959" w:themeColor="text1" w:themeTint="A6"/>
        </w:rPr>
        <w:t xml:space="preserve">structure </w:t>
      </w:r>
      <w:r w:rsidR="00C54DD5" w:rsidRPr="008C0E85">
        <w:rPr>
          <w:rFonts w:ascii="Arial" w:hAnsi="Arial" w:cs="Arial"/>
          <w:color w:val="595959" w:themeColor="text1" w:themeTint="A6"/>
        </w:rPr>
        <w:t xml:space="preserve">will be achieved using laser-scanning </w:t>
      </w:r>
      <w:r w:rsidR="00823D2B" w:rsidRPr="008C0E85">
        <w:rPr>
          <w:rFonts w:ascii="Arial" w:hAnsi="Arial" w:cs="Arial"/>
          <w:color w:val="595959" w:themeColor="text1" w:themeTint="A6"/>
        </w:rPr>
        <w:t xml:space="preserve">second harmonic generation microscopy and </w:t>
      </w:r>
      <w:r w:rsidR="00F66D1D" w:rsidRPr="008C0E85">
        <w:rPr>
          <w:rFonts w:ascii="Arial" w:hAnsi="Arial" w:cs="Arial"/>
          <w:color w:val="595959" w:themeColor="text1" w:themeTint="A6"/>
        </w:rPr>
        <w:t>the fibrillar structure</w:t>
      </w:r>
      <w:r w:rsidR="00823D2B" w:rsidRPr="008C0E85">
        <w:rPr>
          <w:rFonts w:ascii="Arial" w:hAnsi="Arial" w:cs="Arial"/>
          <w:color w:val="595959" w:themeColor="text1" w:themeTint="A6"/>
        </w:rPr>
        <w:t xml:space="preserve"> analysed </w:t>
      </w:r>
      <w:r w:rsidR="00F66D1D" w:rsidRPr="008C0E85">
        <w:rPr>
          <w:rFonts w:ascii="Arial" w:hAnsi="Arial" w:cs="Arial"/>
          <w:color w:val="595959" w:themeColor="text1" w:themeTint="A6"/>
        </w:rPr>
        <w:t>by CureAlign, LOCI, and CtFIRE software (section 2.2.11.3)</w:t>
      </w:r>
      <w:r w:rsidR="00823D2B" w:rsidRPr="008C0E85">
        <w:rPr>
          <w:rFonts w:ascii="Arial" w:hAnsi="Arial" w:cs="Arial"/>
          <w:color w:val="595959" w:themeColor="text1" w:themeTint="A6"/>
        </w:rPr>
        <w:t>.</w:t>
      </w:r>
      <w:r w:rsidR="00F66D1D" w:rsidRPr="008C0E85">
        <w:rPr>
          <w:rFonts w:ascii="Arial" w:hAnsi="Arial" w:cs="Arial"/>
          <w:color w:val="595959" w:themeColor="text1" w:themeTint="A6"/>
        </w:rPr>
        <w:t xml:space="preserve"> Ultrastructure of FDM </w:t>
      </w:r>
      <w:r w:rsidR="00823D2B" w:rsidRPr="008C0E85">
        <w:rPr>
          <w:rFonts w:ascii="Arial" w:hAnsi="Arial" w:cs="Arial"/>
          <w:color w:val="595959" w:themeColor="text1" w:themeTint="A6"/>
        </w:rPr>
        <w:t xml:space="preserve">will be assessed by analysis using SEM (section 2.2.11.2). The </w:t>
      </w:r>
      <w:r w:rsidR="00F66D1D" w:rsidRPr="008C0E85">
        <w:rPr>
          <w:rFonts w:ascii="Arial" w:hAnsi="Arial" w:cs="Arial"/>
          <w:color w:val="595959" w:themeColor="text1" w:themeTint="A6"/>
        </w:rPr>
        <w:t xml:space="preserve">protein </w:t>
      </w:r>
      <w:r w:rsidR="00823D2B" w:rsidRPr="008C0E85">
        <w:rPr>
          <w:rFonts w:ascii="Arial" w:hAnsi="Arial" w:cs="Arial"/>
          <w:color w:val="595959" w:themeColor="text1" w:themeTint="A6"/>
        </w:rPr>
        <w:t xml:space="preserve">composition of FDM </w:t>
      </w:r>
      <w:r w:rsidR="00F66D1D" w:rsidRPr="008C0E85">
        <w:rPr>
          <w:rFonts w:ascii="Arial" w:hAnsi="Arial" w:cs="Arial"/>
          <w:color w:val="595959" w:themeColor="text1" w:themeTint="A6"/>
        </w:rPr>
        <w:t>will be characterised using Western blot methodology for αSMA, COL1A1, FN1-EDA, VCAN and LAMB-5 (section</w:t>
      </w:r>
      <w:r w:rsidR="009C20F2" w:rsidRPr="008C0E85">
        <w:rPr>
          <w:rFonts w:ascii="Arial" w:hAnsi="Arial" w:cs="Arial"/>
          <w:color w:val="595959" w:themeColor="text1" w:themeTint="A6"/>
        </w:rPr>
        <w:t>s</w:t>
      </w:r>
      <w:r w:rsidR="00F66D1D" w:rsidRPr="008C0E85">
        <w:rPr>
          <w:rFonts w:ascii="Arial" w:hAnsi="Arial" w:cs="Arial"/>
          <w:color w:val="595959" w:themeColor="text1" w:themeTint="A6"/>
        </w:rPr>
        <w:t xml:space="preserve"> </w:t>
      </w:r>
      <w:r w:rsidR="009C20F2" w:rsidRPr="008C0E85">
        <w:rPr>
          <w:rFonts w:ascii="Arial" w:hAnsi="Arial" w:cs="Arial"/>
          <w:color w:val="595959" w:themeColor="text1" w:themeTint="A6"/>
        </w:rPr>
        <w:t xml:space="preserve">2.2.9.1-4). </w:t>
      </w:r>
      <w:r w:rsidR="00E22586" w:rsidRPr="008C0E85">
        <w:rPr>
          <w:rFonts w:ascii="Arial" w:hAnsi="Arial" w:cs="Arial"/>
          <w:color w:val="595959" w:themeColor="text1" w:themeTint="A6"/>
        </w:rPr>
        <w:t xml:space="preserve">The remodelling capabilities of NOF- and CAF-DM will be achieved through analysis of the enzymatic activity of MMP-2 and MMP-9 by zymography (2.2.9.7). </w:t>
      </w:r>
      <w:r w:rsidR="009C20F2" w:rsidRPr="008C0E85">
        <w:rPr>
          <w:rFonts w:ascii="Arial" w:hAnsi="Arial" w:cs="Arial"/>
          <w:color w:val="595959" w:themeColor="text1" w:themeTint="A6"/>
        </w:rPr>
        <w:t>The NOF- and CAF-DM response profile</w:t>
      </w:r>
      <w:r w:rsidR="00072A9B" w:rsidRPr="008C0E85">
        <w:rPr>
          <w:rFonts w:ascii="Arial" w:hAnsi="Arial" w:cs="Arial"/>
          <w:color w:val="595959" w:themeColor="text1" w:themeTint="A6"/>
        </w:rPr>
        <w:t>, after a 21-day culture period,</w:t>
      </w:r>
      <w:r w:rsidR="009C20F2" w:rsidRPr="008C0E85">
        <w:rPr>
          <w:rFonts w:ascii="Arial" w:hAnsi="Arial" w:cs="Arial"/>
          <w:color w:val="595959" w:themeColor="text1" w:themeTint="A6"/>
        </w:rPr>
        <w:t xml:space="preserve"> to treatment with stromal–targeting drugs (Scriptaid and Batimastat) will be analysed in presence and absence of TGFβ-1 by RT-qPCR (section 2.</w:t>
      </w:r>
      <w:r w:rsidR="00072A9B" w:rsidRPr="008C0E85">
        <w:rPr>
          <w:rFonts w:ascii="Arial" w:hAnsi="Arial" w:cs="Arial"/>
          <w:color w:val="595959" w:themeColor="text1" w:themeTint="A6"/>
        </w:rPr>
        <w:t>2.7.11-12</w:t>
      </w:r>
      <w:r w:rsidR="009C20F2" w:rsidRPr="008C0E85">
        <w:rPr>
          <w:rFonts w:ascii="Arial" w:hAnsi="Arial" w:cs="Arial"/>
          <w:color w:val="595959" w:themeColor="text1" w:themeTint="A6"/>
        </w:rPr>
        <w:t>) and immunoblotting (section 2.2.9.1-3) for αSMA, COL1A1 and FN1-ED</w:t>
      </w:r>
      <w:r w:rsidR="00072A9B" w:rsidRPr="008C0E85">
        <w:rPr>
          <w:rFonts w:ascii="Arial" w:hAnsi="Arial" w:cs="Arial"/>
          <w:color w:val="595959" w:themeColor="text1" w:themeTint="A6"/>
        </w:rPr>
        <w:t xml:space="preserve">A. </w:t>
      </w:r>
      <w:r w:rsidR="009C20F2" w:rsidRPr="008C0E85">
        <w:rPr>
          <w:rFonts w:ascii="Arial" w:hAnsi="Arial" w:cs="Arial"/>
          <w:color w:val="595959" w:themeColor="text1" w:themeTint="A6"/>
        </w:rPr>
        <w:t xml:space="preserve">The following experimental procedures described in this chapter and the corresponding materials and methods used are further outlined in Figure </w:t>
      </w:r>
      <w:r w:rsidR="00072A9B" w:rsidRPr="008C0E85">
        <w:rPr>
          <w:rFonts w:ascii="Arial" w:hAnsi="Arial" w:cs="Arial"/>
          <w:color w:val="595959" w:themeColor="text1" w:themeTint="A6"/>
        </w:rPr>
        <w:t>4</w:t>
      </w:r>
      <w:r w:rsidR="009C20F2" w:rsidRPr="008C0E85">
        <w:rPr>
          <w:rFonts w:ascii="Arial" w:hAnsi="Arial" w:cs="Arial"/>
          <w:color w:val="595959" w:themeColor="text1" w:themeTint="A6"/>
        </w:rPr>
        <w:t>.1.</w:t>
      </w:r>
    </w:p>
    <w:p w14:paraId="0758EF05" w14:textId="79D64CE2" w:rsidR="00072A9B" w:rsidRDefault="00072A9B" w:rsidP="008C21BF">
      <w:pPr>
        <w:spacing w:line="480" w:lineRule="auto"/>
        <w:jc w:val="both"/>
        <w:rPr>
          <w:rFonts w:ascii="Arial" w:hAnsi="Arial" w:cs="Arial"/>
          <w:color w:val="FF0000"/>
        </w:rPr>
      </w:pPr>
    </w:p>
    <w:p w14:paraId="3D560A0A" w14:textId="28CBEE5C" w:rsidR="00072A9B" w:rsidRDefault="00072A9B" w:rsidP="008C21BF">
      <w:pPr>
        <w:spacing w:line="480" w:lineRule="auto"/>
        <w:jc w:val="both"/>
        <w:rPr>
          <w:rFonts w:ascii="Arial" w:hAnsi="Arial" w:cs="Arial"/>
          <w:color w:val="FF0000"/>
        </w:rPr>
      </w:pPr>
    </w:p>
    <w:p w14:paraId="32841943" w14:textId="10C9F104" w:rsidR="00072A9B" w:rsidRDefault="00072A9B" w:rsidP="008C21BF">
      <w:pPr>
        <w:spacing w:line="480" w:lineRule="auto"/>
        <w:jc w:val="both"/>
        <w:rPr>
          <w:rFonts w:ascii="Arial" w:hAnsi="Arial" w:cs="Arial"/>
          <w:color w:val="FF0000"/>
        </w:rPr>
      </w:pPr>
    </w:p>
    <w:p w14:paraId="2E2FD97B" w14:textId="77777777" w:rsidR="00072A9B" w:rsidRPr="009C20F2" w:rsidRDefault="00072A9B" w:rsidP="008C21BF">
      <w:pPr>
        <w:spacing w:line="480" w:lineRule="auto"/>
        <w:jc w:val="both"/>
        <w:rPr>
          <w:rFonts w:ascii="Arial" w:hAnsi="Arial" w:cs="Arial"/>
          <w:color w:val="FF0000"/>
        </w:rPr>
      </w:pPr>
    </w:p>
    <w:p w14:paraId="0FCFA4AB" w14:textId="1A294E31" w:rsidR="008C0D91" w:rsidRDefault="00072A9B" w:rsidP="008C21BF">
      <w:pPr>
        <w:spacing w:line="480" w:lineRule="auto"/>
        <w:jc w:val="both"/>
        <w:rPr>
          <w:rFonts w:ascii="Arial" w:hAnsi="Arial" w:cs="Arial"/>
          <w:color w:val="595959" w:themeColor="text1" w:themeTint="A6"/>
        </w:rPr>
      </w:pPr>
      <w:r w:rsidRPr="008C21BF">
        <w:rPr>
          <w:rFonts w:ascii="Arial" w:hAnsi="Arial" w:cs="Arial"/>
          <w:noProof/>
          <w:color w:val="595959" w:themeColor="text1" w:themeTint="A6"/>
          <w:lang w:eastAsia="zh-CN"/>
        </w:rPr>
        <w:drawing>
          <wp:anchor distT="0" distB="0" distL="114300" distR="114300" simplePos="0" relativeHeight="251658368" behindDoc="0" locked="0" layoutInCell="1" allowOverlap="1" wp14:anchorId="4E387D52" wp14:editId="2B4441DD">
            <wp:simplePos x="0" y="0"/>
            <wp:positionH relativeFrom="margin">
              <wp:posOffset>18964</wp:posOffset>
            </wp:positionH>
            <wp:positionV relativeFrom="paragraph">
              <wp:posOffset>253483</wp:posOffset>
            </wp:positionV>
            <wp:extent cx="5908789" cy="7043850"/>
            <wp:effectExtent l="0" t="0" r="0" b="5080"/>
            <wp:wrapNone/>
            <wp:docPr id="2108" name="Picture 2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908789" cy="7043850"/>
                    </a:xfrm>
                    <a:prstGeom prst="rect">
                      <a:avLst/>
                    </a:prstGeom>
                    <a:noFill/>
                  </pic:spPr>
                </pic:pic>
              </a:graphicData>
            </a:graphic>
            <wp14:sizeRelH relativeFrom="margin">
              <wp14:pctWidth>0</wp14:pctWidth>
            </wp14:sizeRelH>
            <wp14:sizeRelV relativeFrom="margin">
              <wp14:pctHeight>0</wp14:pctHeight>
            </wp14:sizeRelV>
          </wp:anchor>
        </w:drawing>
      </w:r>
    </w:p>
    <w:p w14:paraId="3A8EE97B" w14:textId="4C63F31A" w:rsidR="008C0D91" w:rsidRDefault="008C0D91" w:rsidP="008C21BF">
      <w:pPr>
        <w:spacing w:line="480" w:lineRule="auto"/>
        <w:jc w:val="both"/>
        <w:rPr>
          <w:rFonts w:ascii="Arial" w:hAnsi="Arial" w:cs="Arial"/>
          <w:color w:val="595959" w:themeColor="text1" w:themeTint="A6"/>
        </w:rPr>
      </w:pPr>
    </w:p>
    <w:p w14:paraId="69A22ACE" w14:textId="64FC5519" w:rsidR="008C0D91" w:rsidRDefault="008C0D91" w:rsidP="008C21BF">
      <w:pPr>
        <w:spacing w:line="480" w:lineRule="auto"/>
        <w:jc w:val="both"/>
        <w:rPr>
          <w:rFonts w:ascii="Arial" w:hAnsi="Arial" w:cs="Arial"/>
          <w:color w:val="595959" w:themeColor="text1" w:themeTint="A6"/>
        </w:rPr>
      </w:pPr>
    </w:p>
    <w:p w14:paraId="77264B16" w14:textId="048D14AB" w:rsidR="008C0D91" w:rsidRDefault="008C0D91" w:rsidP="008C21BF">
      <w:pPr>
        <w:spacing w:line="480" w:lineRule="auto"/>
        <w:jc w:val="both"/>
        <w:rPr>
          <w:rFonts w:ascii="Arial" w:hAnsi="Arial" w:cs="Arial"/>
          <w:color w:val="595959" w:themeColor="text1" w:themeTint="A6"/>
        </w:rPr>
      </w:pPr>
    </w:p>
    <w:p w14:paraId="1FB57193" w14:textId="0ED2C64F" w:rsidR="008C0D91" w:rsidRDefault="008C0D91" w:rsidP="008C21BF">
      <w:pPr>
        <w:spacing w:line="480" w:lineRule="auto"/>
        <w:jc w:val="both"/>
        <w:rPr>
          <w:rFonts w:ascii="Arial" w:hAnsi="Arial" w:cs="Arial"/>
          <w:color w:val="595959" w:themeColor="text1" w:themeTint="A6"/>
        </w:rPr>
      </w:pPr>
    </w:p>
    <w:p w14:paraId="470E7720" w14:textId="77777777" w:rsidR="008C0D91" w:rsidRPr="008C21BF" w:rsidRDefault="008C0D91" w:rsidP="008C21BF">
      <w:pPr>
        <w:spacing w:line="480" w:lineRule="auto"/>
        <w:jc w:val="both"/>
        <w:rPr>
          <w:rFonts w:ascii="Arial" w:hAnsi="Arial" w:cs="Arial"/>
          <w:color w:val="595959" w:themeColor="text1" w:themeTint="A6"/>
        </w:rPr>
      </w:pPr>
    </w:p>
    <w:p w14:paraId="72A609C4" w14:textId="4476BA6A" w:rsidR="008C21BF" w:rsidRPr="008C21BF" w:rsidRDefault="008C21BF" w:rsidP="008C21BF">
      <w:pPr>
        <w:spacing w:line="480" w:lineRule="auto"/>
        <w:jc w:val="both"/>
        <w:rPr>
          <w:rFonts w:ascii="Arial" w:hAnsi="Arial" w:cs="Arial"/>
          <w:color w:val="595959" w:themeColor="text1" w:themeTint="A6"/>
        </w:rPr>
      </w:pPr>
    </w:p>
    <w:p w14:paraId="66D18FF3" w14:textId="48F683B5" w:rsidR="008C21BF" w:rsidRPr="008C21BF" w:rsidRDefault="008C21BF" w:rsidP="008C21BF">
      <w:pPr>
        <w:spacing w:line="480" w:lineRule="auto"/>
        <w:jc w:val="both"/>
        <w:rPr>
          <w:rFonts w:ascii="Arial" w:hAnsi="Arial" w:cs="Arial"/>
          <w:color w:val="595959" w:themeColor="text1" w:themeTint="A6"/>
        </w:rPr>
      </w:pPr>
    </w:p>
    <w:p w14:paraId="108C3EEA" w14:textId="77777777" w:rsidR="008C21BF" w:rsidRPr="008C21BF" w:rsidRDefault="008C21BF" w:rsidP="008C21BF">
      <w:pPr>
        <w:spacing w:line="480" w:lineRule="auto"/>
        <w:jc w:val="both"/>
        <w:rPr>
          <w:rFonts w:ascii="Arial" w:hAnsi="Arial" w:cs="Arial"/>
          <w:color w:val="595959" w:themeColor="text1" w:themeTint="A6"/>
        </w:rPr>
      </w:pPr>
    </w:p>
    <w:p w14:paraId="6F563E1E" w14:textId="77777777" w:rsidR="008C21BF" w:rsidRPr="008C21BF" w:rsidRDefault="008C21BF" w:rsidP="008C21BF">
      <w:pPr>
        <w:spacing w:line="480" w:lineRule="auto"/>
        <w:jc w:val="both"/>
        <w:rPr>
          <w:rFonts w:ascii="Arial" w:hAnsi="Arial" w:cs="Arial"/>
          <w:color w:val="595959" w:themeColor="text1" w:themeTint="A6"/>
        </w:rPr>
      </w:pPr>
    </w:p>
    <w:p w14:paraId="5A99FE0E" w14:textId="2E94D893" w:rsidR="008C21BF" w:rsidRPr="008C21BF" w:rsidRDefault="008C21BF" w:rsidP="008C21BF">
      <w:pPr>
        <w:spacing w:line="480" w:lineRule="auto"/>
        <w:jc w:val="both"/>
        <w:rPr>
          <w:rFonts w:ascii="Arial" w:hAnsi="Arial" w:cs="Arial"/>
          <w:color w:val="595959" w:themeColor="text1" w:themeTint="A6"/>
        </w:rPr>
      </w:pPr>
    </w:p>
    <w:p w14:paraId="60B45459" w14:textId="77777777" w:rsidR="008C21BF" w:rsidRPr="008C21BF" w:rsidRDefault="008C21BF" w:rsidP="008C21BF">
      <w:pPr>
        <w:spacing w:line="480" w:lineRule="auto"/>
        <w:jc w:val="both"/>
        <w:rPr>
          <w:rFonts w:ascii="Arial" w:hAnsi="Arial" w:cs="Arial"/>
          <w:color w:val="595959" w:themeColor="text1" w:themeTint="A6"/>
        </w:rPr>
      </w:pPr>
    </w:p>
    <w:p w14:paraId="0114BE71" w14:textId="77777777" w:rsidR="008C21BF" w:rsidRPr="008C21BF" w:rsidRDefault="008C21BF" w:rsidP="008C21BF">
      <w:pPr>
        <w:rPr>
          <w:rFonts w:ascii="Arial" w:hAnsi="Arial" w:cs="Arial"/>
          <w:sz w:val="24"/>
          <w:szCs w:val="24"/>
        </w:rPr>
      </w:pPr>
    </w:p>
    <w:p w14:paraId="13DA9BF1" w14:textId="77777777" w:rsidR="008C21BF" w:rsidRPr="008C21BF" w:rsidRDefault="008C21BF" w:rsidP="008C21BF"/>
    <w:p w14:paraId="449D2A71" w14:textId="292984BC" w:rsidR="008C21BF" w:rsidRPr="008C21BF" w:rsidRDefault="008C21BF" w:rsidP="008C21BF"/>
    <w:p w14:paraId="5C7217BD" w14:textId="77777777" w:rsidR="008C21BF" w:rsidRPr="008C21BF" w:rsidRDefault="008C21BF" w:rsidP="008C21BF"/>
    <w:p w14:paraId="2005985C" w14:textId="77777777" w:rsidR="008C21BF" w:rsidRPr="008C21BF" w:rsidRDefault="008C21BF" w:rsidP="008C21BF"/>
    <w:p w14:paraId="11B2CE14" w14:textId="77777777" w:rsidR="008C21BF" w:rsidRPr="008C21BF" w:rsidRDefault="008C21BF" w:rsidP="008C21BF"/>
    <w:p w14:paraId="139881C7" w14:textId="77777777" w:rsidR="008C21BF" w:rsidRPr="008C21BF" w:rsidRDefault="008C21BF" w:rsidP="008C21BF"/>
    <w:p w14:paraId="5CB75EB9" w14:textId="7186A1EA" w:rsidR="008C21BF" w:rsidRPr="008C21BF" w:rsidRDefault="008C21BF" w:rsidP="008C21BF"/>
    <w:p w14:paraId="01B9B83A" w14:textId="2A6BE668" w:rsidR="008C21BF" w:rsidRPr="008C21BF" w:rsidRDefault="008C21BF" w:rsidP="008C21BF"/>
    <w:p w14:paraId="4CDD3474" w14:textId="24A4052F" w:rsidR="008C21BF" w:rsidRPr="008C21BF" w:rsidRDefault="00072A9B" w:rsidP="008C21BF">
      <w:r w:rsidRPr="008C21BF">
        <w:rPr>
          <w:rFonts w:ascii="Arial" w:hAnsi="Arial" w:cs="Arial"/>
          <w:noProof/>
          <w:color w:val="595959" w:themeColor="text1" w:themeTint="A6"/>
          <w:sz w:val="24"/>
          <w:szCs w:val="24"/>
          <w:lang w:eastAsia="zh-CN"/>
        </w:rPr>
        <mc:AlternateContent>
          <mc:Choice Requires="wps">
            <w:drawing>
              <wp:anchor distT="0" distB="0" distL="114300" distR="114300" simplePos="0" relativeHeight="251658344" behindDoc="0" locked="0" layoutInCell="1" allowOverlap="1" wp14:anchorId="0FFF0F75" wp14:editId="4367A79A">
                <wp:simplePos x="0" y="0"/>
                <wp:positionH relativeFrom="margin">
                  <wp:align>left</wp:align>
                </wp:positionH>
                <wp:positionV relativeFrom="paragraph">
                  <wp:posOffset>183213</wp:posOffset>
                </wp:positionV>
                <wp:extent cx="6151880" cy="382270"/>
                <wp:effectExtent l="0" t="0" r="1270" b="0"/>
                <wp:wrapNone/>
                <wp:docPr id="40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1880" cy="382270"/>
                        </a:xfrm>
                        <a:prstGeom prst="rect">
                          <a:avLst/>
                        </a:prstGeom>
                        <a:solidFill>
                          <a:srgbClr val="FFFFFF"/>
                        </a:solidFill>
                        <a:ln w="9525">
                          <a:noFill/>
                          <a:miter lim="800000"/>
                          <a:headEnd/>
                          <a:tailEnd/>
                        </a:ln>
                      </wps:spPr>
                      <wps:txbx>
                        <w:txbxContent>
                          <w:p w14:paraId="22EB71C2" w14:textId="77777777" w:rsidR="008A47AC" w:rsidRPr="006B7937" w:rsidRDefault="008A47AC" w:rsidP="008C21BF">
                            <w:pPr>
                              <w:pStyle w:val="Caption"/>
                              <w:keepNext/>
                              <w:jc w:val="both"/>
                              <w:rPr>
                                <w:rFonts w:ascii="Arial Narrow" w:hAnsi="Arial Narrow"/>
                                <w:b/>
                                <w:i w:val="0"/>
                                <w:sz w:val="24"/>
                                <w:szCs w:val="24"/>
                              </w:rPr>
                            </w:pPr>
                            <w:r w:rsidRPr="006B7937">
                              <w:rPr>
                                <w:rFonts w:ascii="Arial Narrow" w:hAnsi="Arial Narrow"/>
                                <w:b/>
                                <w:i w:val="0"/>
                                <w:color w:val="595959" w:themeColor="text1" w:themeTint="A6"/>
                                <w:sz w:val="24"/>
                                <w:szCs w:val="24"/>
                              </w:rPr>
                              <w:t xml:space="preserve">Figure </w:t>
                            </w:r>
                            <w:r>
                              <w:rPr>
                                <w:rFonts w:ascii="Arial Narrow" w:hAnsi="Arial Narrow"/>
                                <w:b/>
                                <w:i w:val="0"/>
                                <w:color w:val="595959" w:themeColor="text1" w:themeTint="A6"/>
                                <w:sz w:val="24"/>
                                <w:szCs w:val="24"/>
                              </w:rPr>
                              <w:t>4.1</w:t>
                            </w:r>
                            <w:r w:rsidRPr="006B7937">
                              <w:rPr>
                                <w:rFonts w:ascii="Arial Narrow" w:hAnsi="Arial Narrow"/>
                                <w:b/>
                                <w:i w:val="0"/>
                                <w:color w:val="595959" w:themeColor="text1" w:themeTint="A6"/>
                                <w:sz w:val="24"/>
                                <w:szCs w:val="24"/>
                              </w:rPr>
                              <w:t xml:space="preserve"> </w:t>
                            </w:r>
                            <w:r>
                              <w:rPr>
                                <w:rFonts w:ascii="Arial Narrow" w:hAnsi="Arial Narrow"/>
                                <w:b/>
                                <w:i w:val="0"/>
                                <w:color w:val="595959" w:themeColor="text1" w:themeTint="A6"/>
                                <w:sz w:val="24"/>
                                <w:szCs w:val="24"/>
                              </w:rPr>
                              <w:t xml:space="preserve">Schematic of materials and methods </w:t>
                            </w:r>
                          </w:p>
                          <w:p w14:paraId="3D77E037" w14:textId="4EB8DD9D" w:rsidR="008A47AC" w:rsidRDefault="008A47AC" w:rsidP="008C21BF">
                            <w:pPr>
                              <w:pStyle w:val="Caption"/>
                              <w:jc w:val="both"/>
                            </w:pPr>
                            <w:r>
                              <w:rPr>
                                <w:noProof/>
                              </w:rPr>
                              <w:fldChar w:fldCharType="begin"/>
                            </w:r>
                            <w:r>
                              <w:rPr>
                                <w:noProof/>
                              </w:rPr>
                              <w:instrText xml:space="preserve"> SEQ Figure \* ARABIC </w:instrText>
                            </w:r>
                            <w:r>
                              <w:rPr>
                                <w:noProof/>
                              </w:rPr>
                              <w:fldChar w:fldCharType="separate"/>
                            </w:r>
                            <w:bookmarkStart w:id="366" w:name="_Toc535424258"/>
                            <w:bookmarkStart w:id="367" w:name="_Toc20428125"/>
                            <w:r w:rsidR="00E57BFA">
                              <w:rPr>
                                <w:noProof/>
                              </w:rPr>
                              <w:t>3</w:t>
                            </w:r>
                            <w:r>
                              <w:rPr>
                                <w:noProof/>
                              </w:rPr>
                              <w:fldChar w:fldCharType="end"/>
                            </w:r>
                            <w:r>
                              <w:t xml:space="preserve"> Stewart DA, Cooper CR, Sikes RA. Changes in extracellular matrix (ECM) and ECM-associated</w:t>
                            </w:r>
                            <w:bookmarkEnd w:id="366"/>
                            <w:bookmarkEnd w:id="367"/>
                          </w:p>
                          <w:p w14:paraId="3AE1756C" w14:textId="77777777" w:rsidR="008A47AC" w:rsidRPr="00E72F77" w:rsidRDefault="008A47AC" w:rsidP="008C21BF">
                            <w:pPr>
                              <w:pStyle w:val="NormalWeb"/>
                              <w:spacing w:after="200" w:line="276" w:lineRule="auto"/>
                              <w:jc w:val="both"/>
                              <w:rPr>
                                <w:rFonts w:ascii="Arial Narrow" w:hAnsi="Arial Narrow"/>
                                <w:color w:val="595959" w:themeColor="text1" w:themeTint="A6"/>
                                <w:sz w:val="22"/>
                                <w:szCs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FF0F75" id="_x0000_s1122" type="#_x0000_t202" style="position:absolute;margin-left:0;margin-top:14.45pt;width:484.4pt;height:30.1pt;z-index:2516583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" stroked="f">
                <v:textbox>
                  <w:txbxContent>
                    <w:p w14:paraId="22EB71C2" w14:textId="77777777" w:rsidR="008A47AC" w:rsidRPr="006B7937" w:rsidRDefault="008A47AC" w:rsidP="008C21BF">
                      <w:pPr>
                        <w:pStyle w:val="Caption"/>
                        <w:keepNext/>
                        <w:jc w:val="both"/>
                        <w:rPr>
                          <w:rFonts w:ascii="Arial Narrow" w:hAnsi="Arial Narrow"/>
                          <w:b/>
                          <w:i w:val="0"/>
                          <w:sz w:val="24"/>
                          <w:szCs w:val="24"/>
                        </w:rPr>
                      </w:pPr>
                      <w:r w:rsidRPr="006B7937">
                        <w:rPr>
                          <w:rFonts w:ascii="Arial Narrow" w:hAnsi="Arial Narrow"/>
                          <w:b/>
                          <w:i w:val="0"/>
                          <w:color w:val="595959" w:themeColor="text1" w:themeTint="A6"/>
                          <w:sz w:val="24"/>
                          <w:szCs w:val="24"/>
                        </w:rPr>
                        <w:t xml:space="preserve">Figure </w:t>
                      </w:r>
                      <w:r>
                        <w:rPr>
                          <w:rFonts w:ascii="Arial Narrow" w:hAnsi="Arial Narrow"/>
                          <w:b/>
                          <w:i w:val="0"/>
                          <w:color w:val="595959" w:themeColor="text1" w:themeTint="A6"/>
                          <w:sz w:val="24"/>
                          <w:szCs w:val="24"/>
                        </w:rPr>
                        <w:t>4.1</w:t>
                      </w:r>
                      <w:r w:rsidRPr="006B7937">
                        <w:rPr>
                          <w:rFonts w:ascii="Arial Narrow" w:hAnsi="Arial Narrow"/>
                          <w:b/>
                          <w:i w:val="0"/>
                          <w:color w:val="595959" w:themeColor="text1" w:themeTint="A6"/>
                          <w:sz w:val="24"/>
                          <w:szCs w:val="24"/>
                        </w:rPr>
                        <w:t xml:space="preserve"> </w:t>
                      </w:r>
                      <w:r>
                        <w:rPr>
                          <w:rFonts w:ascii="Arial Narrow" w:hAnsi="Arial Narrow"/>
                          <w:b/>
                          <w:i w:val="0"/>
                          <w:color w:val="595959" w:themeColor="text1" w:themeTint="A6"/>
                          <w:sz w:val="24"/>
                          <w:szCs w:val="24"/>
                        </w:rPr>
                        <w:t xml:space="preserve">Schematic of materials and methods </w:t>
                      </w:r>
                    </w:p>
                    <w:p w14:paraId="3D77E037" w14:textId="4EB8DD9D" w:rsidR="008A47AC" w:rsidRDefault="008A47AC" w:rsidP="008C21BF">
                      <w:pPr>
                        <w:pStyle w:val="Caption"/>
                        <w:jc w:val="both"/>
                      </w:pPr>
                      <w:r>
                        <w:rPr>
                          <w:noProof/>
                        </w:rPr>
                        <w:fldChar w:fldCharType="begin"/>
                      </w:r>
                      <w:r>
                        <w:rPr>
                          <w:noProof/>
                        </w:rPr>
                        <w:instrText xml:space="preserve"> SEQ Figure \* ARABIC </w:instrText>
                      </w:r>
                      <w:r>
                        <w:rPr>
                          <w:noProof/>
                        </w:rPr>
                        <w:fldChar w:fldCharType="separate"/>
                      </w:r>
                      <w:bookmarkStart w:id="368" w:name="_Toc535424258"/>
                      <w:bookmarkStart w:id="369" w:name="_Toc20428125"/>
                      <w:r w:rsidR="00E57BFA">
                        <w:rPr>
                          <w:noProof/>
                        </w:rPr>
                        <w:t>3</w:t>
                      </w:r>
                      <w:r>
                        <w:rPr>
                          <w:noProof/>
                        </w:rPr>
                        <w:fldChar w:fldCharType="end"/>
                      </w:r>
                      <w:r>
                        <w:t xml:space="preserve"> Stewart DA, Cooper CR, Sikes RA. Changes in extracellular matrix (ECM) and ECM-associated</w:t>
                      </w:r>
                      <w:bookmarkEnd w:id="368"/>
                      <w:bookmarkEnd w:id="369"/>
                    </w:p>
                    <w:p w14:paraId="3AE1756C" w14:textId="77777777" w:rsidR="008A47AC" w:rsidRPr="00E72F77" w:rsidRDefault="008A47AC" w:rsidP="008C21BF">
                      <w:pPr>
                        <w:pStyle w:val="NormalWeb"/>
                        <w:spacing w:after="200" w:line="276" w:lineRule="auto"/>
                        <w:jc w:val="both"/>
                        <w:rPr>
                          <w:rFonts w:ascii="Arial Narrow" w:hAnsi="Arial Narrow"/>
                          <w:color w:val="595959" w:themeColor="text1" w:themeTint="A6"/>
                          <w:sz w:val="22"/>
                          <w:szCs w:val="22"/>
                        </w:rPr>
                      </w:pPr>
                    </w:p>
                  </w:txbxContent>
                </v:textbox>
                <w10:wrap anchorx="margin"/>
              </v:shape>
            </w:pict>
          </mc:Fallback>
        </mc:AlternateContent>
      </w:r>
    </w:p>
    <w:p w14:paraId="5D322680" w14:textId="77777777" w:rsidR="008C21BF" w:rsidRPr="008C21BF" w:rsidRDefault="008C21BF" w:rsidP="008C21BF"/>
    <w:p w14:paraId="47CAA179" w14:textId="77777777" w:rsidR="008C21BF" w:rsidRPr="008C21BF" w:rsidRDefault="008C21BF" w:rsidP="008C21BF"/>
    <w:p w14:paraId="43A175CD" w14:textId="588657D2" w:rsidR="008C21BF" w:rsidRDefault="008C21BF" w:rsidP="008C21BF">
      <w:pPr>
        <w:keepNext/>
        <w:keepLines/>
        <w:spacing w:before="40" w:after="0"/>
        <w:jc w:val="both"/>
        <w:outlineLvl w:val="1"/>
        <w:rPr>
          <w:rFonts w:ascii="Arial" w:eastAsiaTheme="majorEastAsia" w:hAnsi="Arial" w:cs="Arial"/>
          <w:color w:val="595959" w:themeColor="text1" w:themeTint="A6"/>
          <w:sz w:val="24"/>
          <w:szCs w:val="26"/>
        </w:rPr>
      </w:pPr>
      <w:bookmarkStart w:id="370" w:name="_Toc7678136"/>
      <w:bookmarkStart w:id="371" w:name="_Toc34208409"/>
      <w:r w:rsidRPr="008C21BF">
        <w:rPr>
          <w:rFonts w:ascii="Arial" w:eastAsiaTheme="majorEastAsia" w:hAnsi="Arial" w:cs="Arial"/>
          <w:color w:val="595959" w:themeColor="text1" w:themeTint="A6"/>
          <w:sz w:val="24"/>
          <w:szCs w:val="26"/>
        </w:rPr>
        <w:lastRenderedPageBreak/>
        <w:t>4.3 Results</w:t>
      </w:r>
      <w:bookmarkEnd w:id="370"/>
      <w:bookmarkEnd w:id="371"/>
    </w:p>
    <w:p w14:paraId="34E405DB" w14:textId="77777777" w:rsidR="008C0D91" w:rsidRPr="008C21BF" w:rsidRDefault="008C0D91" w:rsidP="008C21BF">
      <w:pPr>
        <w:keepNext/>
        <w:keepLines/>
        <w:spacing w:before="40" w:after="0"/>
        <w:jc w:val="both"/>
        <w:outlineLvl w:val="1"/>
        <w:rPr>
          <w:rFonts w:ascii="Arial" w:eastAsiaTheme="majorEastAsia" w:hAnsi="Arial" w:cs="Arial"/>
          <w:color w:val="595959" w:themeColor="text1" w:themeTint="A6"/>
          <w:sz w:val="24"/>
          <w:szCs w:val="26"/>
        </w:rPr>
      </w:pPr>
    </w:p>
    <w:p w14:paraId="243100F5" w14:textId="79FC9A1A" w:rsidR="008C21BF" w:rsidRPr="008C21BF" w:rsidRDefault="008C21BF" w:rsidP="008C21BF">
      <w:pPr>
        <w:keepNext/>
        <w:keepLines/>
        <w:spacing w:before="40" w:after="0"/>
        <w:jc w:val="both"/>
        <w:outlineLvl w:val="2"/>
        <w:rPr>
          <w:rFonts w:ascii="Arial" w:eastAsiaTheme="majorEastAsia" w:hAnsi="Arial" w:cs="Arial"/>
          <w:color w:val="595959" w:themeColor="text1" w:themeTint="A6"/>
          <w:sz w:val="24"/>
          <w:szCs w:val="24"/>
        </w:rPr>
      </w:pPr>
      <w:bookmarkStart w:id="372" w:name="_Toc7678137"/>
      <w:bookmarkStart w:id="373" w:name="_Toc34208410"/>
      <w:r w:rsidRPr="008C21BF">
        <w:rPr>
          <w:rFonts w:ascii="Arial" w:eastAsiaTheme="majorEastAsia" w:hAnsi="Arial" w:cs="Arial"/>
          <w:color w:val="595959" w:themeColor="text1" w:themeTint="A6"/>
          <w:sz w:val="24"/>
          <w:szCs w:val="24"/>
        </w:rPr>
        <w:t xml:space="preserve">4.3.1 </w:t>
      </w:r>
      <w:r w:rsidR="00B92575">
        <w:rPr>
          <w:rFonts w:ascii="Arial" w:eastAsiaTheme="majorEastAsia" w:hAnsi="Arial" w:cs="Arial"/>
          <w:color w:val="595959" w:themeColor="text1" w:themeTint="A6"/>
          <w:sz w:val="24"/>
          <w:szCs w:val="24"/>
        </w:rPr>
        <w:t>Design methodology for g</w:t>
      </w:r>
      <w:r w:rsidRPr="008C21BF">
        <w:rPr>
          <w:rFonts w:ascii="Arial" w:eastAsiaTheme="majorEastAsia" w:hAnsi="Arial" w:cs="Arial"/>
          <w:color w:val="595959" w:themeColor="text1" w:themeTint="A6"/>
          <w:sz w:val="24"/>
          <w:szCs w:val="24"/>
        </w:rPr>
        <w:t>eneration of tissue engineered fibroblast-derived matrices</w:t>
      </w:r>
      <w:bookmarkEnd w:id="372"/>
      <w:bookmarkEnd w:id="373"/>
    </w:p>
    <w:p w14:paraId="06FE756C" w14:textId="77777777" w:rsidR="008C21BF" w:rsidRPr="008C21BF" w:rsidRDefault="008C21BF" w:rsidP="008C21BF"/>
    <w:p w14:paraId="6AEB6F79" w14:textId="216149E4" w:rsidR="008C21BF" w:rsidRPr="008C21BF" w:rsidRDefault="008C21BF" w:rsidP="008C21BF">
      <w:pPr>
        <w:spacing w:line="480" w:lineRule="auto"/>
        <w:jc w:val="both"/>
        <w:rPr>
          <w:rFonts w:ascii="Arial" w:hAnsi="Arial" w:cs="Arial"/>
          <w:color w:val="595959" w:themeColor="text1" w:themeTint="A6"/>
        </w:rPr>
      </w:pPr>
      <w:r w:rsidRPr="008C21BF">
        <w:rPr>
          <w:rFonts w:ascii="Arial" w:hAnsi="Arial" w:cs="Arial"/>
          <w:color w:val="595959" w:themeColor="text1" w:themeTint="A6"/>
        </w:rPr>
        <w:t>To effectively tissue-engineer a human stromal compartment that resembles the ECM found in normal oral and cancer tissue, three batches of human primary NOF and CAF were isolated and fully characterised as described in chapter 3. In order to maintain them in a long-term culture required for matrix deposition, a transwel</w:t>
      </w:r>
      <w:r w:rsidR="00910C2C">
        <w:rPr>
          <w:rFonts w:ascii="Arial" w:hAnsi="Arial" w:cs="Arial"/>
          <w:color w:val="595959" w:themeColor="text1" w:themeTint="A6"/>
        </w:rPr>
        <w:t>l</w:t>
      </w:r>
      <w:r w:rsidRPr="008C21BF">
        <w:rPr>
          <w:rFonts w:ascii="Arial" w:hAnsi="Arial" w:cs="Arial"/>
          <w:color w:val="595959" w:themeColor="text1" w:themeTint="A6"/>
        </w:rPr>
        <w:t xml:space="preserve"> </w:t>
      </w:r>
      <w:r w:rsidR="001B7793">
        <w:rPr>
          <w:rFonts w:ascii="Arial" w:hAnsi="Arial" w:cs="Arial"/>
          <w:color w:val="595959" w:themeColor="text1" w:themeTint="A6"/>
        </w:rPr>
        <w:t xml:space="preserve">culture </w:t>
      </w:r>
      <w:r w:rsidRPr="008C21BF">
        <w:rPr>
          <w:rFonts w:ascii="Arial" w:hAnsi="Arial" w:cs="Arial"/>
          <w:color w:val="595959" w:themeColor="text1" w:themeTint="A6"/>
        </w:rPr>
        <w:t xml:space="preserve">set-up was optimised; providing an ideal system for effective nutrient transfer. </w:t>
      </w:r>
    </w:p>
    <w:p w14:paraId="253C25AF" w14:textId="77AB63D4" w:rsidR="008C21BF" w:rsidRPr="008C21BF" w:rsidRDefault="008C21BF" w:rsidP="008C21BF">
      <w:pPr>
        <w:spacing w:line="480" w:lineRule="auto"/>
        <w:jc w:val="both"/>
        <w:rPr>
          <w:rFonts w:ascii="Arial" w:hAnsi="Arial" w:cs="Arial"/>
          <w:color w:val="595959" w:themeColor="text1" w:themeTint="A6"/>
        </w:rPr>
      </w:pPr>
      <w:r w:rsidRPr="008C21BF">
        <w:rPr>
          <w:rFonts w:ascii="Arial" w:hAnsi="Arial" w:cs="Arial"/>
          <w:color w:val="595959" w:themeColor="text1" w:themeTint="A6"/>
        </w:rPr>
        <w:t xml:space="preserve">Firstly, FDM were generated by culturing NOF and CAF in oral fibroblast media (10% DMEM) in submerged conditions for 28 days with 2-phospho-L-ascrobic (200 µg/mL) supplemented at every media change. H&amp;E analysis revealed that this media </w:t>
      </w:r>
      <w:r w:rsidR="00A61DB7">
        <w:rPr>
          <w:rFonts w:ascii="Arial" w:hAnsi="Arial" w:cs="Arial"/>
          <w:color w:val="595959" w:themeColor="text1" w:themeTint="A6"/>
        </w:rPr>
        <w:t xml:space="preserve">alone </w:t>
      </w:r>
      <w:r w:rsidRPr="008C21BF">
        <w:rPr>
          <w:rFonts w:ascii="Arial" w:hAnsi="Arial" w:cs="Arial"/>
          <w:color w:val="595959" w:themeColor="text1" w:themeTint="A6"/>
        </w:rPr>
        <w:t xml:space="preserve">was </w:t>
      </w:r>
      <w:r w:rsidR="00581CAC">
        <w:rPr>
          <w:rFonts w:ascii="Arial" w:hAnsi="Arial" w:cs="Arial"/>
          <w:color w:val="595959" w:themeColor="text1" w:themeTint="A6"/>
        </w:rPr>
        <w:t xml:space="preserve">insufficient </w:t>
      </w:r>
      <w:r w:rsidRPr="008C21BF">
        <w:rPr>
          <w:rFonts w:ascii="Arial" w:hAnsi="Arial" w:cs="Arial"/>
          <w:color w:val="595959" w:themeColor="text1" w:themeTint="A6"/>
        </w:rPr>
        <w:t xml:space="preserve">to produce matrices of a thickness greater than a few cell-layers, and only a small abundance of ECM deposition was observed by eosin staining (Figure 4.2 A-B). </w:t>
      </w:r>
    </w:p>
    <w:p w14:paraId="0F7E6DDD" w14:textId="5A6E89C7" w:rsidR="008C21BF" w:rsidRPr="008C21BF" w:rsidRDefault="008C21BF" w:rsidP="008C21BF">
      <w:pPr>
        <w:spacing w:line="480" w:lineRule="auto"/>
        <w:jc w:val="both"/>
        <w:rPr>
          <w:rFonts w:ascii="Arial" w:hAnsi="Arial" w:cs="Arial"/>
          <w:color w:val="595959" w:themeColor="text1" w:themeTint="A6"/>
        </w:rPr>
      </w:pPr>
      <w:r w:rsidRPr="008C21BF">
        <w:rPr>
          <w:rFonts w:ascii="Arial" w:hAnsi="Arial" w:cs="Arial"/>
          <w:color w:val="595959" w:themeColor="text1" w:themeTint="A6"/>
        </w:rPr>
        <w:t xml:space="preserve">In an attempt to increase ECM deposition from oral fibroblasts, the media was further supplemented with TGFβ-1 (1 ng/mL); shown to induce ECM deposition </w:t>
      </w:r>
      <w:r w:rsidRPr="008C21BF">
        <w:rPr>
          <w:rFonts w:ascii="Arial" w:hAnsi="Arial" w:cs="Arial"/>
          <w:i/>
          <w:iCs/>
          <w:color w:val="595959" w:themeColor="text1" w:themeTint="A6"/>
        </w:rPr>
        <w:t>in vitro</w:t>
      </w:r>
      <w:r w:rsidRPr="008C21BF">
        <w:rPr>
          <w:rFonts w:ascii="Arial" w:hAnsi="Arial" w:cs="Arial"/>
          <w:color w:val="595959" w:themeColor="text1" w:themeTint="A6"/>
        </w:rPr>
        <w:t>, as evidenced in chapter 3, as well as 2-phospho-L-asc</w:t>
      </w:r>
      <w:r w:rsidR="00165715">
        <w:rPr>
          <w:rFonts w:ascii="Arial" w:hAnsi="Arial" w:cs="Arial"/>
          <w:color w:val="595959" w:themeColor="text1" w:themeTint="A6"/>
        </w:rPr>
        <w:t>or</w:t>
      </w:r>
      <w:r w:rsidRPr="008C21BF">
        <w:rPr>
          <w:rFonts w:ascii="Arial" w:hAnsi="Arial" w:cs="Arial"/>
          <w:color w:val="595959" w:themeColor="text1" w:themeTint="A6"/>
        </w:rPr>
        <w:t xml:space="preserve">bic (200 µg/mL). Cells were submerged for the entire culture period. After 28 days, H&amp;E staining indicated that although cell monolayers were intact across the insert surface for both NOF and CAF, they failed to exhibit ECM deposition more than a few cell-layers thick (Figure 4.2 C-D). </w:t>
      </w:r>
    </w:p>
    <w:p w14:paraId="00496F1C" w14:textId="3F5F62EB" w:rsidR="008C21BF" w:rsidRPr="008C21BF" w:rsidRDefault="008C21BF" w:rsidP="008C21BF">
      <w:pPr>
        <w:spacing w:line="480" w:lineRule="auto"/>
        <w:jc w:val="both"/>
        <w:rPr>
          <w:rFonts w:ascii="Arial" w:hAnsi="Arial" w:cs="Arial"/>
          <w:color w:val="595959" w:themeColor="text1" w:themeTint="A6"/>
        </w:rPr>
      </w:pPr>
      <w:r w:rsidRPr="008C21BF">
        <w:rPr>
          <w:rFonts w:ascii="Arial" w:hAnsi="Arial" w:cs="Arial"/>
          <w:color w:val="595959" w:themeColor="text1" w:themeTint="A6"/>
        </w:rPr>
        <w:t xml:space="preserve">In order to improve FDM thickness, an alternative nutrient enriched FDM media was investigated which consisted of DMEM: F-12 </w:t>
      </w:r>
      <w:r w:rsidR="00C962FE">
        <w:rPr>
          <w:rFonts w:ascii="Arial" w:hAnsi="Arial" w:cs="Arial"/>
          <w:color w:val="595959" w:themeColor="text1" w:themeTint="A6"/>
        </w:rPr>
        <w:t xml:space="preserve">mix </w:t>
      </w:r>
      <w:r w:rsidRPr="008C21BF">
        <w:rPr>
          <w:rFonts w:ascii="Arial" w:hAnsi="Arial" w:cs="Arial"/>
          <w:color w:val="595959" w:themeColor="text1" w:themeTint="A6"/>
        </w:rPr>
        <w:t xml:space="preserve">supplemented with 10% FBS, and insulin. After seeding, cells were kept submerged for 7 days, after which the media within the insert was removed and the cell monolayer raised to an ALI for a further 21 days. The effects of further media supplementation with the growth factors TGFβ-1 (1 ng/mL), EGF (2.5 ng/mL) and </w:t>
      </w:r>
      <w:r w:rsidRPr="008C21BF">
        <w:rPr>
          <w:rFonts w:ascii="Arial" w:hAnsi="Arial" w:cs="Arial"/>
          <w:i/>
          <w:iCs/>
          <w:color w:val="595959" w:themeColor="text1" w:themeTint="A6"/>
        </w:rPr>
        <w:t>b</w:t>
      </w:r>
      <w:r w:rsidRPr="008C21BF">
        <w:rPr>
          <w:rFonts w:ascii="Arial" w:hAnsi="Arial" w:cs="Arial"/>
          <w:color w:val="595959" w:themeColor="text1" w:themeTint="A6"/>
        </w:rPr>
        <w:t>FGF (5 ng/mL) was also assessed. After a 28</w:t>
      </w:r>
      <w:r w:rsidR="004F6EDB">
        <w:rPr>
          <w:rFonts w:ascii="Arial" w:hAnsi="Arial" w:cs="Arial"/>
          <w:color w:val="595959" w:themeColor="text1" w:themeTint="A6"/>
        </w:rPr>
        <w:t>-</w:t>
      </w:r>
      <w:r w:rsidRPr="008C21BF">
        <w:rPr>
          <w:rFonts w:ascii="Arial" w:hAnsi="Arial" w:cs="Arial"/>
          <w:color w:val="595959" w:themeColor="text1" w:themeTint="A6"/>
        </w:rPr>
        <w:t xml:space="preserve">day culture period in FDM culture media matrix development by both NOF and CAF was assessed histologically by H&amp;E staining </w:t>
      </w:r>
      <w:r w:rsidRPr="008C21BF">
        <w:rPr>
          <w:rFonts w:ascii="Arial" w:hAnsi="Arial" w:cs="Arial"/>
          <w:color w:val="595959" w:themeColor="text1" w:themeTint="A6"/>
        </w:rPr>
        <w:lastRenderedPageBreak/>
        <w:t>(Figure 4.2 E-H). The amount of tissue-engineered (TE)-FDM deposited using these culture conditions was enhanced with a sufficient level of ECM deposition that formed consistently across the whole insert (with some limited contraction exhibited in CAF matrices</w:t>
      </w:r>
      <w:r w:rsidR="00C4786F">
        <w:rPr>
          <w:rFonts w:ascii="Arial" w:hAnsi="Arial" w:cs="Arial"/>
          <w:color w:val="595959" w:themeColor="text1" w:themeTint="A6"/>
        </w:rPr>
        <w:t xml:space="preserve"> (A</w:t>
      </w:r>
      <w:r w:rsidRPr="008C21BF">
        <w:rPr>
          <w:rFonts w:ascii="Arial" w:hAnsi="Arial" w:cs="Arial"/>
          <w:color w:val="595959" w:themeColor="text1" w:themeTint="A6"/>
        </w:rPr>
        <w:t>ppendix</w:t>
      </w:r>
      <w:r w:rsidR="004F6EDB">
        <w:rPr>
          <w:rFonts w:ascii="Arial" w:hAnsi="Arial" w:cs="Arial"/>
          <w:color w:val="595959" w:themeColor="text1" w:themeTint="A6"/>
        </w:rPr>
        <w:t xml:space="preserve"> Figure 7.4</w:t>
      </w:r>
      <w:r w:rsidR="00C4786F">
        <w:rPr>
          <w:rFonts w:ascii="Arial" w:hAnsi="Arial" w:cs="Arial"/>
          <w:color w:val="595959" w:themeColor="text1" w:themeTint="A6"/>
        </w:rPr>
        <w:t>)</w:t>
      </w:r>
      <w:r w:rsidR="004F6EDB">
        <w:rPr>
          <w:rFonts w:ascii="Arial" w:hAnsi="Arial" w:cs="Arial"/>
          <w:color w:val="595959" w:themeColor="text1" w:themeTint="A6"/>
        </w:rPr>
        <w:t xml:space="preserve"> </w:t>
      </w:r>
      <w:r w:rsidRPr="008C21BF">
        <w:rPr>
          <w:rFonts w:ascii="Arial" w:hAnsi="Arial" w:cs="Arial"/>
          <w:color w:val="595959" w:themeColor="text1" w:themeTint="A6"/>
        </w:rPr>
        <w:t xml:space="preserve">and with evidence of viable fibroblasts dispersed throughout the matrices (Figure 4.2 E-H). </w:t>
      </w:r>
    </w:p>
    <w:p w14:paraId="1C384503" w14:textId="77777777" w:rsidR="008C21BF" w:rsidRPr="008C21BF" w:rsidRDefault="008C21BF" w:rsidP="008C21BF">
      <w:pPr>
        <w:spacing w:line="480" w:lineRule="auto"/>
        <w:jc w:val="both"/>
        <w:rPr>
          <w:rFonts w:ascii="Arial" w:hAnsi="Arial" w:cs="Arial"/>
          <w:color w:val="595959" w:themeColor="text1" w:themeTint="A6"/>
        </w:rPr>
      </w:pPr>
      <w:r w:rsidRPr="008C21BF">
        <w:rPr>
          <w:rFonts w:ascii="Arial" w:hAnsi="Arial" w:cs="Arial"/>
          <w:color w:val="595959" w:themeColor="text1" w:themeTint="A6"/>
        </w:rPr>
        <w:t>NOF matrices were consistent in their appearance with and without the addition of growth factors; they appear highly regular and intact, with fibroblasts distributed through-out the section (Figure 4.2 E+F).  The CAF matrices exhibited a more disordered architecture and showed a denser distribution of ECM; highlighted by the eosin staining (Figure 4.2 G-H). Fibroblasts tended to reside at the apical and basal surfaces (Figure 4.2, black arrows).</w:t>
      </w:r>
    </w:p>
    <w:p w14:paraId="35BC54A4" w14:textId="77777777" w:rsidR="008C21BF" w:rsidRPr="008C21BF" w:rsidRDefault="008C21BF" w:rsidP="008C21BF">
      <w:pPr>
        <w:spacing w:line="480" w:lineRule="auto"/>
        <w:jc w:val="both"/>
        <w:rPr>
          <w:rFonts w:ascii="Arial" w:hAnsi="Arial" w:cs="Arial"/>
          <w:color w:val="595959" w:themeColor="text1" w:themeTint="A6"/>
        </w:rPr>
      </w:pPr>
    </w:p>
    <w:p w14:paraId="1507E38F" w14:textId="77777777" w:rsidR="008C21BF" w:rsidRPr="008C21BF" w:rsidRDefault="008C21BF" w:rsidP="008C21BF">
      <w:pPr>
        <w:spacing w:line="480" w:lineRule="auto"/>
        <w:ind w:firstLine="720"/>
        <w:jc w:val="both"/>
        <w:rPr>
          <w:rFonts w:ascii="Arial" w:hAnsi="Arial" w:cs="Arial"/>
          <w:color w:val="595959" w:themeColor="text1" w:themeTint="A6"/>
        </w:rPr>
      </w:pPr>
    </w:p>
    <w:p w14:paraId="6AB19F77" w14:textId="4ECF03BD" w:rsidR="008C21BF" w:rsidRPr="008C21BF" w:rsidRDefault="008C21BF" w:rsidP="008C21BF">
      <w:pPr>
        <w:keepNext/>
        <w:keepLines/>
        <w:spacing w:before="40" w:after="0"/>
        <w:outlineLvl w:val="3"/>
        <w:rPr>
          <w:rFonts w:ascii="Arial" w:eastAsiaTheme="majorEastAsia" w:hAnsi="Arial" w:cs="Arial"/>
          <w:iCs/>
          <w:color w:val="595959" w:themeColor="text1" w:themeTint="A6"/>
        </w:rPr>
      </w:pPr>
    </w:p>
    <w:p w14:paraId="3B3F931D" w14:textId="2489EC85" w:rsidR="008C21BF" w:rsidRPr="008C21BF" w:rsidRDefault="008C21BF" w:rsidP="008C21BF">
      <w:pPr>
        <w:keepNext/>
        <w:keepLines/>
        <w:spacing w:before="40" w:after="0"/>
        <w:outlineLvl w:val="3"/>
        <w:rPr>
          <w:rFonts w:ascii="Arial" w:eastAsiaTheme="majorEastAsia" w:hAnsi="Arial" w:cs="Arial"/>
          <w:iCs/>
          <w:color w:val="595959" w:themeColor="text1" w:themeTint="A6"/>
        </w:rPr>
      </w:pPr>
    </w:p>
    <w:p w14:paraId="10FB952E" w14:textId="3F94E35D" w:rsidR="008C21BF" w:rsidRPr="008C21BF" w:rsidRDefault="007E1FDC" w:rsidP="008C21BF">
      <w:pPr>
        <w:keepNext/>
        <w:keepLines/>
        <w:spacing w:before="40" w:after="0"/>
        <w:outlineLvl w:val="3"/>
        <w:rPr>
          <w:rFonts w:ascii="Arial" w:eastAsiaTheme="majorEastAsia" w:hAnsi="Arial" w:cs="Arial"/>
          <w:iCs/>
          <w:color w:val="595959" w:themeColor="text1" w:themeTint="A6"/>
        </w:rPr>
      </w:pPr>
      <w:bookmarkStart w:id="374" w:name="_Toc34208411"/>
      <w:r>
        <w:rPr>
          <w:rFonts w:ascii="Arial" w:eastAsiaTheme="majorEastAsia" w:hAnsi="Arial" w:cs="Arial"/>
          <w:iCs/>
          <w:noProof/>
          <w:color w:val="595959" w:themeColor="text1" w:themeTint="A6"/>
        </w:rPr>
        <w:drawing>
          <wp:anchor distT="0" distB="0" distL="114300" distR="114300" simplePos="0" relativeHeight="251691275" behindDoc="0" locked="0" layoutInCell="1" allowOverlap="1" wp14:anchorId="5649DFDB" wp14:editId="38A6FB11">
            <wp:simplePos x="0" y="0"/>
            <wp:positionH relativeFrom="column">
              <wp:posOffset>0</wp:posOffset>
            </wp:positionH>
            <wp:positionV relativeFrom="paragraph">
              <wp:posOffset>21590</wp:posOffset>
            </wp:positionV>
            <wp:extent cx="5730875" cy="6176010"/>
            <wp:effectExtent l="0" t="0" r="3175" b="0"/>
            <wp:wrapNone/>
            <wp:docPr id="5570" name="Picture 5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730875" cy="6176010"/>
                    </a:xfrm>
                    <a:prstGeom prst="rect">
                      <a:avLst/>
                    </a:prstGeom>
                    <a:noFill/>
                  </pic:spPr>
                </pic:pic>
              </a:graphicData>
            </a:graphic>
          </wp:anchor>
        </w:drawing>
      </w:r>
      <w:bookmarkEnd w:id="374"/>
    </w:p>
    <w:p w14:paraId="1E96D0CB" w14:textId="77777777" w:rsidR="008C21BF" w:rsidRPr="008C21BF" w:rsidRDefault="008C21BF" w:rsidP="008C21BF">
      <w:pPr>
        <w:keepNext/>
        <w:keepLines/>
        <w:spacing w:before="40" w:after="0"/>
        <w:outlineLvl w:val="3"/>
        <w:rPr>
          <w:rFonts w:ascii="Arial" w:eastAsiaTheme="majorEastAsia" w:hAnsi="Arial" w:cs="Arial"/>
          <w:iCs/>
          <w:color w:val="595959" w:themeColor="text1" w:themeTint="A6"/>
        </w:rPr>
      </w:pPr>
    </w:p>
    <w:p w14:paraId="1AD4AF60" w14:textId="77777777" w:rsidR="008C21BF" w:rsidRPr="008C21BF" w:rsidRDefault="008C21BF" w:rsidP="008C21BF">
      <w:pPr>
        <w:keepNext/>
        <w:keepLines/>
        <w:spacing w:before="40" w:after="0"/>
        <w:outlineLvl w:val="3"/>
        <w:rPr>
          <w:rFonts w:ascii="Arial" w:eastAsiaTheme="majorEastAsia" w:hAnsi="Arial" w:cs="Arial"/>
          <w:iCs/>
          <w:color w:val="595959" w:themeColor="text1" w:themeTint="A6"/>
        </w:rPr>
      </w:pPr>
    </w:p>
    <w:p w14:paraId="6C58AF1E" w14:textId="77777777" w:rsidR="008C21BF" w:rsidRPr="008C21BF" w:rsidRDefault="008C21BF" w:rsidP="008C21BF">
      <w:pPr>
        <w:keepNext/>
        <w:keepLines/>
        <w:spacing w:before="40" w:after="0"/>
        <w:outlineLvl w:val="3"/>
        <w:rPr>
          <w:rFonts w:ascii="Arial" w:eastAsiaTheme="majorEastAsia" w:hAnsi="Arial" w:cs="Arial"/>
          <w:iCs/>
          <w:color w:val="595959" w:themeColor="text1" w:themeTint="A6"/>
        </w:rPr>
      </w:pPr>
    </w:p>
    <w:p w14:paraId="21430969" w14:textId="532BD0B5" w:rsidR="008C21BF" w:rsidRPr="008C21BF" w:rsidRDefault="008C21BF" w:rsidP="008C21BF">
      <w:pPr>
        <w:keepNext/>
        <w:keepLines/>
        <w:spacing w:before="40" w:after="0"/>
        <w:outlineLvl w:val="3"/>
        <w:rPr>
          <w:rFonts w:ascii="Arial" w:eastAsiaTheme="majorEastAsia" w:hAnsi="Arial" w:cs="Arial"/>
          <w:iCs/>
          <w:color w:val="595959" w:themeColor="text1" w:themeTint="A6"/>
        </w:rPr>
      </w:pPr>
    </w:p>
    <w:p w14:paraId="23CCD032" w14:textId="1FC39704" w:rsidR="008C21BF" w:rsidRPr="008C21BF" w:rsidRDefault="008C21BF" w:rsidP="008C21BF">
      <w:pPr>
        <w:keepNext/>
        <w:keepLines/>
        <w:spacing w:before="40" w:after="0"/>
        <w:outlineLvl w:val="3"/>
        <w:rPr>
          <w:rFonts w:ascii="Arial" w:eastAsiaTheme="majorEastAsia" w:hAnsi="Arial" w:cs="Arial"/>
          <w:iCs/>
          <w:color w:val="595959" w:themeColor="text1" w:themeTint="A6"/>
        </w:rPr>
      </w:pPr>
    </w:p>
    <w:p w14:paraId="035BD9D8" w14:textId="670FF3CB" w:rsidR="008C21BF" w:rsidRPr="008C21BF" w:rsidRDefault="008C21BF" w:rsidP="008C21BF">
      <w:pPr>
        <w:keepNext/>
        <w:keepLines/>
        <w:spacing w:before="40" w:after="0"/>
        <w:outlineLvl w:val="3"/>
        <w:rPr>
          <w:rFonts w:ascii="Arial" w:eastAsiaTheme="majorEastAsia" w:hAnsi="Arial" w:cs="Arial"/>
          <w:iCs/>
          <w:color w:val="595959" w:themeColor="text1" w:themeTint="A6"/>
        </w:rPr>
      </w:pPr>
    </w:p>
    <w:p w14:paraId="75C0F87A" w14:textId="16FE46E5" w:rsidR="008C21BF" w:rsidRPr="008C21BF" w:rsidRDefault="008C21BF" w:rsidP="008C21BF">
      <w:pPr>
        <w:keepNext/>
        <w:keepLines/>
        <w:spacing w:before="40" w:after="0"/>
        <w:outlineLvl w:val="3"/>
        <w:rPr>
          <w:rFonts w:ascii="Arial" w:eastAsiaTheme="majorEastAsia" w:hAnsi="Arial" w:cs="Arial"/>
          <w:iCs/>
          <w:color w:val="595959" w:themeColor="text1" w:themeTint="A6"/>
        </w:rPr>
      </w:pPr>
    </w:p>
    <w:p w14:paraId="07094554" w14:textId="39A492D1" w:rsidR="008C21BF" w:rsidRPr="008C21BF" w:rsidRDefault="008C21BF" w:rsidP="008C21BF">
      <w:pPr>
        <w:keepNext/>
        <w:keepLines/>
        <w:spacing w:before="40" w:after="0"/>
        <w:outlineLvl w:val="3"/>
        <w:rPr>
          <w:rFonts w:ascii="Arial" w:eastAsiaTheme="majorEastAsia" w:hAnsi="Arial" w:cs="Arial"/>
          <w:iCs/>
          <w:color w:val="595959" w:themeColor="text1" w:themeTint="A6"/>
        </w:rPr>
      </w:pPr>
    </w:p>
    <w:p w14:paraId="09B5554D" w14:textId="46D89FD1" w:rsidR="008C21BF" w:rsidRPr="008C21BF" w:rsidRDefault="008C21BF" w:rsidP="008C21BF">
      <w:pPr>
        <w:keepNext/>
        <w:keepLines/>
        <w:spacing w:before="40" w:after="0"/>
        <w:outlineLvl w:val="3"/>
        <w:rPr>
          <w:rFonts w:ascii="Arial" w:eastAsiaTheme="majorEastAsia" w:hAnsi="Arial" w:cs="Arial"/>
          <w:iCs/>
          <w:color w:val="595959" w:themeColor="text1" w:themeTint="A6"/>
        </w:rPr>
      </w:pPr>
    </w:p>
    <w:p w14:paraId="0C961DC7" w14:textId="2AC95A87" w:rsidR="008C21BF" w:rsidRPr="008C21BF" w:rsidRDefault="008C21BF" w:rsidP="008C21BF">
      <w:pPr>
        <w:keepNext/>
        <w:keepLines/>
        <w:spacing w:before="40" w:after="0"/>
        <w:outlineLvl w:val="3"/>
        <w:rPr>
          <w:rFonts w:ascii="Arial" w:eastAsiaTheme="majorEastAsia" w:hAnsi="Arial" w:cs="Arial"/>
          <w:iCs/>
          <w:color w:val="595959" w:themeColor="text1" w:themeTint="A6"/>
        </w:rPr>
      </w:pPr>
    </w:p>
    <w:p w14:paraId="7601149C" w14:textId="77777777" w:rsidR="008C21BF" w:rsidRPr="008C21BF" w:rsidRDefault="008C21BF" w:rsidP="008C21BF">
      <w:pPr>
        <w:keepNext/>
        <w:keepLines/>
        <w:spacing w:before="40" w:after="0"/>
        <w:outlineLvl w:val="3"/>
        <w:rPr>
          <w:rFonts w:ascii="Arial" w:eastAsiaTheme="majorEastAsia" w:hAnsi="Arial" w:cs="Arial"/>
          <w:iCs/>
          <w:color w:val="595959" w:themeColor="text1" w:themeTint="A6"/>
        </w:rPr>
      </w:pPr>
    </w:p>
    <w:p w14:paraId="2280A327" w14:textId="3EBEFAE9" w:rsidR="008C21BF" w:rsidRPr="008C21BF" w:rsidRDefault="008C21BF" w:rsidP="008C21BF">
      <w:pPr>
        <w:keepNext/>
        <w:keepLines/>
        <w:spacing w:before="40" w:after="0"/>
        <w:outlineLvl w:val="3"/>
        <w:rPr>
          <w:rFonts w:ascii="Arial" w:eastAsiaTheme="majorEastAsia" w:hAnsi="Arial" w:cs="Arial"/>
          <w:iCs/>
          <w:color w:val="595959" w:themeColor="text1" w:themeTint="A6"/>
        </w:rPr>
      </w:pPr>
    </w:p>
    <w:p w14:paraId="3BFFDA06" w14:textId="77777777" w:rsidR="008C21BF" w:rsidRPr="008C21BF" w:rsidRDefault="008C21BF" w:rsidP="008C21BF">
      <w:pPr>
        <w:keepNext/>
        <w:keepLines/>
        <w:spacing w:before="40" w:after="0"/>
        <w:outlineLvl w:val="3"/>
        <w:rPr>
          <w:rFonts w:ascii="Arial" w:eastAsiaTheme="majorEastAsia" w:hAnsi="Arial" w:cs="Arial"/>
          <w:iCs/>
          <w:color w:val="595959" w:themeColor="text1" w:themeTint="A6"/>
        </w:rPr>
      </w:pPr>
    </w:p>
    <w:p w14:paraId="615BDD43" w14:textId="6A08A084" w:rsidR="008C21BF" w:rsidRPr="008C21BF" w:rsidRDefault="008C21BF" w:rsidP="008C21BF">
      <w:pPr>
        <w:keepNext/>
        <w:keepLines/>
        <w:spacing w:before="40" w:after="0"/>
        <w:outlineLvl w:val="3"/>
        <w:rPr>
          <w:rFonts w:ascii="Arial" w:eastAsiaTheme="majorEastAsia" w:hAnsi="Arial" w:cs="Arial"/>
          <w:iCs/>
          <w:color w:val="595959" w:themeColor="text1" w:themeTint="A6"/>
        </w:rPr>
      </w:pPr>
    </w:p>
    <w:p w14:paraId="1C443F50" w14:textId="77777777" w:rsidR="008C21BF" w:rsidRPr="008C21BF" w:rsidRDefault="008C21BF" w:rsidP="008C21BF">
      <w:pPr>
        <w:keepNext/>
        <w:keepLines/>
        <w:spacing w:before="40" w:after="0"/>
        <w:outlineLvl w:val="3"/>
        <w:rPr>
          <w:rFonts w:ascii="Arial" w:eastAsiaTheme="majorEastAsia" w:hAnsi="Arial" w:cs="Arial"/>
          <w:iCs/>
          <w:color w:val="595959" w:themeColor="text1" w:themeTint="A6"/>
        </w:rPr>
      </w:pPr>
    </w:p>
    <w:p w14:paraId="013DB017" w14:textId="77777777" w:rsidR="008C21BF" w:rsidRPr="008C21BF" w:rsidRDefault="008C21BF" w:rsidP="008C21BF">
      <w:pPr>
        <w:keepNext/>
        <w:keepLines/>
        <w:spacing w:before="40" w:after="0"/>
        <w:outlineLvl w:val="3"/>
        <w:rPr>
          <w:rFonts w:ascii="Arial" w:eastAsiaTheme="majorEastAsia" w:hAnsi="Arial" w:cs="Arial"/>
          <w:iCs/>
          <w:color w:val="595959" w:themeColor="text1" w:themeTint="A6"/>
        </w:rPr>
      </w:pPr>
    </w:p>
    <w:p w14:paraId="36991588" w14:textId="3AC71158" w:rsidR="008C21BF" w:rsidRPr="008C21BF" w:rsidRDefault="008C21BF" w:rsidP="008C21BF">
      <w:pPr>
        <w:keepNext/>
        <w:keepLines/>
        <w:spacing w:before="40" w:after="0"/>
        <w:outlineLvl w:val="3"/>
        <w:rPr>
          <w:rFonts w:ascii="Arial" w:eastAsiaTheme="majorEastAsia" w:hAnsi="Arial" w:cs="Arial"/>
          <w:iCs/>
          <w:color w:val="595959" w:themeColor="text1" w:themeTint="A6"/>
        </w:rPr>
      </w:pPr>
    </w:p>
    <w:p w14:paraId="29DBDE92" w14:textId="77777777" w:rsidR="008C21BF" w:rsidRPr="008C21BF" w:rsidRDefault="008C21BF" w:rsidP="008C21BF">
      <w:pPr>
        <w:keepNext/>
        <w:keepLines/>
        <w:spacing w:before="40" w:after="0"/>
        <w:outlineLvl w:val="3"/>
        <w:rPr>
          <w:rFonts w:ascii="Arial" w:eastAsiaTheme="majorEastAsia" w:hAnsi="Arial" w:cs="Arial"/>
          <w:iCs/>
          <w:color w:val="595959" w:themeColor="text1" w:themeTint="A6"/>
        </w:rPr>
      </w:pPr>
    </w:p>
    <w:p w14:paraId="72F65603" w14:textId="223E237B" w:rsidR="008C21BF" w:rsidRPr="008C21BF" w:rsidRDefault="008C21BF" w:rsidP="008C21BF">
      <w:pPr>
        <w:keepNext/>
        <w:keepLines/>
        <w:spacing w:before="40" w:after="0"/>
        <w:outlineLvl w:val="3"/>
        <w:rPr>
          <w:rFonts w:ascii="Arial" w:eastAsiaTheme="majorEastAsia" w:hAnsi="Arial" w:cs="Arial"/>
          <w:iCs/>
          <w:color w:val="595959" w:themeColor="text1" w:themeTint="A6"/>
        </w:rPr>
      </w:pPr>
    </w:p>
    <w:p w14:paraId="6F4E9C29" w14:textId="77777777" w:rsidR="008C21BF" w:rsidRPr="008C21BF" w:rsidRDefault="008C21BF" w:rsidP="008C21BF">
      <w:pPr>
        <w:keepNext/>
        <w:keepLines/>
        <w:spacing w:before="40" w:after="0"/>
        <w:outlineLvl w:val="3"/>
        <w:rPr>
          <w:rFonts w:ascii="Arial" w:eastAsiaTheme="majorEastAsia" w:hAnsi="Arial" w:cs="Arial"/>
          <w:iCs/>
          <w:color w:val="595959" w:themeColor="text1" w:themeTint="A6"/>
        </w:rPr>
      </w:pPr>
    </w:p>
    <w:p w14:paraId="35C9C077" w14:textId="77777777" w:rsidR="008C21BF" w:rsidRPr="008C21BF" w:rsidRDefault="008C21BF" w:rsidP="008C21BF">
      <w:pPr>
        <w:keepNext/>
        <w:keepLines/>
        <w:spacing w:before="40" w:after="0"/>
        <w:outlineLvl w:val="3"/>
        <w:rPr>
          <w:rFonts w:ascii="Arial" w:eastAsiaTheme="majorEastAsia" w:hAnsi="Arial" w:cs="Arial"/>
          <w:iCs/>
          <w:color w:val="595959" w:themeColor="text1" w:themeTint="A6"/>
        </w:rPr>
      </w:pPr>
    </w:p>
    <w:bookmarkStart w:id="375" w:name="_Toc20423941"/>
    <w:bookmarkStart w:id="376" w:name="_Toc20427520"/>
    <w:bookmarkStart w:id="377" w:name="_Toc34208412"/>
    <w:p w14:paraId="17E95A8B" w14:textId="77777777" w:rsidR="008C21BF" w:rsidRPr="008C21BF" w:rsidRDefault="008C21BF" w:rsidP="008C21BF">
      <w:pPr>
        <w:keepNext/>
        <w:keepLines/>
        <w:spacing w:before="40" w:after="0"/>
        <w:outlineLvl w:val="3"/>
        <w:rPr>
          <w:rFonts w:ascii="Arial" w:eastAsiaTheme="majorEastAsia" w:hAnsi="Arial" w:cs="Arial"/>
          <w:iCs/>
          <w:color w:val="595959" w:themeColor="text1" w:themeTint="A6"/>
        </w:rPr>
      </w:pPr>
      <w:r w:rsidRPr="008C21BF">
        <w:rPr>
          <w:rFonts w:ascii="Arial" w:eastAsiaTheme="majorEastAsia" w:hAnsi="Arial" w:cs="Arial"/>
          <w:iCs/>
          <w:noProof/>
          <w:color w:val="595959" w:themeColor="text1" w:themeTint="A6"/>
          <w:lang w:eastAsia="zh-CN"/>
        </w:rPr>
        <mc:AlternateContent>
          <mc:Choice Requires="wps">
            <w:drawing>
              <wp:anchor distT="0" distB="0" distL="114300" distR="114300" simplePos="0" relativeHeight="251658350" behindDoc="0" locked="0" layoutInCell="1" allowOverlap="1" wp14:anchorId="284FC4FE" wp14:editId="202DDFB8">
                <wp:simplePos x="0" y="0"/>
                <wp:positionH relativeFrom="column">
                  <wp:posOffset>4481845</wp:posOffset>
                </wp:positionH>
                <wp:positionV relativeFrom="paragraph">
                  <wp:posOffset>174831</wp:posOffset>
                </wp:positionV>
                <wp:extent cx="104775" cy="123825"/>
                <wp:effectExtent l="19050" t="19050" r="47625" b="28575"/>
                <wp:wrapNone/>
                <wp:docPr id="4098" name="Isosceles Triangle 4098"/>
                <wp:cNvGraphicFramePr/>
                <a:graphic xmlns:a="http://schemas.openxmlformats.org/drawingml/2006/main">
                  <a:graphicData uri="http://schemas.microsoft.com/office/word/2010/wordprocessingShape">
                    <wps:wsp>
                      <wps:cNvSpPr/>
                      <wps:spPr>
                        <a:xfrm>
                          <a:off x="0" y="0"/>
                          <a:ext cx="104775" cy="123825"/>
                        </a:xfrm>
                        <a:prstGeom prst="triangle">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CD6462F" id="Isosceles Triangle 4098" o:spid="_x0000_s1026" type="#_x0000_t5" style="position:absolute;margin-left:352.9pt;margin-top:13.75pt;width:8.25pt;height:9.75pt;z-index:251810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" fillcolor="windowText" strokeweight="1pt"/>
            </w:pict>
          </mc:Fallback>
        </mc:AlternateContent>
      </w:r>
      <w:r w:rsidRPr="008C21BF">
        <w:rPr>
          <w:rFonts w:ascii="Arial" w:eastAsiaTheme="majorEastAsia" w:hAnsi="Arial" w:cs="Arial"/>
          <w:iCs/>
          <w:noProof/>
          <w:color w:val="595959" w:themeColor="text1" w:themeTint="A6"/>
          <w:lang w:eastAsia="zh-CN"/>
        </w:rPr>
        <mc:AlternateContent>
          <mc:Choice Requires="wps">
            <w:drawing>
              <wp:anchor distT="0" distB="0" distL="114300" distR="114300" simplePos="0" relativeHeight="251658349" behindDoc="0" locked="0" layoutInCell="1" allowOverlap="1" wp14:anchorId="51987098" wp14:editId="1AEC46A0">
                <wp:simplePos x="0" y="0"/>
                <wp:positionH relativeFrom="column">
                  <wp:posOffset>3596123</wp:posOffset>
                </wp:positionH>
                <wp:positionV relativeFrom="paragraph">
                  <wp:posOffset>187325</wp:posOffset>
                </wp:positionV>
                <wp:extent cx="104775" cy="123825"/>
                <wp:effectExtent l="19050" t="19050" r="47625" b="28575"/>
                <wp:wrapNone/>
                <wp:docPr id="4099" name="Isosceles Triangle 4099"/>
                <wp:cNvGraphicFramePr/>
                <a:graphic xmlns:a="http://schemas.openxmlformats.org/drawingml/2006/main">
                  <a:graphicData uri="http://schemas.microsoft.com/office/word/2010/wordprocessingShape">
                    <wps:wsp>
                      <wps:cNvSpPr/>
                      <wps:spPr>
                        <a:xfrm>
                          <a:off x="0" y="0"/>
                          <a:ext cx="104775" cy="123825"/>
                        </a:xfrm>
                        <a:prstGeom prst="triangle">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7C470EF" id="Isosceles Triangle 4099" o:spid="_x0000_s1026" type="#_x0000_t5" style="position:absolute;margin-left:283.15pt;margin-top:14.75pt;width:8.25pt;height:9.75pt;z-index:251809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" fillcolor="windowText" strokeweight="1pt"/>
            </w:pict>
          </mc:Fallback>
        </mc:AlternateContent>
      </w:r>
      <w:bookmarkEnd w:id="375"/>
      <w:bookmarkEnd w:id="376"/>
      <w:bookmarkEnd w:id="377"/>
    </w:p>
    <w:p w14:paraId="6E433AA5" w14:textId="77777777" w:rsidR="008C21BF" w:rsidRPr="008C21BF" w:rsidRDefault="008C21BF" w:rsidP="008C21BF">
      <w:pPr>
        <w:keepNext/>
        <w:keepLines/>
        <w:spacing w:before="40" w:after="0"/>
        <w:outlineLvl w:val="3"/>
        <w:rPr>
          <w:rFonts w:ascii="Arial" w:eastAsiaTheme="majorEastAsia" w:hAnsi="Arial" w:cs="Arial"/>
          <w:iCs/>
          <w:color w:val="595959" w:themeColor="text1" w:themeTint="A6"/>
        </w:rPr>
      </w:pPr>
    </w:p>
    <w:p w14:paraId="242DB5F8" w14:textId="77777777" w:rsidR="008C21BF" w:rsidRPr="008C21BF" w:rsidRDefault="008C21BF" w:rsidP="008C21BF">
      <w:pPr>
        <w:keepNext/>
        <w:keepLines/>
        <w:spacing w:before="40" w:after="0"/>
        <w:outlineLvl w:val="3"/>
        <w:rPr>
          <w:rFonts w:ascii="Arial" w:eastAsiaTheme="majorEastAsia" w:hAnsi="Arial" w:cs="Arial"/>
          <w:iCs/>
          <w:color w:val="595959" w:themeColor="text1" w:themeTint="A6"/>
        </w:rPr>
      </w:pPr>
    </w:p>
    <w:p w14:paraId="08AA9F79" w14:textId="77777777" w:rsidR="008C21BF" w:rsidRPr="008C21BF" w:rsidRDefault="008C21BF" w:rsidP="008C21BF">
      <w:pPr>
        <w:keepNext/>
        <w:keepLines/>
        <w:spacing w:before="40" w:after="0"/>
        <w:outlineLvl w:val="3"/>
        <w:rPr>
          <w:rFonts w:ascii="Arial" w:eastAsiaTheme="majorEastAsia" w:hAnsi="Arial" w:cs="Arial"/>
          <w:iCs/>
          <w:color w:val="595959" w:themeColor="text1" w:themeTint="A6"/>
        </w:rPr>
      </w:pPr>
    </w:p>
    <w:bookmarkStart w:id="378" w:name="_Toc20423942"/>
    <w:bookmarkStart w:id="379" w:name="_Toc20427521"/>
    <w:bookmarkStart w:id="380" w:name="_Toc34208413"/>
    <w:p w14:paraId="14B49729" w14:textId="1A0C9EAD" w:rsidR="008C21BF" w:rsidRPr="008C21BF" w:rsidRDefault="008C21BF" w:rsidP="008C21BF">
      <w:pPr>
        <w:keepNext/>
        <w:keepLines/>
        <w:spacing w:before="40" w:after="0"/>
        <w:outlineLvl w:val="3"/>
        <w:rPr>
          <w:rFonts w:ascii="Arial" w:eastAsiaTheme="majorEastAsia" w:hAnsi="Arial" w:cs="Arial"/>
          <w:iCs/>
          <w:color w:val="595959" w:themeColor="text1" w:themeTint="A6"/>
        </w:rPr>
      </w:pPr>
      <w:r w:rsidRPr="008C21BF">
        <w:rPr>
          <w:rFonts w:ascii="Arial" w:eastAsiaTheme="majorEastAsia" w:hAnsi="Arial" w:cs="Arial"/>
          <w:iCs/>
          <w:noProof/>
          <w:color w:val="595959" w:themeColor="text1" w:themeTint="A6"/>
          <w:lang w:eastAsia="zh-CN"/>
        </w:rPr>
        <mc:AlternateContent>
          <mc:Choice Requires="wps">
            <w:drawing>
              <wp:anchor distT="0" distB="0" distL="114300" distR="114300" simplePos="0" relativeHeight="251658351" behindDoc="0" locked="0" layoutInCell="1" allowOverlap="1" wp14:anchorId="6E0F898E" wp14:editId="755E251D">
                <wp:simplePos x="0" y="0"/>
                <wp:positionH relativeFrom="column">
                  <wp:posOffset>238125</wp:posOffset>
                </wp:positionH>
                <wp:positionV relativeFrom="paragraph">
                  <wp:posOffset>118110</wp:posOffset>
                </wp:positionV>
                <wp:extent cx="76200" cy="133350"/>
                <wp:effectExtent l="57150" t="57150" r="57150" b="76200"/>
                <wp:wrapNone/>
                <wp:docPr id="4100" name="Isosceles Triangle 4100"/>
                <wp:cNvGraphicFramePr/>
                <a:graphic xmlns:a="http://schemas.openxmlformats.org/drawingml/2006/main">
                  <a:graphicData uri="http://schemas.microsoft.com/office/word/2010/wordprocessingShape">
                    <wps:wsp>
                      <wps:cNvSpPr/>
                      <wps:spPr>
                        <a:xfrm rot="10800000">
                          <a:off x="0" y="0"/>
                          <a:ext cx="76200" cy="133350"/>
                        </a:xfrm>
                        <a:prstGeom prst="triangle">
                          <a:avLst/>
                        </a:prstGeom>
                        <a:solidFill>
                          <a:sysClr val="windowText" lastClr="000000"/>
                        </a:solidFill>
                        <a:ln w="12700" cap="flat" cmpd="sng" algn="ctr">
                          <a:solidFill>
                            <a:sysClr val="windowText" lastClr="000000">
                              <a:shade val="50000"/>
                            </a:sysClr>
                          </a:solidFill>
                          <a:prstDash val="solid"/>
                          <a:miter lim="800000"/>
                        </a:ln>
                        <a:effectLst/>
                        <a:scene3d>
                          <a:camera prst="orthographicFront">
                            <a:rot lat="0" lon="60000" rev="0"/>
                          </a:camera>
                          <a:lightRig rig="threePt" dir="t"/>
                        </a:scene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0F24CA" id="Isosceles Triangle 4100" o:spid="_x0000_s1026" type="#_x0000_t5" style="position:absolute;margin-left:18.75pt;margin-top:9.3pt;width:6pt;height:10.5pt;rotation:180;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" fillcolor="windowText" strokeweight="1pt"/>
            </w:pict>
          </mc:Fallback>
        </mc:AlternateContent>
      </w:r>
      <w:bookmarkEnd w:id="378"/>
      <w:bookmarkEnd w:id="379"/>
      <w:bookmarkEnd w:id="380"/>
    </w:p>
    <w:p w14:paraId="6F17CE31" w14:textId="77777777" w:rsidR="008C21BF" w:rsidRPr="008C21BF" w:rsidRDefault="008C21BF" w:rsidP="008C21BF">
      <w:pPr>
        <w:keepNext/>
        <w:keepLines/>
        <w:spacing w:before="40" w:after="0"/>
        <w:outlineLvl w:val="3"/>
        <w:rPr>
          <w:rFonts w:ascii="Arial" w:eastAsiaTheme="majorEastAsia" w:hAnsi="Arial" w:cs="Arial"/>
          <w:iCs/>
          <w:color w:val="595959" w:themeColor="text1" w:themeTint="A6"/>
        </w:rPr>
      </w:pPr>
    </w:p>
    <w:p w14:paraId="7F4E26E2" w14:textId="77777777" w:rsidR="008C21BF" w:rsidRPr="008C21BF" w:rsidRDefault="008C21BF" w:rsidP="008C21BF">
      <w:pPr>
        <w:keepNext/>
        <w:keepLines/>
        <w:spacing w:before="40" w:after="0"/>
        <w:outlineLvl w:val="3"/>
        <w:rPr>
          <w:rFonts w:ascii="Arial" w:eastAsiaTheme="majorEastAsia" w:hAnsi="Arial" w:cs="Arial"/>
          <w:iCs/>
          <w:color w:val="595959" w:themeColor="text1" w:themeTint="A6"/>
        </w:rPr>
      </w:pPr>
    </w:p>
    <w:p w14:paraId="74369A51" w14:textId="1176BE4C" w:rsidR="008C21BF" w:rsidRPr="008C21BF" w:rsidRDefault="008C21BF" w:rsidP="008C21BF">
      <w:pPr>
        <w:keepNext/>
        <w:keepLines/>
        <w:spacing w:before="40" w:after="0"/>
        <w:outlineLvl w:val="3"/>
        <w:rPr>
          <w:rFonts w:ascii="Arial" w:eastAsiaTheme="majorEastAsia" w:hAnsi="Arial" w:cs="Arial"/>
          <w:iCs/>
          <w:color w:val="595959" w:themeColor="text1" w:themeTint="A6"/>
        </w:rPr>
      </w:pPr>
    </w:p>
    <w:p w14:paraId="6DCB1D1E" w14:textId="77777777" w:rsidR="008C21BF" w:rsidRPr="008C21BF" w:rsidRDefault="008C21BF" w:rsidP="008C21BF">
      <w:pPr>
        <w:keepNext/>
        <w:keepLines/>
        <w:spacing w:before="40" w:after="0"/>
        <w:outlineLvl w:val="3"/>
        <w:rPr>
          <w:rFonts w:ascii="Arial" w:eastAsiaTheme="majorEastAsia" w:hAnsi="Arial" w:cs="Arial"/>
          <w:iCs/>
          <w:color w:val="595959" w:themeColor="text1" w:themeTint="A6"/>
        </w:rPr>
      </w:pPr>
    </w:p>
    <w:p w14:paraId="2429064E" w14:textId="29C0C8DA" w:rsidR="008C21BF" w:rsidRPr="008C21BF" w:rsidRDefault="008C21BF" w:rsidP="008C21BF">
      <w:pPr>
        <w:keepNext/>
        <w:keepLines/>
        <w:spacing w:before="40" w:after="0"/>
        <w:outlineLvl w:val="3"/>
        <w:rPr>
          <w:rFonts w:ascii="Arial" w:eastAsiaTheme="majorEastAsia" w:hAnsi="Arial" w:cs="Arial"/>
          <w:iCs/>
          <w:color w:val="595959" w:themeColor="text1" w:themeTint="A6"/>
        </w:rPr>
      </w:pPr>
    </w:p>
    <w:bookmarkStart w:id="381" w:name="_Toc7678139"/>
    <w:bookmarkStart w:id="382" w:name="_Toc20423943"/>
    <w:bookmarkStart w:id="383" w:name="_Toc20427522"/>
    <w:bookmarkStart w:id="384" w:name="_Toc34208414"/>
    <w:p w14:paraId="54E3A24C" w14:textId="63E60C83" w:rsidR="008C21BF" w:rsidRPr="008C21BF" w:rsidRDefault="00E0600B" w:rsidP="008C21BF">
      <w:pPr>
        <w:keepNext/>
        <w:keepLines/>
        <w:spacing w:before="40" w:after="0"/>
        <w:outlineLvl w:val="3"/>
        <w:rPr>
          <w:rFonts w:ascii="Arial" w:eastAsiaTheme="majorEastAsia" w:hAnsi="Arial" w:cs="Arial"/>
          <w:iCs/>
          <w:color w:val="595959" w:themeColor="text1" w:themeTint="A6"/>
        </w:rPr>
      </w:pPr>
      <w:r w:rsidRPr="008C21BF">
        <w:rPr>
          <w:rFonts w:ascii="Arial" w:eastAsiaTheme="majorEastAsia" w:hAnsi="Arial" w:cs="Arial"/>
          <w:i/>
          <w:iCs/>
          <w:noProof/>
          <w:color w:val="595959" w:themeColor="text1" w:themeTint="A6"/>
          <w:sz w:val="24"/>
          <w:szCs w:val="24"/>
          <w:lang w:eastAsia="zh-CN"/>
        </w:rPr>
        <mc:AlternateContent>
          <mc:Choice Requires="wps">
            <w:drawing>
              <wp:anchor distT="0" distB="0" distL="114300" distR="114300" simplePos="0" relativeHeight="251658333" behindDoc="0" locked="0" layoutInCell="1" allowOverlap="1" wp14:anchorId="25F95923" wp14:editId="762505BA">
                <wp:simplePos x="0" y="0"/>
                <wp:positionH relativeFrom="margin">
                  <wp:align>right</wp:align>
                </wp:positionH>
                <wp:positionV relativeFrom="paragraph">
                  <wp:posOffset>196215</wp:posOffset>
                </wp:positionV>
                <wp:extent cx="5732780" cy="1906292"/>
                <wp:effectExtent l="0" t="0" r="1270" b="0"/>
                <wp:wrapNone/>
                <wp:docPr id="41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2780" cy="1906292"/>
                        </a:xfrm>
                        <a:prstGeom prst="rect">
                          <a:avLst/>
                        </a:prstGeom>
                        <a:solidFill>
                          <a:srgbClr val="FFFFFF"/>
                        </a:solidFill>
                        <a:ln w="9525">
                          <a:noFill/>
                          <a:miter lim="800000"/>
                          <a:headEnd/>
                          <a:tailEnd/>
                        </a:ln>
                      </wps:spPr>
                      <wps:txbx>
                        <w:txbxContent>
                          <w:p w14:paraId="3D326E42" w14:textId="31A18E0D" w:rsidR="008A47AC" w:rsidRPr="006B7937" w:rsidRDefault="008A47AC" w:rsidP="008C21BF">
                            <w:pPr>
                              <w:pStyle w:val="Caption"/>
                              <w:jc w:val="both"/>
                              <w:rPr>
                                <w:rFonts w:ascii="Arial Narrow" w:hAnsi="Arial Narrow"/>
                                <w:b/>
                                <w:i w:val="0"/>
                                <w:sz w:val="24"/>
                                <w:szCs w:val="24"/>
                              </w:rPr>
                            </w:pPr>
                            <w:r w:rsidRPr="006B7937">
                              <w:rPr>
                                <w:rFonts w:ascii="Arial Narrow" w:hAnsi="Arial Narrow"/>
                                <w:b/>
                                <w:i w:val="0"/>
                                <w:color w:val="595959" w:themeColor="text1" w:themeTint="A6"/>
                                <w:sz w:val="24"/>
                                <w:szCs w:val="24"/>
                              </w:rPr>
                              <w:t xml:space="preserve">Figure </w:t>
                            </w:r>
                            <w:r>
                              <w:rPr>
                                <w:rFonts w:ascii="Arial Narrow" w:hAnsi="Arial Narrow"/>
                                <w:b/>
                                <w:i w:val="0"/>
                                <w:color w:val="595959" w:themeColor="text1" w:themeTint="A6"/>
                                <w:sz w:val="24"/>
                                <w:szCs w:val="24"/>
                              </w:rPr>
                              <w:t>4.2</w:t>
                            </w:r>
                            <w:r w:rsidRPr="006B7937">
                              <w:rPr>
                                <w:rFonts w:ascii="Arial Narrow" w:hAnsi="Arial Narrow"/>
                                <w:b/>
                                <w:i w:val="0"/>
                                <w:color w:val="595959" w:themeColor="text1" w:themeTint="A6"/>
                                <w:sz w:val="24"/>
                                <w:szCs w:val="24"/>
                              </w:rPr>
                              <w:t xml:space="preserve"> </w:t>
                            </w:r>
                            <w:r>
                              <w:rPr>
                                <w:rFonts w:ascii="Arial Narrow" w:hAnsi="Arial Narrow"/>
                                <w:b/>
                                <w:i w:val="0"/>
                                <w:color w:val="595959" w:themeColor="text1" w:themeTint="A6"/>
                                <w:sz w:val="24"/>
                                <w:szCs w:val="24"/>
                              </w:rPr>
                              <w:t>Morphology of NOF and CAF tissue-engineered fibroblast-derived matrices in different culture conditions</w:t>
                            </w:r>
                          </w:p>
                          <w:p w14:paraId="52BC9C4A" w14:textId="623170E2" w:rsidR="008A47AC" w:rsidRPr="00E72F77" w:rsidRDefault="008A47AC" w:rsidP="008C21BF">
                            <w:pPr>
                              <w:pStyle w:val="NormalWeb"/>
                              <w:spacing w:after="200" w:line="276" w:lineRule="auto"/>
                              <w:jc w:val="both"/>
                              <w:rPr>
                                <w:rFonts w:ascii="Arial Narrow" w:hAnsi="Arial Narrow"/>
                                <w:color w:val="595959" w:themeColor="text1" w:themeTint="A6"/>
                                <w:sz w:val="22"/>
                                <w:szCs w:val="22"/>
                              </w:rPr>
                            </w:pPr>
                            <w:r>
                              <w:rPr>
                                <w:rFonts w:ascii="Arial Narrow" w:hAnsi="Arial Narrow"/>
                                <w:color w:val="595959" w:themeColor="text1" w:themeTint="A6"/>
                                <w:sz w:val="22"/>
                                <w:szCs w:val="22"/>
                              </w:rPr>
                              <w:t>Using different culturing media and techniques TE-FDM deposition was assessed by H&amp;E staining. After a 28-day culture period in oral fibrobla</w:t>
                            </w:r>
                            <w:r w:rsidRPr="00B7269F">
                              <w:rPr>
                                <w:rFonts w:ascii="Arial Narrow" w:hAnsi="Arial Narrow"/>
                                <w:color w:val="595959" w:themeColor="text1" w:themeTint="A6"/>
                                <w:sz w:val="22"/>
                                <w:szCs w:val="22"/>
                              </w:rPr>
                              <w:t>st media (10% DMEM) with 2-phospho-L-ascorbic acid</w:t>
                            </w:r>
                            <w:r w:rsidR="00154AA8" w:rsidRPr="00B7269F">
                              <w:rPr>
                                <w:rFonts w:ascii="Arial Narrow" w:hAnsi="Arial Narrow"/>
                                <w:color w:val="595959" w:themeColor="text1" w:themeTint="A6"/>
                                <w:sz w:val="22"/>
                                <w:szCs w:val="22"/>
                              </w:rPr>
                              <w:t xml:space="preserve"> (ASC)</w:t>
                            </w:r>
                            <w:r w:rsidRPr="00B7269F">
                              <w:rPr>
                                <w:rFonts w:ascii="Arial Narrow" w:hAnsi="Arial Narrow"/>
                                <w:color w:val="595959" w:themeColor="text1" w:themeTint="A6"/>
                                <w:sz w:val="22"/>
                                <w:szCs w:val="22"/>
                              </w:rPr>
                              <w:t xml:space="preserve"> for NOF (A) and CAF (B). Oral fibroblast media with 2-phospho-L-ascorbic acid supplementation </w:t>
                            </w:r>
                            <w:r>
                              <w:rPr>
                                <w:rFonts w:ascii="Arial Narrow" w:hAnsi="Arial Narrow"/>
                                <w:color w:val="595959" w:themeColor="text1" w:themeTint="A6"/>
                                <w:sz w:val="22"/>
                                <w:szCs w:val="22"/>
                              </w:rPr>
                              <w:t xml:space="preserve">and addition of TGFβ-1 alone to the media did not improve long-term deposition in NOF (C) or CAF (D). Enriched media sustained the long-term development of NOF-DM without growth factors (E) and NOF-DM with growth factors (F). Enriched media sustained the long-term development of CAF-DM without growth factors (G) and CAF-DM with growth factors (H). </w:t>
                            </w:r>
                            <w:r w:rsidRPr="00E72F77">
                              <w:rPr>
                                <w:rFonts w:ascii="Arial Narrow" w:eastAsia="SimSun" w:hAnsi="Arial Narrow" w:cs="Arial"/>
                                <w:color w:val="595959" w:themeColor="text1" w:themeTint="A6"/>
                                <w:kern w:val="24"/>
                                <w:sz w:val="22"/>
                                <w:szCs w:val="22"/>
                              </w:rPr>
                              <w:t>Scale bar</w:t>
                            </w:r>
                            <w:r>
                              <w:rPr>
                                <w:rFonts w:ascii="Arial Narrow" w:eastAsia="SimSun" w:hAnsi="Arial Narrow" w:cs="Arial"/>
                                <w:color w:val="595959" w:themeColor="text1" w:themeTint="A6"/>
                                <w:kern w:val="24"/>
                                <w:sz w:val="22"/>
                                <w:szCs w:val="22"/>
                              </w:rPr>
                              <w:t>s</w:t>
                            </w:r>
                            <w:r w:rsidRPr="00E72F77">
                              <w:rPr>
                                <w:rFonts w:ascii="Arial Narrow" w:eastAsia="SimSun" w:hAnsi="Arial Narrow" w:cs="Arial"/>
                                <w:color w:val="595959" w:themeColor="text1" w:themeTint="A6"/>
                                <w:kern w:val="24"/>
                                <w:sz w:val="22"/>
                                <w:szCs w:val="22"/>
                              </w:rPr>
                              <w:t>= 100 µ</w:t>
                            </w:r>
                            <w:r>
                              <w:rPr>
                                <w:rFonts w:ascii="Arial Narrow" w:eastAsia="SimSun" w:hAnsi="Arial Narrow" w:cs="Arial"/>
                                <w:color w:val="595959" w:themeColor="text1" w:themeTint="A6"/>
                                <w:kern w:val="24"/>
                                <w:sz w:val="22"/>
                                <w:szCs w:val="22"/>
                              </w:rPr>
                              <w:t xml:space="preserve">m </w:t>
                            </w:r>
                            <w:r>
                              <w:rPr>
                                <w:rFonts w:ascii="Arial Narrow" w:hAnsi="Arial Narrow"/>
                                <w:color w:val="595959" w:themeColor="text1" w:themeTint="A6"/>
                                <w:sz w:val="22"/>
                                <w:szCs w:val="22"/>
                              </w:rPr>
                              <w:t xml:space="preserve">(N=3, n=3).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F95923" id="_x0000_s1124" type="#_x0000_t202" style="position:absolute;margin-left:400.2pt;margin-top:15.45pt;width:451.4pt;height:150.1pt;z-index:251658333;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" stroked="f">
                <v:textbox>
                  <w:txbxContent>
                    <w:p w14:paraId="3D326E42" w14:textId="31A18E0D" w:rsidR="008A47AC" w:rsidRPr="006B7937" w:rsidRDefault="008A47AC" w:rsidP="008C21BF">
                      <w:pPr>
                        <w:pStyle w:val="Caption"/>
                        <w:jc w:val="both"/>
                        <w:rPr>
                          <w:rFonts w:ascii="Arial Narrow" w:hAnsi="Arial Narrow"/>
                          <w:b/>
                          <w:i w:val="0"/>
                          <w:sz w:val="24"/>
                          <w:szCs w:val="24"/>
                        </w:rPr>
                      </w:pPr>
                      <w:r w:rsidRPr="006B7937">
                        <w:rPr>
                          <w:rFonts w:ascii="Arial Narrow" w:hAnsi="Arial Narrow"/>
                          <w:b/>
                          <w:i w:val="0"/>
                          <w:color w:val="595959" w:themeColor="text1" w:themeTint="A6"/>
                          <w:sz w:val="24"/>
                          <w:szCs w:val="24"/>
                        </w:rPr>
                        <w:t xml:space="preserve">Figure </w:t>
                      </w:r>
                      <w:r>
                        <w:rPr>
                          <w:rFonts w:ascii="Arial Narrow" w:hAnsi="Arial Narrow"/>
                          <w:b/>
                          <w:i w:val="0"/>
                          <w:color w:val="595959" w:themeColor="text1" w:themeTint="A6"/>
                          <w:sz w:val="24"/>
                          <w:szCs w:val="24"/>
                        </w:rPr>
                        <w:t>4.2</w:t>
                      </w:r>
                      <w:r w:rsidRPr="006B7937">
                        <w:rPr>
                          <w:rFonts w:ascii="Arial Narrow" w:hAnsi="Arial Narrow"/>
                          <w:b/>
                          <w:i w:val="0"/>
                          <w:color w:val="595959" w:themeColor="text1" w:themeTint="A6"/>
                          <w:sz w:val="24"/>
                          <w:szCs w:val="24"/>
                        </w:rPr>
                        <w:t xml:space="preserve"> </w:t>
                      </w:r>
                      <w:r>
                        <w:rPr>
                          <w:rFonts w:ascii="Arial Narrow" w:hAnsi="Arial Narrow"/>
                          <w:b/>
                          <w:i w:val="0"/>
                          <w:color w:val="595959" w:themeColor="text1" w:themeTint="A6"/>
                          <w:sz w:val="24"/>
                          <w:szCs w:val="24"/>
                        </w:rPr>
                        <w:t>Morphology of NOF and CAF tissue-engineered fibroblast-derived matrices in different culture conditions</w:t>
                      </w:r>
                    </w:p>
                    <w:p w14:paraId="52BC9C4A" w14:textId="623170E2" w:rsidR="008A47AC" w:rsidRPr="00E72F77" w:rsidRDefault="008A47AC" w:rsidP="008C21BF">
                      <w:pPr>
                        <w:pStyle w:val="NormalWeb"/>
                        <w:spacing w:after="200" w:line="276" w:lineRule="auto"/>
                        <w:jc w:val="both"/>
                        <w:rPr>
                          <w:rFonts w:ascii="Arial Narrow" w:hAnsi="Arial Narrow"/>
                          <w:color w:val="595959" w:themeColor="text1" w:themeTint="A6"/>
                          <w:sz w:val="22"/>
                          <w:szCs w:val="22"/>
                        </w:rPr>
                      </w:pPr>
                      <w:r>
                        <w:rPr>
                          <w:rFonts w:ascii="Arial Narrow" w:hAnsi="Arial Narrow"/>
                          <w:color w:val="595959" w:themeColor="text1" w:themeTint="A6"/>
                          <w:sz w:val="22"/>
                          <w:szCs w:val="22"/>
                        </w:rPr>
                        <w:t>Using different culturing media and techniques TE-FDM deposition was assessed by H&amp;E staining. After a 28-day culture period in oral fibrobla</w:t>
                      </w:r>
                      <w:r w:rsidRPr="00B7269F">
                        <w:rPr>
                          <w:rFonts w:ascii="Arial Narrow" w:hAnsi="Arial Narrow"/>
                          <w:color w:val="595959" w:themeColor="text1" w:themeTint="A6"/>
                          <w:sz w:val="22"/>
                          <w:szCs w:val="22"/>
                        </w:rPr>
                        <w:t>st media (10% DMEM) with 2-phospho-L-ascorbic acid</w:t>
                      </w:r>
                      <w:r w:rsidR="00154AA8" w:rsidRPr="00B7269F">
                        <w:rPr>
                          <w:rFonts w:ascii="Arial Narrow" w:hAnsi="Arial Narrow"/>
                          <w:color w:val="595959" w:themeColor="text1" w:themeTint="A6"/>
                          <w:sz w:val="22"/>
                          <w:szCs w:val="22"/>
                        </w:rPr>
                        <w:t xml:space="preserve"> (ASC)</w:t>
                      </w:r>
                      <w:r w:rsidRPr="00B7269F">
                        <w:rPr>
                          <w:rFonts w:ascii="Arial Narrow" w:hAnsi="Arial Narrow"/>
                          <w:color w:val="595959" w:themeColor="text1" w:themeTint="A6"/>
                          <w:sz w:val="22"/>
                          <w:szCs w:val="22"/>
                        </w:rPr>
                        <w:t xml:space="preserve"> for NOF (A) and CAF (B). Oral fibroblast media with 2-phospho-L-ascorbic acid supplementation </w:t>
                      </w:r>
                      <w:r>
                        <w:rPr>
                          <w:rFonts w:ascii="Arial Narrow" w:hAnsi="Arial Narrow"/>
                          <w:color w:val="595959" w:themeColor="text1" w:themeTint="A6"/>
                          <w:sz w:val="22"/>
                          <w:szCs w:val="22"/>
                        </w:rPr>
                        <w:t xml:space="preserve">and addition of TGFβ-1 alone to the media did not improve long-term deposition in NOF (C) or CAF (D). Enriched media sustained the long-term development of NOF-DM without growth factors (E) and NOF-DM with growth factors (F). Enriched media sustained the long-term development of CAF-DM without growth factors (G) and CAF-DM with growth factors (H). </w:t>
                      </w:r>
                      <w:r w:rsidRPr="00E72F77">
                        <w:rPr>
                          <w:rFonts w:ascii="Arial Narrow" w:eastAsia="SimSun" w:hAnsi="Arial Narrow" w:cs="Arial"/>
                          <w:color w:val="595959" w:themeColor="text1" w:themeTint="A6"/>
                          <w:kern w:val="24"/>
                          <w:sz w:val="22"/>
                          <w:szCs w:val="22"/>
                        </w:rPr>
                        <w:t>Scale bar</w:t>
                      </w:r>
                      <w:r>
                        <w:rPr>
                          <w:rFonts w:ascii="Arial Narrow" w:eastAsia="SimSun" w:hAnsi="Arial Narrow" w:cs="Arial"/>
                          <w:color w:val="595959" w:themeColor="text1" w:themeTint="A6"/>
                          <w:kern w:val="24"/>
                          <w:sz w:val="22"/>
                          <w:szCs w:val="22"/>
                        </w:rPr>
                        <w:t>s</w:t>
                      </w:r>
                      <w:r w:rsidRPr="00E72F77">
                        <w:rPr>
                          <w:rFonts w:ascii="Arial Narrow" w:eastAsia="SimSun" w:hAnsi="Arial Narrow" w:cs="Arial"/>
                          <w:color w:val="595959" w:themeColor="text1" w:themeTint="A6"/>
                          <w:kern w:val="24"/>
                          <w:sz w:val="22"/>
                          <w:szCs w:val="22"/>
                        </w:rPr>
                        <w:t>= 100 µ</w:t>
                      </w:r>
                      <w:r>
                        <w:rPr>
                          <w:rFonts w:ascii="Arial Narrow" w:eastAsia="SimSun" w:hAnsi="Arial Narrow" w:cs="Arial"/>
                          <w:color w:val="595959" w:themeColor="text1" w:themeTint="A6"/>
                          <w:kern w:val="24"/>
                          <w:sz w:val="22"/>
                          <w:szCs w:val="22"/>
                        </w:rPr>
                        <w:t xml:space="preserve">m </w:t>
                      </w:r>
                      <w:r>
                        <w:rPr>
                          <w:rFonts w:ascii="Arial Narrow" w:hAnsi="Arial Narrow"/>
                          <w:color w:val="595959" w:themeColor="text1" w:themeTint="A6"/>
                          <w:sz w:val="22"/>
                          <w:szCs w:val="22"/>
                        </w:rPr>
                        <w:t xml:space="preserve">(N=3, n=3).        </w:t>
                      </w:r>
                    </w:p>
                  </w:txbxContent>
                </v:textbox>
                <w10:wrap anchorx="margin"/>
              </v:shape>
            </w:pict>
          </mc:Fallback>
        </mc:AlternateContent>
      </w:r>
      <w:bookmarkEnd w:id="381"/>
      <w:bookmarkEnd w:id="382"/>
      <w:bookmarkEnd w:id="383"/>
      <w:bookmarkEnd w:id="384"/>
    </w:p>
    <w:p w14:paraId="3BD60DC9" w14:textId="55632DAD" w:rsidR="008C21BF" w:rsidRPr="008C21BF" w:rsidRDefault="008C21BF" w:rsidP="008C21BF">
      <w:pPr>
        <w:keepNext/>
        <w:keepLines/>
        <w:spacing w:before="40" w:after="0"/>
        <w:outlineLvl w:val="3"/>
        <w:rPr>
          <w:rFonts w:ascii="Arial" w:eastAsiaTheme="majorEastAsia" w:hAnsi="Arial" w:cs="Arial"/>
          <w:iCs/>
          <w:color w:val="595959" w:themeColor="text1" w:themeTint="A6"/>
        </w:rPr>
      </w:pPr>
    </w:p>
    <w:p w14:paraId="1DDB9922" w14:textId="77777777" w:rsidR="008C21BF" w:rsidRPr="008C21BF" w:rsidRDefault="008C21BF" w:rsidP="008C21BF">
      <w:pPr>
        <w:keepNext/>
        <w:keepLines/>
        <w:spacing w:before="40" w:after="0"/>
        <w:outlineLvl w:val="3"/>
        <w:rPr>
          <w:rFonts w:ascii="Arial" w:eastAsiaTheme="majorEastAsia" w:hAnsi="Arial" w:cs="Arial"/>
          <w:iCs/>
          <w:color w:val="595959" w:themeColor="text1" w:themeTint="A6"/>
        </w:rPr>
      </w:pPr>
    </w:p>
    <w:p w14:paraId="0C8E8146" w14:textId="43F1B037" w:rsidR="008C21BF" w:rsidRPr="008C21BF" w:rsidRDefault="008C21BF" w:rsidP="008C21BF">
      <w:pPr>
        <w:keepNext/>
        <w:keepLines/>
        <w:spacing w:before="40" w:after="0"/>
        <w:outlineLvl w:val="3"/>
        <w:rPr>
          <w:rFonts w:ascii="Arial" w:eastAsiaTheme="majorEastAsia" w:hAnsi="Arial" w:cs="Arial"/>
          <w:iCs/>
          <w:color w:val="595959" w:themeColor="text1" w:themeTint="A6"/>
        </w:rPr>
      </w:pPr>
    </w:p>
    <w:p w14:paraId="52021EB0" w14:textId="77777777" w:rsidR="008C21BF" w:rsidRPr="008C21BF" w:rsidRDefault="008C21BF" w:rsidP="008C21BF">
      <w:pPr>
        <w:keepNext/>
        <w:keepLines/>
        <w:spacing w:before="40" w:after="0"/>
        <w:outlineLvl w:val="3"/>
        <w:rPr>
          <w:rFonts w:ascii="Arial" w:eastAsiaTheme="majorEastAsia" w:hAnsi="Arial" w:cs="Arial"/>
          <w:iCs/>
          <w:color w:val="595959" w:themeColor="text1" w:themeTint="A6"/>
        </w:rPr>
      </w:pPr>
    </w:p>
    <w:p w14:paraId="366031FC" w14:textId="77777777" w:rsidR="008C21BF" w:rsidRPr="008C21BF" w:rsidRDefault="008C21BF" w:rsidP="008C21BF">
      <w:pPr>
        <w:keepNext/>
        <w:keepLines/>
        <w:spacing w:before="40" w:after="0"/>
        <w:outlineLvl w:val="3"/>
        <w:rPr>
          <w:rFonts w:ascii="Arial" w:eastAsiaTheme="majorEastAsia" w:hAnsi="Arial" w:cs="Arial"/>
          <w:iCs/>
          <w:color w:val="595959" w:themeColor="text1" w:themeTint="A6"/>
        </w:rPr>
      </w:pPr>
    </w:p>
    <w:p w14:paraId="236A678A" w14:textId="77777777" w:rsidR="008C21BF" w:rsidRPr="008C21BF" w:rsidRDefault="008C21BF" w:rsidP="008C21BF">
      <w:pPr>
        <w:keepNext/>
        <w:keepLines/>
        <w:spacing w:before="40" w:after="0"/>
        <w:outlineLvl w:val="3"/>
        <w:rPr>
          <w:rFonts w:ascii="Arial" w:eastAsiaTheme="majorEastAsia" w:hAnsi="Arial" w:cs="Arial"/>
          <w:iCs/>
          <w:color w:val="595959" w:themeColor="text1" w:themeTint="A6"/>
        </w:rPr>
      </w:pPr>
    </w:p>
    <w:p w14:paraId="4412EE8D" w14:textId="77777777" w:rsidR="008C21BF" w:rsidRPr="008C21BF" w:rsidRDefault="008C21BF" w:rsidP="008C21BF">
      <w:pPr>
        <w:keepNext/>
        <w:keepLines/>
        <w:spacing w:before="40" w:after="0"/>
        <w:outlineLvl w:val="3"/>
        <w:rPr>
          <w:rFonts w:ascii="Arial" w:eastAsiaTheme="majorEastAsia" w:hAnsi="Arial" w:cs="Arial"/>
          <w:iCs/>
          <w:color w:val="595959" w:themeColor="text1" w:themeTint="A6"/>
        </w:rPr>
      </w:pPr>
    </w:p>
    <w:p w14:paraId="255673C3" w14:textId="77777777" w:rsidR="008C21BF" w:rsidRPr="008C21BF" w:rsidRDefault="008C21BF" w:rsidP="008C21BF">
      <w:pPr>
        <w:keepNext/>
        <w:keepLines/>
        <w:spacing w:before="40" w:after="0"/>
        <w:outlineLvl w:val="3"/>
        <w:rPr>
          <w:rFonts w:ascii="Arial" w:eastAsiaTheme="majorEastAsia" w:hAnsi="Arial" w:cs="Arial"/>
          <w:iCs/>
          <w:color w:val="595959" w:themeColor="text1" w:themeTint="A6"/>
        </w:rPr>
      </w:pPr>
    </w:p>
    <w:p w14:paraId="00A3BFD5" w14:textId="77777777" w:rsidR="008C21BF" w:rsidRPr="008C21BF" w:rsidRDefault="008C21BF" w:rsidP="008C21BF">
      <w:pPr>
        <w:keepNext/>
        <w:keepLines/>
        <w:spacing w:before="40" w:after="0"/>
        <w:outlineLvl w:val="3"/>
        <w:rPr>
          <w:rFonts w:ascii="Arial" w:eastAsiaTheme="majorEastAsia" w:hAnsi="Arial" w:cs="Arial"/>
          <w:iCs/>
          <w:color w:val="595959" w:themeColor="text1" w:themeTint="A6"/>
        </w:rPr>
      </w:pPr>
    </w:p>
    <w:bookmarkStart w:id="385" w:name="_Toc7678138"/>
    <w:bookmarkStart w:id="386" w:name="_Toc7678140"/>
    <w:bookmarkStart w:id="387" w:name="_Toc34208415"/>
    <w:p w14:paraId="25030681" w14:textId="77777777" w:rsidR="008C21BF" w:rsidRPr="008C21BF" w:rsidRDefault="008C21BF" w:rsidP="008C21BF">
      <w:pPr>
        <w:keepNext/>
        <w:keepLines/>
        <w:spacing w:before="40" w:after="0"/>
        <w:outlineLvl w:val="3"/>
        <w:rPr>
          <w:rFonts w:ascii="Arial" w:eastAsiaTheme="majorEastAsia" w:hAnsi="Arial" w:cs="Arial"/>
          <w:i/>
          <w:iCs/>
          <w:color w:val="595959" w:themeColor="text1" w:themeTint="A6"/>
        </w:rPr>
      </w:pPr>
      <w:r w:rsidRPr="008C21BF">
        <w:rPr>
          <w:rFonts w:ascii="Arial" w:eastAsiaTheme="majorEastAsia" w:hAnsi="Arial" w:cs="Arial"/>
          <w:i/>
          <w:iCs/>
          <w:noProof/>
          <w:color w:val="595959" w:themeColor="text1" w:themeTint="A6"/>
          <w:lang w:eastAsia="zh-CN"/>
        </w:rPr>
        <w:lastRenderedPageBreak/>
        <mc:AlternateContent>
          <mc:Choice Requires="wpg">
            <w:drawing>
              <wp:anchor distT="0" distB="0" distL="114300" distR="114300" simplePos="0" relativeHeight="251658343" behindDoc="0" locked="0" layoutInCell="1" allowOverlap="1" wp14:anchorId="69379203" wp14:editId="45ED72FA">
                <wp:simplePos x="0" y="0"/>
                <wp:positionH relativeFrom="margin">
                  <wp:posOffset>-114300</wp:posOffset>
                </wp:positionH>
                <wp:positionV relativeFrom="paragraph">
                  <wp:posOffset>-10791825</wp:posOffset>
                </wp:positionV>
                <wp:extent cx="5847080" cy="5981700"/>
                <wp:effectExtent l="0" t="0" r="1270" b="0"/>
                <wp:wrapNone/>
                <wp:docPr id="4102" name="Group 32"/>
                <wp:cNvGraphicFramePr/>
                <a:graphic xmlns:a="http://schemas.openxmlformats.org/drawingml/2006/main">
                  <a:graphicData uri="http://schemas.microsoft.com/office/word/2010/wordprocessingGroup">
                    <wpg:wgp>
                      <wpg:cNvGrpSpPr/>
                      <wpg:grpSpPr>
                        <a:xfrm>
                          <a:off x="0" y="0"/>
                          <a:ext cx="5847080" cy="5981700"/>
                          <a:chOff x="-121257" y="-42234"/>
                          <a:chExt cx="6259077" cy="6630701"/>
                        </a:xfrm>
                      </wpg:grpSpPr>
                      <wpg:grpSp>
                        <wpg:cNvPr id="4103" name="Group 4103"/>
                        <wpg:cNvGrpSpPr/>
                        <wpg:grpSpPr>
                          <a:xfrm>
                            <a:off x="-121257" y="-42234"/>
                            <a:ext cx="6216177" cy="3104861"/>
                            <a:chOff x="-121257" y="-42234"/>
                            <a:chExt cx="6216177" cy="3104861"/>
                          </a:xfrm>
                        </wpg:grpSpPr>
                        <pic:pic xmlns:pic="http://schemas.openxmlformats.org/drawingml/2006/picture">
                          <pic:nvPicPr>
                            <pic:cNvPr id="4104" name="Picture 4104" descr="F:\Histology\Matrices Images\NOF805\NOF805 Ascorbic Only Matrix x20 (8) 15.04.16.tif"/>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b="27849"/>
                            <a:stretch/>
                          </pic:blipFill>
                          <pic:spPr bwMode="auto">
                            <a:xfrm>
                              <a:off x="11347" y="20662"/>
                              <a:ext cx="2959205" cy="14618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105" name="Picture 4105" descr="F:\Histology\Matrices Images\BICR-59\BICR-59 CNTRL (3) X20 15.04.16.jpg"/>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t="12211" b="10302"/>
                            <a:stretch/>
                          </pic:blipFill>
                          <pic:spPr bwMode="auto">
                            <a:xfrm>
                              <a:off x="1090" y="1600803"/>
                              <a:ext cx="2969461" cy="14618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106" name="Picture 4106" descr="F:\Histology\Matrices Images\BICR-59\BICR-59 TGF (8) X20.tif"/>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b="22512"/>
                            <a:stretch/>
                          </pic:blipFill>
                          <pic:spPr bwMode="auto">
                            <a:xfrm>
                              <a:off x="3135714" y="1600803"/>
                              <a:ext cx="2959206" cy="14618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107" name="Picture 4107" descr="F:\Histology\Matrices Images\NOF805\NOF805 Ascorbic Only Matrix x20 (4) 15.04.16.tif"/>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b="22512"/>
                            <a:stretch/>
                          </pic:blipFill>
                          <pic:spPr bwMode="auto">
                            <a:xfrm>
                              <a:off x="3135715" y="35041"/>
                              <a:ext cx="2959205" cy="1461825"/>
                            </a:xfrm>
                            <a:prstGeom prst="rect">
                              <a:avLst/>
                            </a:prstGeom>
                            <a:noFill/>
                            <a:extLst>
                              <a:ext uri="{909E8E84-426E-40DD-AFC4-6F175D3DCCD1}">
                                <a14:hiddenFill xmlns:a14="http://schemas.microsoft.com/office/drawing/2010/main">
                                  <a:solidFill>
                                    <a:srgbClr val="FFFFFF"/>
                                  </a:solidFill>
                                </a14:hiddenFill>
                              </a:ext>
                            </a:extLst>
                          </pic:spPr>
                        </pic:pic>
                        <wps:wsp>
                          <wps:cNvPr id="4108" name="TextBox 9"/>
                          <wps:cNvSpPr txBox="1"/>
                          <wps:spPr>
                            <a:xfrm>
                              <a:off x="-100865" y="-42234"/>
                              <a:ext cx="575945" cy="370205"/>
                            </a:xfrm>
                            <a:prstGeom prst="rect">
                              <a:avLst/>
                            </a:prstGeom>
                            <a:noFill/>
                          </wps:spPr>
                          <wps:txbx>
                            <w:txbxContent>
                              <w:p w14:paraId="1850274E" w14:textId="77777777" w:rsidR="008A47AC" w:rsidRDefault="008A47AC" w:rsidP="008C21BF">
                                <w:pPr>
                                  <w:pStyle w:val="NormalWeb"/>
                                  <w:spacing w:after="0"/>
                                  <w:jc w:val="center"/>
                                </w:pPr>
                                <w:r>
                                  <w:rPr>
                                    <w:rFonts w:ascii="Calibri" w:eastAsia="Times New Roman" w:hAnsi="Calibri" w:cs="Arial"/>
                                    <w:b/>
                                    <w:bCs/>
                                    <w:color w:val="000000"/>
                                    <w:kern w:val="24"/>
                                    <w:sz w:val="36"/>
                                    <w:szCs w:val="36"/>
                                  </w:rPr>
                                  <w:t>A</w:t>
                                </w:r>
                              </w:p>
                            </w:txbxContent>
                          </wps:txbx>
                          <wps:bodyPr wrap="square" rtlCol="0">
                            <a:noAutofit/>
                          </wps:bodyPr>
                        </wps:wsp>
                        <wps:wsp>
                          <wps:cNvPr id="4109" name="TextBox 14"/>
                          <wps:cNvSpPr txBox="1"/>
                          <wps:spPr>
                            <a:xfrm>
                              <a:off x="2992745" y="-39071"/>
                              <a:ext cx="575945" cy="370205"/>
                            </a:xfrm>
                            <a:prstGeom prst="rect">
                              <a:avLst/>
                            </a:prstGeom>
                            <a:noFill/>
                          </wps:spPr>
                          <wps:txbx>
                            <w:txbxContent>
                              <w:p w14:paraId="72140976" w14:textId="77777777" w:rsidR="008A47AC" w:rsidRDefault="008A47AC" w:rsidP="008C21BF">
                                <w:pPr>
                                  <w:pStyle w:val="NormalWeb"/>
                                  <w:spacing w:after="0"/>
                                  <w:jc w:val="center"/>
                                </w:pPr>
                                <w:r>
                                  <w:rPr>
                                    <w:rFonts w:ascii="Calibri" w:eastAsia="Times New Roman" w:hAnsi="Calibri" w:cs="Arial"/>
                                    <w:b/>
                                    <w:bCs/>
                                    <w:color w:val="000000"/>
                                    <w:kern w:val="24"/>
                                    <w:sz w:val="36"/>
                                    <w:szCs w:val="36"/>
                                  </w:rPr>
                                  <w:t>B</w:t>
                                </w:r>
                              </w:p>
                            </w:txbxContent>
                          </wps:txbx>
                          <wps:bodyPr wrap="square" rtlCol="0">
                            <a:noAutofit/>
                          </wps:bodyPr>
                        </wps:wsp>
                        <wps:wsp>
                          <wps:cNvPr id="4110" name="TextBox 17"/>
                          <wps:cNvSpPr txBox="1"/>
                          <wps:spPr>
                            <a:xfrm>
                              <a:off x="-121257" y="1543523"/>
                              <a:ext cx="575945" cy="370205"/>
                            </a:xfrm>
                            <a:prstGeom prst="rect">
                              <a:avLst/>
                            </a:prstGeom>
                            <a:noFill/>
                          </wps:spPr>
                          <wps:txbx>
                            <w:txbxContent>
                              <w:p w14:paraId="127BB729" w14:textId="77777777" w:rsidR="008A47AC" w:rsidRDefault="008A47AC" w:rsidP="008C21BF">
                                <w:pPr>
                                  <w:pStyle w:val="NormalWeb"/>
                                  <w:spacing w:after="0"/>
                                  <w:jc w:val="center"/>
                                </w:pPr>
                                <w:r>
                                  <w:rPr>
                                    <w:rFonts w:ascii="Calibri" w:eastAsia="Times New Roman" w:hAnsi="Calibri" w:cs="Arial"/>
                                    <w:b/>
                                    <w:bCs/>
                                    <w:color w:val="000000"/>
                                    <w:kern w:val="24"/>
                                    <w:sz w:val="36"/>
                                    <w:szCs w:val="36"/>
                                  </w:rPr>
                                  <w:t>C</w:t>
                                </w:r>
                              </w:p>
                            </w:txbxContent>
                          </wps:txbx>
                          <wps:bodyPr wrap="square" rtlCol="0">
                            <a:noAutofit/>
                          </wps:bodyPr>
                        </wps:wsp>
                        <wps:wsp>
                          <wps:cNvPr id="4111" name="TextBox 17"/>
                          <wps:cNvSpPr txBox="1"/>
                          <wps:spPr>
                            <a:xfrm>
                              <a:off x="3003213" y="1532736"/>
                              <a:ext cx="575871" cy="369331"/>
                            </a:xfrm>
                            <a:prstGeom prst="rect">
                              <a:avLst/>
                            </a:prstGeom>
                            <a:noFill/>
                          </wps:spPr>
                          <wps:txbx>
                            <w:txbxContent>
                              <w:p w14:paraId="1F27565A" w14:textId="77777777" w:rsidR="008A47AC" w:rsidRDefault="008A47AC" w:rsidP="008C21BF">
                                <w:pPr>
                                  <w:pStyle w:val="NormalWeb"/>
                                  <w:spacing w:after="0"/>
                                  <w:jc w:val="center"/>
                                </w:pPr>
                                <w:r>
                                  <w:rPr>
                                    <w:rFonts w:ascii="Calibri" w:eastAsia="Times New Roman" w:hAnsi="Calibri" w:cs="Arial"/>
                                    <w:b/>
                                    <w:bCs/>
                                    <w:color w:val="000000"/>
                                    <w:kern w:val="24"/>
                                    <w:sz w:val="36"/>
                                    <w:szCs w:val="36"/>
                                  </w:rPr>
                                  <w:t>D</w:t>
                                </w:r>
                              </w:p>
                            </w:txbxContent>
                          </wps:txbx>
                          <wps:bodyPr wrap="square" rtlCol="0">
                            <a:noAutofit/>
                          </wps:bodyPr>
                        </wps:wsp>
                      </wpg:grpSp>
                      <pic:pic xmlns:pic="http://schemas.openxmlformats.org/drawingml/2006/picture">
                        <pic:nvPicPr>
                          <pic:cNvPr id="4112" name="Picture 4112"/>
                          <pic:cNvPicPr/>
                        </pic:nvPicPr>
                        <pic:blipFill rotWithShape="1">
                          <a:blip r:embed="rId105">
                            <a:extLst>
                              <a:ext uri="{28A0092B-C50C-407E-A947-70E740481C1C}">
                                <a14:useLocalDpi xmlns:a14="http://schemas.microsoft.com/office/drawing/2010/main" val="0"/>
                              </a:ext>
                            </a:extLst>
                          </a:blip>
                          <a:srcRect l="18638" t="11583"/>
                          <a:stretch/>
                        </pic:blipFill>
                        <pic:spPr bwMode="auto">
                          <a:xfrm>
                            <a:off x="1090" y="3177124"/>
                            <a:ext cx="6136730" cy="3411343"/>
                          </a:xfrm>
                          <a:prstGeom prst="rect">
                            <a:avLst/>
                          </a:prstGeom>
                          <a:noFill/>
                        </pic:spPr>
                      </pic:pic>
                      <wps:wsp>
                        <wps:cNvPr id="4113" name="TextBox 17"/>
                        <wps:cNvSpPr txBox="1"/>
                        <wps:spPr>
                          <a:xfrm>
                            <a:off x="-100860" y="3138749"/>
                            <a:ext cx="575871" cy="369332"/>
                          </a:xfrm>
                          <a:prstGeom prst="rect">
                            <a:avLst/>
                          </a:prstGeom>
                          <a:noFill/>
                        </wps:spPr>
                        <wps:txbx>
                          <w:txbxContent>
                            <w:p w14:paraId="00D542A3" w14:textId="77777777" w:rsidR="008A47AC" w:rsidRDefault="008A47AC" w:rsidP="008C21BF">
                              <w:pPr>
                                <w:pStyle w:val="NormalWeb"/>
                                <w:spacing w:after="0"/>
                                <w:jc w:val="center"/>
                              </w:pPr>
                              <w:r>
                                <w:rPr>
                                  <w:rFonts w:ascii="Calibri" w:eastAsia="Times New Roman" w:hAnsi="Calibri" w:cs="Arial"/>
                                  <w:b/>
                                  <w:bCs/>
                                  <w:color w:val="000000"/>
                                  <w:kern w:val="24"/>
                                  <w:sz w:val="36"/>
                                  <w:szCs w:val="36"/>
                                </w:rPr>
                                <w:t>E</w:t>
                              </w:r>
                            </w:p>
                          </w:txbxContent>
                        </wps:txbx>
                        <wps:bodyPr wrap="square" rtlCol="0">
                          <a:noAutofit/>
                        </wps:bodyPr>
                      </wps:wsp>
                      <wps:wsp>
                        <wps:cNvPr id="4114" name="TextBox 17"/>
                        <wps:cNvSpPr txBox="1"/>
                        <wps:spPr>
                          <a:xfrm>
                            <a:off x="3018477" y="3158649"/>
                            <a:ext cx="575871" cy="369332"/>
                          </a:xfrm>
                          <a:prstGeom prst="rect">
                            <a:avLst/>
                          </a:prstGeom>
                          <a:noFill/>
                        </wps:spPr>
                        <wps:txbx>
                          <w:txbxContent>
                            <w:p w14:paraId="4E728DCC" w14:textId="77777777" w:rsidR="008A47AC" w:rsidRDefault="008A47AC" w:rsidP="008C21BF">
                              <w:pPr>
                                <w:pStyle w:val="NormalWeb"/>
                                <w:spacing w:after="0"/>
                                <w:jc w:val="center"/>
                              </w:pPr>
                              <w:r>
                                <w:rPr>
                                  <w:rFonts w:ascii="Calibri" w:eastAsia="Times New Roman" w:hAnsi="Calibri" w:cs="Arial"/>
                                  <w:b/>
                                  <w:bCs/>
                                  <w:color w:val="000000"/>
                                  <w:kern w:val="24"/>
                                  <w:sz w:val="36"/>
                                  <w:szCs w:val="36"/>
                                </w:rPr>
                                <w:t>F</w:t>
                              </w:r>
                            </w:p>
                          </w:txbxContent>
                        </wps:txbx>
                        <wps:bodyPr wrap="square" rtlCol="0">
                          <a:noAutofit/>
                        </wps:bodyPr>
                      </wps:wsp>
                      <wps:wsp>
                        <wps:cNvPr id="4115" name="TextBox 17"/>
                        <wps:cNvSpPr txBox="1"/>
                        <wps:spPr>
                          <a:xfrm>
                            <a:off x="-100860" y="4752744"/>
                            <a:ext cx="575871" cy="369332"/>
                          </a:xfrm>
                          <a:prstGeom prst="rect">
                            <a:avLst/>
                          </a:prstGeom>
                          <a:noFill/>
                        </wps:spPr>
                        <wps:txbx>
                          <w:txbxContent>
                            <w:p w14:paraId="49237D00" w14:textId="77777777" w:rsidR="008A47AC" w:rsidRDefault="008A47AC" w:rsidP="008C21BF">
                              <w:pPr>
                                <w:pStyle w:val="NormalWeb"/>
                                <w:spacing w:after="0"/>
                                <w:jc w:val="center"/>
                              </w:pPr>
                              <w:r>
                                <w:rPr>
                                  <w:rFonts w:ascii="Calibri" w:eastAsia="Times New Roman" w:hAnsi="Calibri" w:cs="Arial"/>
                                  <w:b/>
                                  <w:bCs/>
                                  <w:color w:val="000000"/>
                                  <w:kern w:val="24"/>
                                  <w:sz w:val="36"/>
                                  <w:szCs w:val="36"/>
                                </w:rPr>
                                <w:t>G</w:t>
                              </w:r>
                            </w:p>
                          </w:txbxContent>
                        </wps:txbx>
                        <wps:bodyPr wrap="square" rtlCol="0">
                          <a:noAutofit/>
                        </wps:bodyPr>
                      </wps:wsp>
                      <wps:wsp>
                        <wps:cNvPr id="4116" name="TextBox 17"/>
                        <wps:cNvSpPr txBox="1"/>
                        <wps:spPr>
                          <a:xfrm>
                            <a:off x="3033529" y="4752744"/>
                            <a:ext cx="575871" cy="369332"/>
                          </a:xfrm>
                          <a:prstGeom prst="rect">
                            <a:avLst/>
                          </a:prstGeom>
                          <a:noFill/>
                        </wps:spPr>
                        <wps:txbx>
                          <w:txbxContent>
                            <w:p w14:paraId="3CF723F7" w14:textId="77777777" w:rsidR="008A47AC" w:rsidRDefault="008A47AC" w:rsidP="008C21BF">
                              <w:pPr>
                                <w:pStyle w:val="NormalWeb"/>
                                <w:spacing w:after="0"/>
                                <w:jc w:val="center"/>
                              </w:pPr>
                              <w:r>
                                <w:rPr>
                                  <w:rFonts w:ascii="Calibri" w:eastAsia="Times New Roman" w:hAnsi="Calibri" w:cs="Arial"/>
                                  <w:b/>
                                  <w:bCs/>
                                  <w:color w:val="000000"/>
                                  <w:kern w:val="24"/>
                                  <w:sz w:val="36"/>
                                  <w:szCs w:val="36"/>
                                </w:rPr>
                                <w:t>H</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69379203" id="Group 32" o:spid="_x0000_s1125" style="position:absolute;margin-left:-9pt;margin-top:-849.75pt;width:460.4pt;height:471pt;z-index:251658343;mso-position-horizontal-relative:margin;mso-width-relative:margin;mso-height-relative:margin" coordorigin="-1212,-422" coordsize="62590,66307" o:gfxdata="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">
                <v:group id="Group 4103" o:spid="_x0000_s1126" style="position:absolute;left:-1212;top:-422;width:62161;height:31048" coordorigin="-1212,-422" coordsize="62161,31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">
                  <v:shape id="Picture 4104" o:spid="_x0000_s1127" type="#_x0000_t75" style="position:absolute;left:113;top:206;width:29592;height:146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">
                    <v:imagedata r:id="rId106" o:title="NOF805 Ascorbic Only Matrix x20 (8) 15.04.16" cropbottom="18251f"/>
                  </v:shape>
                  <v:shape id="Picture 4105" o:spid="_x0000_s1128" type="#_x0000_t75" style="position:absolute;left:10;top:16008;width:29695;height:146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">
                    <v:imagedata r:id="rId107" o:title="BICR-59 CNTRL (3) X20 15.04.16" croptop="8003f" cropbottom="6752f"/>
                  </v:shape>
                  <v:shape id="Picture 4106" o:spid="_x0000_s1129" type="#_x0000_t75" style="position:absolute;left:31357;top:16008;width:29592;height:146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">
                    <v:imagedata r:id="rId108" o:title="BICR-59 TGF (8) X20" cropbottom="14753f"/>
                  </v:shape>
                  <v:shape id="Picture 4107" o:spid="_x0000_s1130" type="#_x0000_t75" style="position:absolute;left:31357;top:350;width:29592;height:146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">
                    <v:imagedata r:id="rId109" o:title="NOF805 Ascorbic Only Matrix x20 (4) 15.04.16" cropbottom="14753f"/>
                  </v:shape>
                  <v:shape id="TextBox 9" o:spid="_x0000_s1131" type="#_x0000_t202" style="position:absolute;left:-1008;top:-422;width:5758;height:37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" filled="f" stroked="f">
                    <v:textbox>
                      <w:txbxContent>
                        <w:p w14:paraId="1850274E" w14:textId="77777777" w:rsidR="008A47AC" w:rsidRDefault="008A47AC" w:rsidP="008C21BF">
                          <w:pPr>
                            <w:pStyle w:val="NormalWeb"/>
                            <w:spacing w:after="0"/>
                            <w:jc w:val="center"/>
                          </w:pPr>
                          <w:r>
                            <w:rPr>
                              <w:rFonts w:ascii="Calibri" w:eastAsia="Times New Roman" w:hAnsi="Calibri" w:cs="Arial"/>
                              <w:b/>
                              <w:bCs/>
                              <w:color w:val="000000"/>
                              <w:kern w:val="24"/>
                              <w:sz w:val="36"/>
                              <w:szCs w:val="36"/>
                            </w:rPr>
                            <w:t>A</w:t>
                          </w:r>
                        </w:p>
                      </w:txbxContent>
                    </v:textbox>
                  </v:shape>
                  <v:shape id="TextBox 14" o:spid="_x0000_s1132" type="#_x0000_t202" style="position:absolute;left:29927;top:-390;width:5759;height:37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" filled="f" stroked="f">
                    <v:textbox>
                      <w:txbxContent>
                        <w:p w14:paraId="72140976" w14:textId="77777777" w:rsidR="008A47AC" w:rsidRDefault="008A47AC" w:rsidP="008C21BF">
                          <w:pPr>
                            <w:pStyle w:val="NormalWeb"/>
                            <w:spacing w:after="0"/>
                            <w:jc w:val="center"/>
                          </w:pPr>
                          <w:r>
                            <w:rPr>
                              <w:rFonts w:ascii="Calibri" w:eastAsia="Times New Roman" w:hAnsi="Calibri" w:cs="Arial"/>
                              <w:b/>
                              <w:bCs/>
                              <w:color w:val="000000"/>
                              <w:kern w:val="24"/>
                              <w:sz w:val="36"/>
                              <w:szCs w:val="36"/>
                            </w:rPr>
                            <w:t>B</w:t>
                          </w:r>
                        </w:p>
                      </w:txbxContent>
                    </v:textbox>
                  </v:shape>
                  <v:shape id="TextBox 17" o:spid="_x0000_s1133" type="#_x0000_t202" style="position:absolute;left:-1212;top:15435;width:5758;height:37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" filled="f" stroked="f">
                    <v:textbox>
                      <w:txbxContent>
                        <w:p w14:paraId="127BB729" w14:textId="77777777" w:rsidR="008A47AC" w:rsidRDefault="008A47AC" w:rsidP="008C21BF">
                          <w:pPr>
                            <w:pStyle w:val="NormalWeb"/>
                            <w:spacing w:after="0"/>
                            <w:jc w:val="center"/>
                          </w:pPr>
                          <w:r>
                            <w:rPr>
                              <w:rFonts w:ascii="Calibri" w:eastAsia="Times New Roman" w:hAnsi="Calibri" w:cs="Arial"/>
                              <w:b/>
                              <w:bCs/>
                              <w:color w:val="000000"/>
                              <w:kern w:val="24"/>
                              <w:sz w:val="36"/>
                              <w:szCs w:val="36"/>
                            </w:rPr>
                            <w:t>C</w:t>
                          </w:r>
                        </w:p>
                      </w:txbxContent>
                    </v:textbox>
                  </v:shape>
                  <v:shape id="TextBox 17" o:spid="_x0000_s1134" type="#_x0000_t202" style="position:absolute;left:30032;top:15327;width:5758;height:3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" filled="f" stroked="f">
                    <v:textbox>
                      <w:txbxContent>
                        <w:p w14:paraId="1F27565A" w14:textId="77777777" w:rsidR="008A47AC" w:rsidRDefault="008A47AC" w:rsidP="008C21BF">
                          <w:pPr>
                            <w:pStyle w:val="NormalWeb"/>
                            <w:spacing w:after="0"/>
                            <w:jc w:val="center"/>
                          </w:pPr>
                          <w:r>
                            <w:rPr>
                              <w:rFonts w:ascii="Calibri" w:eastAsia="Times New Roman" w:hAnsi="Calibri" w:cs="Arial"/>
                              <w:b/>
                              <w:bCs/>
                              <w:color w:val="000000"/>
                              <w:kern w:val="24"/>
                              <w:sz w:val="36"/>
                              <w:szCs w:val="36"/>
                            </w:rPr>
                            <w:t>D</w:t>
                          </w:r>
                        </w:p>
                      </w:txbxContent>
                    </v:textbox>
                  </v:shape>
                </v:group>
                <v:shape id="Picture 4112" o:spid="_x0000_s1135" type="#_x0000_t75" style="position:absolute;left:10;top:31771;width:61368;height:341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">
                  <v:imagedata r:id="rId110" o:title="" croptop="7591f" cropleft="12215f"/>
                </v:shape>
                <v:shape id="TextBox 17" o:spid="_x0000_s1136" type="#_x0000_t202" style="position:absolute;left:-1008;top:31387;width:5758;height:3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" filled="f" stroked="f">
                  <v:textbox>
                    <w:txbxContent>
                      <w:p w14:paraId="00D542A3" w14:textId="77777777" w:rsidR="008A47AC" w:rsidRDefault="008A47AC" w:rsidP="008C21BF">
                        <w:pPr>
                          <w:pStyle w:val="NormalWeb"/>
                          <w:spacing w:after="0"/>
                          <w:jc w:val="center"/>
                        </w:pPr>
                        <w:r>
                          <w:rPr>
                            <w:rFonts w:ascii="Calibri" w:eastAsia="Times New Roman" w:hAnsi="Calibri" w:cs="Arial"/>
                            <w:b/>
                            <w:bCs/>
                            <w:color w:val="000000"/>
                            <w:kern w:val="24"/>
                            <w:sz w:val="36"/>
                            <w:szCs w:val="36"/>
                          </w:rPr>
                          <w:t>E</w:t>
                        </w:r>
                      </w:p>
                    </w:txbxContent>
                  </v:textbox>
                </v:shape>
                <v:shape id="TextBox 17" o:spid="_x0000_s1137" type="#_x0000_t202" style="position:absolute;left:30184;top:31586;width:5759;height:3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" filled="f" stroked="f">
                  <v:textbox>
                    <w:txbxContent>
                      <w:p w14:paraId="4E728DCC" w14:textId="77777777" w:rsidR="008A47AC" w:rsidRDefault="008A47AC" w:rsidP="008C21BF">
                        <w:pPr>
                          <w:pStyle w:val="NormalWeb"/>
                          <w:spacing w:after="0"/>
                          <w:jc w:val="center"/>
                        </w:pPr>
                        <w:r>
                          <w:rPr>
                            <w:rFonts w:ascii="Calibri" w:eastAsia="Times New Roman" w:hAnsi="Calibri" w:cs="Arial"/>
                            <w:b/>
                            <w:bCs/>
                            <w:color w:val="000000"/>
                            <w:kern w:val="24"/>
                            <w:sz w:val="36"/>
                            <w:szCs w:val="36"/>
                          </w:rPr>
                          <w:t>F</w:t>
                        </w:r>
                      </w:p>
                    </w:txbxContent>
                  </v:textbox>
                </v:shape>
                <v:shape id="TextBox 17" o:spid="_x0000_s1138" type="#_x0000_t202" style="position:absolute;left:-1008;top:47527;width:5758;height:3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" filled="f" stroked="f">
                  <v:textbox>
                    <w:txbxContent>
                      <w:p w14:paraId="49237D00" w14:textId="77777777" w:rsidR="008A47AC" w:rsidRDefault="008A47AC" w:rsidP="008C21BF">
                        <w:pPr>
                          <w:pStyle w:val="NormalWeb"/>
                          <w:spacing w:after="0"/>
                          <w:jc w:val="center"/>
                        </w:pPr>
                        <w:r>
                          <w:rPr>
                            <w:rFonts w:ascii="Calibri" w:eastAsia="Times New Roman" w:hAnsi="Calibri" w:cs="Arial"/>
                            <w:b/>
                            <w:bCs/>
                            <w:color w:val="000000"/>
                            <w:kern w:val="24"/>
                            <w:sz w:val="36"/>
                            <w:szCs w:val="36"/>
                          </w:rPr>
                          <w:t>G</w:t>
                        </w:r>
                      </w:p>
                    </w:txbxContent>
                  </v:textbox>
                </v:shape>
                <v:shape id="TextBox 17" o:spid="_x0000_s1139" type="#_x0000_t202" style="position:absolute;left:30335;top:47527;width:5759;height:3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" filled="f" stroked="f">
                  <v:textbox>
                    <w:txbxContent>
                      <w:p w14:paraId="3CF723F7" w14:textId="77777777" w:rsidR="008A47AC" w:rsidRDefault="008A47AC" w:rsidP="008C21BF">
                        <w:pPr>
                          <w:pStyle w:val="NormalWeb"/>
                          <w:spacing w:after="0"/>
                          <w:jc w:val="center"/>
                        </w:pPr>
                        <w:r>
                          <w:rPr>
                            <w:rFonts w:ascii="Calibri" w:eastAsia="Times New Roman" w:hAnsi="Calibri" w:cs="Arial"/>
                            <w:b/>
                            <w:bCs/>
                            <w:color w:val="000000"/>
                            <w:kern w:val="24"/>
                            <w:sz w:val="36"/>
                            <w:szCs w:val="36"/>
                          </w:rPr>
                          <w:t>H</w:t>
                        </w:r>
                      </w:p>
                    </w:txbxContent>
                  </v:textbox>
                </v:shape>
                <w10:wrap anchorx="margin"/>
              </v:group>
            </w:pict>
          </mc:Fallback>
        </mc:AlternateContent>
      </w:r>
      <w:bookmarkEnd w:id="385"/>
      <w:r w:rsidRPr="008C21BF">
        <w:rPr>
          <w:rFonts w:ascii="Arial" w:eastAsiaTheme="majorEastAsia" w:hAnsi="Arial" w:cs="Arial"/>
          <w:i/>
          <w:iCs/>
          <w:color w:val="595959" w:themeColor="text1" w:themeTint="A6"/>
        </w:rPr>
        <w:t>4.3.1.1 Analysing fibroblast-derived matrix thickness</w:t>
      </w:r>
      <w:bookmarkEnd w:id="386"/>
      <w:bookmarkEnd w:id="387"/>
    </w:p>
    <w:p w14:paraId="001D3838" w14:textId="77777777" w:rsidR="008C21BF" w:rsidRPr="008C21BF" w:rsidRDefault="008C21BF" w:rsidP="008C21BF"/>
    <w:p w14:paraId="7C02618B" w14:textId="143F1BC0" w:rsidR="008C21BF" w:rsidRPr="008C21BF" w:rsidRDefault="008C21BF" w:rsidP="008C21BF">
      <w:pPr>
        <w:spacing w:line="480" w:lineRule="auto"/>
        <w:jc w:val="both"/>
        <w:rPr>
          <w:rFonts w:ascii="Arial" w:hAnsi="Arial" w:cs="Arial"/>
          <w:color w:val="595959" w:themeColor="text1" w:themeTint="A6"/>
        </w:rPr>
      </w:pPr>
      <w:bookmarkStart w:id="388" w:name="_Hlk18761970"/>
      <w:r w:rsidRPr="008C21BF">
        <w:rPr>
          <w:rFonts w:ascii="Arial" w:hAnsi="Arial" w:cs="Arial"/>
          <w:color w:val="595959" w:themeColor="text1" w:themeTint="A6"/>
        </w:rPr>
        <w:t>To quantitatively assess matrix deposition and reproducibility of TE-FDM developed, ECM thickness was measured after 28 days and differences in thickness between NOF and CAF with and without growth factors supplementation was compared. Analysis of matrix thickness using ImageJ measurement software on H&amp;E stained images of 28</w:t>
      </w:r>
      <w:r w:rsidR="00C4786F">
        <w:rPr>
          <w:rFonts w:ascii="Arial" w:hAnsi="Arial" w:cs="Arial"/>
          <w:color w:val="595959" w:themeColor="text1" w:themeTint="A6"/>
        </w:rPr>
        <w:t>-</w:t>
      </w:r>
      <w:r w:rsidRPr="008C21BF">
        <w:rPr>
          <w:rFonts w:ascii="Arial" w:hAnsi="Arial" w:cs="Arial"/>
          <w:color w:val="595959" w:themeColor="text1" w:themeTint="A6"/>
        </w:rPr>
        <w:t xml:space="preserve">day FDM showed a significant difference in thickness between NOF and CAF matrices (Figure 4.3). </w:t>
      </w:r>
    </w:p>
    <w:p w14:paraId="0265059A" w14:textId="73B56557" w:rsidR="008C21BF" w:rsidRPr="008C21BF" w:rsidRDefault="008C21BF" w:rsidP="008C21BF">
      <w:pPr>
        <w:spacing w:line="480" w:lineRule="auto"/>
        <w:jc w:val="both"/>
        <w:rPr>
          <w:rFonts w:ascii="Arial" w:hAnsi="Arial" w:cs="Arial"/>
          <w:color w:val="595959" w:themeColor="text1" w:themeTint="A6"/>
        </w:rPr>
      </w:pPr>
      <w:r w:rsidRPr="008C21BF">
        <w:rPr>
          <w:rFonts w:ascii="Arial" w:hAnsi="Arial" w:cs="Arial"/>
          <w:color w:val="595959" w:themeColor="text1" w:themeTint="A6"/>
        </w:rPr>
        <w:t xml:space="preserve">NOF-DM without growth factors had a mean thickness of 109 ± 24.08 µm. </w:t>
      </w:r>
      <w:bookmarkStart w:id="389" w:name="_Hlk516069333"/>
      <w:r w:rsidRPr="008C21BF">
        <w:rPr>
          <w:rFonts w:ascii="Arial" w:hAnsi="Arial" w:cs="Arial"/>
          <w:color w:val="595959" w:themeColor="text1" w:themeTint="A6"/>
        </w:rPr>
        <w:t>On addition of growth factors NOF-DM thickness increased to an average of 146 ± 48.38 µm. CAF-DM without growth factors were nearly double the thickness of NOF-DM without growth factors with a mean of 202 ± 10.92 µm</w:t>
      </w:r>
      <w:r w:rsidR="00020571">
        <w:rPr>
          <w:rFonts w:ascii="Arial" w:hAnsi="Arial" w:cs="Arial"/>
          <w:color w:val="595959" w:themeColor="text1" w:themeTint="A6"/>
        </w:rPr>
        <w:t xml:space="preserve">, </w:t>
      </w:r>
      <w:r w:rsidRPr="008C21BF">
        <w:rPr>
          <w:rFonts w:ascii="Arial" w:hAnsi="Arial" w:cs="Arial"/>
          <w:color w:val="595959" w:themeColor="text1" w:themeTint="A6"/>
        </w:rPr>
        <w:t xml:space="preserve">p=0.0177 and an increase in matrix thickness with a </w:t>
      </w:r>
      <w:bookmarkEnd w:id="388"/>
      <w:r w:rsidRPr="008C21BF">
        <w:rPr>
          <w:rFonts w:ascii="Arial" w:hAnsi="Arial" w:cs="Arial"/>
          <w:color w:val="595959" w:themeColor="text1" w:themeTint="A6"/>
        </w:rPr>
        <w:t>mean of 370 ± 13.44 µm</w:t>
      </w:r>
      <w:r w:rsidR="00020571">
        <w:rPr>
          <w:rFonts w:ascii="Arial" w:hAnsi="Arial" w:cs="Arial"/>
          <w:color w:val="595959" w:themeColor="text1" w:themeTint="A6"/>
        </w:rPr>
        <w:t xml:space="preserve">, </w:t>
      </w:r>
      <w:r w:rsidRPr="008C21BF">
        <w:rPr>
          <w:rFonts w:ascii="Arial" w:hAnsi="Arial" w:cs="Arial"/>
          <w:color w:val="595959" w:themeColor="text1" w:themeTint="A6"/>
        </w:rPr>
        <w:t>p=0.0128 when supplemented with growth factors (Figure 4.3)</w:t>
      </w:r>
      <w:bookmarkEnd w:id="389"/>
      <w:r w:rsidRPr="008C21BF">
        <w:rPr>
          <w:rFonts w:ascii="Arial" w:hAnsi="Arial" w:cs="Arial"/>
          <w:color w:val="595959" w:themeColor="text1" w:themeTint="A6"/>
        </w:rPr>
        <w:t>.</w:t>
      </w:r>
    </w:p>
    <w:p w14:paraId="7894A502" w14:textId="22080C99" w:rsidR="008C21BF" w:rsidRPr="008C21BF" w:rsidRDefault="008C21BF" w:rsidP="008C21BF">
      <w:pPr>
        <w:spacing w:line="480" w:lineRule="auto"/>
        <w:jc w:val="both"/>
        <w:rPr>
          <w:rFonts w:ascii="Arial" w:hAnsi="Arial" w:cs="Arial"/>
          <w:color w:val="595959" w:themeColor="text1" w:themeTint="A6"/>
        </w:rPr>
      </w:pPr>
      <w:r w:rsidRPr="008C21BF">
        <w:rPr>
          <w:rFonts w:ascii="Arial" w:hAnsi="Arial" w:cs="Arial"/>
          <w:color w:val="595959" w:themeColor="text1" w:themeTint="A6"/>
        </w:rPr>
        <w:t>As CAF ECM deposition in TE-FDM without the requirement of growth factors was significantly increased compared to NOF without growth factors matrices, growth factor supplementation for CAF matrices was not used in further experimentation.</w:t>
      </w:r>
    </w:p>
    <w:p w14:paraId="798B232E" w14:textId="77777777" w:rsidR="008C21BF" w:rsidRPr="008C21BF" w:rsidRDefault="008C21BF" w:rsidP="008C21BF">
      <w:pPr>
        <w:spacing w:line="480" w:lineRule="auto"/>
        <w:jc w:val="both"/>
        <w:rPr>
          <w:rFonts w:ascii="Arial" w:hAnsi="Arial" w:cs="Arial"/>
          <w:color w:val="595959" w:themeColor="text1" w:themeTint="A6"/>
        </w:rPr>
      </w:pPr>
    </w:p>
    <w:p w14:paraId="69D18A61" w14:textId="77777777" w:rsidR="008C21BF" w:rsidRPr="008C21BF" w:rsidRDefault="008C21BF" w:rsidP="008C21BF">
      <w:pPr>
        <w:spacing w:line="480" w:lineRule="auto"/>
        <w:jc w:val="both"/>
        <w:rPr>
          <w:rFonts w:ascii="Arial" w:hAnsi="Arial" w:cs="Arial"/>
          <w:color w:val="595959" w:themeColor="text1" w:themeTint="A6"/>
        </w:rPr>
      </w:pPr>
    </w:p>
    <w:p w14:paraId="44BFCF0E" w14:textId="77777777" w:rsidR="008C21BF" w:rsidRPr="008C21BF" w:rsidRDefault="008C21BF" w:rsidP="008C21BF">
      <w:pPr>
        <w:spacing w:line="480" w:lineRule="auto"/>
        <w:jc w:val="both"/>
        <w:rPr>
          <w:rFonts w:ascii="Arial" w:hAnsi="Arial" w:cs="Arial"/>
          <w:color w:val="595959" w:themeColor="text1" w:themeTint="A6"/>
        </w:rPr>
      </w:pPr>
    </w:p>
    <w:p w14:paraId="0D77319E" w14:textId="77777777" w:rsidR="008C21BF" w:rsidRPr="008C21BF" w:rsidRDefault="008C21BF" w:rsidP="008C21BF">
      <w:pPr>
        <w:spacing w:line="480" w:lineRule="auto"/>
        <w:jc w:val="both"/>
        <w:rPr>
          <w:rFonts w:ascii="Arial" w:hAnsi="Arial" w:cs="Arial"/>
          <w:color w:val="595959" w:themeColor="text1" w:themeTint="A6"/>
        </w:rPr>
      </w:pPr>
    </w:p>
    <w:p w14:paraId="30B73299" w14:textId="77777777" w:rsidR="008C21BF" w:rsidRPr="008C21BF" w:rsidRDefault="008C21BF" w:rsidP="008C21BF">
      <w:pPr>
        <w:spacing w:line="480" w:lineRule="auto"/>
        <w:jc w:val="both"/>
        <w:rPr>
          <w:rFonts w:ascii="Arial" w:hAnsi="Arial" w:cs="Arial"/>
          <w:color w:val="595959" w:themeColor="text1" w:themeTint="A6"/>
        </w:rPr>
      </w:pPr>
    </w:p>
    <w:p w14:paraId="7F1CD3E5" w14:textId="77777777" w:rsidR="008C21BF" w:rsidRPr="008C21BF" w:rsidRDefault="008C21BF" w:rsidP="008C21BF">
      <w:pPr>
        <w:spacing w:line="480" w:lineRule="auto"/>
        <w:jc w:val="both"/>
        <w:rPr>
          <w:rFonts w:ascii="Arial" w:hAnsi="Arial" w:cs="Arial"/>
          <w:color w:val="595959" w:themeColor="text1" w:themeTint="A6"/>
        </w:rPr>
      </w:pPr>
    </w:p>
    <w:p w14:paraId="0FFA00DD" w14:textId="77777777" w:rsidR="008C21BF" w:rsidRPr="008C21BF" w:rsidRDefault="008C21BF" w:rsidP="008C21BF">
      <w:pPr>
        <w:spacing w:line="480" w:lineRule="auto"/>
        <w:jc w:val="both"/>
        <w:rPr>
          <w:rFonts w:ascii="Arial" w:hAnsi="Arial" w:cs="Arial"/>
          <w:color w:val="595959" w:themeColor="text1" w:themeTint="A6"/>
        </w:rPr>
      </w:pPr>
    </w:p>
    <w:p w14:paraId="04FFDDC1" w14:textId="77777777" w:rsidR="008C21BF" w:rsidRPr="008C21BF" w:rsidRDefault="008C21BF" w:rsidP="008C21BF">
      <w:pPr>
        <w:spacing w:line="480" w:lineRule="auto"/>
        <w:jc w:val="both"/>
        <w:rPr>
          <w:rFonts w:ascii="Arial" w:hAnsi="Arial" w:cs="Arial"/>
          <w:color w:val="595959" w:themeColor="text1" w:themeTint="A6"/>
        </w:rPr>
      </w:pPr>
    </w:p>
    <w:p w14:paraId="66EAE2D1" w14:textId="77777777" w:rsidR="008C21BF" w:rsidRPr="008C21BF" w:rsidRDefault="008C21BF" w:rsidP="008C21BF">
      <w:r w:rsidRPr="008C21BF">
        <w:rPr>
          <w:rFonts w:ascii="Arial" w:hAnsi="Arial" w:cs="Arial"/>
          <w:noProof/>
          <w:color w:val="595959" w:themeColor="text1" w:themeTint="A6"/>
          <w:sz w:val="24"/>
          <w:szCs w:val="24"/>
          <w:lang w:eastAsia="zh-CN"/>
        </w:rPr>
        <mc:AlternateContent>
          <mc:Choice Requires="wps">
            <w:drawing>
              <wp:anchor distT="0" distB="0" distL="114300" distR="114300" simplePos="0" relativeHeight="251658340" behindDoc="0" locked="0" layoutInCell="1" allowOverlap="1" wp14:anchorId="7F2ADB68" wp14:editId="4160BF3B">
                <wp:simplePos x="0" y="0"/>
                <wp:positionH relativeFrom="margin">
                  <wp:posOffset>0</wp:posOffset>
                </wp:positionH>
                <wp:positionV relativeFrom="paragraph">
                  <wp:posOffset>31301500</wp:posOffset>
                </wp:positionV>
                <wp:extent cx="6045835" cy="1567180"/>
                <wp:effectExtent l="0" t="0" r="0" b="0"/>
                <wp:wrapNone/>
                <wp:docPr id="41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45835" cy="1567180"/>
                        </a:xfrm>
                        <a:prstGeom prst="rect">
                          <a:avLst/>
                        </a:prstGeom>
                        <a:solidFill>
                          <a:srgbClr val="FFFFFF"/>
                        </a:solidFill>
                        <a:ln w="9525">
                          <a:noFill/>
                          <a:miter lim="800000"/>
                          <a:headEnd/>
                          <a:tailEnd/>
                        </a:ln>
                      </wps:spPr>
                      <wps:txbx>
                        <w:txbxContent>
                          <w:p w14:paraId="506B93AE" w14:textId="77777777" w:rsidR="008A47AC" w:rsidRPr="00E42550" w:rsidRDefault="008A47AC" w:rsidP="008C21BF">
                            <w:pPr>
                              <w:pStyle w:val="Caption"/>
                              <w:jc w:val="both"/>
                              <w:rPr>
                                <w:rFonts w:ascii="Arial Narrow" w:hAnsi="Arial Narrow"/>
                                <w:b/>
                                <w:i w:val="0"/>
                                <w:color w:val="595959" w:themeColor="text1" w:themeTint="A6"/>
                                <w:sz w:val="22"/>
                                <w:szCs w:val="22"/>
                              </w:rPr>
                            </w:pPr>
                            <w:r w:rsidRPr="00E42550">
                              <w:rPr>
                                <w:rFonts w:ascii="Arial Narrow" w:hAnsi="Arial Narrow"/>
                                <w:b/>
                                <w:i w:val="0"/>
                                <w:color w:val="595959" w:themeColor="text1" w:themeTint="A6"/>
                                <w:sz w:val="22"/>
                                <w:szCs w:val="22"/>
                              </w:rPr>
                              <w:t xml:space="preserve">Figure </w:t>
                            </w:r>
                            <w:r>
                              <w:rPr>
                                <w:rFonts w:ascii="Arial Narrow" w:hAnsi="Arial Narrow"/>
                                <w:b/>
                                <w:i w:val="0"/>
                                <w:noProof/>
                                <w:color w:val="595959" w:themeColor="text1" w:themeTint="A6"/>
                                <w:sz w:val="22"/>
                                <w:szCs w:val="22"/>
                              </w:rPr>
                              <w:t>4.</w:t>
                            </w:r>
                            <w:r w:rsidRPr="00E42550">
                              <w:rPr>
                                <w:rFonts w:ascii="Arial Narrow" w:hAnsi="Arial Narrow"/>
                                <w:b/>
                                <w:i w:val="0"/>
                                <w:color w:val="595959" w:themeColor="text1" w:themeTint="A6"/>
                                <w:sz w:val="22"/>
                                <w:szCs w:val="22"/>
                              </w:rPr>
                              <w:t xml:space="preserve"> </w:t>
                            </w:r>
                            <w:r>
                              <w:rPr>
                                <w:rFonts w:ascii="Arial Narrow" w:hAnsi="Arial Narrow"/>
                                <w:b/>
                                <w:i w:val="0"/>
                                <w:color w:val="595959" w:themeColor="text1" w:themeTint="A6"/>
                                <w:sz w:val="22"/>
                                <w:szCs w:val="22"/>
                              </w:rPr>
                              <w:t>Micrographs of fibroblast-derived matrices</w:t>
                            </w:r>
                          </w:p>
                          <w:p w14:paraId="4A0D5626" w14:textId="77777777" w:rsidR="008A47AC" w:rsidRPr="00E72F77" w:rsidRDefault="008A47AC" w:rsidP="008C21BF">
                            <w:pPr>
                              <w:pStyle w:val="NormalWeb"/>
                              <w:spacing w:after="200"/>
                              <w:jc w:val="both"/>
                              <w:rPr>
                                <w:rFonts w:ascii="Arial Narrow" w:hAnsi="Arial Narrow"/>
                                <w:color w:val="595959" w:themeColor="text1" w:themeTint="A6"/>
                                <w:sz w:val="22"/>
                                <w:szCs w:val="22"/>
                              </w:rPr>
                            </w:pPr>
                            <w:r>
                              <w:rPr>
                                <w:rFonts w:ascii="Arial Narrow" w:eastAsia="SimSun" w:hAnsi="Arial Narrow" w:cs="Arial"/>
                                <w:color w:val="595959" w:themeColor="text1" w:themeTint="A6"/>
                                <w:kern w:val="24"/>
                                <w:sz w:val="22"/>
                                <w:szCs w:val="22"/>
                              </w:rPr>
                              <w:t>Micrographs from SEM analysis evidence that both the NOF/CAF-derived matrices formed an intact matrix layer with surface proteins dispersed among the topographic landscape and evidence of ECM deposition (A-F). Fibroblasts populate the matrix as well as reside on the external surface of the developed matrices (Broken white square B). Dense webs of fibrillar ECM and meshwork is found through the constructs (Solid white boxes, C-D). Larger fibres are also present suggesting that mature collagen complexes are also able to be formed (White arrows, D). Images taken at 1000x (A-B) and 6000x magnification (C-F).</w:t>
                            </w:r>
                            <w:r>
                              <w:rPr>
                                <w:rFonts w:ascii="Arial Narrow" w:eastAsia="SimSun" w:hAnsi="Arial Narrow" w:cs="Arial"/>
                                <w:color w:val="595959" w:themeColor="text1" w:themeTint="A6"/>
                                <w:kern w:val="24"/>
                                <w:sz w:val="22"/>
                                <w:szCs w:val="22"/>
                              </w:rPr>
                              <w:tab/>
                            </w:r>
                            <w:r>
                              <w:rPr>
                                <w:rFonts w:ascii="Arial Narrow" w:eastAsia="SimSun" w:hAnsi="Arial Narrow" w:cs="Arial"/>
                                <w:color w:val="595959" w:themeColor="text1" w:themeTint="A6"/>
                                <w:kern w:val="24"/>
                                <w:sz w:val="22"/>
                                <w:szCs w:val="22"/>
                              </w:rPr>
                              <w:tab/>
                            </w:r>
                            <w:r>
                              <w:rPr>
                                <w:rFonts w:ascii="Arial Narrow" w:eastAsia="SimSun" w:hAnsi="Arial Narrow" w:cs="Arial"/>
                                <w:color w:val="595959" w:themeColor="text1" w:themeTint="A6"/>
                                <w:kern w:val="24"/>
                                <w:sz w:val="22"/>
                                <w:szCs w:val="22"/>
                              </w:rPr>
                              <w:tab/>
                            </w:r>
                            <w:r>
                              <w:rPr>
                                <w:rFonts w:ascii="Arial Narrow" w:eastAsia="SimSun" w:hAnsi="Arial Narrow" w:cs="Arial"/>
                                <w:color w:val="595959" w:themeColor="text1" w:themeTint="A6"/>
                                <w:kern w:val="24"/>
                                <w:sz w:val="22"/>
                                <w:szCs w:val="22"/>
                              </w:rPr>
                              <w:tab/>
                            </w:r>
                            <w:r>
                              <w:rPr>
                                <w:rFonts w:ascii="Arial Narrow" w:eastAsia="SimSun" w:hAnsi="Arial Narrow" w:cs="Arial"/>
                                <w:color w:val="595959" w:themeColor="text1" w:themeTint="A6"/>
                                <w:kern w:val="24"/>
                                <w:sz w:val="22"/>
                                <w:szCs w:val="22"/>
                              </w:rPr>
                              <w:tab/>
                            </w:r>
                            <w:r>
                              <w:rPr>
                                <w:rFonts w:ascii="Arial Narrow" w:eastAsia="SimSun" w:hAnsi="Arial Narrow" w:cs="Arial"/>
                                <w:color w:val="595959" w:themeColor="text1" w:themeTint="A6"/>
                                <w:kern w:val="24"/>
                                <w:sz w:val="22"/>
                                <w:szCs w:val="22"/>
                              </w:rPr>
                              <w:tab/>
                            </w:r>
                            <w:r>
                              <w:rPr>
                                <w:rFonts w:ascii="Arial Narrow" w:eastAsia="SimSun" w:hAnsi="Arial Narrow" w:cs="Arial"/>
                                <w:color w:val="595959" w:themeColor="text1" w:themeTint="A6"/>
                                <w:kern w:val="24"/>
                                <w:sz w:val="22"/>
                                <w:szCs w:val="22"/>
                              </w:rPr>
                              <w:tab/>
                            </w:r>
                            <w:r>
                              <w:rPr>
                                <w:rFonts w:ascii="Arial Narrow" w:eastAsia="SimSun" w:hAnsi="Arial Narrow" w:cs="Arial"/>
                                <w:color w:val="595959" w:themeColor="text1" w:themeTint="A6"/>
                                <w:kern w:val="24"/>
                                <w:sz w:val="22"/>
                                <w:szCs w:val="22"/>
                              </w:rPr>
                              <w:tab/>
                            </w:r>
                            <w:r>
                              <w:rPr>
                                <w:rFonts w:ascii="Arial Narrow" w:eastAsia="SimSun" w:hAnsi="Arial Narrow" w:cs="Arial"/>
                                <w:color w:val="595959" w:themeColor="text1" w:themeTint="A6"/>
                                <w:kern w:val="24"/>
                                <w:sz w:val="22"/>
                                <w:szCs w:val="22"/>
                              </w:rPr>
                              <w:tab/>
                            </w:r>
                            <w:r>
                              <w:rPr>
                                <w:rFonts w:ascii="Arial Narrow" w:eastAsia="SimSun" w:hAnsi="Arial Narrow" w:cs="Arial"/>
                                <w:color w:val="595959" w:themeColor="text1" w:themeTint="A6"/>
                                <w:kern w:val="24"/>
                                <w:sz w:val="22"/>
                                <w:szCs w:val="22"/>
                              </w:rPr>
                              <w:tab/>
                            </w:r>
                            <w:r>
                              <w:rPr>
                                <w:rFonts w:ascii="Arial Narrow" w:eastAsia="SimSun" w:hAnsi="Arial Narrow" w:cs="Arial"/>
                                <w:color w:val="595959" w:themeColor="text1" w:themeTint="A6"/>
                                <w:kern w:val="24"/>
                                <w:sz w:val="22"/>
                                <w:szCs w:val="22"/>
                              </w:rPr>
                              <w:tab/>
                            </w:r>
                            <w:r>
                              <w:rPr>
                                <w:rFonts w:ascii="Arial Narrow" w:eastAsia="SimSun" w:hAnsi="Arial Narrow" w:cs="Arial"/>
                                <w:color w:val="595959" w:themeColor="text1" w:themeTint="A6"/>
                                <w:kern w:val="24"/>
                                <w:sz w:val="22"/>
                                <w:szCs w:val="22"/>
                              </w:rPr>
                              <w:tab/>
                            </w:r>
                            <w:r>
                              <w:rPr>
                                <w:rFonts w:ascii="Arial Narrow" w:eastAsia="SimSun" w:hAnsi="Arial Narrow" w:cs="Arial"/>
                                <w:color w:val="595959" w:themeColor="text1" w:themeTint="A6"/>
                                <w:kern w:val="24"/>
                                <w:sz w:val="22"/>
                                <w:szCs w:val="22"/>
                              </w:rPr>
                              <w:tab/>
                            </w:r>
                            <w:r>
                              <w:rPr>
                                <w:rFonts w:ascii="Arial Narrow" w:eastAsia="SimSun" w:hAnsi="Arial Narrow" w:cs="Arial"/>
                                <w:color w:val="595959" w:themeColor="text1" w:themeTint="A6"/>
                                <w:kern w:val="24"/>
                                <w:sz w:val="22"/>
                                <w:szCs w:val="22"/>
                              </w:rPr>
                              <w:tab/>
                            </w:r>
                            <w:r>
                              <w:rPr>
                                <w:rFonts w:ascii="Arial Narrow" w:eastAsia="SimSun" w:hAnsi="Arial Narrow" w:cs="Arial"/>
                                <w:color w:val="595959" w:themeColor="text1" w:themeTint="A6"/>
                                <w:kern w:val="24"/>
                                <w:sz w:val="22"/>
                                <w:szCs w:val="22"/>
                              </w:rPr>
                              <w:tab/>
                            </w:r>
                            <w:r>
                              <w:rPr>
                                <w:rFonts w:ascii="Arial Narrow" w:eastAsia="SimSun" w:hAnsi="Arial Narrow" w:cs="Arial"/>
                                <w:color w:val="595959" w:themeColor="text1" w:themeTint="A6"/>
                                <w:kern w:val="24"/>
                                <w:sz w:val="22"/>
                                <w:szCs w:val="22"/>
                              </w:rPr>
                              <w:tab/>
                            </w:r>
                            <w:r>
                              <w:rPr>
                                <w:rFonts w:ascii="Arial Narrow" w:eastAsia="SimSun" w:hAnsi="Arial Narrow" w:cs="Arial"/>
                                <w:color w:val="595959" w:themeColor="text1" w:themeTint="A6"/>
                                <w:kern w:val="24"/>
                                <w:sz w:val="22"/>
                                <w:szCs w:val="22"/>
                              </w:rPr>
                              <w:tab/>
                            </w:r>
                            <w:r>
                              <w:rPr>
                                <w:rFonts w:ascii="Arial Narrow" w:eastAsia="SimSun" w:hAnsi="Arial Narrow" w:cs="Arial"/>
                                <w:color w:val="595959" w:themeColor="text1" w:themeTint="A6"/>
                                <w:kern w:val="24"/>
                                <w:sz w:val="22"/>
                                <w:szCs w:val="22"/>
                              </w:rPr>
                              <w:tab/>
                            </w:r>
                            <w:r w:rsidRPr="00E72F77">
                              <w:rPr>
                                <w:rFonts w:ascii="Arial Narrow" w:eastAsia="SimSun" w:hAnsi="Arial Narrow" w:cs="Arial"/>
                                <w:color w:val="595959" w:themeColor="text1" w:themeTint="A6"/>
                                <w:kern w:val="24"/>
                                <w:sz w:val="22"/>
                                <w:szCs w:val="22"/>
                              </w:rPr>
                              <w:t>(N=3, n=</w:t>
                            </w:r>
                            <w:r>
                              <w:rPr>
                                <w:rFonts w:ascii="Arial Narrow" w:eastAsia="SimSun" w:hAnsi="Arial Narrow" w:cs="Arial"/>
                                <w:color w:val="595959" w:themeColor="text1" w:themeTint="A6"/>
                                <w:kern w:val="24"/>
                                <w:sz w:val="22"/>
                                <w:szCs w:val="22"/>
                              </w:rPr>
                              <w:t>2</w:t>
                            </w:r>
                            <w:r w:rsidRPr="00E72F77">
                              <w:rPr>
                                <w:rFonts w:ascii="Arial Narrow" w:eastAsia="SimSun" w:hAnsi="Arial Narrow" w:cs="Arial"/>
                                <w:color w:val="595959" w:themeColor="text1" w:themeTint="A6"/>
                                <w:kern w:val="24"/>
                                <w:sz w:val="22"/>
                                <w:szCs w:val="2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2ADB68" id="_x0000_s1140" type="#_x0000_t202" style="position:absolute;margin-left:0;margin-top:2464.7pt;width:476.05pt;height:123.4pt;z-index:2516583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" stroked="f">
                <v:textbox>
                  <w:txbxContent>
                    <w:p w14:paraId="506B93AE" w14:textId="77777777" w:rsidR="008A47AC" w:rsidRPr="00E42550" w:rsidRDefault="008A47AC" w:rsidP="008C21BF">
                      <w:pPr>
                        <w:pStyle w:val="Caption"/>
                        <w:jc w:val="both"/>
                        <w:rPr>
                          <w:rFonts w:ascii="Arial Narrow" w:hAnsi="Arial Narrow"/>
                          <w:b/>
                          <w:i w:val="0"/>
                          <w:color w:val="595959" w:themeColor="text1" w:themeTint="A6"/>
                          <w:sz w:val="22"/>
                          <w:szCs w:val="22"/>
                        </w:rPr>
                      </w:pPr>
                      <w:r w:rsidRPr="00E42550">
                        <w:rPr>
                          <w:rFonts w:ascii="Arial Narrow" w:hAnsi="Arial Narrow"/>
                          <w:b/>
                          <w:i w:val="0"/>
                          <w:color w:val="595959" w:themeColor="text1" w:themeTint="A6"/>
                          <w:sz w:val="22"/>
                          <w:szCs w:val="22"/>
                        </w:rPr>
                        <w:t xml:space="preserve">Figure </w:t>
                      </w:r>
                      <w:r>
                        <w:rPr>
                          <w:rFonts w:ascii="Arial Narrow" w:hAnsi="Arial Narrow"/>
                          <w:b/>
                          <w:i w:val="0"/>
                          <w:noProof/>
                          <w:color w:val="595959" w:themeColor="text1" w:themeTint="A6"/>
                          <w:sz w:val="22"/>
                          <w:szCs w:val="22"/>
                        </w:rPr>
                        <w:t>4.</w:t>
                      </w:r>
                      <w:r w:rsidRPr="00E42550">
                        <w:rPr>
                          <w:rFonts w:ascii="Arial Narrow" w:hAnsi="Arial Narrow"/>
                          <w:b/>
                          <w:i w:val="0"/>
                          <w:color w:val="595959" w:themeColor="text1" w:themeTint="A6"/>
                          <w:sz w:val="22"/>
                          <w:szCs w:val="22"/>
                        </w:rPr>
                        <w:t xml:space="preserve"> </w:t>
                      </w:r>
                      <w:r>
                        <w:rPr>
                          <w:rFonts w:ascii="Arial Narrow" w:hAnsi="Arial Narrow"/>
                          <w:b/>
                          <w:i w:val="0"/>
                          <w:color w:val="595959" w:themeColor="text1" w:themeTint="A6"/>
                          <w:sz w:val="22"/>
                          <w:szCs w:val="22"/>
                        </w:rPr>
                        <w:t>Micrographs of fibroblast-derived matrices</w:t>
                      </w:r>
                    </w:p>
                    <w:p w14:paraId="4A0D5626" w14:textId="77777777" w:rsidR="008A47AC" w:rsidRPr="00E72F77" w:rsidRDefault="008A47AC" w:rsidP="008C21BF">
                      <w:pPr>
                        <w:pStyle w:val="NormalWeb"/>
                        <w:spacing w:after="200"/>
                        <w:jc w:val="both"/>
                        <w:rPr>
                          <w:rFonts w:ascii="Arial Narrow" w:hAnsi="Arial Narrow"/>
                          <w:color w:val="595959" w:themeColor="text1" w:themeTint="A6"/>
                          <w:sz w:val="22"/>
                          <w:szCs w:val="22"/>
                        </w:rPr>
                      </w:pPr>
                      <w:r>
                        <w:rPr>
                          <w:rFonts w:ascii="Arial Narrow" w:eastAsia="SimSun" w:hAnsi="Arial Narrow" w:cs="Arial"/>
                          <w:color w:val="595959" w:themeColor="text1" w:themeTint="A6"/>
                          <w:kern w:val="24"/>
                          <w:sz w:val="22"/>
                          <w:szCs w:val="22"/>
                        </w:rPr>
                        <w:t>Micrographs from SEM analysis evidence that both the NOF/CAF-derived matrices formed an intact matrix layer with surface proteins dispersed among the topographic landscape and evidence of ECM deposition (A-F). Fibroblasts populate the matrix as well as reside on the external surface of the developed matrices (Broken white square B). Dense webs of fibrillar ECM and meshwork is found through the constructs (Solid white boxes, C-D). Larger fibres are also present suggesting that mature collagen complexes are also able to be formed (White arrows, D). Images taken at 1000x (A-B) and 6000x magnification (C-F).</w:t>
                      </w:r>
                      <w:r>
                        <w:rPr>
                          <w:rFonts w:ascii="Arial Narrow" w:eastAsia="SimSun" w:hAnsi="Arial Narrow" w:cs="Arial"/>
                          <w:color w:val="595959" w:themeColor="text1" w:themeTint="A6"/>
                          <w:kern w:val="24"/>
                          <w:sz w:val="22"/>
                          <w:szCs w:val="22"/>
                        </w:rPr>
                        <w:tab/>
                      </w:r>
                      <w:r>
                        <w:rPr>
                          <w:rFonts w:ascii="Arial Narrow" w:eastAsia="SimSun" w:hAnsi="Arial Narrow" w:cs="Arial"/>
                          <w:color w:val="595959" w:themeColor="text1" w:themeTint="A6"/>
                          <w:kern w:val="24"/>
                          <w:sz w:val="22"/>
                          <w:szCs w:val="22"/>
                        </w:rPr>
                        <w:tab/>
                      </w:r>
                      <w:r>
                        <w:rPr>
                          <w:rFonts w:ascii="Arial Narrow" w:eastAsia="SimSun" w:hAnsi="Arial Narrow" w:cs="Arial"/>
                          <w:color w:val="595959" w:themeColor="text1" w:themeTint="A6"/>
                          <w:kern w:val="24"/>
                          <w:sz w:val="22"/>
                          <w:szCs w:val="22"/>
                        </w:rPr>
                        <w:tab/>
                      </w:r>
                      <w:r>
                        <w:rPr>
                          <w:rFonts w:ascii="Arial Narrow" w:eastAsia="SimSun" w:hAnsi="Arial Narrow" w:cs="Arial"/>
                          <w:color w:val="595959" w:themeColor="text1" w:themeTint="A6"/>
                          <w:kern w:val="24"/>
                          <w:sz w:val="22"/>
                          <w:szCs w:val="22"/>
                        </w:rPr>
                        <w:tab/>
                      </w:r>
                      <w:r>
                        <w:rPr>
                          <w:rFonts w:ascii="Arial Narrow" w:eastAsia="SimSun" w:hAnsi="Arial Narrow" w:cs="Arial"/>
                          <w:color w:val="595959" w:themeColor="text1" w:themeTint="A6"/>
                          <w:kern w:val="24"/>
                          <w:sz w:val="22"/>
                          <w:szCs w:val="22"/>
                        </w:rPr>
                        <w:tab/>
                      </w:r>
                      <w:r>
                        <w:rPr>
                          <w:rFonts w:ascii="Arial Narrow" w:eastAsia="SimSun" w:hAnsi="Arial Narrow" w:cs="Arial"/>
                          <w:color w:val="595959" w:themeColor="text1" w:themeTint="A6"/>
                          <w:kern w:val="24"/>
                          <w:sz w:val="22"/>
                          <w:szCs w:val="22"/>
                        </w:rPr>
                        <w:tab/>
                      </w:r>
                      <w:r>
                        <w:rPr>
                          <w:rFonts w:ascii="Arial Narrow" w:eastAsia="SimSun" w:hAnsi="Arial Narrow" w:cs="Arial"/>
                          <w:color w:val="595959" w:themeColor="text1" w:themeTint="A6"/>
                          <w:kern w:val="24"/>
                          <w:sz w:val="22"/>
                          <w:szCs w:val="22"/>
                        </w:rPr>
                        <w:tab/>
                      </w:r>
                      <w:r>
                        <w:rPr>
                          <w:rFonts w:ascii="Arial Narrow" w:eastAsia="SimSun" w:hAnsi="Arial Narrow" w:cs="Arial"/>
                          <w:color w:val="595959" w:themeColor="text1" w:themeTint="A6"/>
                          <w:kern w:val="24"/>
                          <w:sz w:val="22"/>
                          <w:szCs w:val="22"/>
                        </w:rPr>
                        <w:tab/>
                      </w:r>
                      <w:r>
                        <w:rPr>
                          <w:rFonts w:ascii="Arial Narrow" w:eastAsia="SimSun" w:hAnsi="Arial Narrow" w:cs="Arial"/>
                          <w:color w:val="595959" w:themeColor="text1" w:themeTint="A6"/>
                          <w:kern w:val="24"/>
                          <w:sz w:val="22"/>
                          <w:szCs w:val="22"/>
                        </w:rPr>
                        <w:tab/>
                      </w:r>
                      <w:r>
                        <w:rPr>
                          <w:rFonts w:ascii="Arial Narrow" w:eastAsia="SimSun" w:hAnsi="Arial Narrow" w:cs="Arial"/>
                          <w:color w:val="595959" w:themeColor="text1" w:themeTint="A6"/>
                          <w:kern w:val="24"/>
                          <w:sz w:val="22"/>
                          <w:szCs w:val="22"/>
                        </w:rPr>
                        <w:tab/>
                      </w:r>
                      <w:r>
                        <w:rPr>
                          <w:rFonts w:ascii="Arial Narrow" w:eastAsia="SimSun" w:hAnsi="Arial Narrow" w:cs="Arial"/>
                          <w:color w:val="595959" w:themeColor="text1" w:themeTint="A6"/>
                          <w:kern w:val="24"/>
                          <w:sz w:val="22"/>
                          <w:szCs w:val="22"/>
                        </w:rPr>
                        <w:tab/>
                      </w:r>
                      <w:r>
                        <w:rPr>
                          <w:rFonts w:ascii="Arial Narrow" w:eastAsia="SimSun" w:hAnsi="Arial Narrow" w:cs="Arial"/>
                          <w:color w:val="595959" w:themeColor="text1" w:themeTint="A6"/>
                          <w:kern w:val="24"/>
                          <w:sz w:val="22"/>
                          <w:szCs w:val="22"/>
                        </w:rPr>
                        <w:tab/>
                      </w:r>
                      <w:r>
                        <w:rPr>
                          <w:rFonts w:ascii="Arial Narrow" w:eastAsia="SimSun" w:hAnsi="Arial Narrow" w:cs="Arial"/>
                          <w:color w:val="595959" w:themeColor="text1" w:themeTint="A6"/>
                          <w:kern w:val="24"/>
                          <w:sz w:val="22"/>
                          <w:szCs w:val="22"/>
                        </w:rPr>
                        <w:tab/>
                      </w:r>
                      <w:r>
                        <w:rPr>
                          <w:rFonts w:ascii="Arial Narrow" w:eastAsia="SimSun" w:hAnsi="Arial Narrow" w:cs="Arial"/>
                          <w:color w:val="595959" w:themeColor="text1" w:themeTint="A6"/>
                          <w:kern w:val="24"/>
                          <w:sz w:val="22"/>
                          <w:szCs w:val="22"/>
                        </w:rPr>
                        <w:tab/>
                      </w:r>
                      <w:r>
                        <w:rPr>
                          <w:rFonts w:ascii="Arial Narrow" w:eastAsia="SimSun" w:hAnsi="Arial Narrow" w:cs="Arial"/>
                          <w:color w:val="595959" w:themeColor="text1" w:themeTint="A6"/>
                          <w:kern w:val="24"/>
                          <w:sz w:val="22"/>
                          <w:szCs w:val="22"/>
                        </w:rPr>
                        <w:tab/>
                      </w:r>
                      <w:r>
                        <w:rPr>
                          <w:rFonts w:ascii="Arial Narrow" w:eastAsia="SimSun" w:hAnsi="Arial Narrow" w:cs="Arial"/>
                          <w:color w:val="595959" w:themeColor="text1" w:themeTint="A6"/>
                          <w:kern w:val="24"/>
                          <w:sz w:val="22"/>
                          <w:szCs w:val="22"/>
                        </w:rPr>
                        <w:tab/>
                      </w:r>
                      <w:r>
                        <w:rPr>
                          <w:rFonts w:ascii="Arial Narrow" w:eastAsia="SimSun" w:hAnsi="Arial Narrow" w:cs="Arial"/>
                          <w:color w:val="595959" w:themeColor="text1" w:themeTint="A6"/>
                          <w:kern w:val="24"/>
                          <w:sz w:val="22"/>
                          <w:szCs w:val="22"/>
                        </w:rPr>
                        <w:tab/>
                      </w:r>
                      <w:r>
                        <w:rPr>
                          <w:rFonts w:ascii="Arial Narrow" w:eastAsia="SimSun" w:hAnsi="Arial Narrow" w:cs="Arial"/>
                          <w:color w:val="595959" w:themeColor="text1" w:themeTint="A6"/>
                          <w:kern w:val="24"/>
                          <w:sz w:val="22"/>
                          <w:szCs w:val="22"/>
                        </w:rPr>
                        <w:tab/>
                      </w:r>
                      <w:r w:rsidRPr="00E72F77">
                        <w:rPr>
                          <w:rFonts w:ascii="Arial Narrow" w:eastAsia="SimSun" w:hAnsi="Arial Narrow" w:cs="Arial"/>
                          <w:color w:val="595959" w:themeColor="text1" w:themeTint="A6"/>
                          <w:kern w:val="24"/>
                          <w:sz w:val="22"/>
                          <w:szCs w:val="22"/>
                        </w:rPr>
                        <w:t>(N=3, n=</w:t>
                      </w:r>
                      <w:r>
                        <w:rPr>
                          <w:rFonts w:ascii="Arial Narrow" w:eastAsia="SimSun" w:hAnsi="Arial Narrow" w:cs="Arial"/>
                          <w:color w:val="595959" w:themeColor="text1" w:themeTint="A6"/>
                          <w:kern w:val="24"/>
                          <w:sz w:val="22"/>
                          <w:szCs w:val="22"/>
                        </w:rPr>
                        <w:t>2</w:t>
                      </w:r>
                      <w:r w:rsidRPr="00E72F77">
                        <w:rPr>
                          <w:rFonts w:ascii="Arial Narrow" w:eastAsia="SimSun" w:hAnsi="Arial Narrow" w:cs="Arial"/>
                          <w:color w:val="595959" w:themeColor="text1" w:themeTint="A6"/>
                          <w:kern w:val="24"/>
                          <w:sz w:val="22"/>
                          <w:szCs w:val="22"/>
                        </w:rPr>
                        <w:t>).</w:t>
                      </w:r>
                    </w:p>
                  </w:txbxContent>
                </v:textbox>
                <w10:wrap anchorx="margin"/>
              </v:shape>
            </w:pict>
          </mc:Fallback>
        </mc:AlternateContent>
      </w:r>
    </w:p>
    <w:p w14:paraId="5C0C647C" w14:textId="77777777" w:rsidR="008C21BF" w:rsidRPr="008C21BF" w:rsidRDefault="008C21BF" w:rsidP="008C21BF"/>
    <w:p w14:paraId="6277CCD9" w14:textId="77777777" w:rsidR="008C21BF" w:rsidRPr="008C21BF" w:rsidRDefault="008C21BF" w:rsidP="008C21BF"/>
    <w:p w14:paraId="28FA9EF0" w14:textId="77777777" w:rsidR="008C21BF" w:rsidRPr="008C21BF" w:rsidRDefault="008C21BF" w:rsidP="008C21BF">
      <w:r w:rsidRPr="008C21BF">
        <w:rPr>
          <w:noProof/>
          <w:lang w:eastAsia="zh-CN"/>
        </w:rPr>
        <w:drawing>
          <wp:anchor distT="0" distB="0" distL="114300" distR="114300" simplePos="0" relativeHeight="251658369" behindDoc="0" locked="0" layoutInCell="1" allowOverlap="1" wp14:anchorId="1363D0BE" wp14:editId="37950F2E">
            <wp:simplePos x="0" y="0"/>
            <wp:positionH relativeFrom="margin">
              <wp:align>right</wp:align>
            </wp:positionH>
            <wp:positionV relativeFrom="paragraph">
              <wp:posOffset>10160</wp:posOffset>
            </wp:positionV>
            <wp:extent cx="5734050" cy="3528695"/>
            <wp:effectExtent l="0" t="0" r="0" b="0"/>
            <wp:wrapNone/>
            <wp:docPr id="2109" name="Picture 2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734050" cy="3528695"/>
                    </a:xfrm>
                    <a:prstGeom prst="rect">
                      <a:avLst/>
                    </a:prstGeom>
                    <a:noFill/>
                  </pic:spPr>
                </pic:pic>
              </a:graphicData>
            </a:graphic>
            <wp14:sizeRelH relativeFrom="margin">
              <wp14:pctWidth>0</wp14:pctWidth>
            </wp14:sizeRelH>
            <wp14:sizeRelV relativeFrom="margin">
              <wp14:pctHeight>0</wp14:pctHeight>
            </wp14:sizeRelV>
          </wp:anchor>
        </w:drawing>
      </w:r>
    </w:p>
    <w:p w14:paraId="31B02B90" w14:textId="77777777" w:rsidR="008C21BF" w:rsidRPr="008C21BF" w:rsidRDefault="008C21BF" w:rsidP="008C21BF"/>
    <w:p w14:paraId="4E840D00" w14:textId="77777777" w:rsidR="008C21BF" w:rsidRPr="008C21BF" w:rsidRDefault="008C21BF" w:rsidP="008C21BF"/>
    <w:p w14:paraId="3AF3A319" w14:textId="77777777" w:rsidR="008C21BF" w:rsidRPr="008C21BF" w:rsidRDefault="008C21BF" w:rsidP="008C21BF"/>
    <w:p w14:paraId="2FC4D7B7" w14:textId="77777777" w:rsidR="008C21BF" w:rsidRPr="008C21BF" w:rsidRDefault="008C21BF" w:rsidP="008C21BF"/>
    <w:p w14:paraId="2D9454F5" w14:textId="77777777" w:rsidR="008C21BF" w:rsidRPr="008C21BF" w:rsidRDefault="008C21BF" w:rsidP="008C21BF"/>
    <w:p w14:paraId="2E8C0DCD" w14:textId="77777777" w:rsidR="008C21BF" w:rsidRPr="008C21BF" w:rsidRDefault="008C21BF" w:rsidP="008C21BF"/>
    <w:p w14:paraId="4DFA404C" w14:textId="77777777" w:rsidR="008C21BF" w:rsidRPr="008C21BF" w:rsidRDefault="008C21BF" w:rsidP="008C21BF"/>
    <w:p w14:paraId="148180C0" w14:textId="77777777" w:rsidR="008C21BF" w:rsidRPr="008C21BF" w:rsidRDefault="008C21BF" w:rsidP="008C21BF"/>
    <w:p w14:paraId="4734F0C2" w14:textId="77777777" w:rsidR="008C21BF" w:rsidRPr="008C21BF" w:rsidRDefault="008C21BF" w:rsidP="008C21BF"/>
    <w:p w14:paraId="5505265B" w14:textId="77777777" w:rsidR="008C21BF" w:rsidRPr="008C21BF" w:rsidRDefault="008C21BF" w:rsidP="008C21BF"/>
    <w:p w14:paraId="419D4FC5" w14:textId="77777777" w:rsidR="008C21BF" w:rsidRPr="008C21BF" w:rsidRDefault="008C21BF" w:rsidP="008C21BF"/>
    <w:p w14:paraId="4B0A02D2" w14:textId="77777777" w:rsidR="008C21BF" w:rsidRPr="008C21BF" w:rsidRDefault="008C21BF" w:rsidP="008C21BF"/>
    <w:p w14:paraId="5A1B0C5A" w14:textId="77777777" w:rsidR="008C21BF" w:rsidRPr="008C21BF" w:rsidRDefault="008C21BF" w:rsidP="008C21BF"/>
    <w:p w14:paraId="5AB5BF45" w14:textId="77777777" w:rsidR="008C21BF" w:rsidRPr="008C21BF" w:rsidRDefault="008C21BF" w:rsidP="008C21BF">
      <w:r w:rsidRPr="008C21BF">
        <w:rPr>
          <w:rFonts w:ascii="Arial" w:hAnsi="Arial" w:cs="Arial"/>
          <w:noProof/>
          <w:color w:val="595959" w:themeColor="text1" w:themeTint="A6"/>
          <w:sz w:val="24"/>
          <w:szCs w:val="24"/>
          <w:lang w:eastAsia="zh-CN"/>
        </w:rPr>
        <mc:AlternateContent>
          <mc:Choice Requires="wps">
            <w:drawing>
              <wp:anchor distT="0" distB="0" distL="114300" distR="114300" simplePos="0" relativeHeight="251658334" behindDoc="0" locked="0" layoutInCell="1" allowOverlap="1" wp14:anchorId="3245CCBF" wp14:editId="6C741BE5">
                <wp:simplePos x="0" y="0"/>
                <wp:positionH relativeFrom="margin">
                  <wp:align>right</wp:align>
                </wp:positionH>
                <wp:positionV relativeFrom="paragraph">
                  <wp:posOffset>11430</wp:posOffset>
                </wp:positionV>
                <wp:extent cx="5724525" cy="1200150"/>
                <wp:effectExtent l="0" t="0" r="9525" b="0"/>
                <wp:wrapNone/>
                <wp:docPr id="41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1200150"/>
                        </a:xfrm>
                        <a:prstGeom prst="rect">
                          <a:avLst/>
                        </a:prstGeom>
                        <a:solidFill>
                          <a:srgbClr val="FFFFFF"/>
                        </a:solidFill>
                        <a:ln w="9525">
                          <a:noFill/>
                          <a:miter lim="800000"/>
                          <a:headEnd/>
                          <a:tailEnd/>
                        </a:ln>
                      </wps:spPr>
                      <wps:txbx>
                        <w:txbxContent>
                          <w:p w14:paraId="57BFB905" w14:textId="77777777" w:rsidR="008A47AC" w:rsidRPr="00E42550" w:rsidRDefault="008A47AC" w:rsidP="008C21BF">
                            <w:pPr>
                              <w:pStyle w:val="Caption"/>
                              <w:jc w:val="both"/>
                              <w:rPr>
                                <w:rFonts w:ascii="Arial Narrow" w:hAnsi="Arial Narrow"/>
                                <w:b/>
                                <w:i w:val="0"/>
                                <w:color w:val="595959" w:themeColor="text1" w:themeTint="A6"/>
                                <w:sz w:val="22"/>
                                <w:szCs w:val="22"/>
                              </w:rPr>
                            </w:pPr>
                            <w:r w:rsidRPr="00E42550">
                              <w:rPr>
                                <w:rFonts w:ascii="Arial Narrow" w:hAnsi="Arial Narrow"/>
                                <w:b/>
                                <w:i w:val="0"/>
                                <w:color w:val="595959" w:themeColor="text1" w:themeTint="A6"/>
                                <w:sz w:val="22"/>
                                <w:szCs w:val="22"/>
                              </w:rPr>
                              <w:t xml:space="preserve">Figure </w:t>
                            </w:r>
                            <w:r>
                              <w:rPr>
                                <w:rFonts w:ascii="Arial Narrow" w:hAnsi="Arial Narrow"/>
                                <w:b/>
                                <w:i w:val="0"/>
                                <w:color w:val="595959" w:themeColor="text1" w:themeTint="A6"/>
                                <w:sz w:val="22"/>
                                <w:szCs w:val="22"/>
                              </w:rPr>
                              <w:t>4.</w:t>
                            </w:r>
                            <w:r>
                              <w:rPr>
                                <w:rFonts w:ascii="Arial Narrow" w:hAnsi="Arial Narrow"/>
                                <w:b/>
                                <w:i w:val="0"/>
                                <w:noProof/>
                                <w:color w:val="595959" w:themeColor="text1" w:themeTint="A6"/>
                                <w:sz w:val="22"/>
                                <w:szCs w:val="22"/>
                              </w:rPr>
                              <w:t>3</w:t>
                            </w:r>
                            <w:r w:rsidRPr="00E42550">
                              <w:rPr>
                                <w:rFonts w:ascii="Arial Narrow" w:hAnsi="Arial Narrow"/>
                                <w:b/>
                                <w:i w:val="0"/>
                                <w:color w:val="595959" w:themeColor="text1" w:themeTint="A6"/>
                                <w:sz w:val="22"/>
                                <w:szCs w:val="22"/>
                              </w:rPr>
                              <w:t xml:space="preserve"> </w:t>
                            </w:r>
                            <w:r>
                              <w:rPr>
                                <w:rFonts w:ascii="Arial Narrow" w:hAnsi="Arial Narrow"/>
                                <w:b/>
                                <w:i w:val="0"/>
                                <w:color w:val="595959" w:themeColor="text1" w:themeTint="A6"/>
                                <w:sz w:val="22"/>
                                <w:szCs w:val="22"/>
                              </w:rPr>
                              <w:t>V</w:t>
                            </w:r>
                            <w:r w:rsidRPr="00E42550">
                              <w:rPr>
                                <w:rFonts w:ascii="Arial Narrow" w:hAnsi="Arial Narrow"/>
                                <w:b/>
                                <w:i w:val="0"/>
                                <w:color w:val="595959" w:themeColor="text1" w:themeTint="A6"/>
                                <w:sz w:val="22"/>
                                <w:szCs w:val="22"/>
                              </w:rPr>
                              <w:t>ariations in</w:t>
                            </w:r>
                            <w:r>
                              <w:rPr>
                                <w:rFonts w:ascii="Arial Narrow" w:hAnsi="Arial Narrow"/>
                                <w:b/>
                                <w:i w:val="0"/>
                                <w:color w:val="595959" w:themeColor="text1" w:themeTint="A6"/>
                                <w:sz w:val="22"/>
                                <w:szCs w:val="22"/>
                              </w:rPr>
                              <w:t xml:space="preserve"> fibroblast-derived matrix thickness </w:t>
                            </w:r>
                          </w:p>
                          <w:p w14:paraId="7129CD9B" w14:textId="1F732196" w:rsidR="008A47AC" w:rsidRPr="008E29E1" w:rsidRDefault="008A47AC" w:rsidP="008C21BF">
                            <w:pPr>
                              <w:pStyle w:val="NormalWeb"/>
                              <w:spacing w:after="200" w:line="276" w:lineRule="auto"/>
                              <w:jc w:val="both"/>
                              <w:rPr>
                                <w:rFonts w:ascii="Arial Narrow" w:hAnsi="Arial Narrow"/>
                                <w:color w:val="595959" w:themeColor="text1" w:themeTint="A6"/>
                                <w:sz w:val="22"/>
                                <w:szCs w:val="22"/>
                              </w:rPr>
                            </w:pPr>
                            <w:r>
                              <w:rPr>
                                <w:rFonts w:ascii="Arial Narrow" w:hAnsi="Arial Narrow"/>
                                <w:color w:val="595959" w:themeColor="text1" w:themeTint="A6"/>
                                <w:sz w:val="22"/>
                                <w:szCs w:val="22"/>
                              </w:rPr>
                              <w:t xml:space="preserve">The thickness of FDM deposition was measured using ImageJ measurement plug-in after 28 days for NOF-DM-GF, NOF-DM+GF, CAF-DM-GF and CAF-DM+GF. Data presented shows mean ± SD </w:t>
                            </w:r>
                            <w:r>
                              <w:rPr>
                                <w:rFonts w:ascii="Arial Narrow" w:eastAsia="SimSun" w:hAnsi="Arial Narrow" w:cs="Arial"/>
                                <w:color w:val="595959" w:themeColor="text1" w:themeTint="A6"/>
                                <w:kern w:val="24"/>
                                <w:sz w:val="22"/>
                                <w:szCs w:val="22"/>
                              </w:rPr>
                              <w:t>(N=3, n=3) and analysed using a non-parametric one-way ANOVA with a post-hoc Dunnett’s comparison test comparing to NOF-DM-GF, *</w:t>
                            </w:r>
                            <w:r>
                              <w:rPr>
                                <w:rFonts w:ascii="Arial Narrow" w:hAnsi="Arial Narrow"/>
                                <w:color w:val="595959" w:themeColor="text1" w:themeTint="A6"/>
                                <w:sz w:val="22"/>
                                <w:szCs w:val="22"/>
                              </w:rPr>
                              <w:t xml:space="preserve"> denotes p &lt;0.05.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45CCBF" id="_x0000_s1141" type="#_x0000_t202" style="position:absolute;margin-left:399.55pt;margin-top:.9pt;width:450.75pt;height:94.5pt;z-index:25165833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" stroked="f">
                <v:textbox>
                  <w:txbxContent>
                    <w:p w14:paraId="57BFB905" w14:textId="77777777" w:rsidR="008A47AC" w:rsidRPr="00E42550" w:rsidRDefault="008A47AC" w:rsidP="008C21BF">
                      <w:pPr>
                        <w:pStyle w:val="Caption"/>
                        <w:jc w:val="both"/>
                        <w:rPr>
                          <w:rFonts w:ascii="Arial Narrow" w:hAnsi="Arial Narrow"/>
                          <w:b/>
                          <w:i w:val="0"/>
                          <w:color w:val="595959" w:themeColor="text1" w:themeTint="A6"/>
                          <w:sz w:val="22"/>
                          <w:szCs w:val="22"/>
                        </w:rPr>
                      </w:pPr>
                      <w:r w:rsidRPr="00E42550">
                        <w:rPr>
                          <w:rFonts w:ascii="Arial Narrow" w:hAnsi="Arial Narrow"/>
                          <w:b/>
                          <w:i w:val="0"/>
                          <w:color w:val="595959" w:themeColor="text1" w:themeTint="A6"/>
                          <w:sz w:val="22"/>
                          <w:szCs w:val="22"/>
                        </w:rPr>
                        <w:t xml:space="preserve">Figure </w:t>
                      </w:r>
                      <w:r>
                        <w:rPr>
                          <w:rFonts w:ascii="Arial Narrow" w:hAnsi="Arial Narrow"/>
                          <w:b/>
                          <w:i w:val="0"/>
                          <w:color w:val="595959" w:themeColor="text1" w:themeTint="A6"/>
                          <w:sz w:val="22"/>
                          <w:szCs w:val="22"/>
                        </w:rPr>
                        <w:t>4.</w:t>
                      </w:r>
                      <w:r>
                        <w:rPr>
                          <w:rFonts w:ascii="Arial Narrow" w:hAnsi="Arial Narrow"/>
                          <w:b/>
                          <w:i w:val="0"/>
                          <w:noProof/>
                          <w:color w:val="595959" w:themeColor="text1" w:themeTint="A6"/>
                          <w:sz w:val="22"/>
                          <w:szCs w:val="22"/>
                        </w:rPr>
                        <w:t>3</w:t>
                      </w:r>
                      <w:r w:rsidRPr="00E42550">
                        <w:rPr>
                          <w:rFonts w:ascii="Arial Narrow" w:hAnsi="Arial Narrow"/>
                          <w:b/>
                          <w:i w:val="0"/>
                          <w:color w:val="595959" w:themeColor="text1" w:themeTint="A6"/>
                          <w:sz w:val="22"/>
                          <w:szCs w:val="22"/>
                        </w:rPr>
                        <w:t xml:space="preserve"> </w:t>
                      </w:r>
                      <w:r>
                        <w:rPr>
                          <w:rFonts w:ascii="Arial Narrow" w:hAnsi="Arial Narrow"/>
                          <w:b/>
                          <w:i w:val="0"/>
                          <w:color w:val="595959" w:themeColor="text1" w:themeTint="A6"/>
                          <w:sz w:val="22"/>
                          <w:szCs w:val="22"/>
                        </w:rPr>
                        <w:t>V</w:t>
                      </w:r>
                      <w:r w:rsidRPr="00E42550">
                        <w:rPr>
                          <w:rFonts w:ascii="Arial Narrow" w:hAnsi="Arial Narrow"/>
                          <w:b/>
                          <w:i w:val="0"/>
                          <w:color w:val="595959" w:themeColor="text1" w:themeTint="A6"/>
                          <w:sz w:val="22"/>
                          <w:szCs w:val="22"/>
                        </w:rPr>
                        <w:t>ariations in</w:t>
                      </w:r>
                      <w:r>
                        <w:rPr>
                          <w:rFonts w:ascii="Arial Narrow" w:hAnsi="Arial Narrow"/>
                          <w:b/>
                          <w:i w:val="0"/>
                          <w:color w:val="595959" w:themeColor="text1" w:themeTint="A6"/>
                          <w:sz w:val="22"/>
                          <w:szCs w:val="22"/>
                        </w:rPr>
                        <w:t xml:space="preserve"> fibroblast-derived matrix thickness </w:t>
                      </w:r>
                    </w:p>
                    <w:p w14:paraId="7129CD9B" w14:textId="1F732196" w:rsidR="008A47AC" w:rsidRPr="008E29E1" w:rsidRDefault="008A47AC" w:rsidP="008C21BF">
                      <w:pPr>
                        <w:pStyle w:val="NormalWeb"/>
                        <w:spacing w:after="200" w:line="276" w:lineRule="auto"/>
                        <w:jc w:val="both"/>
                        <w:rPr>
                          <w:rFonts w:ascii="Arial Narrow" w:hAnsi="Arial Narrow"/>
                          <w:color w:val="595959" w:themeColor="text1" w:themeTint="A6"/>
                          <w:sz w:val="22"/>
                          <w:szCs w:val="22"/>
                        </w:rPr>
                      </w:pPr>
                      <w:r>
                        <w:rPr>
                          <w:rFonts w:ascii="Arial Narrow" w:hAnsi="Arial Narrow"/>
                          <w:color w:val="595959" w:themeColor="text1" w:themeTint="A6"/>
                          <w:sz w:val="22"/>
                          <w:szCs w:val="22"/>
                        </w:rPr>
                        <w:t xml:space="preserve">The thickness of FDM deposition was measured using ImageJ measurement plug-in after 28 days for NOF-DM-GF, NOF-DM+GF, CAF-DM-GF and CAF-DM+GF. Data presented shows mean ± SD </w:t>
                      </w:r>
                      <w:r>
                        <w:rPr>
                          <w:rFonts w:ascii="Arial Narrow" w:eastAsia="SimSun" w:hAnsi="Arial Narrow" w:cs="Arial"/>
                          <w:color w:val="595959" w:themeColor="text1" w:themeTint="A6"/>
                          <w:kern w:val="24"/>
                          <w:sz w:val="22"/>
                          <w:szCs w:val="22"/>
                        </w:rPr>
                        <w:t>(N=3, n=3) and analysed using a non-parametric one-way ANOVA with a post-hoc Dunnett’s comparison test comparing to NOF-DM-GF, *</w:t>
                      </w:r>
                      <w:r>
                        <w:rPr>
                          <w:rFonts w:ascii="Arial Narrow" w:hAnsi="Arial Narrow"/>
                          <w:color w:val="595959" w:themeColor="text1" w:themeTint="A6"/>
                          <w:sz w:val="22"/>
                          <w:szCs w:val="22"/>
                        </w:rPr>
                        <w:t xml:space="preserve"> denotes p &lt;0.05. </w:t>
                      </w:r>
                    </w:p>
                  </w:txbxContent>
                </v:textbox>
                <w10:wrap anchorx="margin"/>
              </v:shape>
            </w:pict>
          </mc:Fallback>
        </mc:AlternateContent>
      </w:r>
    </w:p>
    <w:p w14:paraId="0977AD76" w14:textId="77777777" w:rsidR="008C21BF" w:rsidRPr="008C21BF" w:rsidRDefault="008C21BF" w:rsidP="008C21BF"/>
    <w:p w14:paraId="4F4630DA" w14:textId="77777777" w:rsidR="008C21BF" w:rsidRPr="008C21BF" w:rsidRDefault="008C21BF" w:rsidP="008C21BF"/>
    <w:p w14:paraId="52CD02BF" w14:textId="77777777" w:rsidR="008C21BF" w:rsidRPr="008C21BF" w:rsidRDefault="008C21BF" w:rsidP="008C21BF"/>
    <w:p w14:paraId="1DEF3447" w14:textId="77777777" w:rsidR="008C21BF" w:rsidRPr="008C21BF" w:rsidRDefault="008C21BF" w:rsidP="008C21BF"/>
    <w:p w14:paraId="7CB547EE" w14:textId="77777777" w:rsidR="008C21BF" w:rsidRPr="008C21BF" w:rsidRDefault="008C21BF" w:rsidP="008C21BF"/>
    <w:p w14:paraId="519561E2" w14:textId="77777777" w:rsidR="008C21BF" w:rsidRPr="008C21BF" w:rsidRDefault="008C21BF" w:rsidP="008C21BF"/>
    <w:p w14:paraId="6AD8EEA5" w14:textId="77777777" w:rsidR="008C21BF" w:rsidRPr="008C21BF" w:rsidRDefault="008C21BF" w:rsidP="008C21BF">
      <w:pPr>
        <w:tabs>
          <w:tab w:val="left" w:pos="1530"/>
        </w:tabs>
      </w:pPr>
    </w:p>
    <w:p w14:paraId="1F481E17" w14:textId="77777777" w:rsidR="008C21BF" w:rsidRPr="008C21BF" w:rsidRDefault="008C21BF" w:rsidP="008C21BF">
      <w:pPr>
        <w:keepNext/>
        <w:keepLines/>
        <w:spacing w:before="40" w:after="0"/>
        <w:outlineLvl w:val="3"/>
      </w:pPr>
    </w:p>
    <w:p w14:paraId="2CB70C6F" w14:textId="77777777" w:rsidR="008C21BF" w:rsidRPr="008C21BF" w:rsidRDefault="008C21BF" w:rsidP="008C21BF">
      <w:pPr>
        <w:keepNext/>
        <w:keepLines/>
        <w:spacing w:before="40" w:after="0"/>
        <w:outlineLvl w:val="3"/>
        <w:rPr>
          <w:rFonts w:ascii="Arial" w:eastAsiaTheme="majorEastAsia" w:hAnsi="Arial" w:cs="Arial"/>
          <w:i/>
          <w:iCs/>
          <w:color w:val="595959" w:themeColor="text1" w:themeTint="A6"/>
        </w:rPr>
      </w:pPr>
    </w:p>
    <w:p w14:paraId="0564BB05" w14:textId="55FB34B8" w:rsidR="008C21BF" w:rsidRDefault="008C21BF" w:rsidP="008C21BF"/>
    <w:p w14:paraId="212257BA" w14:textId="3D8C4F17" w:rsidR="00C45F93" w:rsidRDefault="00C45F93" w:rsidP="008C21BF"/>
    <w:p w14:paraId="4AC2FB00" w14:textId="77777777" w:rsidR="00C45F93" w:rsidRPr="008C21BF" w:rsidRDefault="00C45F93" w:rsidP="008C21BF"/>
    <w:p w14:paraId="0467673E" w14:textId="77777777" w:rsidR="008C21BF" w:rsidRPr="008C21BF" w:rsidRDefault="008C21BF" w:rsidP="008C21BF"/>
    <w:p w14:paraId="0DF06063" w14:textId="77777777" w:rsidR="008C21BF" w:rsidRPr="008C21BF" w:rsidRDefault="008C21BF" w:rsidP="008C21BF"/>
    <w:p w14:paraId="59AE658B" w14:textId="77777777" w:rsidR="008C21BF" w:rsidRPr="008C21BF" w:rsidRDefault="008C21BF" w:rsidP="008C21BF">
      <w:pPr>
        <w:keepNext/>
        <w:keepLines/>
        <w:spacing w:before="40" w:after="0"/>
        <w:outlineLvl w:val="3"/>
        <w:rPr>
          <w:rFonts w:ascii="Arial" w:eastAsiaTheme="majorEastAsia" w:hAnsi="Arial" w:cs="Arial"/>
          <w:i/>
          <w:iCs/>
          <w:color w:val="595959" w:themeColor="text1" w:themeTint="A6"/>
        </w:rPr>
      </w:pPr>
      <w:bookmarkStart w:id="390" w:name="_Toc7678141"/>
      <w:bookmarkStart w:id="391" w:name="_Toc34208416"/>
      <w:r w:rsidRPr="008C21BF">
        <w:rPr>
          <w:rFonts w:ascii="Arial" w:eastAsiaTheme="majorEastAsia" w:hAnsi="Arial" w:cs="Arial"/>
          <w:i/>
          <w:iCs/>
          <w:color w:val="595959" w:themeColor="text1" w:themeTint="A6"/>
        </w:rPr>
        <w:lastRenderedPageBreak/>
        <w:t>4.3.1.2 Tissue-engineered fibroblast-derived matrix viability</w:t>
      </w:r>
      <w:bookmarkEnd w:id="390"/>
      <w:bookmarkEnd w:id="391"/>
    </w:p>
    <w:p w14:paraId="127A6C73" w14:textId="77777777" w:rsidR="008C21BF" w:rsidRPr="008C21BF" w:rsidRDefault="008C21BF" w:rsidP="008C21BF">
      <w:pPr>
        <w:keepNext/>
        <w:keepLines/>
        <w:spacing w:before="40" w:after="0"/>
        <w:outlineLvl w:val="3"/>
        <w:rPr>
          <w:rFonts w:ascii="Arial" w:eastAsiaTheme="majorEastAsia" w:hAnsi="Arial" w:cs="Arial"/>
          <w:i/>
          <w:iCs/>
          <w:color w:val="595959" w:themeColor="text1" w:themeTint="A6"/>
        </w:rPr>
      </w:pPr>
      <w:r w:rsidRPr="008C21BF">
        <w:rPr>
          <w:rFonts w:ascii="Arial" w:eastAsiaTheme="majorEastAsia" w:hAnsi="Arial" w:cs="Arial"/>
          <w:i/>
          <w:iCs/>
          <w:color w:val="595959" w:themeColor="text1" w:themeTint="A6"/>
        </w:rPr>
        <w:tab/>
      </w:r>
    </w:p>
    <w:p w14:paraId="7D9F4147" w14:textId="77777777" w:rsidR="008C21BF" w:rsidRPr="008C21BF" w:rsidRDefault="008C21BF" w:rsidP="008C21BF">
      <w:pPr>
        <w:keepNext/>
        <w:keepLines/>
        <w:spacing w:before="40" w:after="0"/>
        <w:outlineLvl w:val="4"/>
        <w:rPr>
          <w:rFonts w:ascii="Arial" w:eastAsiaTheme="majorEastAsia" w:hAnsi="Arial" w:cs="Arial"/>
          <w:i/>
          <w:color w:val="595959" w:themeColor="text1" w:themeTint="A6"/>
        </w:rPr>
      </w:pPr>
      <w:bookmarkStart w:id="392" w:name="_Toc7678142"/>
      <w:bookmarkStart w:id="393" w:name="_Toc34208417"/>
      <w:r w:rsidRPr="008C21BF">
        <w:rPr>
          <w:rFonts w:ascii="Arial" w:eastAsiaTheme="majorEastAsia" w:hAnsi="Arial" w:cs="Arial"/>
          <w:i/>
          <w:color w:val="595959" w:themeColor="text1" w:themeTint="A6"/>
        </w:rPr>
        <w:t>4.3.1.2.1 Testing the integrity of developing tissue-engineered fibroblast-derived matrices</w:t>
      </w:r>
      <w:bookmarkEnd w:id="392"/>
      <w:bookmarkEnd w:id="393"/>
    </w:p>
    <w:p w14:paraId="61984843" w14:textId="77777777" w:rsidR="008C21BF" w:rsidRPr="008C21BF" w:rsidRDefault="008C21BF" w:rsidP="008C21BF"/>
    <w:p w14:paraId="2A191BC4" w14:textId="0B3B63E3" w:rsidR="008C21BF" w:rsidRPr="008C21BF" w:rsidRDefault="008C21BF" w:rsidP="008C21BF">
      <w:pPr>
        <w:tabs>
          <w:tab w:val="left" w:pos="1530"/>
        </w:tabs>
        <w:spacing w:line="480" w:lineRule="auto"/>
        <w:jc w:val="both"/>
        <w:rPr>
          <w:rFonts w:ascii="Arial" w:hAnsi="Arial" w:cs="Arial"/>
          <w:color w:val="595959" w:themeColor="text1" w:themeTint="A6"/>
        </w:rPr>
      </w:pPr>
      <w:r w:rsidRPr="008C21BF">
        <w:rPr>
          <w:rFonts w:ascii="Arial" w:hAnsi="Arial" w:cs="Arial"/>
          <w:color w:val="595959" w:themeColor="text1" w:themeTint="A6"/>
        </w:rPr>
        <w:t>The transepithelial electrical resistance (TEER) of the developing matrices was measured every 2 to 3 days for a period of 28 days to monitor TE-FDM integrity under the different culture conditions investigated. Three areas across the developing models were measured and the average resistance calculated for each sample.  A blank insert measurement was calculated and subtracted from readings to obtain the true tissue resistance. NOF-DM without growth factors (-GF) had an average resistance of 43.27 ± 8.07 Ω.cm</w:t>
      </w:r>
      <w:r w:rsidRPr="008C21BF">
        <w:rPr>
          <w:rFonts w:ascii="Arial" w:hAnsi="Arial" w:cs="Arial"/>
          <w:color w:val="595959" w:themeColor="text1" w:themeTint="A6"/>
          <w:vertAlign w:val="superscript"/>
        </w:rPr>
        <w:t xml:space="preserve">2 </w:t>
      </w:r>
      <w:r w:rsidRPr="008C21BF">
        <w:rPr>
          <w:rFonts w:ascii="Arial" w:hAnsi="Arial" w:cs="Arial"/>
          <w:color w:val="595959" w:themeColor="text1" w:themeTint="A6"/>
        </w:rPr>
        <w:t>which increased to 55.80 ± 10.95 Ω.cm</w:t>
      </w:r>
      <w:r w:rsidRPr="008C21BF">
        <w:rPr>
          <w:rFonts w:ascii="Arial" w:hAnsi="Arial" w:cs="Arial"/>
          <w:color w:val="595959" w:themeColor="text1" w:themeTint="A6"/>
          <w:vertAlign w:val="superscript"/>
        </w:rPr>
        <w:t xml:space="preserve">2 </w:t>
      </w:r>
      <w:r w:rsidRPr="008C21BF">
        <w:rPr>
          <w:rFonts w:ascii="Arial" w:hAnsi="Arial" w:cs="Arial"/>
          <w:color w:val="595959" w:themeColor="text1" w:themeTint="A6"/>
        </w:rPr>
        <w:t>with the addition of growth factors (+GF). In comparison, CAF-DM without growth factors displayed a similar average resistance of 52.73 ± 11.94 Ω.cm</w:t>
      </w:r>
      <w:r w:rsidRPr="008C21BF">
        <w:rPr>
          <w:rFonts w:ascii="Arial" w:hAnsi="Arial" w:cs="Arial"/>
          <w:color w:val="595959" w:themeColor="text1" w:themeTint="A6"/>
          <w:vertAlign w:val="superscript"/>
        </w:rPr>
        <w:t>2</w:t>
      </w:r>
      <w:r w:rsidRPr="008C21BF">
        <w:rPr>
          <w:rFonts w:ascii="Arial" w:hAnsi="Arial" w:cs="Arial"/>
          <w:color w:val="595959" w:themeColor="text1" w:themeTint="A6"/>
        </w:rPr>
        <w:t xml:space="preserve">. These trends showed that the developing matrices with and without growth factors produced an intact monolayer 24 h after seeding and consistent resistance readings with no significant differences in TEER  for each FDM up to 28 days; which supports that cultures are able to maintain a </w:t>
      </w:r>
      <w:r w:rsidR="00020571">
        <w:rPr>
          <w:rFonts w:ascii="Arial" w:hAnsi="Arial" w:cs="Arial"/>
          <w:color w:val="595959" w:themeColor="text1" w:themeTint="A6"/>
        </w:rPr>
        <w:t xml:space="preserve">form of </w:t>
      </w:r>
      <w:r w:rsidRPr="008C21BF">
        <w:rPr>
          <w:rFonts w:ascii="Arial" w:hAnsi="Arial" w:cs="Arial"/>
          <w:color w:val="595959" w:themeColor="text1" w:themeTint="A6"/>
        </w:rPr>
        <w:t xml:space="preserve">resistance barrier irrespective of cell type and treatment (Figure 4.4). </w:t>
      </w:r>
    </w:p>
    <w:p w14:paraId="204AF77C" w14:textId="77777777" w:rsidR="008C21BF" w:rsidRPr="008C21BF" w:rsidRDefault="008C21BF" w:rsidP="008C21BF">
      <w:pPr>
        <w:tabs>
          <w:tab w:val="left" w:pos="1530"/>
        </w:tabs>
        <w:spacing w:line="480" w:lineRule="auto"/>
        <w:jc w:val="both"/>
        <w:rPr>
          <w:rFonts w:ascii="Arial" w:hAnsi="Arial" w:cs="Arial"/>
          <w:color w:val="595959" w:themeColor="text1" w:themeTint="A6"/>
        </w:rPr>
      </w:pPr>
      <w:r w:rsidRPr="008C21BF">
        <w:rPr>
          <w:rFonts w:ascii="Arial" w:hAnsi="Arial" w:cs="Arial"/>
          <w:noProof/>
          <w:color w:val="595959" w:themeColor="text1" w:themeTint="A6"/>
          <w:lang w:eastAsia="zh-CN"/>
        </w:rPr>
        <w:drawing>
          <wp:anchor distT="0" distB="0" distL="114300" distR="114300" simplePos="0" relativeHeight="251658360" behindDoc="0" locked="0" layoutInCell="1" allowOverlap="1" wp14:anchorId="54DEEB3E" wp14:editId="3D5F0545">
            <wp:simplePos x="0" y="0"/>
            <wp:positionH relativeFrom="margin">
              <wp:align>right</wp:align>
            </wp:positionH>
            <wp:positionV relativeFrom="paragraph">
              <wp:posOffset>29063</wp:posOffset>
            </wp:positionV>
            <wp:extent cx="5737951" cy="2276475"/>
            <wp:effectExtent l="0" t="0" r="0" b="0"/>
            <wp:wrapNone/>
            <wp:docPr id="2110" name="Picture 2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737951" cy="2276475"/>
                    </a:xfrm>
                    <a:prstGeom prst="rect">
                      <a:avLst/>
                    </a:prstGeom>
                    <a:noFill/>
                  </pic:spPr>
                </pic:pic>
              </a:graphicData>
            </a:graphic>
            <wp14:sizeRelH relativeFrom="margin">
              <wp14:pctWidth>0</wp14:pctWidth>
            </wp14:sizeRelH>
            <wp14:sizeRelV relativeFrom="margin">
              <wp14:pctHeight>0</wp14:pctHeight>
            </wp14:sizeRelV>
          </wp:anchor>
        </w:drawing>
      </w:r>
    </w:p>
    <w:p w14:paraId="77051C3F" w14:textId="77777777" w:rsidR="008C21BF" w:rsidRPr="008C21BF" w:rsidRDefault="008C21BF" w:rsidP="008C21BF">
      <w:pPr>
        <w:tabs>
          <w:tab w:val="left" w:pos="1530"/>
        </w:tabs>
        <w:spacing w:line="480" w:lineRule="auto"/>
        <w:jc w:val="both"/>
        <w:rPr>
          <w:rFonts w:ascii="Arial" w:hAnsi="Arial" w:cs="Arial"/>
          <w:color w:val="595959" w:themeColor="text1" w:themeTint="A6"/>
        </w:rPr>
      </w:pPr>
    </w:p>
    <w:p w14:paraId="1A1992AD" w14:textId="77777777" w:rsidR="008C21BF" w:rsidRPr="008C21BF" w:rsidRDefault="008C21BF" w:rsidP="008C21BF">
      <w:pPr>
        <w:tabs>
          <w:tab w:val="left" w:pos="1530"/>
        </w:tabs>
        <w:spacing w:line="480" w:lineRule="auto"/>
        <w:jc w:val="both"/>
        <w:rPr>
          <w:rFonts w:ascii="Arial" w:hAnsi="Arial" w:cs="Arial"/>
          <w:color w:val="595959" w:themeColor="text1" w:themeTint="A6"/>
        </w:rPr>
      </w:pPr>
    </w:p>
    <w:p w14:paraId="621CBF00" w14:textId="77777777" w:rsidR="008C21BF" w:rsidRPr="008C21BF" w:rsidRDefault="008C21BF" w:rsidP="008C21BF">
      <w:pPr>
        <w:tabs>
          <w:tab w:val="left" w:pos="1530"/>
        </w:tabs>
        <w:spacing w:line="480" w:lineRule="auto"/>
        <w:jc w:val="both"/>
        <w:rPr>
          <w:rFonts w:ascii="Arial" w:hAnsi="Arial" w:cs="Arial"/>
          <w:color w:val="595959" w:themeColor="text1" w:themeTint="A6"/>
        </w:rPr>
      </w:pPr>
    </w:p>
    <w:p w14:paraId="03D86022" w14:textId="77777777" w:rsidR="008C21BF" w:rsidRPr="008C21BF" w:rsidRDefault="008C21BF" w:rsidP="008C21BF">
      <w:pPr>
        <w:tabs>
          <w:tab w:val="left" w:pos="1530"/>
        </w:tabs>
        <w:spacing w:line="480" w:lineRule="auto"/>
        <w:jc w:val="both"/>
        <w:rPr>
          <w:rFonts w:ascii="Arial" w:hAnsi="Arial" w:cs="Arial"/>
          <w:color w:val="595959" w:themeColor="text1" w:themeTint="A6"/>
        </w:rPr>
      </w:pPr>
    </w:p>
    <w:p w14:paraId="7A7CDF2E" w14:textId="77777777" w:rsidR="008C21BF" w:rsidRPr="008C21BF" w:rsidRDefault="008C21BF" w:rsidP="008C21BF">
      <w:pPr>
        <w:tabs>
          <w:tab w:val="left" w:pos="1530"/>
        </w:tabs>
        <w:spacing w:line="480" w:lineRule="auto"/>
        <w:jc w:val="both"/>
        <w:rPr>
          <w:rFonts w:ascii="Arial" w:hAnsi="Arial" w:cs="Arial"/>
          <w:color w:val="595959" w:themeColor="text1" w:themeTint="A6"/>
        </w:rPr>
      </w:pPr>
      <w:r w:rsidRPr="008C21BF">
        <w:rPr>
          <w:rFonts w:ascii="Arial" w:hAnsi="Arial" w:cs="Arial"/>
          <w:noProof/>
          <w:color w:val="595959" w:themeColor="text1" w:themeTint="A6"/>
          <w:sz w:val="24"/>
          <w:szCs w:val="24"/>
          <w:lang w:eastAsia="zh-CN"/>
        </w:rPr>
        <mc:AlternateContent>
          <mc:Choice Requires="wps">
            <w:drawing>
              <wp:anchor distT="0" distB="0" distL="114300" distR="114300" simplePos="0" relativeHeight="251658345" behindDoc="0" locked="0" layoutInCell="1" allowOverlap="1" wp14:anchorId="484549F9" wp14:editId="015A0342">
                <wp:simplePos x="0" y="0"/>
                <wp:positionH relativeFrom="margin">
                  <wp:align>right</wp:align>
                </wp:positionH>
                <wp:positionV relativeFrom="paragraph">
                  <wp:posOffset>293497</wp:posOffset>
                </wp:positionV>
                <wp:extent cx="5734050" cy="1155802"/>
                <wp:effectExtent l="0" t="0" r="0" b="6350"/>
                <wp:wrapNone/>
                <wp:docPr id="2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1155802"/>
                        </a:xfrm>
                        <a:prstGeom prst="rect">
                          <a:avLst/>
                        </a:prstGeom>
                        <a:solidFill>
                          <a:srgbClr val="FFFFFF"/>
                        </a:solidFill>
                        <a:ln w="9525">
                          <a:noFill/>
                          <a:miter lim="800000"/>
                          <a:headEnd/>
                          <a:tailEnd/>
                        </a:ln>
                      </wps:spPr>
                      <wps:txbx>
                        <w:txbxContent>
                          <w:p w14:paraId="7CB80C4F" w14:textId="77777777" w:rsidR="008A47AC" w:rsidRDefault="008A47AC" w:rsidP="008C21BF">
                            <w:pPr>
                              <w:pStyle w:val="NormalWeb"/>
                              <w:spacing w:after="200"/>
                              <w:jc w:val="both"/>
                            </w:pPr>
                            <w:r>
                              <w:rPr>
                                <w:rFonts w:ascii="Arial Narrow" w:eastAsia="SimSun" w:hAnsi="Arial Narrow" w:cs="Arial"/>
                                <w:b/>
                                <w:bCs/>
                                <w:color w:val="595959"/>
                                <w:kern w:val="24"/>
                                <w:sz w:val="22"/>
                                <w:szCs w:val="22"/>
                              </w:rPr>
                              <w:t xml:space="preserve">Figure 4.4 Transepithelial electrical resistance of developing fibroblast-derived matrices </w:t>
                            </w:r>
                          </w:p>
                          <w:p w14:paraId="3BBD221E" w14:textId="00D08D9B" w:rsidR="008A47AC" w:rsidRDefault="008A47AC" w:rsidP="008C21BF">
                            <w:pPr>
                              <w:pStyle w:val="NormalWeb"/>
                              <w:spacing w:after="200" w:line="276" w:lineRule="auto"/>
                              <w:jc w:val="both"/>
                              <w:rPr>
                                <w:rFonts w:ascii="Arial Narrow" w:eastAsia="SimSun" w:hAnsi="Arial Narrow" w:cs="Arial"/>
                                <w:color w:val="595959"/>
                                <w:kern w:val="24"/>
                                <w:sz w:val="22"/>
                                <w:szCs w:val="22"/>
                              </w:rPr>
                            </w:pPr>
                            <w:r>
                              <w:rPr>
                                <w:rFonts w:ascii="Arial Narrow" w:eastAsia="SimSun" w:hAnsi="Arial Narrow" w:cs="Arial"/>
                                <w:color w:val="595959"/>
                                <w:kern w:val="24"/>
                                <w:sz w:val="22"/>
                                <w:szCs w:val="22"/>
                              </w:rPr>
                              <w:t xml:space="preserve">Transepithelial electrical resistance was calculated over a 28-day period on developing matrices. Circle denotes NOF-DM-GF, Orange Square denotes NOF-DM+GF and pink triangle denotes CAF-DM-GF. Data is presented as mean ± SD (N=3, n=2) and was </w:t>
                            </w:r>
                            <w:r w:rsidRPr="00775A4C">
                              <w:rPr>
                                <w:rFonts w:ascii="Arial Narrow" w:eastAsia="SimSun" w:hAnsi="Arial Narrow" w:cs="Arial"/>
                                <w:i/>
                                <w:iCs/>
                                <w:color w:val="595959"/>
                                <w:kern w:val="24"/>
                                <w:sz w:val="22"/>
                                <w:szCs w:val="22"/>
                              </w:rPr>
                              <w:t>ns</w:t>
                            </w:r>
                            <w:r>
                              <w:rPr>
                                <w:rFonts w:ascii="Arial Narrow" w:eastAsia="SimSun" w:hAnsi="Arial Narrow" w:cs="Arial"/>
                                <w:color w:val="595959"/>
                                <w:kern w:val="24"/>
                                <w:sz w:val="22"/>
                                <w:szCs w:val="22"/>
                              </w:rPr>
                              <w:t xml:space="preserve"> as analysed by ordinary one-way ANOVA with Dunnett’s multiple comparison.</w:t>
                            </w:r>
                          </w:p>
                          <w:p w14:paraId="61D2B6A2" w14:textId="77777777" w:rsidR="008A47AC" w:rsidRDefault="008A47AC" w:rsidP="008C21BF">
                            <w:pPr>
                              <w:pStyle w:val="NormalWeb"/>
                              <w:spacing w:after="200"/>
                              <w:jc w:val="both"/>
                              <w:rPr>
                                <w:rFonts w:ascii="Arial Narrow" w:eastAsia="SimSun" w:hAnsi="Arial Narrow" w:cs="Arial"/>
                                <w:color w:val="595959"/>
                                <w:kern w:val="24"/>
                                <w:sz w:val="22"/>
                                <w:szCs w:val="22"/>
                              </w:rPr>
                            </w:pPr>
                          </w:p>
                          <w:p w14:paraId="6BB5479B" w14:textId="77777777" w:rsidR="008A47AC" w:rsidRDefault="008A47AC" w:rsidP="008C21BF">
                            <w:pPr>
                              <w:pStyle w:val="NormalWeb"/>
                              <w:spacing w:after="200"/>
                              <w:jc w:val="both"/>
                            </w:pPr>
                          </w:p>
                          <w:p w14:paraId="2488EE96" w14:textId="77777777" w:rsidR="008A47AC" w:rsidRDefault="008A47AC" w:rsidP="008C21BF">
                            <w:pPr>
                              <w:pStyle w:val="NormalWeb"/>
                              <w:spacing w:after="200"/>
                              <w:jc w:val="both"/>
                            </w:pPr>
                          </w:p>
                          <w:p w14:paraId="3435ABE9" w14:textId="77777777" w:rsidR="008A47AC" w:rsidRDefault="008A47AC" w:rsidP="008C21BF">
                            <w:pPr>
                              <w:pStyle w:val="NormalWeb"/>
                              <w:spacing w:after="200"/>
                              <w:jc w:val="both"/>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4549F9" id="_x0000_s1142" type="#_x0000_t202" style="position:absolute;left:0;text-align:left;margin-left:400.3pt;margin-top:23.1pt;width:451.5pt;height:91pt;z-index:251658345;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" stroked="f">
                <v:textbox>
                  <w:txbxContent>
                    <w:p w14:paraId="7CB80C4F" w14:textId="77777777" w:rsidR="008A47AC" w:rsidRDefault="008A47AC" w:rsidP="008C21BF">
                      <w:pPr>
                        <w:pStyle w:val="NormalWeb"/>
                        <w:spacing w:after="200"/>
                        <w:jc w:val="both"/>
                      </w:pPr>
                      <w:r>
                        <w:rPr>
                          <w:rFonts w:ascii="Arial Narrow" w:eastAsia="SimSun" w:hAnsi="Arial Narrow" w:cs="Arial"/>
                          <w:b/>
                          <w:bCs/>
                          <w:color w:val="595959"/>
                          <w:kern w:val="24"/>
                          <w:sz w:val="22"/>
                          <w:szCs w:val="22"/>
                        </w:rPr>
                        <w:t xml:space="preserve">Figure 4.4 Transepithelial electrical resistance of developing fibroblast-derived matrices </w:t>
                      </w:r>
                    </w:p>
                    <w:p w14:paraId="3BBD221E" w14:textId="00D08D9B" w:rsidR="008A47AC" w:rsidRDefault="008A47AC" w:rsidP="008C21BF">
                      <w:pPr>
                        <w:pStyle w:val="NormalWeb"/>
                        <w:spacing w:after="200" w:line="276" w:lineRule="auto"/>
                        <w:jc w:val="both"/>
                        <w:rPr>
                          <w:rFonts w:ascii="Arial Narrow" w:eastAsia="SimSun" w:hAnsi="Arial Narrow" w:cs="Arial"/>
                          <w:color w:val="595959"/>
                          <w:kern w:val="24"/>
                          <w:sz w:val="22"/>
                          <w:szCs w:val="22"/>
                        </w:rPr>
                      </w:pPr>
                      <w:r>
                        <w:rPr>
                          <w:rFonts w:ascii="Arial Narrow" w:eastAsia="SimSun" w:hAnsi="Arial Narrow" w:cs="Arial"/>
                          <w:color w:val="595959"/>
                          <w:kern w:val="24"/>
                          <w:sz w:val="22"/>
                          <w:szCs w:val="22"/>
                        </w:rPr>
                        <w:t xml:space="preserve">Transepithelial electrical resistance was calculated over a 28-day period on developing matrices. Circle denotes NOF-DM-GF, Orange Square denotes NOF-DM+GF and pink triangle denotes CAF-DM-GF. Data is presented as mean ± SD (N=3, n=2) and was </w:t>
                      </w:r>
                      <w:r w:rsidRPr="00775A4C">
                        <w:rPr>
                          <w:rFonts w:ascii="Arial Narrow" w:eastAsia="SimSun" w:hAnsi="Arial Narrow" w:cs="Arial"/>
                          <w:i/>
                          <w:iCs/>
                          <w:color w:val="595959"/>
                          <w:kern w:val="24"/>
                          <w:sz w:val="22"/>
                          <w:szCs w:val="22"/>
                        </w:rPr>
                        <w:t>ns</w:t>
                      </w:r>
                      <w:r>
                        <w:rPr>
                          <w:rFonts w:ascii="Arial Narrow" w:eastAsia="SimSun" w:hAnsi="Arial Narrow" w:cs="Arial"/>
                          <w:color w:val="595959"/>
                          <w:kern w:val="24"/>
                          <w:sz w:val="22"/>
                          <w:szCs w:val="22"/>
                        </w:rPr>
                        <w:t xml:space="preserve"> as analysed by ordinary one-way ANOVA with Dunnett’s multiple comparison.</w:t>
                      </w:r>
                    </w:p>
                    <w:p w14:paraId="61D2B6A2" w14:textId="77777777" w:rsidR="008A47AC" w:rsidRDefault="008A47AC" w:rsidP="008C21BF">
                      <w:pPr>
                        <w:pStyle w:val="NormalWeb"/>
                        <w:spacing w:after="200"/>
                        <w:jc w:val="both"/>
                        <w:rPr>
                          <w:rFonts w:ascii="Arial Narrow" w:eastAsia="SimSun" w:hAnsi="Arial Narrow" w:cs="Arial"/>
                          <w:color w:val="595959"/>
                          <w:kern w:val="24"/>
                          <w:sz w:val="22"/>
                          <w:szCs w:val="22"/>
                        </w:rPr>
                      </w:pPr>
                    </w:p>
                    <w:p w14:paraId="6BB5479B" w14:textId="77777777" w:rsidR="008A47AC" w:rsidRDefault="008A47AC" w:rsidP="008C21BF">
                      <w:pPr>
                        <w:pStyle w:val="NormalWeb"/>
                        <w:spacing w:after="200"/>
                        <w:jc w:val="both"/>
                      </w:pPr>
                    </w:p>
                    <w:p w14:paraId="2488EE96" w14:textId="77777777" w:rsidR="008A47AC" w:rsidRDefault="008A47AC" w:rsidP="008C21BF">
                      <w:pPr>
                        <w:pStyle w:val="NormalWeb"/>
                        <w:spacing w:after="200"/>
                        <w:jc w:val="both"/>
                      </w:pPr>
                    </w:p>
                    <w:p w14:paraId="3435ABE9" w14:textId="77777777" w:rsidR="008A47AC" w:rsidRDefault="008A47AC" w:rsidP="008C21BF">
                      <w:pPr>
                        <w:pStyle w:val="NormalWeb"/>
                        <w:spacing w:after="200"/>
                        <w:jc w:val="both"/>
                      </w:pPr>
                    </w:p>
                  </w:txbxContent>
                </v:textbox>
                <w10:wrap anchorx="margin"/>
              </v:shape>
            </w:pict>
          </mc:Fallback>
        </mc:AlternateContent>
      </w:r>
    </w:p>
    <w:p w14:paraId="238AF34E" w14:textId="77777777" w:rsidR="008C21BF" w:rsidRPr="008C21BF" w:rsidRDefault="008C21BF" w:rsidP="008C21BF">
      <w:pPr>
        <w:tabs>
          <w:tab w:val="left" w:pos="1530"/>
        </w:tabs>
        <w:spacing w:line="480" w:lineRule="auto"/>
        <w:jc w:val="both"/>
        <w:rPr>
          <w:rFonts w:ascii="Arial" w:hAnsi="Arial" w:cs="Arial"/>
          <w:color w:val="595959" w:themeColor="text1" w:themeTint="A6"/>
        </w:rPr>
      </w:pPr>
    </w:p>
    <w:p w14:paraId="24A4BA19" w14:textId="77777777" w:rsidR="008C21BF" w:rsidRPr="008C21BF" w:rsidRDefault="008C21BF" w:rsidP="008C21BF">
      <w:pPr>
        <w:tabs>
          <w:tab w:val="left" w:pos="1530"/>
        </w:tabs>
        <w:spacing w:line="480" w:lineRule="auto"/>
        <w:jc w:val="both"/>
        <w:rPr>
          <w:rFonts w:ascii="Arial" w:hAnsi="Arial" w:cs="Arial"/>
          <w:color w:val="595959" w:themeColor="text1" w:themeTint="A6"/>
        </w:rPr>
      </w:pPr>
    </w:p>
    <w:p w14:paraId="5E8424DA" w14:textId="77777777" w:rsidR="008C21BF" w:rsidRPr="008C21BF" w:rsidRDefault="008C21BF" w:rsidP="008C21BF">
      <w:pPr>
        <w:tabs>
          <w:tab w:val="left" w:pos="1530"/>
        </w:tabs>
        <w:spacing w:line="480" w:lineRule="auto"/>
        <w:jc w:val="both"/>
        <w:rPr>
          <w:rFonts w:ascii="Arial" w:hAnsi="Arial" w:cs="Arial"/>
          <w:color w:val="595959" w:themeColor="text1" w:themeTint="A6"/>
        </w:rPr>
      </w:pPr>
    </w:p>
    <w:p w14:paraId="0E869BE3" w14:textId="77777777" w:rsidR="008C21BF" w:rsidRPr="008C21BF" w:rsidRDefault="008C21BF" w:rsidP="008C21BF">
      <w:pPr>
        <w:keepNext/>
        <w:keepLines/>
        <w:spacing w:before="40" w:after="0"/>
        <w:outlineLvl w:val="4"/>
        <w:rPr>
          <w:rFonts w:ascii="Arial" w:eastAsiaTheme="majorEastAsia" w:hAnsi="Arial" w:cs="Arial"/>
          <w:i/>
          <w:color w:val="595959" w:themeColor="text1" w:themeTint="A6"/>
        </w:rPr>
      </w:pPr>
      <w:bookmarkStart w:id="394" w:name="_Toc7678143"/>
      <w:bookmarkStart w:id="395" w:name="_Toc34208418"/>
      <w:r w:rsidRPr="008C21BF">
        <w:rPr>
          <w:rFonts w:ascii="Arial" w:eastAsiaTheme="majorEastAsia" w:hAnsi="Arial" w:cs="Arial"/>
          <w:i/>
          <w:color w:val="595959" w:themeColor="text1" w:themeTint="A6"/>
        </w:rPr>
        <w:lastRenderedPageBreak/>
        <w:t>4.3.1.2.2 Analysing fibroblast-derived matrix metabolism</w:t>
      </w:r>
      <w:bookmarkEnd w:id="394"/>
      <w:bookmarkEnd w:id="395"/>
      <w:r w:rsidRPr="008C21BF">
        <w:rPr>
          <w:rFonts w:ascii="Arial" w:eastAsiaTheme="majorEastAsia" w:hAnsi="Arial" w:cs="Arial"/>
          <w:i/>
          <w:color w:val="595959" w:themeColor="text1" w:themeTint="A6"/>
        </w:rPr>
        <w:t xml:space="preserve"> </w:t>
      </w:r>
    </w:p>
    <w:p w14:paraId="5D16FB07" w14:textId="77777777" w:rsidR="008C21BF" w:rsidRPr="008C21BF" w:rsidRDefault="008C21BF" w:rsidP="008C21BF"/>
    <w:p w14:paraId="55A911C9" w14:textId="32BC123E" w:rsidR="008C21BF" w:rsidRPr="008C21BF" w:rsidRDefault="008C21BF" w:rsidP="008C21BF">
      <w:pPr>
        <w:tabs>
          <w:tab w:val="left" w:pos="1530"/>
        </w:tabs>
        <w:spacing w:line="480" w:lineRule="auto"/>
        <w:jc w:val="both"/>
        <w:rPr>
          <w:rFonts w:ascii="Arial" w:hAnsi="Arial" w:cs="Arial"/>
          <w:color w:val="595959" w:themeColor="text1" w:themeTint="A6"/>
        </w:rPr>
      </w:pPr>
      <w:r w:rsidRPr="008C21BF">
        <w:rPr>
          <w:rFonts w:ascii="Arial" w:hAnsi="Arial" w:cs="Arial"/>
          <w:color w:val="595959" w:themeColor="text1" w:themeTint="A6"/>
        </w:rPr>
        <w:t xml:space="preserve">Using a resazurin based assay, a time-course experiment to analyse metabolic changes of the developing matrices over 28 days was completed and was used as an indirect measure of cell number to assess whether the change in matrix deposition was a result of differing cell numbers overtime. Readings were taken </w:t>
      </w:r>
      <w:r w:rsidR="00020571">
        <w:rPr>
          <w:rFonts w:ascii="Arial" w:hAnsi="Arial" w:cs="Arial"/>
          <w:color w:val="595959" w:themeColor="text1" w:themeTint="A6"/>
        </w:rPr>
        <w:t xml:space="preserve">every 2-3 days </w:t>
      </w:r>
      <w:r w:rsidRPr="008C21BF">
        <w:rPr>
          <w:rFonts w:ascii="Arial" w:hAnsi="Arial" w:cs="Arial"/>
          <w:color w:val="595959" w:themeColor="text1" w:themeTint="A6"/>
        </w:rPr>
        <w:t>for NOF-DM-GF, NOF-DM+GF and CAF-DM-GF after incubation with PrestoBlue</w:t>
      </w:r>
      <w:r w:rsidRPr="00D92EDA">
        <w:rPr>
          <w:rFonts w:ascii="Arial" w:hAnsi="Arial" w:cs="Arial"/>
          <w:color w:val="595959" w:themeColor="text1" w:themeTint="A6"/>
          <w:vertAlign w:val="superscript"/>
        </w:rPr>
        <w:t>®</w:t>
      </w:r>
      <w:r w:rsidR="00FA19D7">
        <w:rPr>
          <w:rFonts w:ascii="Arial" w:hAnsi="Arial" w:cs="Arial"/>
          <w:color w:val="595959" w:themeColor="text1" w:themeTint="A6"/>
        </w:rPr>
        <w:t xml:space="preserve"> (Figure 4.5)</w:t>
      </w:r>
      <w:r w:rsidRPr="008C21BF">
        <w:rPr>
          <w:rFonts w:ascii="Arial" w:hAnsi="Arial" w:cs="Arial"/>
          <w:color w:val="595959" w:themeColor="text1" w:themeTint="A6"/>
        </w:rPr>
        <w:t xml:space="preserve">. </w:t>
      </w:r>
    </w:p>
    <w:p w14:paraId="521C287B" w14:textId="0A414DFA" w:rsidR="008C21BF" w:rsidRPr="008C21BF" w:rsidRDefault="008C21BF" w:rsidP="008C21BF">
      <w:pPr>
        <w:tabs>
          <w:tab w:val="left" w:pos="1530"/>
        </w:tabs>
        <w:spacing w:line="480" w:lineRule="auto"/>
        <w:jc w:val="both"/>
        <w:rPr>
          <w:rFonts w:ascii="Arial" w:hAnsi="Arial" w:cs="Arial"/>
          <w:color w:val="595959" w:themeColor="text1" w:themeTint="A6"/>
        </w:rPr>
      </w:pPr>
      <w:r w:rsidRPr="008C21BF">
        <w:rPr>
          <w:rFonts w:ascii="Arial" w:hAnsi="Arial" w:cs="Arial"/>
          <w:color w:val="595959" w:themeColor="text1" w:themeTint="A6"/>
        </w:rPr>
        <w:t xml:space="preserve">All cultures metabolised consistently during the time course with no significant differences between the groups investigated. From day 2 to 8 a slight increase was </w:t>
      </w:r>
      <w:r w:rsidR="00020571">
        <w:rPr>
          <w:rFonts w:ascii="Arial" w:hAnsi="Arial" w:cs="Arial"/>
          <w:color w:val="595959" w:themeColor="text1" w:themeTint="A6"/>
        </w:rPr>
        <w:t>observed</w:t>
      </w:r>
      <w:r w:rsidRPr="008C21BF">
        <w:rPr>
          <w:rFonts w:ascii="Arial" w:hAnsi="Arial" w:cs="Arial"/>
          <w:color w:val="595959" w:themeColor="text1" w:themeTint="A6"/>
        </w:rPr>
        <w:t xml:space="preserve"> in the cell metabolism in NOF and CAF and was likely a result of proliferation before cells experience contact inhibition. We observed that NOF-DM-GF had a mean fluorescence of 37507 ± 4937 a.u, and the addition of growth factors caused an increase in metabolism with a mean fluorescence of 40753 ± 4386 a.u. </w:t>
      </w:r>
    </w:p>
    <w:p w14:paraId="1D49D612" w14:textId="77777777" w:rsidR="008C21BF" w:rsidRPr="008C21BF" w:rsidRDefault="008C21BF" w:rsidP="008C21BF">
      <w:pPr>
        <w:tabs>
          <w:tab w:val="left" w:pos="1530"/>
        </w:tabs>
        <w:spacing w:line="480" w:lineRule="auto"/>
        <w:jc w:val="both"/>
        <w:rPr>
          <w:rFonts w:ascii="Arial" w:hAnsi="Arial" w:cs="Arial"/>
          <w:color w:val="595959" w:themeColor="text1" w:themeTint="A6"/>
        </w:rPr>
      </w:pPr>
      <w:r w:rsidRPr="008C21BF">
        <w:rPr>
          <w:rFonts w:ascii="Arial" w:hAnsi="Arial" w:cs="Arial"/>
          <w:noProof/>
          <w:color w:val="595959" w:themeColor="text1" w:themeTint="A6"/>
          <w:lang w:eastAsia="zh-CN"/>
        </w:rPr>
        <w:drawing>
          <wp:anchor distT="0" distB="0" distL="114300" distR="114300" simplePos="0" relativeHeight="251658361" behindDoc="0" locked="0" layoutInCell="1" allowOverlap="1" wp14:anchorId="4A998B20" wp14:editId="753BB09F">
            <wp:simplePos x="0" y="0"/>
            <wp:positionH relativeFrom="margin">
              <wp:posOffset>-2540</wp:posOffset>
            </wp:positionH>
            <wp:positionV relativeFrom="paragraph">
              <wp:posOffset>864184</wp:posOffset>
            </wp:positionV>
            <wp:extent cx="5734050" cy="2360930"/>
            <wp:effectExtent l="0" t="0" r="0" b="0"/>
            <wp:wrapNone/>
            <wp:docPr id="2111" name="Picture 2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734050" cy="2360930"/>
                    </a:xfrm>
                    <a:prstGeom prst="rect">
                      <a:avLst/>
                    </a:prstGeom>
                    <a:noFill/>
                  </pic:spPr>
                </pic:pic>
              </a:graphicData>
            </a:graphic>
            <wp14:sizeRelH relativeFrom="margin">
              <wp14:pctWidth>0</wp14:pctWidth>
            </wp14:sizeRelH>
            <wp14:sizeRelV relativeFrom="margin">
              <wp14:pctHeight>0</wp14:pctHeight>
            </wp14:sizeRelV>
          </wp:anchor>
        </w:drawing>
      </w:r>
      <w:r w:rsidRPr="008C21BF">
        <w:rPr>
          <w:rFonts w:ascii="Arial" w:hAnsi="Arial" w:cs="Arial"/>
          <w:color w:val="595959" w:themeColor="text1" w:themeTint="A6"/>
        </w:rPr>
        <w:t xml:space="preserve">Interestingly, the CAF-DM metabolised at a lower rate with a mean intensity of 35206 ± 5016 a.u. These results indicate that the fibroblasts depositing the matrices remain metabolic for up to 28 days in culture with no significant increase in cell number (Figure 4.5). </w:t>
      </w:r>
    </w:p>
    <w:p w14:paraId="34A62CC8" w14:textId="77777777" w:rsidR="008C21BF" w:rsidRPr="008C21BF" w:rsidRDefault="008C21BF" w:rsidP="008C21BF">
      <w:pPr>
        <w:tabs>
          <w:tab w:val="left" w:pos="1530"/>
        </w:tabs>
        <w:spacing w:line="480" w:lineRule="auto"/>
        <w:jc w:val="both"/>
        <w:rPr>
          <w:rFonts w:ascii="Arial" w:hAnsi="Arial" w:cs="Arial"/>
          <w:color w:val="595959" w:themeColor="text1" w:themeTint="A6"/>
        </w:rPr>
      </w:pPr>
    </w:p>
    <w:p w14:paraId="6610CFFE" w14:textId="77777777" w:rsidR="008C21BF" w:rsidRPr="008C21BF" w:rsidRDefault="008C21BF" w:rsidP="008C21BF">
      <w:pPr>
        <w:tabs>
          <w:tab w:val="left" w:pos="1530"/>
        </w:tabs>
        <w:spacing w:line="480" w:lineRule="auto"/>
        <w:jc w:val="both"/>
        <w:rPr>
          <w:rFonts w:ascii="Arial" w:hAnsi="Arial" w:cs="Arial"/>
          <w:color w:val="595959" w:themeColor="text1" w:themeTint="A6"/>
        </w:rPr>
      </w:pPr>
    </w:p>
    <w:p w14:paraId="2E082D39" w14:textId="77777777" w:rsidR="008C21BF" w:rsidRPr="008C21BF" w:rsidRDefault="008C21BF" w:rsidP="008C21BF">
      <w:pPr>
        <w:tabs>
          <w:tab w:val="left" w:pos="1530"/>
        </w:tabs>
        <w:spacing w:line="480" w:lineRule="auto"/>
        <w:jc w:val="both"/>
        <w:rPr>
          <w:rFonts w:ascii="Arial" w:hAnsi="Arial" w:cs="Arial"/>
          <w:color w:val="595959" w:themeColor="text1" w:themeTint="A6"/>
        </w:rPr>
      </w:pPr>
    </w:p>
    <w:p w14:paraId="0ABBB768" w14:textId="77777777" w:rsidR="008C21BF" w:rsidRPr="008C21BF" w:rsidRDefault="008C21BF" w:rsidP="008C21BF">
      <w:pPr>
        <w:tabs>
          <w:tab w:val="left" w:pos="1530"/>
        </w:tabs>
        <w:spacing w:line="480" w:lineRule="auto"/>
        <w:jc w:val="both"/>
        <w:rPr>
          <w:rFonts w:ascii="Arial" w:hAnsi="Arial" w:cs="Arial"/>
          <w:color w:val="595959" w:themeColor="text1" w:themeTint="A6"/>
        </w:rPr>
      </w:pPr>
    </w:p>
    <w:p w14:paraId="5E77C022" w14:textId="77777777" w:rsidR="008C21BF" w:rsidRPr="008C21BF" w:rsidRDefault="008C21BF" w:rsidP="008C21BF">
      <w:pPr>
        <w:tabs>
          <w:tab w:val="left" w:pos="1530"/>
        </w:tabs>
        <w:spacing w:line="480" w:lineRule="auto"/>
        <w:jc w:val="both"/>
        <w:rPr>
          <w:rFonts w:ascii="Arial" w:hAnsi="Arial" w:cs="Arial"/>
          <w:color w:val="595959" w:themeColor="text1" w:themeTint="A6"/>
        </w:rPr>
      </w:pPr>
    </w:p>
    <w:p w14:paraId="3312D0C3" w14:textId="77777777" w:rsidR="008C21BF" w:rsidRPr="008C21BF" w:rsidRDefault="008C21BF" w:rsidP="008C21BF">
      <w:pPr>
        <w:tabs>
          <w:tab w:val="left" w:pos="1530"/>
        </w:tabs>
        <w:spacing w:line="480" w:lineRule="auto"/>
        <w:jc w:val="both"/>
        <w:rPr>
          <w:rFonts w:ascii="Arial" w:hAnsi="Arial" w:cs="Arial"/>
          <w:color w:val="595959" w:themeColor="text1" w:themeTint="A6"/>
        </w:rPr>
      </w:pPr>
      <w:r w:rsidRPr="008C21BF">
        <w:rPr>
          <w:rFonts w:ascii="Arial" w:hAnsi="Arial" w:cs="Arial"/>
          <w:noProof/>
          <w:color w:val="595959" w:themeColor="text1" w:themeTint="A6"/>
          <w:sz w:val="24"/>
          <w:szCs w:val="24"/>
          <w:lang w:eastAsia="zh-CN"/>
        </w:rPr>
        <mc:AlternateContent>
          <mc:Choice Requires="wps">
            <w:drawing>
              <wp:anchor distT="0" distB="0" distL="114300" distR="114300" simplePos="0" relativeHeight="251658346" behindDoc="0" locked="0" layoutInCell="1" allowOverlap="1" wp14:anchorId="343823A0" wp14:editId="0DF3C611">
                <wp:simplePos x="0" y="0"/>
                <wp:positionH relativeFrom="margin">
                  <wp:align>right</wp:align>
                </wp:positionH>
                <wp:positionV relativeFrom="paragraph">
                  <wp:posOffset>143433</wp:posOffset>
                </wp:positionV>
                <wp:extent cx="5724525" cy="1316736"/>
                <wp:effectExtent l="0" t="0" r="9525" b="0"/>
                <wp:wrapNone/>
                <wp:docPr id="2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1316736"/>
                        </a:xfrm>
                        <a:prstGeom prst="rect">
                          <a:avLst/>
                        </a:prstGeom>
                        <a:solidFill>
                          <a:srgbClr val="FFFFFF"/>
                        </a:solidFill>
                        <a:ln w="9525">
                          <a:noFill/>
                          <a:miter lim="800000"/>
                          <a:headEnd/>
                          <a:tailEnd/>
                        </a:ln>
                      </wps:spPr>
                      <wps:txbx>
                        <w:txbxContent>
                          <w:p w14:paraId="45303B01" w14:textId="77777777" w:rsidR="008A47AC" w:rsidRDefault="008A47AC" w:rsidP="008C21BF">
                            <w:pPr>
                              <w:pStyle w:val="NormalWeb"/>
                              <w:spacing w:after="200"/>
                              <w:jc w:val="both"/>
                            </w:pPr>
                            <w:r>
                              <w:rPr>
                                <w:rFonts w:ascii="Arial Narrow" w:eastAsia="SimSun" w:hAnsi="Arial Narrow" w:cs="Arial"/>
                                <w:b/>
                                <w:bCs/>
                                <w:color w:val="595959"/>
                                <w:kern w:val="24"/>
                                <w:sz w:val="22"/>
                                <w:szCs w:val="22"/>
                              </w:rPr>
                              <w:t xml:space="preserve">Figure 4.5 Metabolic activity of fibroblasts in TE-FDM over 28 days </w:t>
                            </w:r>
                          </w:p>
                          <w:p w14:paraId="665464EF" w14:textId="254FC4E9" w:rsidR="008A47AC" w:rsidRDefault="008A47AC" w:rsidP="008C21BF">
                            <w:pPr>
                              <w:pStyle w:val="NormalWeb"/>
                              <w:spacing w:after="200" w:line="276" w:lineRule="auto"/>
                              <w:jc w:val="both"/>
                              <w:rPr>
                                <w:rFonts w:ascii="Arial Narrow" w:eastAsia="SimSun" w:hAnsi="Arial Narrow" w:cs="Arial"/>
                                <w:color w:val="595959"/>
                                <w:kern w:val="24"/>
                                <w:sz w:val="22"/>
                                <w:szCs w:val="22"/>
                              </w:rPr>
                            </w:pPr>
                            <w:r>
                              <w:rPr>
                                <w:rFonts w:ascii="Arial Narrow" w:eastAsia="SimSun" w:hAnsi="Arial Narrow" w:cs="Arial"/>
                                <w:color w:val="595959"/>
                                <w:kern w:val="24"/>
                                <w:sz w:val="22"/>
                                <w:szCs w:val="22"/>
                              </w:rPr>
                              <w:t xml:space="preserve">Cell metabolism was calculated over a 28-day period from different fibroblast cultures used to generate matrices using resazurin-reduction assay measured spectrometrically. A steady metabolism was calculated over 28-days in culture for NOF-DM-GF (yellow circle), NOF-DM+GF (orange square) and CAF-DM (pink triangle) Data is presented as mean ± SD (N=3, n=2) and was </w:t>
                            </w:r>
                            <w:r w:rsidRPr="00775A4C">
                              <w:rPr>
                                <w:rFonts w:ascii="Arial Narrow" w:eastAsia="SimSun" w:hAnsi="Arial Narrow" w:cs="Arial"/>
                                <w:i/>
                                <w:iCs/>
                                <w:color w:val="595959"/>
                                <w:kern w:val="24"/>
                                <w:sz w:val="22"/>
                                <w:szCs w:val="22"/>
                              </w:rPr>
                              <w:t>ns</w:t>
                            </w:r>
                            <w:r>
                              <w:rPr>
                                <w:rFonts w:ascii="Arial Narrow" w:eastAsia="SimSun" w:hAnsi="Arial Narrow" w:cs="Arial"/>
                                <w:color w:val="595959"/>
                                <w:kern w:val="24"/>
                                <w:sz w:val="22"/>
                                <w:szCs w:val="22"/>
                              </w:rPr>
                              <w:t xml:space="preserve"> as analysed by ordinary one-way ANOVA with Dunnett’s multiple comparison. </w:t>
                            </w:r>
                          </w:p>
                          <w:p w14:paraId="4EB12148" w14:textId="77777777" w:rsidR="008A47AC" w:rsidRDefault="008A47AC" w:rsidP="008C21BF">
                            <w:pPr>
                              <w:pStyle w:val="NormalWeb"/>
                              <w:spacing w:after="200"/>
                              <w:jc w:val="both"/>
                              <w:rPr>
                                <w:rFonts w:ascii="Arial Narrow" w:eastAsia="SimSun" w:hAnsi="Arial Narrow" w:cs="Arial"/>
                                <w:color w:val="595959"/>
                                <w:kern w:val="24"/>
                                <w:sz w:val="22"/>
                                <w:szCs w:val="22"/>
                              </w:rPr>
                            </w:pPr>
                          </w:p>
                          <w:p w14:paraId="7C5695AE" w14:textId="77777777" w:rsidR="008A47AC" w:rsidRDefault="008A47AC" w:rsidP="008C21BF">
                            <w:pPr>
                              <w:pStyle w:val="NormalWeb"/>
                              <w:spacing w:after="200"/>
                              <w:jc w:val="both"/>
                              <w:rPr>
                                <w:rFonts w:ascii="Arial Narrow" w:eastAsia="SimSun" w:hAnsi="Arial Narrow" w:cs="Arial"/>
                                <w:color w:val="595959"/>
                                <w:kern w:val="24"/>
                                <w:sz w:val="22"/>
                                <w:szCs w:val="22"/>
                              </w:rPr>
                            </w:pPr>
                          </w:p>
                          <w:p w14:paraId="20B91BD7" w14:textId="77777777" w:rsidR="008A47AC" w:rsidRDefault="008A47AC" w:rsidP="008C21BF">
                            <w:pPr>
                              <w:pStyle w:val="NormalWeb"/>
                              <w:spacing w:after="200"/>
                              <w:jc w:val="both"/>
                            </w:pPr>
                          </w:p>
                          <w:p w14:paraId="786DC2AC" w14:textId="77777777" w:rsidR="008A47AC" w:rsidRDefault="008A47AC" w:rsidP="008C21BF">
                            <w:pPr>
                              <w:pStyle w:val="NormalWeb"/>
                              <w:spacing w:after="200"/>
                              <w:jc w:val="both"/>
                            </w:pPr>
                          </w:p>
                          <w:p w14:paraId="25D229D6" w14:textId="77777777" w:rsidR="008A47AC" w:rsidRDefault="008A47AC" w:rsidP="008C21BF">
                            <w:pPr>
                              <w:pStyle w:val="NormalWeb"/>
                              <w:spacing w:after="200"/>
                              <w:jc w:val="both"/>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3823A0" id="_x0000_s1143" type="#_x0000_t202" style="position:absolute;left:0;text-align:left;margin-left:399.55pt;margin-top:11.3pt;width:450.75pt;height:103.7pt;z-index:25165834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" stroked="f">
                <v:textbox>
                  <w:txbxContent>
                    <w:p w14:paraId="45303B01" w14:textId="77777777" w:rsidR="008A47AC" w:rsidRDefault="008A47AC" w:rsidP="008C21BF">
                      <w:pPr>
                        <w:pStyle w:val="NormalWeb"/>
                        <w:spacing w:after="200"/>
                        <w:jc w:val="both"/>
                      </w:pPr>
                      <w:r>
                        <w:rPr>
                          <w:rFonts w:ascii="Arial Narrow" w:eastAsia="SimSun" w:hAnsi="Arial Narrow" w:cs="Arial"/>
                          <w:b/>
                          <w:bCs/>
                          <w:color w:val="595959"/>
                          <w:kern w:val="24"/>
                          <w:sz w:val="22"/>
                          <w:szCs w:val="22"/>
                        </w:rPr>
                        <w:t xml:space="preserve">Figure 4.5 Metabolic activity of fibroblasts in TE-FDM over 28 days </w:t>
                      </w:r>
                    </w:p>
                    <w:p w14:paraId="665464EF" w14:textId="254FC4E9" w:rsidR="008A47AC" w:rsidRDefault="008A47AC" w:rsidP="008C21BF">
                      <w:pPr>
                        <w:pStyle w:val="NormalWeb"/>
                        <w:spacing w:after="200" w:line="276" w:lineRule="auto"/>
                        <w:jc w:val="both"/>
                        <w:rPr>
                          <w:rFonts w:ascii="Arial Narrow" w:eastAsia="SimSun" w:hAnsi="Arial Narrow" w:cs="Arial"/>
                          <w:color w:val="595959"/>
                          <w:kern w:val="24"/>
                          <w:sz w:val="22"/>
                          <w:szCs w:val="22"/>
                        </w:rPr>
                      </w:pPr>
                      <w:r>
                        <w:rPr>
                          <w:rFonts w:ascii="Arial Narrow" w:eastAsia="SimSun" w:hAnsi="Arial Narrow" w:cs="Arial"/>
                          <w:color w:val="595959"/>
                          <w:kern w:val="24"/>
                          <w:sz w:val="22"/>
                          <w:szCs w:val="22"/>
                        </w:rPr>
                        <w:t xml:space="preserve">Cell metabolism was calculated over a 28-day period from different fibroblast cultures used to generate matrices using resazurin-reduction assay measured </w:t>
                      </w:r>
                      <w:proofErr w:type="spellStart"/>
                      <w:r>
                        <w:rPr>
                          <w:rFonts w:ascii="Arial Narrow" w:eastAsia="SimSun" w:hAnsi="Arial Narrow" w:cs="Arial"/>
                          <w:color w:val="595959"/>
                          <w:kern w:val="24"/>
                          <w:sz w:val="22"/>
                          <w:szCs w:val="22"/>
                        </w:rPr>
                        <w:t>spectrometrically</w:t>
                      </w:r>
                      <w:proofErr w:type="spellEnd"/>
                      <w:r>
                        <w:rPr>
                          <w:rFonts w:ascii="Arial Narrow" w:eastAsia="SimSun" w:hAnsi="Arial Narrow" w:cs="Arial"/>
                          <w:color w:val="595959"/>
                          <w:kern w:val="24"/>
                          <w:sz w:val="22"/>
                          <w:szCs w:val="22"/>
                        </w:rPr>
                        <w:t xml:space="preserve">. A steady metabolism was calculated over 28-days in culture for NOF-DM-GF (yellow circle), NOF-DM+GF (orange square) and CAF-DM (pink triangle) Data is presented as mean ± SD (N=3, n=2) and was </w:t>
                      </w:r>
                      <w:r w:rsidRPr="00775A4C">
                        <w:rPr>
                          <w:rFonts w:ascii="Arial Narrow" w:eastAsia="SimSun" w:hAnsi="Arial Narrow" w:cs="Arial"/>
                          <w:i/>
                          <w:iCs/>
                          <w:color w:val="595959"/>
                          <w:kern w:val="24"/>
                          <w:sz w:val="22"/>
                          <w:szCs w:val="22"/>
                        </w:rPr>
                        <w:t>ns</w:t>
                      </w:r>
                      <w:r>
                        <w:rPr>
                          <w:rFonts w:ascii="Arial Narrow" w:eastAsia="SimSun" w:hAnsi="Arial Narrow" w:cs="Arial"/>
                          <w:color w:val="595959"/>
                          <w:kern w:val="24"/>
                          <w:sz w:val="22"/>
                          <w:szCs w:val="22"/>
                        </w:rPr>
                        <w:t xml:space="preserve"> as analysed by ordinary one-way ANOVA with Dunnett’s multiple comparison. </w:t>
                      </w:r>
                    </w:p>
                    <w:p w14:paraId="4EB12148" w14:textId="77777777" w:rsidR="008A47AC" w:rsidRDefault="008A47AC" w:rsidP="008C21BF">
                      <w:pPr>
                        <w:pStyle w:val="NormalWeb"/>
                        <w:spacing w:after="200"/>
                        <w:jc w:val="both"/>
                        <w:rPr>
                          <w:rFonts w:ascii="Arial Narrow" w:eastAsia="SimSun" w:hAnsi="Arial Narrow" w:cs="Arial"/>
                          <w:color w:val="595959"/>
                          <w:kern w:val="24"/>
                          <w:sz w:val="22"/>
                          <w:szCs w:val="22"/>
                        </w:rPr>
                      </w:pPr>
                    </w:p>
                    <w:p w14:paraId="7C5695AE" w14:textId="77777777" w:rsidR="008A47AC" w:rsidRDefault="008A47AC" w:rsidP="008C21BF">
                      <w:pPr>
                        <w:pStyle w:val="NormalWeb"/>
                        <w:spacing w:after="200"/>
                        <w:jc w:val="both"/>
                        <w:rPr>
                          <w:rFonts w:ascii="Arial Narrow" w:eastAsia="SimSun" w:hAnsi="Arial Narrow" w:cs="Arial"/>
                          <w:color w:val="595959"/>
                          <w:kern w:val="24"/>
                          <w:sz w:val="22"/>
                          <w:szCs w:val="22"/>
                        </w:rPr>
                      </w:pPr>
                    </w:p>
                    <w:p w14:paraId="20B91BD7" w14:textId="77777777" w:rsidR="008A47AC" w:rsidRDefault="008A47AC" w:rsidP="008C21BF">
                      <w:pPr>
                        <w:pStyle w:val="NormalWeb"/>
                        <w:spacing w:after="200"/>
                        <w:jc w:val="both"/>
                      </w:pPr>
                    </w:p>
                    <w:p w14:paraId="786DC2AC" w14:textId="77777777" w:rsidR="008A47AC" w:rsidRDefault="008A47AC" w:rsidP="008C21BF">
                      <w:pPr>
                        <w:pStyle w:val="NormalWeb"/>
                        <w:spacing w:after="200"/>
                        <w:jc w:val="both"/>
                      </w:pPr>
                    </w:p>
                    <w:p w14:paraId="25D229D6" w14:textId="77777777" w:rsidR="008A47AC" w:rsidRDefault="008A47AC" w:rsidP="008C21BF">
                      <w:pPr>
                        <w:pStyle w:val="NormalWeb"/>
                        <w:spacing w:after="200"/>
                        <w:jc w:val="both"/>
                      </w:pPr>
                    </w:p>
                  </w:txbxContent>
                </v:textbox>
                <w10:wrap anchorx="margin"/>
              </v:shape>
            </w:pict>
          </mc:Fallback>
        </mc:AlternateContent>
      </w:r>
    </w:p>
    <w:p w14:paraId="73DF9EB4" w14:textId="77777777" w:rsidR="008C21BF" w:rsidRPr="008C21BF" w:rsidRDefault="008C21BF" w:rsidP="008C21BF">
      <w:pPr>
        <w:tabs>
          <w:tab w:val="left" w:pos="1530"/>
        </w:tabs>
        <w:spacing w:line="480" w:lineRule="auto"/>
        <w:jc w:val="both"/>
        <w:rPr>
          <w:rFonts w:ascii="Arial" w:hAnsi="Arial" w:cs="Arial"/>
          <w:color w:val="595959" w:themeColor="text1" w:themeTint="A6"/>
        </w:rPr>
      </w:pPr>
    </w:p>
    <w:p w14:paraId="64D865BC" w14:textId="77777777" w:rsidR="008C21BF" w:rsidRPr="008C21BF" w:rsidRDefault="008C21BF" w:rsidP="008C21BF">
      <w:pPr>
        <w:tabs>
          <w:tab w:val="left" w:pos="1530"/>
        </w:tabs>
        <w:spacing w:line="480" w:lineRule="auto"/>
        <w:jc w:val="both"/>
        <w:rPr>
          <w:rFonts w:ascii="Arial" w:hAnsi="Arial" w:cs="Arial"/>
          <w:color w:val="595959" w:themeColor="text1" w:themeTint="A6"/>
        </w:rPr>
      </w:pPr>
    </w:p>
    <w:p w14:paraId="5CC3D15C" w14:textId="77777777" w:rsidR="008C21BF" w:rsidRPr="008C21BF" w:rsidRDefault="008C21BF" w:rsidP="008C21BF">
      <w:pPr>
        <w:tabs>
          <w:tab w:val="left" w:pos="1530"/>
        </w:tabs>
        <w:spacing w:line="480" w:lineRule="auto"/>
        <w:jc w:val="both"/>
        <w:rPr>
          <w:rFonts w:ascii="Arial" w:hAnsi="Arial" w:cs="Arial"/>
          <w:color w:val="595959" w:themeColor="text1" w:themeTint="A6"/>
        </w:rPr>
      </w:pPr>
    </w:p>
    <w:p w14:paraId="5F439E1F" w14:textId="77777777" w:rsidR="008C21BF" w:rsidRPr="008C21BF" w:rsidRDefault="008C21BF" w:rsidP="008C21BF">
      <w:pPr>
        <w:keepNext/>
        <w:keepLines/>
        <w:spacing w:before="40" w:after="0"/>
        <w:outlineLvl w:val="2"/>
        <w:rPr>
          <w:rFonts w:ascii="Arial" w:eastAsiaTheme="majorEastAsia" w:hAnsi="Arial" w:cs="Arial"/>
          <w:color w:val="595959" w:themeColor="text1" w:themeTint="A6"/>
          <w:sz w:val="24"/>
          <w:szCs w:val="24"/>
        </w:rPr>
      </w:pPr>
      <w:bookmarkStart w:id="396" w:name="_Toc34208419"/>
      <w:bookmarkStart w:id="397" w:name="_Toc7678144"/>
      <w:r w:rsidRPr="008C21BF">
        <w:rPr>
          <w:rFonts w:ascii="Arial" w:eastAsiaTheme="majorEastAsia" w:hAnsi="Arial" w:cs="Arial"/>
          <w:color w:val="595959" w:themeColor="text1" w:themeTint="A6"/>
          <w:sz w:val="24"/>
          <w:szCs w:val="24"/>
        </w:rPr>
        <w:lastRenderedPageBreak/>
        <w:t>4.3.2 Tissue-engineered fibroblast-derived matrix characterisation</w:t>
      </w:r>
      <w:bookmarkEnd w:id="396"/>
      <w:r w:rsidRPr="008C21BF">
        <w:rPr>
          <w:rFonts w:ascii="Arial" w:eastAsiaTheme="majorEastAsia" w:hAnsi="Arial" w:cs="Arial"/>
          <w:color w:val="595959" w:themeColor="text1" w:themeTint="A6"/>
          <w:sz w:val="24"/>
          <w:szCs w:val="24"/>
        </w:rPr>
        <w:t xml:space="preserve"> </w:t>
      </w:r>
      <w:bookmarkEnd w:id="397"/>
    </w:p>
    <w:p w14:paraId="4015F416" w14:textId="77777777" w:rsidR="008C21BF" w:rsidRPr="008C21BF" w:rsidRDefault="008C21BF" w:rsidP="008C21BF"/>
    <w:p w14:paraId="2541CE41" w14:textId="77777777" w:rsidR="008C21BF" w:rsidRPr="008C21BF" w:rsidRDefault="008C21BF" w:rsidP="008C21BF">
      <w:pPr>
        <w:keepNext/>
        <w:keepLines/>
        <w:spacing w:before="40" w:after="0"/>
        <w:outlineLvl w:val="3"/>
        <w:rPr>
          <w:rFonts w:ascii="Arial" w:eastAsiaTheme="majorEastAsia" w:hAnsi="Arial" w:cs="Arial"/>
          <w:i/>
          <w:iCs/>
          <w:color w:val="595959" w:themeColor="text1" w:themeTint="A6"/>
        </w:rPr>
      </w:pPr>
      <w:bookmarkStart w:id="398" w:name="_Toc7678145"/>
      <w:bookmarkStart w:id="399" w:name="_Toc34208420"/>
      <w:r w:rsidRPr="008C21BF">
        <w:rPr>
          <w:rFonts w:ascii="Arial" w:eastAsiaTheme="majorEastAsia" w:hAnsi="Arial" w:cs="Arial"/>
          <w:i/>
          <w:iCs/>
          <w:color w:val="595959" w:themeColor="text1" w:themeTint="A6"/>
        </w:rPr>
        <w:t>4.3.2.1 Ultrastructure analysis of fibroblast-derived matrix architecture</w:t>
      </w:r>
      <w:bookmarkEnd w:id="398"/>
      <w:bookmarkEnd w:id="399"/>
    </w:p>
    <w:p w14:paraId="68925A6B" w14:textId="77777777" w:rsidR="008C21BF" w:rsidRPr="008C21BF" w:rsidRDefault="008C21BF" w:rsidP="008C21BF"/>
    <w:p w14:paraId="51A3ADA9" w14:textId="77777777" w:rsidR="008C21BF" w:rsidRPr="008C21BF" w:rsidRDefault="008C21BF" w:rsidP="008C21BF">
      <w:pPr>
        <w:tabs>
          <w:tab w:val="left" w:pos="1680"/>
        </w:tabs>
        <w:spacing w:line="480" w:lineRule="auto"/>
        <w:jc w:val="both"/>
        <w:rPr>
          <w:rFonts w:ascii="Arial" w:hAnsi="Arial" w:cs="Arial"/>
          <w:color w:val="595959" w:themeColor="text1" w:themeTint="A6"/>
        </w:rPr>
      </w:pPr>
      <w:r w:rsidRPr="008C21BF">
        <w:rPr>
          <w:rFonts w:ascii="Arial" w:hAnsi="Arial" w:cs="Arial"/>
          <w:color w:val="595959" w:themeColor="text1" w:themeTint="A6"/>
        </w:rPr>
        <w:t>In order to visualise the native ECM on the microscale; SEM was used. This technique highlighted matrix microstructure and topographical development after a 28-day development time for both NOF-DM and CAF-DM (Figure 4.6).  At 1000x magnification there was no visible difference in the surface topography of NOF-DM and CAF-DM, as displayed in the micrographs (Figure 4.6 A+D). There is evidence of intact layer structure with dense ECM deposition (Figure 4.6 A-F).</w:t>
      </w:r>
    </w:p>
    <w:p w14:paraId="0F4A10BA" w14:textId="77777777" w:rsidR="008C21BF" w:rsidRPr="008C21BF" w:rsidRDefault="008C21BF" w:rsidP="008C21BF">
      <w:pPr>
        <w:tabs>
          <w:tab w:val="left" w:pos="1680"/>
        </w:tabs>
        <w:spacing w:line="480" w:lineRule="auto"/>
        <w:jc w:val="both"/>
        <w:rPr>
          <w:rFonts w:ascii="Arial" w:hAnsi="Arial" w:cs="Arial"/>
          <w:color w:val="595959" w:themeColor="text1" w:themeTint="A6"/>
        </w:rPr>
      </w:pPr>
      <w:r w:rsidRPr="008C21BF">
        <w:rPr>
          <w:rFonts w:ascii="Arial" w:hAnsi="Arial" w:cs="Arial"/>
          <w:color w:val="595959" w:themeColor="text1" w:themeTint="A6"/>
        </w:rPr>
        <w:t xml:space="preserve">Even after a 28-day culture period there remains evidence of oral fibroblasts populating the matrix and surface protein structures clearly visible (Figure 4.6 D). Magnified micrographs at 6000x showed prominent matrix structures which have formed a dense web of ECM material (Figure 4.6 B, C + E). Intact meshwork of microfibres as well as larger fibrillar structures are also present, suggesting that higher order protein structures are present within TE-FDM (Figure 4.6 E).  </w:t>
      </w:r>
    </w:p>
    <w:p w14:paraId="27706B5D" w14:textId="77777777" w:rsidR="008C21BF" w:rsidRPr="008C21BF" w:rsidRDefault="008C21BF" w:rsidP="008C21BF">
      <w:pPr>
        <w:tabs>
          <w:tab w:val="left" w:pos="1680"/>
        </w:tabs>
        <w:spacing w:line="480" w:lineRule="auto"/>
        <w:jc w:val="both"/>
        <w:rPr>
          <w:rFonts w:ascii="Arial" w:hAnsi="Arial" w:cs="Arial"/>
          <w:color w:val="595959" w:themeColor="text1" w:themeTint="A6"/>
        </w:rPr>
      </w:pPr>
    </w:p>
    <w:p w14:paraId="1ED3A6AE" w14:textId="77777777" w:rsidR="008C21BF" w:rsidRPr="008C21BF" w:rsidRDefault="008C21BF" w:rsidP="008C21BF">
      <w:pPr>
        <w:tabs>
          <w:tab w:val="left" w:pos="1680"/>
        </w:tabs>
        <w:spacing w:line="480" w:lineRule="auto"/>
        <w:jc w:val="both"/>
        <w:rPr>
          <w:rFonts w:ascii="Arial" w:hAnsi="Arial" w:cs="Arial"/>
          <w:color w:val="595959" w:themeColor="text1" w:themeTint="A6"/>
        </w:rPr>
      </w:pPr>
    </w:p>
    <w:p w14:paraId="38AE1729" w14:textId="77777777" w:rsidR="008C21BF" w:rsidRPr="008C21BF" w:rsidRDefault="008C21BF" w:rsidP="008C21BF">
      <w:pPr>
        <w:tabs>
          <w:tab w:val="left" w:pos="1680"/>
        </w:tabs>
        <w:spacing w:line="480" w:lineRule="auto"/>
        <w:jc w:val="both"/>
        <w:rPr>
          <w:rFonts w:ascii="Arial" w:hAnsi="Arial" w:cs="Arial"/>
          <w:color w:val="595959" w:themeColor="text1" w:themeTint="A6"/>
        </w:rPr>
      </w:pPr>
    </w:p>
    <w:p w14:paraId="09BB5158" w14:textId="77777777" w:rsidR="008C21BF" w:rsidRPr="008C21BF" w:rsidRDefault="008C21BF" w:rsidP="008C21BF">
      <w:pPr>
        <w:tabs>
          <w:tab w:val="left" w:pos="1680"/>
        </w:tabs>
        <w:spacing w:line="480" w:lineRule="auto"/>
        <w:jc w:val="both"/>
        <w:rPr>
          <w:rFonts w:ascii="Arial" w:hAnsi="Arial" w:cs="Arial"/>
          <w:color w:val="595959" w:themeColor="text1" w:themeTint="A6"/>
        </w:rPr>
      </w:pPr>
    </w:p>
    <w:p w14:paraId="722C6173" w14:textId="77777777" w:rsidR="008C21BF" w:rsidRPr="008C21BF" w:rsidRDefault="008C21BF" w:rsidP="008C21BF">
      <w:pPr>
        <w:tabs>
          <w:tab w:val="left" w:pos="1680"/>
        </w:tabs>
        <w:spacing w:line="480" w:lineRule="auto"/>
        <w:jc w:val="both"/>
        <w:rPr>
          <w:rFonts w:ascii="Arial" w:hAnsi="Arial" w:cs="Arial"/>
          <w:color w:val="595959" w:themeColor="text1" w:themeTint="A6"/>
        </w:rPr>
      </w:pPr>
    </w:p>
    <w:p w14:paraId="2BA379BB" w14:textId="77777777" w:rsidR="008C21BF" w:rsidRPr="008C21BF" w:rsidRDefault="008C21BF" w:rsidP="008C21BF">
      <w:pPr>
        <w:tabs>
          <w:tab w:val="left" w:pos="1680"/>
        </w:tabs>
        <w:spacing w:line="480" w:lineRule="auto"/>
        <w:jc w:val="both"/>
        <w:rPr>
          <w:rFonts w:ascii="Arial" w:hAnsi="Arial" w:cs="Arial"/>
          <w:color w:val="595959" w:themeColor="text1" w:themeTint="A6"/>
        </w:rPr>
      </w:pPr>
    </w:p>
    <w:p w14:paraId="3981C5A3" w14:textId="77777777" w:rsidR="008C21BF" w:rsidRPr="008C21BF" w:rsidRDefault="008C21BF" w:rsidP="008C21BF">
      <w:pPr>
        <w:tabs>
          <w:tab w:val="left" w:pos="1680"/>
        </w:tabs>
        <w:spacing w:line="480" w:lineRule="auto"/>
        <w:jc w:val="both"/>
        <w:rPr>
          <w:rFonts w:ascii="Arial" w:hAnsi="Arial" w:cs="Arial"/>
          <w:color w:val="595959" w:themeColor="text1" w:themeTint="A6"/>
        </w:rPr>
      </w:pPr>
    </w:p>
    <w:p w14:paraId="4287DBBA" w14:textId="77777777" w:rsidR="008C21BF" w:rsidRPr="008C21BF" w:rsidRDefault="008C21BF" w:rsidP="008C21BF">
      <w:pPr>
        <w:tabs>
          <w:tab w:val="left" w:pos="1680"/>
        </w:tabs>
        <w:spacing w:line="480" w:lineRule="auto"/>
        <w:jc w:val="both"/>
        <w:rPr>
          <w:rFonts w:ascii="Arial" w:hAnsi="Arial" w:cs="Arial"/>
          <w:color w:val="595959" w:themeColor="text1" w:themeTint="A6"/>
        </w:rPr>
      </w:pPr>
    </w:p>
    <w:p w14:paraId="71053C6B" w14:textId="77777777" w:rsidR="008C21BF" w:rsidRPr="008C21BF" w:rsidRDefault="008C21BF" w:rsidP="008C21BF">
      <w:pPr>
        <w:tabs>
          <w:tab w:val="left" w:pos="1680"/>
        </w:tabs>
        <w:spacing w:line="480" w:lineRule="auto"/>
        <w:jc w:val="both"/>
        <w:rPr>
          <w:rFonts w:ascii="Arial" w:hAnsi="Arial" w:cs="Arial"/>
          <w:color w:val="595959" w:themeColor="text1" w:themeTint="A6"/>
        </w:rPr>
      </w:pPr>
    </w:p>
    <w:p w14:paraId="70EBCA82" w14:textId="77777777" w:rsidR="008C21BF" w:rsidRPr="008C21BF" w:rsidRDefault="008C21BF" w:rsidP="008C21BF">
      <w:pPr>
        <w:tabs>
          <w:tab w:val="left" w:pos="1680"/>
        </w:tabs>
        <w:spacing w:line="480" w:lineRule="auto"/>
        <w:jc w:val="both"/>
        <w:rPr>
          <w:rFonts w:ascii="Arial" w:hAnsi="Arial" w:cs="Arial"/>
          <w:color w:val="595959" w:themeColor="text1" w:themeTint="A6"/>
        </w:rPr>
      </w:pPr>
      <w:r w:rsidRPr="008C21BF">
        <w:rPr>
          <w:rFonts w:ascii="Arial" w:hAnsi="Arial" w:cs="Arial"/>
          <w:noProof/>
          <w:color w:val="595959" w:themeColor="text1" w:themeTint="A6"/>
          <w:lang w:eastAsia="zh-CN"/>
        </w:rPr>
        <w:lastRenderedPageBreak/>
        <w:drawing>
          <wp:anchor distT="0" distB="0" distL="114300" distR="114300" simplePos="0" relativeHeight="251658347" behindDoc="0" locked="0" layoutInCell="1" allowOverlap="1" wp14:anchorId="7BD50E29" wp14:editId="5C023465">
            <wp:simplePos x="0" y="0"/>
            <wp:positionH relativeFrom="margin">
              <wp:align>left</wp:align>
            </wp:positionH>
            <wp:positionV relativeFrom="paragraph">
              <wp:posOffset>47625</wp:posOffset>
            </wp:positionV>
            <wp:extent cx="4366432" cy="8799915"/>
            <wp:effectExtent l="0" t="0" r="0" b="1270"/>
            <wp:wrapNone/>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366432" cy="8799915"/>
                    </a:xfrm>
                    <a:prstGeom prst="rect">
                      <a:avLst/>
                    </a:prstGeom>
                    <a:noFill/>
                  </pic:spPr>
                </pic:pic>
              </a:graphicData>
            </a:graphic>
            <wp14:sizeRelH relativeFrom="margin">
              <wp14:pctWidth>0</wp14:pctWidth>
            </wp14:sizeRelH>
            <wp14:sizeRelV relativeFrom="margin">
              <wp14:pctHeight>0</wp14:pctHeight>
            </wp14:sizeRelV>
          </wp:anchor>
        </w:drawing>
      </w:r>
    </w:p>
    <w:p w14:paraId="20C4BDF6" w14:textId="77777777" w:rsidR="008C21BF" w:rsidRPr="008C21BF" w:rsidRDefault="008C21BF" w:rsidP="008C21BF">
      <w:pPr>
        <w:tabs>
          <w:tab w:val="left" w:pos="1680"/>
        </w:tabs>
        <w:spacing w:line="480" w:lineRule="auto"/>
        <w:jc w:val="both"/>
        <w:rPr>
          <w:rFonts w:ascii="Arial" w:hAnsi="Arial" w:cs="Arial"/>
          <w:color w:val="595959" w:themeColor="text1" w:themeTint="A6"/>
        </w:rPr>
      </w:pPr>
    </w:p>
    <w:p w14:paraId="36B84D07" w14:textId="77777777" w:rsidR="008C21BF" w:rsidRPr="008C21BF" w:rsidRDefault="008C21BF" w:rsidP="008C21BF">
      <w:pPr>
        <w:tabs>
          <w:tab w:val="left" w:pos="1680"/>
        </w:tabs>
        <w:spacing w:line="480" w:lineRule="auto"/>
        <w:jc w:val="both"/>
        <w:rPr>
          <w:rFonts w:ascii="Arial" w:hAnsi="Arial" w:cs="Arial"/>
          <w:color w:val="595959" w:themeColor="text1" w:themeTint="A6"/>
        </w:rPr>
      </w:pPr>
    </w:p>
    <w:p w14:paraId="576FC408" w14:textId="77777777" w:rsidR="008C21BF" w:rsidRPr="008C21BF" w:rsidRDefault="008C21BF" w:rsidP="008C21BF">
      <w:pPr>
        <w:tabs>
          <w:tab w:val="left" w:pos="1680"/>
        </w:tabs>
        <w:spacing w:line="480" w:lineRule="auto"/>
        <w:jc w:val="both"/>
        <w:rPr>
          <w:rFonts w:ascii="Arial" w:hAnsi="Arial" w:cs="Arial"/>
          <w:color w:val="595959" w:themeColor="text1" w:themeTint="A6"/>
        </w:rPr>
      </w:pPr>
    </w:p>
    <w:p w14:paraId="75C05379" w14:textId="77777777" w:rsidR="008C21BF" w:rsidRPr="008C21BF" w:rsidRDefault="008C21BF" w:rsidP="008C21BF">
      <w:pPr>
        <w:tabs>
          <w:tab w:val="left" w:pos="1680"/>
        </w:tabs>
        <w:spacing w:line="480" w:lineRule="auto"/>
        <w:jc w:val="both"/>
        <w:rPr>
          <w:rFonts w:ascii="Arial" w:hAnsi="Arial" w:cs="Arial"/>
          <w:color w:val="595959" w:themeColor="text1" w:themeTint="A6"/>
        </w:rPr>
      </w:pPr>
    </w:p>
    <w:p w14:paraId="6E4F50B9" w14:textId="77777777" w:rsidR="008C21BF" w:rsidRPr="008C21BF" w:rsidRDefault="008C21BF" w:rsidP="008C21BF">
      <w:pPr>
        <w:tabs>
          <w:tab w:val="left" w:pos="1680"/>
        </w:tabs>
        <w:spacing w:line="480" w:lineRule="auto"/>
        <w:jc w:val="both"/>
        <w:rPr>
          <w:rFonts w:ascii="Arial" w:hAnsi="Arial" w:cs="Arial"/>
          <w:color w:val="595959" w:themeColor="text1" w:themeTint="A6"/>
        </w:rPr>
      </w:pPr>
    </w:p>
    <w:p w14:paraId="73D8CE80" w14:textId="77777777" w:rsidR="008C21BF" w:rsidRPr="008C21BF" w:rsidRDefault="008C21BF" w:rsidP="008C21BF">
      <w:pPr>
        <w:tabs>
          <w:tab w:val="left" w:pos="1680"/>
        </w:tabs>
        <w:jc w:val="both"/>
        <w:rPr>
          <w:rFonts w:ascii="Arial" w:hAnsi="Arial" w:cs="Arial"/>
          <w:color w:val="595959" w:themeColor="text1" w:themeTint="A6"/>
        </w:rPr>
      </w:pPr>
      <w:r w:rsidRPr="008C21BF">
        <w:rPr>
          <w:rFonts w:ascii="Arial" w:hAnsi="Arial" w:cs="Arial"/>
          <w:color w:val="595959" w:themeColor="text1" w:themeTint="A6"/>
        </w:rPr>
        <w:t xml:space="preserve"> </w:t>
      </w:r>
    </w:p>
    <w:p w14:paraId="5F770A18" w14:textId="6AD6673F" w:rsidR="008C21BF" w:rsidRPr="008C21BF" w:rsidRDefault="008C21BF" w:rsidP="008C21BF">
      <w:pPr>
        <w:tabs>
          <w:tab w:val="left" w:pos="1680"/>
        </w:tabs>
        <w:jc w:val="both"/>
        <w:rPr>
          <w:rFonts w:ascii="Arial" w:hAnsi="Arial" w:cs="Arial"/>
          <w:color w:val="595959" w:themeColor="text1" w:themeTint="A6"/>
        </w:rPr>
      </w:pPr>
    </w:p>
    <w:p w14:paraId="74CB35D3" w14:textId="17A07C44" w:rsidR="008C21BF" w:rsidRPr="008C21BF" w:rsidRDefault="008C21BF" w:rsidP="008C21BF">
      <w:pPr>
        <w:tabs>
          <w:tab w:val="left" w:pos="1680"/>
        </w:tabs>
        <w:jc w:val="both"/>
        <w:rPr>
          <w:rFonts w:ascii="Arial" w:hAnsi="Arial" w:cs="Arial"/>
          <w:color w:val="595959" w:themeColor="text1" w:themeTint="A6"/>
        </w:rPr>
      </w:pPr>
    </w:p>
    <w:p w14:paraId="32DCCA34" w14:textId="6A17CFD6" w:rsidR="008C21BF" w:rsidRPr="008C21BF" w:rsidRDefault="008C21BF" w:rsidP="008C21BF">
      <w:pPr>
        <w:tabs>
          <w:tab w:val="left" w:pos="1680"/>
        </w:tabs>
        <w:jc w:val="both"/>
        <w:rPr>
          <w:rFonts w:ascii="Arial" w:hAnsi="Arial" w:cs="Arial"/>
          <w:color w:val="595959" w:themeColor="text1" w:themeTint="A6"/>
        </w:rPr>
      </w:pPr>
    </w:p>
    <w:p w14:paraId="5B45EBC1" w14:textId="732BF248" w:rsidR="008C21BF" w:rsidRPr="008C21BF" w:rsidRDefault="006008A3" w:rsidP="008C21BF">
      <w:pPr>
        <w:tabs>
          <w:tab w:val="left" w:pos="1680"/>
        </w:tabs>
        <w:jc w:val="both"/>
        <w:rPr>
          <w:rFonts w:ascii="Arial" w:hAnsi="Arial" w:cs="Arial"/>
          <w:color w:val="595959" w:themeColor="text1" w:themeTint="A6"/>
        </w:rPr>
      </w:pPr>
      <w:r w:rsidRPr="008C21BF">
        <w:rPr>
          <w:rFonts w:ascii="Arial" w:hAnsi="Arial" w:cs="Arial"/>
          <w:noProof/>
          <w:color w:val="595959" w:themeColor="text1" w:themeTint="A6"/>
          <w:sz w:val="24"/>
          <w:szCs w:val="24"/>
          <w:lang w:eastAsia="zh-CN"/>
        </w:rPr>
        <mc:AlternateContent>
          <mc:Choice Requires="wps">
            <w:drawing>
              <wp:anchor distT="0" distB="0" distL="114300" distR="114300" simplePos="0" relativeHeight="251658342" behindDoc="0" locked="0" layoutInCell="1" allowOverlap="1" wp14:anchorId="3F85C6D0" wp14:editId="3F2932F4">
                <wp:simplePos x="0" y="0"/>
                <wp:positionH relativeFrom="margin">
                  <wp:posOffset>622619</wp:posOffset>
                </wp:positionH>
                <wp:positionV relativeFrom="paragraph">
                  <wp:posOffset>200977</wp:posOffset>
                </wp:positionV>
                <wp:extent cx="8808720" cy="1189355"/>
                <wp:effectExtent l="0" t="318" r="0" b="0"/>
                <wp:wrapNone/>
                <wp:docPr id="41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8808720" cy="1189355"/>
                        </a:xfrm>
                        <a:prstGeom prst="rect">
                          <a:avLst/>
                        </a:prstGeom>
                        <a:solidFill>
                          <a:srgbClr val="FFFFFF"/>
                        </a:solidFill>
                        <a:ln w="9525">
                          <a:noFill/>
                          <a:miter lim="800000"/>
                          <a:headEnd/>
                          <a:tailEnd/>
                        </a:ln>
                      </wps:spPr>
                      <wps:txbx>
                        <w:txbxContent>
                          <w:p w14:paraId="131CDE27" w14:textId="77777777" w:rsidR="008A47AC" w:rsidRPr="00E42550" w:rsidRDefault="008A47AC" w:rsidP="008C21BF">
                            <w:pPr>
                              <w:pStyle w:val="Caption"/>
                              <w:jc w:val="both"/>
                              <w:rPr>
                                <w:rFonts w:ascii="Arial Narrow" w:hAnsi="Arial Narrow"/>
                                <w:b/>
                                <w:i w:val="0"/>
                                <w:color w:val="595959" w:themeColor="text1" w:themeTint="A6"/>
                                <w:sz w:val="22"/>
                                <w:szCs w:val="22"/>
                              </w:rPr>
                            </w:pPr>
                            <w:r w:rsidRPr="00E42550">
                              <w:rPr>
                                <w:rFonts w:ascii="Arial Narrow" w:hAnsi="Arial Narrow"/>
                                <w:b/>
                                <w:i w:val="0"/>
                                <w:color w:val="595959" w:themeColor="text1" w:themeTint="A6"/>
                                <w:sz w:val="22"/>
                                <w:szCs w:val="22"/>
                              </w:rPr>
                              <w:t xml:space="preserve">Figure </w:t>
                            </w:r>
                            <w:r>
                              <w:rPr>
                                <w:rFonts w:ascii="Arial Narrow" w:hAnsi="Arial Narrow"/>
                                <w:b/>
                                <w:i w:val="0"/>
                                <w:noProof/>
                                <w:color w:val="595959" w:themeColor="text1" w:themeTint="A6"/>
                                <w:sz w:val="22"/>
                                <w:szCs w:val="22"/>
                              </w:rPr>
                              <w:t>4.6 SEM</w:t>
                            </w:r>
                            <w:r w:rsidRPr="00E42550">
                              <w:rPr>
                                <w:rFonts w:ascii="Arial Narrow" w:hAnsi="Arial Narrow"/>
                                <w:b/>
                                <w:i w:val="0"/>
                                <w:color w:val="595959" w:themeColor="text1" w:themeTint="A6"/>
                                <w:sz w:val="22"/>
                                <w:szCs w:val="22"/>
                              </w:rPr>
                              <w:t xml:space="preserve"> </w:t>
                            </w:r>
                            <w:r>
                              <w:rPr>
                                <w:rFonts w:ascii="Arial Narrow" w:hAnsi="Arial Narrow"/>
                                <w:b/>
                                <w:i w:val="0"/>
                                <w:color w:val="595959" w:themeColor="text1" w:themeTint="A6"/>
                                <w:sz w:val="22"/>
                                <w:szCs w:val="22"/>
                              </w:rPr>
                              <w:t>micrographs of oral fibroblast-derived matrices</w:t>
                            </w:r>
                          </w:p>
                          <w:p w14:paraId="558344F9" w14:textId="77777777" w:rsidR="008A47AC" w:rsidRPr="00E72F77" w:rsidRDefault="008A47AC" w:rsidP="008C21BF">
                            <w:pPr>
                              <w:pStyle w:val="NormalWeb"/>
                              <w:spacing w:after="200" w:line="276" w:lineRule="auto"/>
                              <w:jc w:val="both"/>
                              <w:rPr>
                                <w:rFonts w:ascii="Arial Narrow" w:hAnsi="Arial Narrow"/>
                                <w:color w:val="595959" w:themeColor="text1" w:themeTint="A6"/>
                                <w:sz w:val="22"/>
                                <w:szCs w:val="22"/>
                              </w:rPr>
                            </w:pPr>
                            <w:r>
                              <w:rPr>
                                <w:rFonts w:ascii="Arial Narrow" w:eastAsia="SimSun" w:hAnsi="Arial Narrow" w:cs="Arial"/>
                                <w:color w:val="595959" w:themeColor="text1" w:themeTint="A6"/>
                                <w:kern w:val="24"/>
                                <w:sz w:val="22"/>
                                <w:szCs w:val="22"/>
                              </w:rPr>
                              <w:t xml:space="preserve">SEM micrographs evidence that both the NOF-DM and CAF-DM formed an intact matrix layer with surface proteins dispersed among the topographic landscape and evidence of ECM deposition (A-F). Fibroblasts populate the matrix as well as reside on the external surface of the developed matrices (Broken white square D). Dense webs of fibrillar ECM and meshwork is found throughout the constructs (Solid white boxes, B+E). Larger fibres are also present suggesting that mature collagen complexes are also able to be formed (White arrows, E). Images taken at 1000x (A+D) and 6000x magnification (B, C, E+F) </w:t>
                            </w:r>
                            <w:r w:rsidRPr="00E72F77">
                              <w:rPr>
                                <w:rFonts w:ascii="Arial Narrow" w:eastAsia="SimSun" w:hAnsi="Arial Narrow" w:cs="Arial"/>
                                <w:color w:val="595959" w:themeColor="text1" w:themeTint="A6"/>
                                <w:kern w:val="24"/>
                                <w:sz w:val="22"/>
                                <w:szCs w:val="22"/>
                              </w:rPr>
                              <w:t>(N=3, n=</w:t>
                            </w:r>
                            <w:r>
                              <w:rPr>
                                <w:rFonts w:ascii="Arial Narrow" w:eastAsia="SimSun" w:hAnsi="Arial Narrow" w:cs="Arial"/>
                                <w:color w:val="595959" w:themeColor="text1" w:themeTint="A6"/>
                                <w:kern w:val="24"/>
                                <w:sz w:val="22"/>
                                <w:szCs w:val="22"/>
                              </w:rPr>
                              <w:t>2</w:t>
                            </w:r>
                            <w:r w:rsidRPr="00E72F77">
                              <w:rPr>
                                <w:rFonts w:ascii="Arial Narrow" w:eastAsia="SimSun" w:hAnsi="Arial Narrow" w:cs="Arial"/>
                                <w:color w:val="595959" w:themeColor="text1" w:themeTint="A6"/>
                                <w:kern w:val="24"/>
                                <w:sz w:val="22"/>
                                <w:szCs w:val="2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85C6D0" id="_x0000_s1144" type="#_x0000_t202" style="position:absolute;left:0;text-align:left;margin-left:49.05pt;margin-top:15.8pt;width:693.6pt;height:93.65pt;rotation:-90;z-index:25165834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" stroked="f">
                <v:textbox>
                  <w:txbxContent>
                    <w:p w14:paraId="131CDE27" w14:textId="77777777" w:rsidR="008A47AC" w:rsidRPr="00E42550" w:rsidRDefault="008A47AC" w:rsidP="008C21BF">
                      <w:pPr>
                        <w:pStyle w:val="Caption"/>
                        <w:jc w:val="both"/>
                        <w:rPr>
                          <w:rFonts w:ascii="Arial Narrow" w:hAnsi="Arial Narrow"/>
                          <w:b/>
                          <w:i w:val="0"/>
                          <w:color w:val="595959" w:themeColor="text1" w:themeTint="A6"/>
                          <w:sz w:val="22"/>
                          <w:szCs w:val="22"/>
                        </w:rPr>
                      </w:pPr>
                      <w:r w:rsidRPr="00E42550">
                        <w:rPr>
                          <w:rFonts w:ascii="Arial Narrow" w:hAnsi="Arial Narrow"/>
                          <w:b/>
                          <w:i w:val="0"/>
                          <w:color w:val="595959" w:themeColor="text1" w:themeTint="A6"/>
                          <w:sz w:val="22"/>
                          <w:szCs w:val="22"/>
                        </w:rPr>
                        <w:t xml:space="preserve">Figure </w:t>
                      </w:r>
                      <w:r>
                        <w:rPr>
                          <w:rFonts w:ascii="Arial Narrow" w:hAnsi="Arial Narrow"/>
                          <w:b/>
                          <w:i w:val="0"/>
                          <w:noProof/>
                          <w:color w:val="595959" w:themeColor="text1" w:themeTint="A6"/>
                          <w:sz w:val="22"/>
                          <w:szCs w:val="22"/>
                        </w:rPr>
                        <w:t>4.6 SEM</w:t>
                      </w:r>
                      <w:r w:rsidRPr="00E42550">
                        <w:rPr>
                          <w:rFonts w:ascii="Arial Narrow" w:hAnsi="Arial Narrow"/>
                          <w:b/>
                          <w:i w:val="0"/>
                          <w:color w:val="595959" w:themeColor="text1" w:themeTint="A6"/>
                          <w:sz w:val="22"/>
                          <w:szCs w:val="22"/>
                        </w:rPr>
                        <w:t xml:space="preserve"> </w:t>
                      </w:r>
                      <w:r>
                        <w:rPr>
                          <w:rFonts w:ascii="Arial Narrow" w:hAnsi="Arial Narrow"/>
                          <w:b/>
                          <w:i w:val="0"/>
                          <w:color w:val="595959" w:themeColor="text1" w:themeTint="A6"/>
                          <w:sz w:val="22"/>
                          <w:szCs w:val="22"/>
                        </w:rPr>
                        <w:t>micrographs of oral fibroblast-derived matrices</w:t>
                      </w:r>
                    </w:p>
                    <w:p w14:paraId="558344F9" w14:textId="77777777" w:rsidR="008A47AC" w:rsidRPr="00E72F77" w:rsidRDefault="008A47AC" w:rsidP="008C21BF">
                      <w:pPr>
                        <w:pStyle w:val="NormalWeb"/>
                        <w:spacing w:after="200" w:line="276" w:lineRule="auto"/>
                        <w:jc w:val="both"/>
                        <w:rPr>
                          <w:rFonts w:ascii="Arial Narrow" w:hAnsi="Arial Narrow"/>
                          <w:color w:val="595959" w:themeColor="text1" w:themeTint="A6"/>
                          <w:sz w:val="22"/>
                          <w:szCs w:val="22"/>
                        </w:rPr>
                      </w:pPr>
                      <w:r>
                        <w:rPr>
                          <w:rFonts w:ascii="Arial Narrow" w:eastAsia="SimSun" w:hAnsi="Arial Narrow" w:cs="Arial"/>
                          <w:color w:val="595959" w:themeColor="text1" w:themeTint="A6"/>
                          <w:kern w:val="24"/>
                          <w:sz w:val="22"/>
                          <w:szCs w:val="22"/>
                        </w:rPr>
                        <w:t xml:space="preserve">SEM micrographs evidence that both the NOF-DM and CAF-DM formed an intact matrix layer with surface proteins dispersed among the topographic landscape and evidence of ECM deposition (A-F). Fibroblasts populate the matrix as well as reside on the external surface of the developed matrices (Broken white square D). Dense webs of fibrillar ECM and meshwork is found throughout the constructs (Solid white boxes, B+E). Larger fibres are also present suggesting that mature collagen complexes are also able to be formed (White arrows, E). Images taken at 1000x (A+D) and 6000x magnification (B, C, E+F) </w:t>
                      </w:r>
                      <w:r w:rsidRPr="00E72F77">
                        <w:rPr>
                          <w:rFonts w:ascii="Arial Narrow" w:eastAsia="SimSun" w:hAnsi="Arial Narrow" w:cs="Arial"/>
                          <w:color w:val="595959" w:themeColor="text1" w:themeTint="A6"/>
                          <w:kern w:val="24"/>
                          <w:sz w:val="22"/>
                          <w:szCs w:val="22"/>
                        </w:rPr>
                        <w:t>(N=3, n=</w:t>
                      </w:r>
                      <w:r>
                        <w:rPr>
                          <w:rFonts w:ascii="Arial Narrow" w:eastAsia="SimSun" w:hAnsi="Arial Narrow" w:cs="Arial"/>
                          <w:color w:val="595959" w:themeColor="text1" w:themeTint="A6"/>
                          <w:kern w:val="24"/>
                          <w:sz w:val="22"/>
                          <w:szCs w:val="22"/>
                        </w:rPr>
                        <w:t>2</w:t>
                      </w:r>
                      <w:r w:rsidRPr="00E72F77">
                        <w:rPr>
                          <w:rFonts w:ascii="Arial Narrow" w:eastAsia="SimSun" w:hAnsi="Arial Narrow" w:cs="Arial"/>
                          <w:color w:val="595959" w:themeColor="text1" w:themeTint="A6"/>
                          <w:kern w:val="24"/>
                          <w:sz w:val="22"/>
                          <w:szCs w:val="22"/>
                        </w:rPr>
                        <w:t>).</w:t>
                      </w:r>
                    </w:p>
                  </w:txbxContent>
                </v:textbox>
                <w10:wrap anchorx="margin"/>
              </v:shape>
            </w:pict>
          </mc:Fallback>
        </mc:AlternateContent>
      </w:r>
    </w:p>
    <w:p w14:paraId="2472342A" w14:textId="4E4B72C4" w:rsidR="008C21BF" w:rsidRPr="008C21BF" w:rsidRDefault="008C21BF" w:rsidP="008C21BF">
      <w:pPr>
        <w:tabs>
          <w:tab w:val="left" w:pos="1680"/>
        </w:tabs>
        <w:jc w:val="both"/>
        <w:rPr>
          <w:rFonts w:ascii="Arial" w:hAnsi="Arial" w:cs="Arial"/>
          <w:color w:val="595959" w:themeColor="text1" w:themeTint="A6"/>
        </w:rPr>
      </w:pPr>
    </w:p>
    <w:p w14:paraId="4C47FC0F" w14:textId="526422D7" w:rsidR="008C21BF" w:rsidRPr="008C21BF" w:rsidRDefault="008C21BF" w:rsidP="008C21BF">
      <w:pPr>
        <w:tabs>
          <w:tab w:val="left" w:pos="1680"/>
        </w:tabs>
        <w:jc w:val="both"/>
        <w:rPr>
          <w:rFonts w:ascii="Arial" w:hAnsi="Arial" w:cs="Arial"/>
          <w:color w:val="595959" w:themeColor="text1" w:themeTint="A6"/>
        </w:rPr>
      </w:pPr>
    </w:p>
    <w:p w14:paraId="009DAC43" w14:textId="75760AF6" w:rsidR="008C21BF" w:rsidRPr="008C21BF" w:rsidRDefault="008C21BF" w:rsidP="008C21BF">
      <w:pPr>
        <w:tabs>
          <w:tab w:val="left" w:pos="1680"/>
        </w:tabs>
        <w:jc w:val="both"/>
        <w:rPr>
          <w:rFonts w:ascii="Arial" w:hAnsi="Arial" w:cs="Arial"/>
          <w:color w:val="595959" w:themeColor="text1" w:themeTint="A6"/>
        </w:rPr>
      </w:pPr>
    </w:p>
    <w:p w14:paraId="3BE62D87" w14:textId="77777777" w:rsidR="008C21BF" w:rsidRPr="008C21BF" w:rsidRDefault="008C21BF" w:rsidP="008C21BF">
      <w:pPr>
        <w:tabs>
          <w:tab w:val="left" w:pos="1680"/>
        </w:tabs>
        <w:jc w:val="both"/>
        <w:rPr>
          <w:rFonts w:ascii="Arial" w:hAnsi="Arial" w:cs="Arial"/>
          <w:color w:val="595959" w:themeColor="text1" w:themeTint="A6"/>
        </w:rPr>
      </w:pPr>
    </w:p>
    <w:p w14:paraId="086D6DD0" w14:textId="77777777" w:rsidR="008C21BF" w:rsidRPr="008C21BF" w:rsidRDefault="008C21BF" w:rsidP="008C21BF">
      <w:pPr>
        <w:tabs>
          <w:tab w:val="left" w:pos="1680"/>
        </w:tabs>
        <w:jc w:val="both"/>
        <w:rPr>
          <w:rFonts w:ascii="Arial" w:hAnsi="Arial" w:cs="Arial"/>
          <w:color w:val="595959" w:themeColor="text1" w:themeTint="A6"/>
        </w:rPr>
      </w:pPr>
    </w:p>
    <w:p w14:paraId="691A745D" w14:textId="77777777" w:rsidR="008C21BF" w:rsidRPr="008C21BF" w:rsidRDefault="008C21BF" w:rsidP="008C21BF">
      <w:pPr>
        <w:tabs>
          <w:tab w:val="left" w:pos="1680"/>
        </w:tabs>
        <w:jc w:val="both"/>
        <w:rPr>
          <w:rFonts w:ascii="Arial" w:hAnsi="Arial" w:cs="Arial"/>
          <w:color w:val="595959" w:themeColor="text1" w:themeTint="A6"/>
        </w:rPr>
      </w:pPr>
    </w:p>
    <w:p w14:paraId="36EF0FA4" w14:textId="77777777" w:rsidR="008C21BF" w:rsidRPr="008C21BF" w:rsidRDefault="008C21BF" w:rsidP="008C21BF">
      <w:pPr>
        <w:tabs>
          <w:tab w:val="left" w:pos="1680"/>
        </w:tabs>
        <w:jc w:val="both"/>
        <w:rPr>
          <w:rFonts w:ascii="Arial" w:hAnsi="Arial" w:cs="Arial"/>
          <w:color w:val="595959" w:themeColor="text1" w:themeTint="A6"/>
        </w:rPr>
      </w:pPr>
    </w:p>
    <w:p w14:paraId="0C37EA16" w14:textId="77777777" w:rsidR="008C21BF" w:rsidRPr="008C21BF" w:rsidRDefault="008C21BF" w:rsidP="008C21BF">
      <w:pPr>
        <w:tabs>
          <w:tab w:val="left" w:pos="1680"/>
        </w:tabs>
        <w:jc w:val="both"/>
        <w:rPr>
          <w:rFonts w:ascii="Arial" w:hAnsi="Arial" w:cs="Arial"/>
          <w:color w:val="595959" w:themeColor="text1" w:themeTint="A6"/>
        </w:rPr>
      </w:pPr>
    </w:p>
    <w:p w14:paraId="581C09DC" w14:textId="77777777" w:rsidR="008C21BF" w:rsidRPr="008C21BF" w:rsidRDefault="008C21BF" w:rsidP="008C21BF">
      <w:pPr>
        <w:tabs>
          <w:tab w:val="left" w:pos="1680"/>
        </w:tabs>
        <w:jc w:val="both"/>
        <w:rPr>
          <w:rFonts w:ascii="Arial" w:hAnsi="Arial" w:cs="Arial"/>
          <w:color w:val="595959" w:themeColor="text1" w:themeTint="A6"/>
        </w:rPr>
      </w:pPr>
    </w:p>
    <w:p w14:paraId="46B31BC8" w14:textId="77777777" w:rsidR="008C21BF" w:rsidRPr="008C21BF" w:rsidRDefault="008C21BF" w:rsidP="008C21BF">
      <w:pPr>
        <w:tabs>
          <w:tab w:val="left" w:pos="1680"/>
        </w:tabs>
        <w:jc w:val="both"/>
        <w:rPr>
          <w:rFonts w:ascii="Arial" w:hAnsi="Arial" w:cs="Arial"/>
          <w:color w:val="595959" w:themeColor="text1" w:themeTint="A6"/>
        </w:rPr>
      </w:pPr>
    </w:p>
    <w:p w14:paraId="603D9FD8" w14:textId="77777777" w:rsidR="008C21BF" w:rsidRPr="008C21BF" w:rsidRDefault="008C21BF" w:rsidP="008C21BF">
      <w:pPr>
        <w:tabs>
          <w:tab w:val="left" w:pos="1680"/>
        </w:tabs>
        <w:jc w:val="both"/>
        <w:rPr>
          <w:rFonts w:ascii="Arial" w:hAnsi="Arial" w:cs="Arial"/>
          <w:color w:val="595959" w:themeColor="text1" w:themeTint="A6"/>
        </w:rPr>
      </w:pPr>
    </w:p>
    <w:p w14:paraId="372A19A8" w14:textId="77777777" w:rsidR="008C21BF" w:rsidRPr="008C21BF" w:rsidRDefault="008C21BF" w:rsidP="008C21BF">
      <w:pPr>
        <w:tabs>
          <w:tab w:val="left" w:pos="1680"/>
        </w:tabs>
        <w:jc w:val="both"/>
        <w:rPr>
          <w:rFonts w:ascii="Arial" w:hAnsi="Arial" w:cs="Arial"/>
          <w:color w:val="595959" w:themeColor="text1" w:themeTint="A6"/>
        </w:rPr>
      </w:pPr>
    </w:p>
    <w:p w14:paraId="652702FE" w14:textId="77777777" w:rsidR="008C21BF" w:rsidRPr="008C21BF" w:rsidRDefault="008C21BF" w:rsidP="008C21BF">
      <w:pPr>
        <w:tabs>
          <w:tab w:val="left" w:pos="1680"/>
        </w:tabs>
        <w:jc w:val="both"/>
        <w:rPr>
          <w:rFonts w:ascii="Arial" w:hAnsi="Arial" w:cs="Arial"/>
          <w:color w:val="595959" w:themeColor="text1" w:themeTint="A6"/>
        </w:rPr>
      </w:pPr>
    </w:p>
    <w:p w14:paraId="24AAB69F" w14:textId="77777777" w:rsidR="008C21BF" w:rsidRPr="008C21BF" w:rsidRDefault="008C21BF" w:rsidP="008C21BF">
      <w:pPr>
        <w:tabs>
          <w:tab w:val="left" w:pos="1680"/>
        </w:tabs>
        <w:jc w:val="both"/>
        <w:rPr>
          <w:rFonts w:ascii="Arial" w:hAnsi="Arial" w:cs="Arial"/>
          <w:color w:val="595959" w:themeColor="text1" w:themeTint="A6"/>
        </w:rPr>
      </w:pPr>
    </w:p>
    <w:p w14:paraId="442CBE43" w14:textId="77777777" w:rsidR="008C21BF" w:rsidRPr="008C21BF" w:rsidRDefault="008C21BF" w:rsidP="008C21BF">
      <w:pPr>
        <w:tabs>
          <w:tab w:val="left" w:pos="1680"/>
        </w:tabs>
        <w:jc w:val="both"/>
        <w:rPr>
          <w:rFonts w:ascii="Arial" w:hAnsi="Arial" w:cs="Arial"/>
          <w:color w:val="595959" w:themeColor="text1" w:themeTint="A6"/>
        </w:rPr>
      </w:pPr>
    </w:p>
    <w:p w14:paraId="038BFBA4" w14:textId="77777777" w:rsidR="008C21BF" w:rsidRPr="008C21BF" w:rsidRDefault="008C21BF" w:rsidP="008C21BF">
      <w:pPr>
        <w:tabs>
          <w:tab w:val="left" w:pos="1680"/>
        </w:tabs>
        <w:jc w:val="both"/>
        <w:rPr>
          <w:rFonts w:ascii="Arial" w:hAnsi="Arial" w:cs="Arial"/>
          <w:color w:val="595959" w:themeColor="text1" w:themeTint="A6"/>
        </w:rPr>
      </w:pPr>
    </w:p>
    <w:p w14:paraId="2C417A40" w14:textId="77777777" w:rsidR="008C21BF" w:rsidRPr="008C21BF" w:rsidRDefault="008C21BF" w:rsidP="008C21BF">
      <w:pPr>
        <w:tabs>
          <w:tab w:val="left" w:pos="1680"/>
        </w:tabs>
        <w:jc w:val="both"/>
        <w:rPr>
          <w:rFonts w:ascii="Arial" w:hAnsi="Arial" w:cs="Arial"/>
          <w:color w:val="595959" w:themeColor="text1" w:themeTint="A6"/>
        </w:rPr>
      </w:pPr>
    </w:p>
    <w:p w14:paraId="66FBC183" w14:textId="77777777" w:rsidR="008C21BF" w:rsidRPr="008C21BF" w:rsidRDefault="008C21BF" w:rsidP="008C21BF">
      <w:pPr>
        <w:tabs>
          <w:tab w:val="left" w:pos="1680"/>
        </w:tabs>
        <w:jc w:val="both"/>
        <w:rPr>
          <w:rFonts w:ascii="Arial" w:hAnsi="Arial" w:cs="Arial"/>
          <w:color w:val="595959" w:themeColor="text1" w:themeTint="A6"/>
        </w:rPr>
      </w:pPr>
    </w:p>
    <w:p w14:paraId="633BBDBE" w14:textId="77777777" w:rsidR="008C21BF" w:rsidRPr="008C21BF" w:rsidRDefault="008C21BF" w:rsidP="00067F59">
      <w:pPr>
        <w:pStyle w:val="Heading4"/>
        <w:rPr>
          <w:rFonts w:ascii="Arial" w:hAnsi="Arial" w:cs="Arial"/>
          <w:i w:val="0"/>
          <w:color w:val="595959" w:themeColor="text1" w:themeTint="A6"/>
          <w:sz w:val="24"/>
          <w:szCs w:val="24"/>
        </w:rPr>
      </w:pPr>
      <w:bookmarkStart w:id="400" w:name="_Toc7678146"/>
      <w:bookmarkStart w:id="401" w:name="_Toc34208421"/>
      <w:r w:rsidRPr="008C21BF">
        <w:rPr>
          <w:rFonts w:ascii="Arial" w:hAnsi="Arial" w:cs="Arial"/>
          <w:color w:val="595959" w:themeColor="text1" w:themeTint="A6"/>
          <w:sz w:val="24"/>
          <w:szCs w:val="24"/>
        </w:rPr>
        <w:lastRenderedPageBreak/>
        <w:t>4.3.2.2 Matrix composition</w:t>
      </w:r>
      <w:bookmarkEnd w:id="400"/>
      <w:bookmarkEnd w:id="401"/>
      <w:r w:rsidRPr="008C21BF">
        <w:rPr>
          <w:rFonts w:ascii="Arial" w:hAnsi="Arial" w:cs="Arial"/>
          <w:color w:val="595959" w:themeColor="text1" w:themeTint="A6"/>
          <w:sz w:val="24"/>
          <w:szCs w:val="24"/>
        </w:rPr>
        <w:t xml:space="preserve"> </w:t>
      </w:r>
    </w:p>
    <w:p w14:paraId="05EB053B" w14:textId="77777777" w:rsidR="008C21BF" w:rsidRPr="008C21BF" w:rsidRDefault="008C21BF" w:rsidP="008C21BF"/>
    <w:p w14:paraId="24346ECB" w14:textId="77777777" w:rsidR="008C21BF" w:rsidRPr="008C21BF" w:rsidRDefault="008C21BF" w:rsidP="004664E0">
      <w:pPr>
        <w:pStyle w:val="Heading5"/>
        <w:rPr>
          <w:rFonts w:ascii="Arial" w:hAnsi="Arial" w:cs="Arial"/>
          <w:i/>
          <w:iCs/>
          <w:color w:val="595959" w:themeColor="text1" w:themeTint="A6"/>
        </w:rPr>
      </w:pPr>
      <w:bookmarkStart w:id="402" w:name="_Toc7678147"/>
      <w:bookmarkStart w:id="403" w:name="_Toc34208422"/>
      <w:r w:rsidRPr="008C21BF">
        <w:rPr>
          <w:rFonts w:ascii="Arial" w:hAnsi="Arial" w:cs="Arial"/>
          <w:i/>
          <w:iCs/>
          <w:color w:val="595959" w:themeColor="text1" w:themeTint="A6"/>
        </w:rPr>
        <w:t>4.3.2.2.1 ECM protein abundance in fibroblast-derived matrices</w:t>
      </w:r>
      <w:bookmarkEnd w:id="402"/>
      <w:bookmarkEnd w:id="403"/>
    </w:p>
    <w:p w14:paraId="0A8B2ABB" w14:textId="77777777" w:rsidR="008C21BF" w:rsidRPr="008C21BF" w:rsidRDefault="008C21BF" w:rsidP="008C21BF"/>
    <w:p w14:paraId="17F2F844" w14:textId="6021CCE1" w:rsidR="008C21BF" w:rsidRPr="008C21BF" w:rsidRDefault="008C21BF" w:rsidP="008C21BF">
      <w:pPr>
        <w:tabs>
          <w:tab w:val="left" w:pos="1680"/>
        </w:tabs>
        <w:spacing w:line="480" w:lineRule="auto"/>
        <w:jc w:val="both"/>
        <w:rPr>
          <w:rFonts w:ascii="Arial" w:hAnsi="Arial" w:cs="Arial"/>
          <w:color w:val="595959" w:themeColor="text1" w:themeTint="A6"/>
        </w:rPr>
      </w:pPr>
      <w:r w:rsidRPr="008C21BF">
        <w:rPr>
          <w:rFonts w:ascii="Arial" w:hAnsi="Arial" w:cs="Arial"/>
          <w:color w:val="595959" w:themeColor="text1" w:themeTint="A6"/>
        </w:rPr>
        <w:t xml:space="preserve">Although the SEM and histochemical staining revealed evidence of protein deposition, to further analyse the composition of the matrix, the matrices were solubilised and analysed by Western blot </w:t>
      </w:r>
      <w:r w:rsidR="00E943A7">
        <w:rPr>
          <w:rFonts w:ascii="Arial" w:hAnsi="Arial" w:cs="Arial"/>
          <w:color w:val="595959" w:themeColor="text1" w:themeTint="A6"/>
        </w:rPr>
        <w:t xml:space="preserve">was conducted to identify </w:t>
      </w:r>
      <w:r w:rsidRPr="008C21BF">
        <w:rPr>
          <w:rFonts w:ascii="Arial" w:hAnsi="Arial" w:cs="Arial"/>
          <w:color w:val="595959" w:themeColor="text1" w:themeTint="A6"/>
        </w:rPr>
        <w:t xml:space="preserve">a number of key ECM proteins including those shown to be detectable in 2D NOF and CAF cultures </w:t>
      </w:r>
      <w:r w:rsidR="009E5839">
        <w:rPr>
          <w:rFonts w:ascii="Arial" w:hAnsi="Arial" w:cs="Arial"/>
          <w:color w:val="595959" w:themeColor="text1" w:themeTint="A6"/>
        </w:rPr>
        <w:t>(</w:t>
      </w:r>
      <w:r w:rsidRPr="008C21BF">
        <w:rPr>
          <w:rFonts w:ascii="Arial" w:hAnsi="Arial" w:cs="Arial"/>
          <w:color w:val="595959" w:themeColor="text1" w:themeTint="A6"/>
        </w:rPr>
        <w:t>evidenced in chapter 3</w:t>
      </w:r>
      <w:r w:rsidR="009E5839">
        <w:rPr>
          <w:rFonts w:ascii="Arial" w:hAnsi="Arial" w:cs="Arial"/>
          <w:color w:val="595959" w:themeColor="text1" w:themeTint="A6"/>
        </w:rPr>
        <w:t>)</w:t>
      </w:r>
      <w:r w:rsidRPr="008C21BF">
        <w:rPr>
          <w:rFonts w:ascii="Arial" w:hAnsi="Arial" w:cs="Arial"/>
          <w:color w:val="595959" w:themeColor="text1" w:themeTint="A6"/>
        </w:rPr>
        <w:t xml:space="preserve">. αSMA, FN1-EDA, VCAN, COL1A1 and LAM-5 (γ-2 Chain) abundance was investigated from protein lysates isolated from NOF-DM-GF, NOF-DM+GF, and CAF-DM. </w:t>
      </w:r>
      <w:bookmarkStart w:id="404" w:name="_Hlk534706158"/>
      <w:r w:rsidRPr="008C21BF">
        <w:rPr>
          <w:rFonts w:ascii="Arial" w:hAnsi="Arial" w:cs="Arial"/>
          <w:color w:val="595959" w:themeColor="text1" w:themeTint="A6"/>
        </w:rPr>
        <w:t>This analysis of ECM constituents provides evidence of FDM components and how these alter with disease in OSCC</w:t>
      </w:r>
      <w:bookmarkEnd w:id="404"/>
      <w:r w:rsidRPr="008C21BF">
        <w:rPr>
          <w:rFonts w:ascii="Arial" w:hAnsi="Arial" w:cs="Arial"/>
          <w:color w:val="595959" w:themeColor="text1" w:themeTint="A6"/>
        </w:rPr>
        <w:t>.</w:t>
      </w:r>
    </w:p>
    <w:p w14:paraId="5F2B023F" w14:textId="77777777" w:rsidR="008C21BF" w:rsidRPr="008C21BF" w:rsidRDefault="008C21BF" w:rsidP="008C21BF">
      <w:pPr>
        <w:tabs>
          <w:tab w:val="left" w:pos="1680"/>
        </w:tabs>
        <w:spacing w:line="480" w:lineRule="auto"/>
        <w:jc w:val="both"/>
        <w:rPr>
          <w:rFonts w:ascii="Arial" w:hAnsi="Arial" w:cs="Arial"/>
          <w:color w:val="595959" w:themeColor="text1" w:themeTint="A6"/>
        </w:rPr>
      </w:pPr>
    </w:p>
    <w:p w14:paraId="100217E9" w14:textId="783E389A" w:rsidR="008C21BF" w:rsidRPr="008C21BF" w:rsidRDefault="008C21BF" w:rsidP="008C21BF">
      <w:pPr>
        <w:tabs>
          <w:tab w:val="left" w:pos="1680"/>
        </w:tabs>
        <w:spacing w:line="480" w:lineRule="auto"/>
        <w:jc w:val="both"/>
        <w:rPr>
          <w:rFonts w:ascii="Arial" w:hAnsi="Arial" w:cs="Arial"/>
          <w:color w:val="595959" w:themeColor="text1" w:themeTint="A6"/>
        </w:rPr>
      </w:pPr>
    </w:p>
    <w:p w14:paraId="3B5C0423" w14:textId="51E6A6F5" w:rsidR="008C21BF" w:rsidRPr="008C21BF" w:rsidRDefault="008C21BF" w:rsidP="008C21BF">
      <w:pPr>
        <w:tabs>
          <w:tab w:val="left" w:pos="1680"/>
        </w:tabs>
        <w:spacing w:line="480" w:lineRule="auto"/>
        <w:jc w:val="both"/>
        <w:rPr>
          <w:rFonts w:ascii="Arial" w:hAnsi="Arial" w:cs="Arial"/>
          <w:color w:val="595959" w:themeColor="text1" w:themeTint="A6"/>
        </w:rPr>
      </w:pPr>
    </w:p>
    <w:p w14:paraId="541778EC" w14:textId="6B3BFEA7" w:rsidR="008C21BF" w:rsidRPr="008C21BF" w:rsidRDefault="008C21BF" w:rsidP="008C21BF">
      <w:pPr>
        <w:tabs>
          <w:tab w:val="left" w:pos="1680"/>
        </w:tabs>
        <w:spacing w:line="480" w:lineRule="auto"/>
        <w:jc w:val="both"/>
        <w:rPr>
          <w:rFonts w:ascii="Arial" w:hAnsi="Arial" w:cs="Arial"/>
          <w:color w:val="595959" w:themeColor="text1" w:themeTint="A6"/>
        </w:rPr>
      </w:pPr>
    </w:p>
    <w:p w14:paraId="2386D725" w14:textId="6E5CB6DC" w:rsidR="008C21BF" w:rsidRPr="008C21BF" w:rsidRDefault="008C21BF" w:rsidP="008C21BF">
      <w:pPr>
        <w:tabs>
          <w:tab w:val="left" w:pos="1680"/>
        </w:tabs>
        <w:spacing w:line="480" w:lineRule="auto"/>
        <w:jc w:val="both"/>
        <w:rPr>
          <w:rFonts w:ascii="Arial" w:hAnsi="Arial" w:cs="Arial"/>
          <w:color w:val="595959" w:themeColor="text1" w:themeTint="A6"/>
        </w:rPr>
      </w:pPr>
    </w:p>
    <w:p w14:paraId="06F85F04" w14:textId="67D50BA0" w:rsidR="008C21BF" w:rsidRPr="008C21BF" w:rsidRDefault="008C21BF" w:rsidP="008C21BF">
      <w:pPr>
        <w:tabs>
          <w:tab w:val="left" w:pos="1680"/>
        </w:tabs>
        <w:spacing w:line="480" w:lineRule="auto"/>
        <w:jc w:val="both"/>
        <w:rPr>
          <w:rFonts w:ascii="Arial" w:hAnsi="Arial" w:cs="Arial"/>
          <w:color w:val="595959" w:themeColor="text1" w:themeTint="A6"/>
        </w:rPr>
      </w:pPr>
    </w:p>
    <w:p w14:paraId="0161D541" w14:textId="77777777" w:rsidR="008C21BF" w:rsidRPr="008C21BF" w:rsidRDefault="008C21BF" w:rsidP="008C21BF">
      <w:pPr>
        <w:tabs>
          <w:tab w:val="left" w:pos="1680"/>
        </w:tabs>
        <w:spacing w:line="480" w:lineRule="auto"/>
        <w:jc w:val="both"/>
        <w:rPr>
          <w:rFonts w:ascii="Arial" w:hAnsi="Arial" w:cs="Arial"/>
          <w:color w:val="595959" w:themeColor="text1" w:themeTint="A6"/>
        </w:rPr>
      </w:pPr>
    </w:p>
    <w:p w14:paraId="213EC5F4" w14:textId="77777777" w:rsidR="008C21BF" w:rsidRPr="008C21BF" w:rsidRDefault="008C21BF" w:rsidP="008C21BF">
      <w:pPr>
        <w:tabs>
          <w:tab w:val="left" w:pos="1680"/>
        </w:tabs>
        <w:spacing w:line="480" w:lineRule="auto"/>
        <w:jc w:val="both"/>
        <w:rPr>
          <w:rFonts w:ascii="Arial" w:hAnsi="Arial" w:cs="Arial"/>
          <w:color w:val="595959" w:themeColor="text1" w:themeTint="A6"/>
        </w:rPr>
      </w:pPr>
    </w:p>
    <w:p w14:paraId="003CE2FC" w14:textId="77777777" w:rsidR="008C21BF" w:rsidRPr="008C21BF" w:rsidRDefault="008C21BF" w:rsidP="008C21BF">
      <w:pPr>
        <w:tabs>
          <w:tab w:val="left" w:pos="1680"/>
        </w:tabs>
        <w:spacing w:line="480" w:lineRule="auto"/>
        <w:jc w:val="both"/>
        <w:rPr>
          <w:rFonts w:ascii="Arial" w:hAnsi="Arial" w:cs="Arial"/>
          <w:color w:val="595959" w:themeColor="text1" w:themeTint="A6"/>
        </w:rPr>
      </w:pPr>
    </w:p>
    <w:p w14:paraId="3ADC8526" w14:textId="77777777" w:rsidR="008C21BF" w:rsidRPr="008C21BF" w:rsidRDefault="008C21BF" w:rsidP="008C21BF">
      <w:pPr>
        <w:tabs>
          <w:tab w:val="left" w:pos="1680"/>
        </w:tabs>
        <w:spacing w:line="480" w:lineRule="auto"/>
        <w:jc w:val="both"/>
        <w:rPr>
          <w:rFonts w:ascii="Arial" w:hAnsi="Arial" w:cs="Arial"/>
          <w:color w:val="595959" w:themeColor="text1" w:themeTint="A6"/>
        </w:rPr>
      </w:pPr>
    </w:p>
    <w:p w14:paraId="38ECC95A" w14:textId="77777777" w:rsidR="008C21BF" w:rsidRPr="008C21BF" w:rsidRDefault="008C21BF" w:rsidP="008C21BF">
      <w:pPr>
        <w:tabs>
          <w:tab w:val="left" w:pos="1680"/>
        </w:tabs>
        <w:spacing w:line="480" w:lineRule="auto"/>
        <w:jc w:val="both"/>
        <w:rPr>
          <w:rFonts w:ascii="Arial" w:hAnsi="Arial" w:cs="Arial"/>
          <w:color w:val="595959" w:themeColor="text1" w:themeTint="A6"/>
        </w:rPr>
      </w:pPr>
    </w:p>
    <w:p w14:paraId="6EF55743" w14:textId="77777777" w:rsidR="008C21BF" w:rsidRPr="008C21BF" w:rsidRDefault="008C21BF" w:rsidP="008C21BF">
      <w:pPr>
        <w:tabs>
          <w:tab w:val="left" w:pos="1680"/>
        </w:tabs>
        <w:spacing w:line="480" w:lineRule="auto"/>
        <w:jc w:val="both"/>
        <w:rPr>
          <w:rFonts w:ascii="Arial" w:hAnsi="Arial" w:cs="Arial"/>
          <w:color w:val="595959" w:themeColor="text1" w:themeTint="A6"/>
        </w:rPr>
      </w:pPr>
    </w:p>
    <w:p w14:paraId="55218FD0" w14:textId="77777777" w:rsidR="008C21BF" w:rsidRPr="008C21BF" w:rsidRDefault="008C21BF" w:rsidP="008C21BF">
      <w:pPr>
        <w:tabs>
          <w:tab w:val="left" w:pos="1680"/>
        </w:tabs>
        <w:spacing w:line="480" w:lineRule="auto"/>
        <w:jc w:val="both"/>
        <w:rPr>
          <w:rFonts w:ascii="Arial" w:hAnsi="Arial" w:cs="Arial"/>
          <w:color w:val="595959" w:themeColor="text1" w:themeTint="A6"/>
        </w:rPr>
      </w:pPr>
    </w:p>
    <w:p w14:paraId="0396FCC0" w14:textId="77777777" w:rsidR="008C21BF" w:rsidRPr="008C21BF" w:rsidRDefault="008C21BF" w:rsidP="004664E0">
      <w:pPr>
        <w:pStyle w:val="Heading6"/>
        <w:rPr>
          <w:rFonts w:ascii="Arial" w:hAnsi="Arial" w:cs="Arial"/>
          <w:i/>
          <w:iCs/>
          <w:color w:val="595959" w:themeColor="text1" w:themeTint="A6"/>
        </w:rPr>
      </w:pPr>
      <w:bookmarkStart w:id="405" w:name="_Toc7678148"/>
      <w:bookmarkStart w:id="406" w:name="_Toc34208423"/>
      <w:r w:rsidRPr="008C21BF">
        <w:rPr>
          <w:rFonts w:ascii="Arial" w:hAnsi="Arial" w:cs="Arial"/>
          <w:i/>
          <w:iCs/>
          <w:color w:val="595959" w:themeColor="text1" w:themeTint="A6"/>
        </w:rPr>
        <w:lastRenderedPageBreak/>
        <w:t>4.3.2.2.1.1 αSMA protein abundance in fibroblast-derived matrices</w:t>
      </w:r>
      <w:bookmarkEnd w:id="405"/>
      <w:bookmarkEnd w:id="406"/>
    </w:p>
    <w:p w14:paraId="526B1197" w14:textId="77777777" w:rsidR="008C21BF" w:rsidRPr="008C21BF" w:rsidRDefault="008C21BF" w:rsidP="008C21BF"/>
    <w:p w14:paraId="708E9E67" w14:textId="77777777" w:rsidR="008C21BF" w:rsidRPr="008C21BF" w:rsidRDefault="008C21BF" w:rsidP="008C21BF">
      <w:pPr>
        <w:tabs>
          <w:tab w:val="left" w:pos="1680"/>
        </w:tabs>
        <w:spacing w:line="480" w:lineRule="auto"/>
        <w:jc w:val="both"/>
        <w:rPr>
          <w:rFonts w:ascii="Arial" w:hAnsi="Arial" w:cs="Arial"/>
          <w:color w:val="595959" w:themeColor="text1" w:themeTint="A6"/>
        </w:rPr>
      </w:pPr>
      <w:r w:rsidRPr="008C21BF">
        <w:rPr>
          <w:rFonts w:ascii="Arial" w:hAnsi="Arial" w:cs="Arial"/>
          <w:color w:val="595959" w:themeColor="text1" w:themeTint="A6"/>
        </w:rPr>
        <w:t>αSMA is expressed by myofibroblasts and CAF making it an indicator of fibroblast transdifferentiation; and is upregulated in the stroma of OSCC. The presence of αSMA, detected as a band of 42 kDa, were observed in all samples (Figure 4.7 A).  Densitometry revealed that αSMA abundance was 7.01 ± 2.55-fold higher in the NOF-DM when growth factors were added (p=0.0290) and significantly increased in CAF-DM with a 28.17 ± 2.90-fold increase in αSMA abundance was observed when compared to NOF-DM-GF (p &lt;0.0001) (Figure 4.7 B).</w:t>
      </w:r>
    </w:p>
    <w:p w14:paraId="2A5FB960" w14:textId="77777777" w:rsidR="008C21BF" w:rsidRPr="008C21BF" w:rsidRDefault="008C21BF" w:rsidP="008C21BF">
      <w:pPr>
        <w:tabs>
          <w:tab w:val="left" w:pos="1680"/>
        </w:tabs>
        <w:spacing w:line="480" w:lineRule="auto"/>
        <w:jc w:val="both"/>
        <w:rPr>
          <w:rFonts w:ascii="Arial" w:hAnsi="Arial" w:cs="Arial"/>
          <w:color w:val="595959" w:themeColor="text1" w:themeTint="A6"/>
        </w:rPr>
      </w:pPr>
      <w:r w:rsidRPr="008C21BF">
        <w:rPr>
          <w:rFonts w:ascii="Arial" w:hAnsi="Arial" w:cs="Arial"/>
          <w:noProof/>
          <w:color w:val="595959" w:themeColor="text1" w:themeTint="A6"/>
          <w:lang w:eastAsia="zh-CN"/>
        </w:rPr>
        <w:drawing>
          <wp:anchor distT="0" distB="0" distL="114300" distR="114300" simplePos="0" relativeHeight="251658352" behindDoc="0" locked="0" layoutInCell="1" allowOverlap="1" wp14:anchorId="5FE36A07" wp14:editId="4698EA28">
            <wp:simplePos x="0" y="0"/>
            <wp:positionH relativeFrom="margin">
              <wp:posOffset>803910</wp:posOffset>
            </wp:positionH>
            <wp:positionV relativeFrom="paragraph">
              <wp:posOffset>169545</wp:posOffset>
            </wp:positionV>
            <wp:extent cx="4249420" cy="3889375"/>
            <wp:effectExtent l="0" t="0" r="0" b="0"/>
            <wp:wrapNone/>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249420" cy="3889375"/>
                    </a:xfrm>
                    <a:prstGeom prst="rect">
                      <a:avLst/>
                    </a:prstGeom>
                    <a:noFill/>
                  </pic:spPr>
                </pic:pic>
              </a:graphicData>
            </a:graphic>
          </wp:anchor>
        </w:drawing>
      </w:r>
    </w:p>
    <w:p w14:paraId="35575757" w14:textId="77777777" w:rsidR="008C21BF" w:rsidRPr="008C21BF" w:rsidRDefault="008C21BF" w:rsidP="008C21BF">
      <w:pPr>
        <w:tabs>
          <w:tab w:val="left" w:pos="1680"/>
        </w:tabs>
        <w:spacing w:line="480" w:lineRule="auto"/>
        <w:jc w:val="both"/>
        <w:rPr>
          <w:rFonts w:ascii="Arial" w:hAnsi="Arial" w:cs="Arial"/>
          <w:color w:val="595959" w:themeColor="text1" w:themeTint="A6"/>
        </w:rPr>
      </w:pPr>
    </w:p>
    <w:p w14:paraId="72BE78AC" w14:textId="77777777" w:rsidR="008C21BF" w:rsidRPr="008C21BF" w:rsidRDefault="008C21BF" w:rsidP="008C21BF">
      <w:pPr>
        <w:tabs>
          <w:tab w:val="left" w:pos="1680"/>
        </w:tabs>
        <w:spacing w:line="480" w:lineRule="auto"/>
        <w:jc w:val="both"/>
        <w:rPr>
          <w:rFonts w:ascii="Arial" w:hAnsi="Arial" w:cs="Arial"/>
          <w:color w:val="595959" w:themeColor="text1" w:themeTint="A6"/>
        </w:rPr>
      </w:pPr>
    </w:p>
    <w:p w14:paraId="1028570C" w14:textId="77777777" w:rsidR="008C21BF" w:rsidRPr="008C21BF" w:rsidRDefault="008C21BF" w:rsidP="008C21BF">
      <w:pPr>
        <w:tabs>
          <w:tab w:val="left" w:pos="1680"/>
        </w:tabs>
        <w:spacing w:line="480" w:lineRule="auto"/>
        <w:jc w:val="both"/>
        <w:rPr>
          <w:rFonts w:ascii="Arial" w:hAnsi="Arial" w:cs="Arial"/>
          <w:color w:val="595959" w:themeColor="text1" w:themeTint="A6"/>
        </w:rPr>
      </w:pPr>
    </w:p>
    <w:p w14:paraId="76A024DF" w14:textId="77777777" w:rsidR="008C21BF" w:rsidRPr="008C21BF" w:rsidRDefault="008C21BF" w:rsidP="008C21BF">
      <w:pPr>
        <w:tabs>
          <w:tab w:val="left" w:pos="1680"/>
        </w:tabs>
        <w:spacing w:line="480" w:lineRule="auto"/>
        <w:jc w:val="both"/>
        <w:rPr>
          <w:rFonts w:ascii="Arial" w:hAnsi="Arial" w:cs="Arial"/>
          <w:color w:val="595959" w:themeColor="text1" w:themeTint="A6"/>
        </w:rPr>
      </w:pPr>
    </w:p>
    <w:p w14:paraId="78B38415" w14:textId="77777777" w:rsidR="008C21BF" w:rsidRPr="008C21BF" w:rsidRDefault="008C21BF" w:rsidP="008C21BF">
      <w:pPr>
        <w:tabs>
          <w:tab w:val="left" w:pos="1680"/>
        </w:tabs>
        <w:spacing w:line="480" w:lineRule="auto"/>
        <w:jc w:val="both"/>
        <w:rPr>
          <w:rFonts w:ascii="Arial" w:hAnsi="Arial" w:cs="Arial"/>
          <w:color w:val="595959" w:themeColor="text1" w:themeTint="A6"/>
        </w:rPr>
      </w:pPr>
    </w:p>
    <w:p w14:paraId="19DF0A40" w14:textId="77777777" w:rsidR="008C21BF" w:rsidRPr="008C21BF" w:rsidRDefault="008C21BF" w:rsidP="008C21BF">
      <w:pPr>
        <w:tabs>
          <w:tab w:val="left" w:pos="1680"/>
        </w:tabs>
        <w:spacing w:line="480" w:lineRule="auto"/>
        <w:jc w:val="both"/>
        <w:rPr>
          <w:rFonts w:ascii="Arial" w:hAnsi="Arial" w:cs="Arial"/>
          <w:color w:val="595959" w:themeColor="text1" w:themeTint="A6"/>
        </w:rPr>
      </w:pPr>
    </w:p>
    <w:p w14:paraId="1C98ED07" w14:textId="77777777" w:rsidR="008C21BF" w:rsidRPr="008C21BF" w:rsidRDefault="008C21BF" w:rsidP="008C21BF">
      <w:pPr>
        <w:tabs>
          <w:tab w:val="left" w:pos="1680"/>
        </w:tabs>
        <w:spacing w:line="480" w:lineRule="auto"/>
        <w:jc w:val="both"/>
        <w:rPr>
          <w:rFonts w:ascii="Arial" w:hAnsi="Arial" w:cs="Arial"/>
          <w:color w:val="595959" w:themeColor="text1" w:themeTint="A6"/>
        </w:rPr>
      </w:pPr>
    </w:p>
    <w:p w14:paraId="31C9ECBA" w14:textId="77777777" w:rsidR="008C21BF" w:rsidRPr="008C21BF" w:rsidRDefault="008C21BF" w:rsidP="008C21BF">
      <w:pPr>
        <w:tabs>
          <w:tab w:val="left" w:pos="1680"/>
        </w:tabs>
        <w:spacing w:line="480" w:lineRule="auto"/>
        <w:jc w:val="both"/>
        <w:rPr>
          <w:rFonts w:ascii="Arial" w:hAnsi="Arial" w:cs="Arial"/>
          <w:color w:val="595959" w:themeColor="text1" w:themeTint="A6"/>
        </w:rPr>
      </w:pPr>
    </w:p>
    <w:p w14:paraId="2A8B647A" w14:textId="77777777" w:rsidR="008C21BF" w:rsidRPr="008C21BF" w:rsidRDefault="008C21BF" w:rsidP="008C21BF">
      <w:pPr>
        <w:tabs>
          <w:tab w:val="left" w:pos="1680"/>
        </w:tabs>
        <w:spacing w:line="480" w:lineRule="auto"/>
        <w:jc w:val="both"/>
        <w:rPr>
          <w:rFonts w:ascii="Arial" w:hAnsi="Arial" w:cs="Arial"/>
          <w:color w:val="595959" w:themeColor="text1" w:themeTint="A6"/>
        </w:rPr>
      </w:pPr>
    </w:p>
    <w:p w14:paraId="409A6C0B" w14:textId="77777777" w:rsidR="008C21BF" w:rsidRPr="008C21BF" w:rsidRDefault="008C21BF" w:rsidP="008C21BF">
      <w:pPr>
        <w:tabs>
          <w:tab w:val="left" w:pos="1680"/>
        </w:tabs>
        <w:spacing w:line="480" w:lineRule="auto"/>
        <w:jc w:val="both"/>
        <w:rPr>
          <w:rFonts w:ascii="Arial" w:hAnsi="Arial" w:cs="Arial"/>
          <w:color w:val="595959" w:themeColor="text1" w:themeTint="A6"/>
        </w:rPr>
      </w:pPr>
      <w:r w:rsidRPr="008C21BF">
        <w:rPr>
          <w:rFonts w:ascii="Arial" w:hAnsi="Arial" w:cs="Arial"/>
          <w:noProof/>
          <w:color w:val="595959" w:themeColor="text1" w:themeTint="A6"/>
          <w:sz w:val="24"/>
          <w:szCs w:val="24"/>
          <w:lang w:eastAsia="zh-CN"/>
        </w:rPr>
        <mc:AlternateContent>
          <mc:Choice Requires="wps">
            <w:drawing>
              <wp:anchor distT="0" distB="0" distL="114300" distR="114300" simplePos="0" relativeHeight="251658335" behindDoc="0" locked="0" layoutInCell="1" allowOverlap="1" wp14:anchorId="478EC192" wp14:editId="735BCA1C">
                <wp:simplePos x="0" y="0"/>
                <wp:positionH relativeFrom="margin">
                  <wp:align>right</wp:align>
                </wp:positionH>
                <wp:positionV relativeFrom="paragraph">
                  <wp:posOffset>153670</wp:posOffset>
                </wp:positionV>
                <wp:extent cx="5724939" cy="1228725"/>
                <wp:effectExtent l="0" t="0" r="9525" b="9525"/>
                <wp:wrapNone/>
                <wp:docPr id="4120" name="Text Box 4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939" cy="1228725"/>
                        </a:xfrm>
                        <a:prstGeom prst="rect">
                          <a:avLst/>
                        </a:prstGeom>
                        <a:solidFill>
                          <a:srgbClr val="FFFFFF"/>
                        </a:solidFill>
                        <a:ln w="9525">
                          <a:noFill/>
                          <a:miter lim="800000"/>
                          <a:headEnd/>
                          <a:tailEnd/>
                        </a:ln>
                      </wps:spPr>
                      <wps:txbx>
                        <w:txbxContent>
                          <w:p w14:paraId="3B8F1037" w14:textId="77777777" w:rsidR="008A47AC" w:rsidRPr="006B7937" w:rsidRDefault="008A47AC" w:rsidP="008C21BF">
                            <w:pPr>
                              <w:pStyle w:val="Caption"/>
                              <w:keepNext/>
                              <w:jc w:val="both"/>
                              <w:rPr>
                                <w:rFonts w:ascii="Arial Narrow" w:hAnsi="Arial Narrow"/>
                                <w:b/>
                                <w:i w:val="0"/>
                                <w:sz w:val="24"/>
                                <w:szCs w:val="24"/>
                              </w:rPr>
                            </w:pPr>
                            <w:r w:rsidRPr="006B7937">
                              <w:rPr>
                                <w:rFonts w:ascii="Arial Narrow" w:hAnsi="Arial Narrow"/>
                                <w:b/>
                                <w:i w:val="0"/>
                                <w:color w:val="595959" w:themeColor="text1" w:themeTint="A6"/>
                                <w:sz w:val="24"/>
                                <w:szCs w:val="24"/>
                              </w:rPr>
                              <w:t>Figure</w:t>
                            </w:r>
                            <w:r>
                              <w:rPr>
                                <w:rFonts w:ascii="Arial Narrow" w:hAnsi="Arial Narrow"/>
                                <w:b/>
                                <w:i w:val="0"/>
                                <w:color w:val="595959" w:themeColor="text1" w:themeTint="A6"/>
                                <w:sz w:val="24"/>
                                <w:szCs w:val="24"/>
                              </w:rPr>
                              <w:t xml:space="preserve"> 4.7 </w:t>
                            </w:r>
                            <w:bookmarkStart w:id="407" w:name="_Hlk520822244"/>
                            <w:r w:rsidRPr="00C445BC">
                              <w:rPr>
                                <w:rFonts w:ascii="Arial Narrow" w:hAnsi="Arial Narrow"/>
                                <w:b/>
                                <w:i w:val="0"/>
                                <w:color w:val="595959" w:themeColor="text1" w:themeTint="A6"/>
                                <w:sz w:val="24"/>
                                <w:szCs w:val="24"/>
                              </w:rPr>
                              <w:t>αSMA</w:t>
                            </w:r>
                            <w:bookmarkEnd w:id="407"/>
                            <w:r>
                              <w:rPr>
                                <w:rFonts w:ascii="Arial Narrow" w:hAnsi="Arial Narrow"/>
                                <w:b/>
                                <w:i w:val="0"/>
                                <w:color w:val="595959" w:themeColor="text1" w:themeTint="A6"/>
                                <w:sz w:val="24"/>
                                <w:szCs w:val="24"/>
                              </w:rPr>
                              <w:t xml:space="preserve"> abundance in fibroblast-derived matrices </w:t>
                            </w:r>
                          </w:p>
                          <w:p w14:paraId="7A6DF022" w14:textId="77777777" w:rsidR="008A47AC" w:rsidRDefault="008A47AC" w:rsidP="008C21BF">
                            <w:pPr>
                              <w:pStyle w:val="NormalWeb"/>
                              <w:spacing w:after="200" w:line="276" w:lineRule="auto"/>
                              <w:jc w:val="both"/>
                              <w:rPr>
                                <w:rFonts w:ascii="Arial Narrow" w:eastAsia="SimSun" w:hAnsi="Arial Narrow" w:cs="Arial"/>
                                <w:color w:val="595959" w:themeColor="text1" w:themeTint="A6"/>
                                <w:kern w:val="24"/>
                                <w:sz w:val="22"/>
                                <w:szCs w:val="22"/>
                              </w:rPr>
                            </w:pPr>
                            <w:r>
                              <w:rPr>
                                <w:rFonts w:ascii="Arial Narrow" w:eastAsia="SimSun" w:hAnsi="Arial Narrow" w:cs="Arial"/>
                                <w:color w:val="595959" w:themeColor="text1" w:themeTint="A6"/>
                                <w:kern w:val="24"/>
                                <w:sz w:val="22"/>
                                <w:szCs w:val="22"/>
                              </w:rPr>
                              <w:t xml:space="preserve">A representative immunoblot shows that </w:t>
                            </w:r>
                            <w:r w:rsidRPr="000B7002">
                              <w:rPr>
                                <w:rFonts w:ascii="Arial Narrow" w:eastAsia="SimSun" w:hAnsi="Arial Narrow" w:cs="Arial"/>
                                <w:color w:val="595959" w:themeColor="text1" w:themeTint="A6"/>
                                <w:kern w:val="24"/>
                                <w:sz w:val="22"/>
                                <w:szCs w:val="22"/>
                              </w:rPr>
                              <w:t>αSMA</w:t>
                            </w:r>
                            <w:r>
                              <w:rPr>
                                <w:rFonts w:ascii="Arial Narrow" w:eastAsia="SimSun" w:hAnsi="Arial Narrow" w:cs="Arial"/>
                                <w:color w:val="595959" w:themeColor="text1" w:themeTint="A6"/>
                                <w:kern w:val="24"/>
                                <w:sz w:val="22"/>
                                <w:szCs w:val="22"/>
                              </w:rPr>
                              <w:t xml:space="preserve"> is detectable in all FDM, with a reference weight of 42 kDa (A). </w:t>
                            </w:r>
                            <w:r>
                              <w:rPr>
                                <w:rFonts w:ascii="Arial Narrow" w:eastAsia="SimSun" w:hAnsi="Arial Narrow" w:cs="Arial"/>
                                <w:color w:val="595959"/>
                                <w:kern w:val="24"/>
                                <w:sz w:val="22"/>
                              </w:rPr>
                              <w:t xml:space="preserve">Densitometry of the resultant bands were measured using ImageJ and the intensity measured relative to GAPDH controls (B).  Data is expressed as relative fold change, with mean ± SD, N=3, n=2, * denotes p &lt;0.05 and **** p &lt;0.0001 analysed by Kruskal-Wallis test with Dunn’s multiple comparison test.  </w:t>
                            </w:r>
                            <w:r>
                              <w:rPr>
                                <w:rFonts w:ascii="Arial Narrow" w:eastAsia="SimSun" w:hAnsi="Arial Narrow" w:cs="Arial"/>
                                <w:color w:val="595959" w:themeColor="text1" w:themeTint="A6"/>
                                <w:kern w:val="24"/>
                                <w:sz w:val="22"/>
                                <w:szCs w:val="22"/>
                              </w:rPr>
                              <w:t>(N=3, n=2).</w:t>
                            </w:r>
                            <w:r>
                              <w:rPr>
                                <w:rFonts w:ascii="Arial Narrow" w:eastAsia="SimSun" w:hAnsi="Arial Narrow" w:cs="Arial"/>
                                <w:color w:val="595959" w:themeColor="text1" w:themeTint="A6"/>
                                <w:kern w:val="24"/>
                                <w:sz w:val="22"/>
                                <w:szCs w:val="22"/>
                              </w:rPr>
                              <w:tab/>
                              <w:t>.</w:t>
                            </w:r>
                            <w:r>
                              <w:rPr>
                                <w:rFonts w:ascii="Arial Narrow" w:eastAsia="SimSun" w:hAnsi="Arial Narrow" w:cs="Arial"/>
                                <w:color w:val="595959" w:themeColor="text1" w:themeTint="A6"/>
                                <w:kern w:val="24"/>
                                <w:sz w:val="22"/>
                                <w:szCs w:val="22"/>
                              </w:rPr>
                              <w:tab/>
                            </w:r>
                          </w:p>
                          <w:p w14:paraId="66A2469B" w14:textId="77777777" w:rsidR="008A47AC" w:rsidRPr="009C15E0" w:rsidRDefault="008A47AC" w:rsidP="008C21BF">
                            <w:pPr>
                              <w:pStyle w:val="NormalWeb"/>
                              <w:spacing w:after="200" w:line="276" w:lineRule="auto"/>
                              <w:jc w:val="both"/>
                              <w:rPr>
                                <w:rFonts w:ascii="Arial Narrow" w:eastAsia="SimSun" w:hAnsi="Arial Narrow" w:cs="Arial"/>
                                <w:color w:val="595959" w:themeColor="text1" w:themeTint="A6"/>
                                <w:kern w:val="24"/>
                                <w:sz w:val="22"/>
                                <w:szCs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8EC192" id="Text Box 4120" o:spid="_x0000_s1145" type="#_x0000_t202" style="position:absolute;left:0;text-align:left;margin-left:399.6pt;margin-top:12.1pt;width:450.8pt;height:96.75pt;z-index:251658335;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" stroked="f">
                <v:textbox>
                  <w:txbxContent>
                    <w:p w14:paraId="3B8F1037" w14:textId="77777777" w:rsidR="008A47AC" w:rsidRPr="006B7937" w:rsidRDefault="008A47AC" w:rsidP="008C21BF">
                      <w:pPr>
                        <w:pStyle w:val="Caption"/>
                        <w:keepNext/>
                        <w:jc w:val="both"/>
                        <w:rPr>
                          <w:rFonts w:ascii="Arial Narrow" w:hAnsi="Arial Narrow"/>
                          <w:b/>
                          <w:i w:val="0"/>
                          <w:sz w:val="24"/>
                          <w:szCs w:val="24"/>
                        </w:rPr>
                      </w:pPr>
                      <w:r w:rsidRPr="006B7937">
                        <w:rPr>
                          <w:rFonts w:ascii="Arial Narrow" w:hAnsi="Arial Narrow"/>
                          <w:b/>
                          <w:i w:val="0"/>
                          <w:color w:val="595959" w:themeColor="text1" w:themeTint="A6"/>
                          <w:sz w:val="24"/>
                          <w:szCs w:val="24"/>
                        </w:rPr>
                        <w:t>Figure</w:t>
                      </w:r>
                      <w:r>
                        <w:rPr>
                          <w:rFonts w:ascii="Arial Narrow" w:hAnsi="Arial Narrow"/>
                          <w:b/>
                          <w:i w:val="0"/>
                          <w:color w:val="595959" w:themeColor="text1" w:themeTint="A6"/>
                          <w:sz w:val="24"/>
                          <w:szCs w:val="24"/>
                        </w:rPr>
                        <w:t xml:space="preserve"> 4.7 </w:t>
                      </w:r>
                      <w:bookmarkStart w:id="409" w:name="_Hlk520822244"/>
                      <w:r w:rsidRPr="00C445BC">
                        <w:rPr>
                          <w:rFonts w:ascii="Arial Narrow" w:hAnsi="Arial Narrow"/>
                          <w:b/>
                          <w:i w:val="0"/>
                          <w:color w:val="595959" w:themeColor="text1" w:themeTint="A6"/>
                          <w:sz w:val="24"/>
                          <w:szCs w:val="24"/>
                        </w:rPr>
                        <w:t>αSMA</w:t>
                      </w:r>
                      <w:bookmarkEnd w:id="409"/>
                      <w:r>
                        <w:rPr>
                          <w:rFonts w:ascii="Arial Narrow" w:hAnsi="Arial Narrow"/>
                          <w:b/>
                          <w:i w:val="0"/>
                          <w:color w:val="595959" w:themeColor="text1" w:themeTint="A6"/>
                          <w:sz w:val="24"/>
                          <w:szCs w:val="24"/>
                        </w:rPr>
                        <w:t xml:space="preserve"> abundance in fibroblast-derived matrices </w:t>
                      </w:r>
                    </w:p>
                    <w:p w14:paraId="7A6DF022" w14:textId="77777777" w:rsidR="008A47AC" w:rsidRDefault="008A47AC" w:rsidP="008C21BF">
                      <w:pPr>
                        <w:pStyle w:val="NormalWeb"/>
                        <w:spacing w:after="200" w:line="276" w:lineRule="auto"/>
                        <w:jc w:val="both"/>
                        <w:rPr>
                          <w:rFonts w:ascii="Arial Narrow" w:eastAsia="SimSun" w:hAnsi="Arial Narrow" w:cs="Arial"/>
                          <w:color w:val="595959" w:themeColor="text1" w:themeTint="A6"/>
                          <w:kern w:val="24"/>
                          <w:sz w:val="22"/>
                          <w:szCs w:val="22"/>
                        </w:rPr>
                      </w:pPr>
                      <w:r>
                        <w:rPr>
                          <w:rFonts w:ascii="Arial Narrow" w:eastAsia="SimSun" w:hAnsi="Arial Narrow" w:cs="Arial"/>
                          <w:color w:val="595959" w:themeColor="text1" w:themeTint="A6"/>
                          <w:kern w:val="24"/>
                          <w:sz w:val="22"/>
                          <w:szCs w:val="22"/>
                        </w:rPr>
                        <w:t xml:space="preserve">A representative immunoblot shows that </w:t>
                      </w:r>
                      <w:r w:rsidRPr="000B7002">
                        <w:rPr>
                          <w:rFonts w:ascii="Arial Narrow" w:eastAsia="SimSun" w:hAnsi="Arial Narrow" w:cs="Arial"/>
                          <w:color w:val="595959" w:themeColor="text1" w:themeTint="A6"/>
                          <w:kern w:val="24"/>
                          <w:sz w:val="22"/>
                          <w:szCs w:val="22"/>
                        </w:rPr>
                        <w:t>αSMA</w:t>
                      </w:r>
                      <w:r>
                        <w:rPr>
                          <w:rFonts w:ascii="Arial Narrow" w:eastAsia="SimSun" w:hAnsi="Arial Narrow" w:cs="Arial"/>
                          <w:color w:val="595959" w:themeColor="text1" w:themeTint="A6"/>
                          <w:kern w:val="24"/>
                          <w:sz w:val="22"/>
                          <w:szCs w:val="22"/>
                        </w:rPr>
                        <w:t xml:space="preserve"> is detectable in all FDM, with a reference weight of 42 </w:t>
                      </w:r>
                      <w:proofErr w:type="spellStart"/>
                      <w:r>
                        <w:rPr>
                          <w:rFonts w:ascii="Arial Narrow" w:eastAsia="SimSun" w:hAnsi="Arial Narrow" w:cs="Arial"/>
                          <w:color w:val="595959" w:themeColor="text1" w:themeTint="A6"/>
                          <w:kern w:val="24"/>
                          <w:sz w:val="22"/>
                          <w:szCs w:val="22"/>
                        </w:rPr>
                        <w:t>kDa</w:t>
                      </w:r>
                      <w:proofErr w:type="spellEnd"/>
                      <w:r>
                        <w:rPr>
                          <w:rFonts w:ascii="Arial Narrow" w:eastAsia="SimSun" w:hAnsi="Arial Narrow" w:cs="Arial"/>
                          <w:color w:val="595959" w:themeColor="text1" w:themeTint="A6"/>
                          <w:kern w:val="24"/>
                          <w:sz w:val="22"/>
                          <w:szCs w:val="22"/>
                        </w:rPr>
                        <w:t xml:space="preserve"> (A). </w:t>
                      </w:r>
                      <w:r>
                        <w:rPr>
                          <w:rFonts w:ascii="Arial Narrow" w:eastAsia="SimSun" w:hAnsi="Arial Narrow" w:cs="Arial"/>
                          <w:color w:val="595959"/>
                          <w:kern w:val="24"/>
                          <w:sz w:val="22"/>
                        </w:rPr>
                        <w:t xml:space="preserve">Densitometry of the resultant bands were measured using ImageJ and the intensity measured relative to GAPDH controls (B).  Data is expressed as relative fold change, with mean ± SD, N=3, n=2, * denotes p &lt;0.05 and **** p &lt;0.0001 analysed by Kruskal-Wallis test with Dunn’s multiple comparison test.  </w:t>
                      </w:r>
                      <w:r>
                        <w:rPr>
                          <w:rFonts w:ascii="Arial Narrow" w:eastAsia="SimSun" w:hAnsi="Arial Narrow" w:cs="Arial"/>
                          <w:color w:val="595959" w:themeColor="text1" w:themeTint="A6"/>
                          <w:kern w:val="24"/>
                          <w:sz w:val="22"/>
                          <w:szCs w:val="22"/>
                        </w:rPr>
                        <w:t>(N=3, n=2).</w:t>
                      </w:r>
                      <w:r>
                        <w:rPr>
                          <w:rFonts w:ascii="Arial Narrow" w:eastAsia="SimSun" w:hAnsi="Arial Narrow" w:cs="Arial"/>
                          <w:color w:val="595959" w:themeColor="text1" w:themeTint="A6"/>
                          <w:kern w:val="24"/>
                          <w:sz w:val="22"/>
                          <w:szCs w:val="22"/>
                        </w:rPr>
                        <w:tab/>
                        <w:t>.</w:t>
                      </w:r>
                      <w:r>
                        <w:rPr>
                          <w:rFonts w:ascii="Arial Narrow" w:eastAsia="SimSun" w:hAnsi="Arial Narrow" w:cs="Arial"/>
                          <w:color w:val="595959" w:themeColor="text1" w:themeTint="A6"/>
                          <w:kern w:val="24"/>
                          <w:sz w:val="22"/>
                          <w:szCs w:val="22"/>
                        </w:rPr>
                        <w:tab/>
                      </w:r>
                    </w:p>
                    <w:p w14:paraId="66A2469B" w14:textId="77777777" w:rsidR="008A47AC" w:rsidRPr="009C15E0" w:rsidRDefault="008A47AC" w:rsidP="008C21BF">
                      <w:pPr>
                        <w:pStyle w:val="NormalWeb"/>
                        <w:spacing w:after="200" w:line="276" w:lineRule="auto"/>
                        <w:jc w:val="both"/>
                        <w:rPr>
                          <w:rFonts w:ascii="Arial Narrow" w:eastAsia="SimSun" w:hAnsi="Arial Narrow" w:cs="Arial"/>
                          <w:color w:val="595959" w:themeColor="text1" w:themeTint="A6"/>
                          <w:kern w:val="24"/>
                          <w:sz w:val="22"/>
                          <w:szCs w:val="22"/>
                        </w:rPr>
                      </w:pPr>
                    </w:p>
                  </w:txbxContent>
                </v:textbox>
                <w10:wrap anchorx="margin"/>
              </v:shape>
            </w:pict>
          </mc:Fallback>
        </mc:AlternateContent>
      </w:r>
    </w:p>
    <w:p w14:paraId="7F2FC606" w14:textId="77777777" w:rsidR="008C21BF" w:rsidRPr="008C21BF" w:rsidRDefault="008C21BF" w:rsidP="008C21BF">
      <w:pPr>
        <w:keepNext/>
        <w:keepLines/>
        <w:spacing w:before="40" w:after="0"/>
        <w:outlineLvl w:val="3"/>
        <w:rPr>
          <w:rFonts w:ascii="Arial" w:eastAsiaTheme="majorEastAsia" w:hAnsi="Arial" w:cs="Arial"/>
          <w:i/>
          <w:iCs/>
          <w:color w:val="595959" w:themeColor="text1" w:themeTint="A6"/>
        </w:rPr>
      </w:pPr>
      <w:bookmarkStart w:id="408" w:name="_Toc7678149"/>
    </w:p>
    <w:p w14:paraId="66CCC0D3" w14:textId="77777777" w:rsidR="008C21BF" w:rsidRPr="008C21BF" w:rsidRDefault="008C21BF" w:rsidP="008C21BF"/>
    <w:p w14:paraId="580E472D" w14:textId="77777777" w:rsidR="008C21BF" w:rsidRPr="008C21BF" w:rsidRDefault="008C21BF" w:rsidP="008C21BF"/>
    <w:p w14:paraId="36CD7219" w14:textId="77777777" w:rsidR="008C21BF" w:rsidRPr="008C21BF" w:rsidRDefault="008C21BF" w:rsidP="008C21BF"/>
    <w:p w14:paraId="029F0061" w14:textId="77777777" w:rsidR="008C21BF" w:rsidRPr="008C21BF" w:rsidRDefault="008C21BF" w:rsidP="008C21BF"/>
    <w:p w14:paraId="28DE2DCE" w14:textId="77777777" w:rsidR="008C21BF" w:rsidRPr="008C21BF" w:rsidRDefault="008C21BF" w:rsidP="004664E0">
      <w:pPr>
        <w:pStyle w:val="Heading6"/>
        <w:rPr>
          <w:rFonts w:ascii="Arial" w:hAnsi="Arial" w:cs="Arial"/>
          <w:i/>
          <w:iCs/>
          <w:color w:val="595959" w:themeColor="text1" w:themeTint="A6"/>
        </w:rPr>
      </w:pPr>
      <w:bookmarkStart w:id="409" w:name="_Toc34208424"/>
      <w:r w:rsidRPr="008C21BF">
        <w:rPr>
          <w:rFonts w:ascii="Arial" w:hAnsi="Arial" w:cs="Arial"/>
          <w:i/>
          <w:iCs/>
          <w:color w:val="595959" w:themeColor="text1" w:themeTint="A6"/>
        </w:rPr>
        <w:lastRenderedPageBreak/>
        <w:t>4.3.2.2.1.2 FN1-EDA protein abundance in fibroblast-derived matrices</w:t>
      </w:r>
      <w:bookmarkEnd w:id="408"/>
      <w:bookmarkEnd w:id="409"/>
    </w:p>
    <w:p w14:paraId="6E9003E3" w14:textId="77777777" w:rsidR="008C21BF" w:rsidRPr="008C21BF" w:rsidRDefault="008C21BF" w:rsidP="008C21BF"/>
    <w:p w14:paraId="25F21A52" w14:textId="28FBD6DA" w:rsidR="008C21BF" w:rsidRPr="008C21BF" w:rsidRDefault="008C21BF" w:rsidP="008C21BF">
      <w:pPr>
        <w:tabs>
          <w:tab w:val="left" w:pos="1680"/>
        </w:tabs>
        <w:spacing w:line="480" w:lineRule="auto"/>
        <w:jc w:val="both"/>
        <w:rPr>
          <w:rFonts w:ascii="Arial" w:hAnsi="Arial" w:cs="Arial"/>
          <w:color w:val="595959" w:themeColor="text1" w:themeTint="A6"/>
        </w:rPr>
      </w:pPr>
      <w:r w:rsidRPr="008C21BF">
        <w:rPr>
          <w:rFonts w:ascii="Arial" w:hAnsi="Arial" w:cs="Arial"/>
          <w:color w:val="595959" w:themeColor="text1" w:themeTint="A6"/>
        </w:rPr>
        <w:t xml:space="preserve">FN1-EDA is an integrin-binding protein and largely associates with collagen type 1 and is upregulated in OSCC. The representative immunoblot shows evidence of bands at 250 kDa in all samples, corresponding to the predicted molecular weight of FN1-EDA (Figure 4.8 A).  FN1-EDA protein was most abundant in CAF-DM-GF compared to NOF-DM with and without growth factors. </w:t>
      </w:r>
      <w:r w:rsidR="00A7230D">
        <w:rPr>
          <w:rFonts w:ascii="Arial" w:hAnsi="Arial" w:cs="Arial"/>
          <w:color w:val="595959" w:themeColor="text1" w:themeTint="A6"/>
        </w:rPr>
        <w:t>No significant difference in</w:t>
      </w:r>
      <w:r w:rsidR="00715429">
        <w:rPr>
          <w:rFonts w:ascii="Arial" w:hAnsi="Arial" w:cs="Arial"/>
          <w:color w:val="595959" w:themeColor="text1" w:themeTint="A6"/>
        </w:rPr>
        <w:t xml:space="preserve"> </w:t>
      </w:r>
      <w:r w:rsidR="00A7230D">
        <w:rPr>
          <w:rFonts w:ascii="Arial" w:hAnsi="Arial" w:cs="Arial"/>
          <w:color w:val="595959" w:themeColor="text1" w:themeTint="A6"/>
        </w:rPr>
        <w:t>FN1-EDA abundance was observed with the addition of growth factors to NOF-DM but a</w:t>
      </w:r>
      <w:r w:rsidRPr="008C21BF">
        <w:rPr>
          <w:rFonts w:ascii="Arial" w:hAnsi="Arial" w:cs="Arial"/>
          <w:color w:val="595959" w:themeColor="text1" w:themeTint="A6"/>
        </w:rPr>
        <w:t xml:space="preserve"> significant increase </w:t>
      </w:r>
      <w:r w:rsidR="00566ED7">
        <w:rPr>
          <w:rFonts w:ascii="Arial" w:hAnsi="Arial" w:cs="Arial"/>
          <w:color w:val="595959" w:themeColor="text1" w:themeTint="A6"/>
        </w:rPr>
        <w:t>to</w:t>
      </w:r>
      <w:r w:rsidRPr="008C21BF">
        <w:rPr>
          <w:rFonts w:ascii="Arial" w:hAnsi="Arial" w:cs="Arial"/>
          <w:color w:val="595959" w:themeColor="text1" w:themeTint="A6"/>
        </w:rPr>
        <w:t xml:space="preserve"> 3.37 ± 0.40 was observed in the CAF-DM, when compared to NOF-DM-GF (p=0.0007) (Figure 4.8 B). </w:t>
      </w:r>
    </w:p>
    <w:p w14:paraId="53E88332" w14:textId="77777777" w:rsidR="008C21BF" w:rsidRPr="008C21BF" w:rsidRDefault="008C21BF" w:rsidP="008C21BF">
      <w:pPr>
        <w:tabs>
          <w:tab w:val="left" w:pos="1680"/>
        </w:tabs>
        <w:spacing w:line="480" w:lineRule="auto"/>
        <w:jc w:val="both"/>
        <w:rPr>
          <w:rFonts w:ascii="Arial" w:hAnsi="Arial" w:cs="Arial"/>
          <w:color w:val="595959" w:themeColor="text1" w:themeTint="A6"/>
        </w:rPr>
      </w:pPr>
      <w:r w:rsidRPr="008C21BF">
        <w:rPr>
          <w:rFonts w:ascii="Arial" w:hAnsi="Arial" w:cs="Arial"/>
          <w:noProof/>
          <w:color w:val="595959" w:themeColor="text1" w:themeTint="A6"/>
          <w:lang w:eastAsia="zh-CN"/>
        </w:rPr>
        <w:drawing>
          <wp:anchor distT="0" distB="0" distL="114300" distR="114300" simplePos="0" relativeHeight="251658353" behindDoc="0" locked="0" layoutInCell="1" allowOverlap="1" wp14:anchorId="310903C4" wp14:editId="23657C40">
            <wp:simplePos x="0" y="0"/>
            <wp:positionH relativeFrom="margin">
              <wp:posOffset>759460</wp:posOffset>
            </wp:positionH>
            <wp:positionV relativeFrom="paragraph">
              <wp:posOffset>158668</wp:posOffset>
            </wp:positionV>
            <wp:extent cx="4212590" cy="3889375"/>
            <wp:effectExtent l="0" t="0" r="0" b="0"/>
            <wp:wrapNone/>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212590" cy="3889375"/>
                    </a:xfrm>
                    <a:prstGeom prst="rect">
                      <a:avLst/>
                    </a:prstGeom>
                    <a:noFill/>
                  </pic:spPr>
                </pic:pic>
              </a:graphicData>
            </a:graphic>
          </wp:anchor>
        </w:drawing>
      </w:r>
    </w:p>
    <w:p w14:paraId="19FDF2FA" w14:textId="77777777" w:rsidR="008C21BF" w:rsidRPr="008C21BF" w:rsidRDefault="008C21BF" w:rsidP="008C21BF">
      <w:pPr>
        <w:tabs>
          <w:tab w:val="left" w:pos="1680"/>
        </w:tabs>
        <w:spacing w:line="480" w:lineRule="auto"/>
        <w:jc w:val="both"/>
        <w:rPr>
          <w:rFonts w:ascii="Arial" w:hAnsi="Arial" w:cs="Arial"/>
          <w:color w:val="595959" w:themeColor="text1" w:themeTint="A6"/>
        </w:rPr>
      </w:pPr>
    </w:p>
    <w:p w14:paraId="3E5F242E" w14:textId="77777777" w:rsidR="008C21BF" w:rsidRPr="008C21BF" w:rsidRDefault="008C21BF" w:rsidP="008C21BF">
      <w:pPr>
        <w:tabs>
          <w:tab w:val="left" w:pos="1680"/>
        </w:tabs>
        <w:spacing w:line="480" w:lineRule="auto"/>
        <w:jc w:val="both"/>
        <w:rPr>
          <w:rFonts w:ascii="Arial" w:hAnsi="Arial" w:cs="Arial"/>
          <w:color w:val="595959" w:themeColor="text1" w:themeTint="A6"/>
        </w:rPr>
      </w:pPr>
    </w:p>
    <w:p w14:paraId="62FBDDDD" w14:textId="77777777" w:rsidR="008C21BF" w:rsidRPr="008C21BF" w:rsidRDefault="008C21BF" w:rsidP="008C21BF">
      <w:pPr>
        <w:tabs>
          <w:tab w:val="left" w:pos="1680"/>
        </w:tabs>
        <w:spacing w:line="480" w:lineRule="auto"/>
        <w:jc w:val="both"/>
        <w:rPr>
          <w:rFonts w:ascii="Arial" w:hAnsi="Arial" w:cs="Arial"/>
          <w:color w:val="595959" w:themeColor="text1" w:themeTint="A6"/>
        </w:rPr>
      </w:pPr>
    </w:p>
    <w:p w14:paraId="737B495D" w14:textId="77777777" w:rsidR="008C21BF" w:rsidRPr="008C21BF" w:rsidRDefault="008C21BF" w:rsidP="008C21BF">
      <w:pPr>
        <w:tabs>
          <w:tab w:val="left" w:pos="1680"/>
        </w:tabs>
        <w:spacing w:line="480" w:lineRule="auto"/>
        <w:jc w:val="both"/>
        <w:rPr>
          <w:rFonts w:ascii="Arial" w:hAnsi="Arial" w:cs="Arial"/>
          <w:color w:val="595959" w:themeColor="text1" w:themeTint="A6"/>
        </w:rPr>
      </w:pPr>
    </w:p>
    <w:p w14:paraId="5BBA6C12" w14:textId="77777777" w:rsidR="008C21BF" w:rsidRPr="008C21BF" w:rsidRDefault="008C21BF" w:rsidP="008C21BF">
      <w:pPr>
        <w:tabs>
          <w:tab w:val="left" w:pos="1680"/>
        </w:tabs>
        <w:spacing w:line="480" w:lineRule="auto"/>
        <w:jc w:val="both"/>
        <w:rPr>
          <w:rFonts w:ascii="Arial" w:hAnsi="Arial" w:cs="Arial"/>
          <w:color w:val="595959" w:themeColor="text1" w:themeTint="A6"/>
        </w:rPr>
      </w:pPr>
    </w:p>
    <w:p w14:paraId="19D0CEF9" w14:textId="77777777" w:rsidR="008C21BF" w:rsidRPr="008C21BF" w:rsidRDefault="008C21BF" w:rsidP="008C21BF">
      <w:pPr>
        <w:tabs>
          <w:tab w:val="left" w:pos="1680"/>
        </w:tabs>
        <w:spacing w:line="480" w:lineRule="auto"/>
        <w:jc w:val="both"/>
        <w:rPr>
          <w:rFonts w:ascii="Arial" w:hAnsi="Arial" w:cs="Arial"/>
          <w:color w:val="595959" w:themeColor="text1" w:themeTint="A6"/>
        </w:rPr>
      </w:pPr>
    </w:p>
    <w:p w14:paraId="7AA0F787" w14:textId="77777777" w:rsidR="008C21BF" w:rsidRPr="008C21BF" w:rsidRDefault="008C21BF" w:rsidP="008C21BF">
      <w:pPr>
        <w:tabs>
          <w:tab w:val="left" w:pos="1680"/>
        </w:tabs>
        <w:spacing w:line="480" w:lineRule="auto"/>
        <w:jc w:val="both"/>
        <w:rPr>
          <w:rFonts w:ascii="Arial" w:hAnsi="Arial" w:cs="Arial"/>
          <w:color w:val="595959" w:themeColor="text1" w:themeTint="A6"/>
        </w:rPr>
      </w:pPr>
    </w:p>
    <w:p w14:paraId="0C44E46A" w14:textId="77777777" w:rsidR="008C21BF" w:rsidRPr="008C21BF" w:rsidRDefault="008C21BF" w:rsidP="008C21BF">
      <w:pPr>
        <w:tabs>
          <w:tab w:val="left" w:pos="1680"/>
        </w:tabs>
        <w:spacing w:line="480" w:lineRule="auto"/>
        <w:jc w:val="both"/>
        <w:rPr>
          <w:rFonts w:ascii="Arial" w:hAnsi="Arial" w:cs="Arial"/>
          <w:color w:val="595959" w:themeColor="text1" w:themeTint="A6"/>
        </w:rPr>
      </w:pPr>
    </w:p>
    <w:p w14:paraId="49FB7F6A" w14:textId="19DCC263" w:rsidR="008C21BF" w:rsidRPr="008C21BF" w:rsidRDefault="00A7230D" w:rsidP="008C21BF">
      <w:pPr>
        <w:tabs>
          <w:tab w:val="left" w:pos="1680"/>
        </w:tabs>
        <w:spacing w:line="480" w:lineRule="auto"/>
        <w:jc w:val="both"/>
        <w:rPr>
          <w:rFonts w:ascii="Arial" w:hAnsi="Arial" w:cs="Arial"/>
          <w:color w:val="595959" w:themeColor="text1" w:themeTint="A6"/>
        </w:rPr>
      </w:pPr>
      <w:r w:rsidRPr="008C21BF">
        <w:rPr>
          <w:rFonts w:ascii="Arial" w:hAnsi="Arial" w:cs="Arial"/>
          <w:noProof/>
          <w:color w:val="595959" w:themeColor="text1" w:themeTint="A6"/>
          <w:sz w:val="24"/>
          <w:szCs w:val="24"/>
          <w:lang w:eastAsia="zh-CN"/>
        </w:rPr>
        <mc:AlternateContent>
          <mc:Choice Requires="wps">
            <w:drawing>
              <wp:anchor distT="0" distB="0" distL="114300" distR="114300" simplePos="0" relativeHeight="251658354" behindDoc="0" locked="0" layoutInCell="1" allowOverlap="1" wp14:anchorId="1EFDCC03" wp14:editId="075C6245">
                <wp:simplePos x="0" y="0"/>
                <wp:positionH relativeFrom="margin">
                  <wp:align>left</wp:align>
                </wp:positionH>
                <wp:positionV relativeFrom="paragraph">
                  <wp:posOffset>372618</wp:posOffset>
                </wp:positionV>
                <wp:extent cx="5730240" cy="1238250"/>
                <wp:effectExtent l="0" t="0" r="3810" b="0"/>
                <wp:wrapNone/>
                <wp:docPr id="4121" name="Text Box 4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0240" cy="1238250"/>
                        </a:xfrm>
                        <a:prstGeom prst="rect">
                          <a:avLst/>
                        </a:prstGeom>
                        <a:solidFill>
                          <a:srgbClr val="FFFFFF"/>
                        </a:solidFill>
                        <a:ln w="9525">
                          <a:noFill/>
                          <a:miter lim="800000"/>
                          <a:headEnd/>
                          <a:tailEnd/>
                        </a:ln>
                      </wps:spPr>
                      <wps:txbx>
                        <w:txbxContent>
                          <w:p w14:paraId="6F9E7914" w14:textId="77777777" w:rsidR="008A47AC" w:rsidRPr="006B7937" w:rsidRDefault="008A47AC" w:rsidP="008C21BF">
                            <w:pPr>
                              <w:pStyle w:val="Caption"/>
                              <w:keepNext/>
                              <w:jc w:val="both"/>
                              <w:rPr>
                                <w:rFonts w:ascii="Arial Narrow" w:hAnsi="Arial Narrow"/>
                                <w:b/>
                                <w:i w:val="0"/>
                                <w:sz w:val="24"/>
                                <w:szCs w:val="24"/>
                              </w:rPr>
                            </w:pPr>
                            <w:r w:rsidRPr="006B7937">
                              <w:rPr>
                                <w:rFonts w:ascii="Arial Narrow" w:hAnsi="Arial Narrow"/>
                                <w:b/>
                                <w:i w:val="0"/>
                                <w:color w:val="595959" w:themeColor="text1" w:themeTint="A6"/>
                                <w:sz w:val="24"/>
                                <w:szCs w:val="24"/>
                              </w:rPr>
                              <w:t>Figure</w:t>
                            </w:r>
                            <w:r>
                              <w:rPr>
                                <w:rFonts w:ascii="Arial Narrow" w:hAnsi="Arial Narrow"/>
                                <w:b/>
                                <w:i w:val="0"/>
                                <w:color w:val="595959" w:themeColor="text1" w:themeTint="A6"/>
                                <w:sz w:val="24"/>
                                <w:szCs w:val="24"/>
                              </w:rPr>
                              <w:t xml:space="preserve"> 4.8 FN1-EDA abundance in fibroblast-derived matrices </w:t>
                            </w:r>
                          </w:p>
                          <w:p w14:paraId="2D97DAFE" w14:textId="77777777" w:rsidR="008A47AC" w:rsidRDefault="008A47AC" w:rsidP="008C21BF">
                            <w:pPr>
                              <w:pStyle w:val="NormalWeb"/>
                              <w:spacing w:after="200" w:line="276" w:lineRule="auto"/>
                              <w:jc w:val="both"/>
                              <w:rPr>
                                <w:rFonts w:ascii="Arial Narrow" w:eastAsia="SimSun" w:hAnsi="Arial Narrow" w:cs="Arial"/>
                                <w:color w:val="595959" w:themeColor="text1" w:themeTint="A6"/>
                                <w:kern w:val="24"/>
                                <w:sz w:val="22"/>
                                <w:szCs w:val="22"/>
                              </w:rPr>
                            </w:pPr>
                            <w:r>
                              <w:rPr>
                                <w:rFonts w:ascii="Arial Narrow" w:eastAsia="SimSun" w:hAnsi="Arial Narrow" w:cs="Arial"/>
                                <w:color w:val="595959" w:themeColor="text1" w:themeTint="A6"/>
                                <w:kern w:val="24"/>
                                <w:sz w:val="22"/>
                                <w:szCs w:val="22"/>
                              </w:rPr>
                              <w:t>A representative immunoblot showing FN1-EDA protein present in all FDM, with a reference weight of 250 kDa (A).</w:t>
                            </w:r>
                            <w:r w:rsidRPr="00807EBF">
                              <w:rPr>
                                <w:rFonts w:ascii="Arial Narrow" w:eastAsia="SimSun" w:hAnsi="Arial Narrow" w:cs="Arial"/>
                                <w:color w:val="595959"/>
                                <w:kern w:val="24"/>
                                <w:sz w:val="22"/>
                              </w:rPr>
                              <w:t xml:space="preserve"> </w:t>
                            </w:r>
                            <w:r>
                              <w:rPr>
                                <w:rFonts w:ascii="Arial Narrow" w:eastAsia="SimSun" w:hAnsi="Arial Narrow" w:cs="Arial"/>
                                <w:color w:val="595959"/>
                                <w:kern w:val="24"/>
                                <w:sz w:val="22"/>
                              </w:rPr>
                              <w:t xml:space="preserve">Densitometry of the resultant bands were measured using ImageJ and the intensity measured relative to GAPDH controls (B).  Data is expressed as relative fold change, with mean ± SD, N=3, n=2, *** denotes p &lt;0.001 as analysed by Kruskal-Wallis test with Dunn’s multiple comparison test.  </w:t>
                            </w:r>
                            <w:r>
                              <w:rPr>
                                <w:rFonts w:ascii="Arial Narrow" w:eastAsia="SimSun" w:hAnsi="Arial Narrow" w:cs="Arial"/>
                                <w:color w:val="595959" w:themeColor="text1" w:themeTint="A6"/>
                                <w:kern w:val="24"/>
                                <w:sz w:val="22"/>
                                <w:szCs w:val="22"/>
                              </w:rPr>
                              <w:tab/>
                            </w:r>
                          </w:p>
                          <w:p w14:paraId="35B91D50" w14:textId="77777777" w:rsidR="008A47AC" w:rsidRPr="009C15E0" w:rsidRDefault="008A47AC" w:rsidP="008C21BF">
                            <w:pPr>
                              <w:pStyle w:val="NormalWeb"/>
                              <w:spacing w:after="200" w:line="276" w:lineRule="auto"/>
                              <w:jc w:val="both"/>
                              <w:rPr>
                                <w:rFonts w:ascii="Arial Narrow" w:eastAsia="SimSun" w:hAnsi="Arial Narrow" w:cs="Arial"/>
                                <w:color w:val="595959" w:themeColor="text1" w:themeTint="A6"/>
                                <w:kern w:val="24"/>
                                <w:sz w:val="22"/>
                                <w:szCs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FDCC03" id="Text Box 4121" o:spid="_x0000_s1146" type="#_x0000_t202" style="position:absolute;left:0;text-align:left;margin-left:0;margin-top:29.35pt;width:451.2pt;height:97.5pt;z-index:25165835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" stroked="f">
                <v:textbox>
                  <w:txbxContent>
                    <w:p w14:paraId="6F9E7914" w14:textId="77777777" w:rsidR="008A47AC" w:rsidRPr="006B7937" w:rsidRDefault="008A47AC" w:rsidP="008C21BF">
                      <w:pPr>
                        <w:pStyle w:val="Caption"/>
                        <w:keepNext/>
                        <w:jc w:val="both"/>
                        <w:rPr>
                          <w:rFonts w:ascii="Arial Narrow" w:hAnsi="Arial Narrow"/>
                          <w:b/>
                          <w:i w:val="0"/>
                          <w:sz w:val="24"/>
                          <w:szCs w:val="24"/>
                        </w:rPr>
                      </w:pPr>
                      <w:r w:rsidRPr="006B7937">
                        <w:rPr>
                          <w:rFonts w:ascii="Arial Narrow" w:hAnsi="Arial Narrow"/>
                          <w:b/>
                          <w:i w:val="0"/>
                          <w:color w:val="595959" w:themeColor="text1" w:themeTint="A6"/>
                          <w:sz w:val="24"/>
                          <w:szCs w:val="24"/>
                        </w:rPr>
                        <w:t>Figure</w:t>
                      </w:r>
                      <w:r>
                        <w:rPr>
                          <w:rFonts w:ascii="Arial Narrow" w:hAnsi="Arial Narrow"/>
                          <w:b/>
                          <w:i w:val="0"/>
                          <w:color w:val="595959" w:themeColor="text1" w:themeTint="A6"/>
                          <w:sz w:val="24"/>
                          <w:szCs w:val="24"/>
                        </w:rPr>
                        <w:t xml:space="preserve"> 4.8 FN1-EDA abundance in fibroblast-derived matrices </w:t>
                      </w:r>
                    </w:p>
                    <w:p w14:paraId="2D97DAFE" w14:textId="77777777" w:rsidR="008A47AC" w:rsidRDefault="008A47AC" w:rsidP="008C21BF">
                      <w:pPr>
                        <w:pStyle w:val="NormalWeb"/>
                        <w:spacing w:after="200" w:line="276" w:lineRule="auto"/>
                        <w:jc w:val="both"/>
                        <w:rPr>
                          <w:rFonts w:ascii="Arial Narrow" w:eastAsia="SimSun" w:hAnsi="Arial Narrow" w:cs="Arial"/>
                          <w:color w:val="595959" w:themeColor="text1" w:themeTint="A6"/>
                          <w:kern w:val="24"/>
                          <w:sz w:val="22"/>
                          <w:szCs w:val="22"/>
                        </w:rPr>
                      </w:pPr>
                      <w:r>
                        <w:rPr>
                          <w:rFonts w:ascii="Arial Narrow" w:eastAsia="SimSun" w:hAnsi="Arial Narrow" w:cs="Arial"/>
                          <w:color w:val="595959" w:themeColor="text1" w:themeTint="A6"/>
                          <w:kern w:val="24"/>
                          <w:sz w:val="22"/>
                          <w:szCs w:val="22"/>
                        </w:rPr>
                        <w:t xml:space="preserve">A representative </w:t>
                      </w:r>
                      <w:proofErr w:type="gramStart"/>
                      <w:r>
                        <w:rPr>
                          <w:rFonts w:ascii="Arial Narrow" w:eastAsia="SimSun" w:hAnsi="Arial Narrow" w:cs="Arial"/>
                          <w:color w:val="595959" w:themeColor="text1" w:themeTint="A6"/>
                          <w:kern w:val="24"/>
                          <w:sz w:val="22"/>
                          <w:szCs w:val="22"/>
                        </w:rPr>
                        <w:t>immunoblot</w:t>
                      </w:r>
                      <w:proofErr w:type="gramEnd"/>
                      <w:r>
                        <w:rPr>
                          <w:rFonts w:ascii="Arial Narrow" w:eastAsia="SimSun" w:hAnsi="Arial Narrow" w:cs="Arial"/>
                          <w:color w:val="595959" w:themeColor="text1" w:themeTint="A6"/>
                          <w:kern w:val="24"/>
                          <w:sz w:val="22"/>
                          <w:szCs w:val="22"/>
                        </w:rPr>
                        <w:t xml:space="preserve"> showing FN1-EDA protein present in all FDM, with a reference weight of 250 </w:t>
                      </w:r>
                      <w:proofErr w:type="spellStart"/>
                      <w:r>
                        <w:rPr>
                          <w:rFonts w:ascii="Arial Narrow" w:eastAsia="SimSun" w:hAnsi="Arial Narrow" w:cs="Arial"/>
                          <w:color w:val="595959" w:themeColor="text1" w:themeTint="A6"/>
                          <w:kern w:val="24"/>
                          <w:sz w:val="22"/>
                          <w:szCs w:val="22"/>
                        </w:rPr>
                        <w:t>kDa</w:t>
                      </w:r>
                      <w:proofErr w:type="spellEnd"/>
                      <w:r>
                        <w:rPr>
                          <w:rFonts w:ascii="Arial Narrow" w:eastAsia="SimSun" w:hAnsi="Arial Narrow" w:cs="Arial"/>
                          <w:color w:val="595959" w:themeColor="text1" w:themeTint="A6"/>
                          <w:kern w:val="24"/>
                          <w:sz w:val="22"/>
                          <w:szCs w:val="22"/>
                        </w:rPr>
                        <w:t xml:space="preserve"> (A).</w:t>
                      </w:r>
                      <w:r w:rsidRPr="00807EBF">
                        <w:rPr>
                          <w:rFonts w:ascii="Arial Narrow" w:eastAsia="SimSun" w:hAnsi="Arial Narrow" w:cs="Arial"/>
                          <w:color w:val="595959"/>
                          <w:kern w:val="24"/>
                          <w:sz w:val="22"/>
                        </w:rPr>
                        <w:t xml:space="preserve"> </w:t>
                      </w:r>
                      <w:r>
                        <w:rPr>
                          <w:rFonts w:ascii="Arial Narrow" w:eastAsia="SimSun" w:hAnsi="Arial Narrow" w:cs="Arial"/>
                          <w:color w:val="595959"/>
                          <w:kern w:val="24"/>
                          <w:sz w:val="22"/>
                        </w:rPr>
                        <w:t xml:space="preserve">Densitometry of the resultant bands were measured using ImageJ and the intensity measured relative to GAPDH controls (B).  Data is expressed as relative fold change, with mean ± SD, N=3, n=2, *** denotes p &lt;0.001 as analysed by Kruskal-Wallis test with Dunn’s multiple comparison test.  </w:t>
                      </w:r>
                      <w:r>
                        <w:rPr>
                          <w:rFonts w:ascii="Arial Narrow" w:eastAsia="SimSun" w:hAnsi="Arial Narrow" w:cs="Arial"/>
                          <w:color w:val="595959" w:themeColor="text1" w:themeTint="A6"/>
                          <w:kern w:val="24"/>
                          <w:sz w:val="22"/>
                          <w:szCs w:val="22"/>
                        </w:rPr>
                        <w:tab/>
                      </w:r>
                    </w:p>
                    <w:p w14:paraId="35B91D50" w14:textId="77777777" w:rsidR="008A47AC" w:rsidRPr="009C15E0" w:rsidRDefault="008A47AC" w:rsidP="008C21BF">
                      <w:pPr>
                        <w:pStyle w:val="NormalWeb"/>
                        <w:spacing w:after="200" w:line="276" w:lineRule="auto"/>
                        <w:jc w:val="both"/>
                        <w:rPr>
                          <w:rFonts w:ascii="Arial Narrow" w:eastAsia="SimSun" w:hAnsi="Arial Narrow" w:cs="Arial"/>
                          <w:color w:val="595959" w:themeColor="text1" w:themeTint="A6"/>
                          <w:kern w:val="24"/>
                          <w:sz w:val="22"/>
                          <w:szCs w:val="22"/>
                        </w:rPr>
                      </w:pPr>
                    </w:p>
                  </w:txbxContent>
                </v:textbox>
                <w10:wrap anchorx="margin"/>
              </v:shape>
            </w:pict>
          </mc:Fallback>
        </mc:AlternateContent>
      </w:r>
    </w:p>
    <w:p w14:paraId="5053D53B" w14:textId="7CB3D419" w:rsidR="008C21BF" w:rsidRPr="008C21BF" w:rsidRDefault="008C21BF" w:rsidP="008C21BF">
      <w:pPr>
        <w:tabs>
          <w:tab w:val="left" w:pos="1680"/>
        </w:tabs>
        <w:spacing w:line="480" w:lineRule="auto"/>
        <w:jc w:val="both"/>
        <w:rPr>
          <w:rFonts w:ascii="Arial" w:hAnsi="Arial" w:cs="Arial"/>
          <w:color w:val="595959" w:themeColor="text1" w:themeTint="A6"/>
        </w:rPr>
      </w:pPr>
    </w:p>
    <w:p w14:paraId="3B281C77" w14:textId="77777777" w:rsidR="008C21BF" w:rsidRPr="008C21BF" w:rsidRDefault="008C21BF" w:rsidP="008C21BF">
      <w:pPr>
        <w:tabs>
          <w:tab w:val="left" w:pos="1680"/>
        </w:tabs>
        <w:spacing w:line="480" w:lineRule="auto"/>
        <w:jc w:val="both"/>
        <w:rPr>
          <w:rFonts w:ascii="Arial" w:hAnsi="Arial" w:cs="Arial"/>
          <w:color w:val="595959" w:themeColor="text1" w:themeTint="A6"/>
        </w:rPr>
      </w:pPr>
    </w:p>
    <w:p w14:paraId="0CD8C784" w14:textId="1583AF60" w:rsidR="008C21BF" w:rsidRDefault="008C21BF" w:rsidP="008C21BF">
      <w:pPr>
        <w:tabs>
          <w:tab w:val="left" w:pos="1680"/>
        </w:tabs>
        <w:spacing w:line="480" w:lineRule="auto"/>
        <w:jc w:val="both"/>
        <w:rPr>
          <w:rFonts w:ascii="Arial" w:hAnsi="Arial" w:cs="Arial"/>
          <w:color w:val="595959" w:themeColor="text1" w:themeTint="A6"/>
        </w:rPr>
      </w:pPr>
    </w:p>
    <w:p w14:paraId="77EBBB7B" w14:textId="77777777" w:rsidR="00A7230D" w:rsidRPr="008C21BF" w:rsidRDefault="00A7230D" w:rsidP="008C21BF">
      <w:pPr>
        <w:tabs>
          <w:tab w:val="left" w:pos="1680"/>
        </w:tabs>
        <w:spacing w:line="480" w:lineRule="auto"/>
        <w:jc w:val="both"/>
        <w:rPr>
          <w:rFonts w:ascii="Arial" w:hAnsi="Arial" w:cs="Arial"/>
          <w:color w:val="595959" w:themeColor="text1" w:themeTint="A6"/>
        </w:rPr>
      </w:pPr>
    </w:p>
    <w:p w14:paraId="736AD4F6" w14:textId="77777777" w:rsidR="008C21BF" w:rsidRPr="008C21BF" w:rsidRDefault="008C21BF" w:rsidP="004664E0">
      <w:pPr>
        <w:pStyle w:val="Heading6"/>
        <w:rPr>
          <w:rFonts w:ascii="Arial" w:hAnsi="Arial" w:cs="Arial"/>
          <w:i/>
          <w:iCs/>
          <w:color w:val="595959" w:themeColor="text1" w:themeTint="A6"/>
        </w:rPr>
      </w:pPr>
      <w:bookmarkStart w:id="410" w:name="_Toc7678150"/>
      <w:bookmarkStart w:id="411" w:name="_Toc34208425"/>
      <w:r w:rsidRPr="008C21BF">
        <w:rPr>
          <w:rFonts w:ascii="Arial" w:hAnsi="Arial" w:cs="Arial"/>
          <w:i/>
          <w:iCs/>
          <w:color w:val="595959" w:themeColor="text1" w:themeTint="A6"/>
        </w:rPr>
        <w:lastRenderedPageBreak/>
        <w:t>4.3.2.2.1.3 VCAN protein abundance in fibroblast-derived matrices</w:t>
      </w:r>
      <w:bookmarkEnd w:id="410"/>
      <w:bookmarkEnd w:id="411"/>
    </w:p>
    <w:p w14:paraId="6478E28B" w14:textId="77777777" w:rsidR="008C21BF" w:rsidRPr="008C21BF" w:rsidRDefault="008C21BF" w:rsidP="008C21BF"/>
    <w:p w14:paraId="0C97CE08" w14:textId="77777777" w:rsidR="008C21BF" w:rsidRPr="008C21BF" w:rsidRDefault="008C21BF" w:rsidP="008C21BF">
      <w:pPr>
        <w:tabs>
          <w:tab w:val="left" w:pos="1680"/>
        </w:tabs>
        <w:spacing w:line="480" w:lineRule="auto"/>
        <w:jc w:val="both"/>
        <w:rPr>
          <w:rFonts w:ascii="Arial" w:hAnsi="Arial" w:cs="Arial"/>
          <w:color w:val="595959" w:themeColor="text1" w:themeTint="A6"/>
        </w:rPr>
      </w:pPr>
      <w:r w:rsidRPr="008C21BF">
        <w:rPr>
          <w:rFonts w:ascii="Arial" w:hAnsi="Arial" w:cs="Arial"/>
          <w:color w:val="595959" w:themeColor="text1" w:themeTint="A6"/>
        </w:rPr>
        <w:t xml:space="preserve">VCAN, a large proteoglycan acts as an anti-adhesion protein and regulates the hydration status of the matrix meshwork within tissues and shows increased abundance in OSCC. A discrete band at 72 kDa was detected in FDM using an anti-VCAN antibody (Figure 4.9 A).  No significant differences were observed in VCAN protein abundance in NOF-DM with the addition of growth factors (8.69 ± 1.50-fold change) (Figure 4.9 B). A significant change was observed for VCAN abundance in CAF-DM; where a 56.57 ± 10.07-fold increase was observed compared to NOF-DM-GF (p &lt;0.0001) (Figure 4.9 B). </w:t>
      </w:r>
    </w:p>
    <w:p w14:paraId="36C7D316" w14:textId="77777777" w:rsidR="008C21BF" w:rsidRPr="008C21BF" w:rsidRDefault="008C21BF" w:rsidP="008C21BF">
      <w:pPr>
        <w:tabs>
          <w:tab w:val="left" w:pos="1680"/>
        </w:tabs>
        <w:spacing w:line="480" w:lineRule="auto"/>
        <w:jc w:val="both"/>
        <w:rPr>
          <w:rFonts w:ascii="Arial" w:hAnsi="Arial" w:cs="Arial"/>
          <w:color w:val="595959" w:themeColor="text1" w:themeTint="A6"/>
        </w:rPr>
      </w:pPr>
      <w:r w:rsidRPr="008C21BF">
        <w:rPr>
          <w:rFonts w:ascii="Arial" w:hAnsi="Arial" w:cs="Arial"/>
          <w:noProof/>
          <w:color w:val="595959" w:themeColor="text1" w:themeTint="A6"/>
          <w:lang w:eastAsia="zh-CN"/>
        </w:rPr>
        <w:drawing>
          <wp:anchor distT="0" distB="0" distL="114300" distR="114300" simplePos="0" relativeHeight="251658355" behindDoc="0" locked="0" layoutInCell="1" allowOverlap="1" wp14:anchorId="4C6E5AD6" wp14:editId="7E329B53">
            <wp:simplePos x="0" y="0"/>
            <wp:positionH relativeFrom="margin">
              <wp:align>center</wp:align>
            </wp:positionH>
            <wp:positionV relativeFrom="paragraph">
              <wp:posOffset>183929</wp:posOffset>
            </wp:positionV>
            <wp:extent cx="4401820" cy="3883660"/>
            <wp:effectExtent l="0" t="0" r="0" b="0"/>
            <wp:wrapNone/>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401820" cy="3883660"/>
                    </a:xfrm>
                    <a:prstGeom prst="rect">
                      <a:avLst/>
                    </a:prstGeom>
                    <a:noFill/>
                  </pic:spPr>
                </pic:pic>
              </a:graphicData>
            </a:graphic>
          </wp:anchor>
        </w:drawing>
      </w:r>
    </w:p>
    <w:p w14:paraId="2AF9C617" w14:textId="77777777" w:rsidR="008C21BF" w:rsidRPr="008C21BF" w:rsidRDefault="008C21BF" w:rsidP="008C21BF">
      <w:pPr>
        <w:tabs>
          <w:tab w:val="left" w:pos="1680"/>
        </w:tabs>
        <w:spacing w:line="480" w:lineRule="auto"/>
        <w:jc w:val="both"/>
        <w:rPr>
          <w:rFonts w:ascii="Arial" w:hAnsi="Arial" w:cs="Arial"/>
          <w:color w:val="595959" w:themeColor="text1" w:themeTint="A6"/>
        </w:rPr>
      </w:pPr>
    </w:p>
    <w:p w14:paraId="4B3124B1" w14:textId="77777777" w:rsidR="008C21BF" w:rsidRPr="008C21BF" w:rsidRDefault="008C21BF" w:rsidP="008C21BF">
      <w:pPr>
        <w:tabs>
          <w:tab w:val="left" w:pos="1680"/>
        </w:tabs>
        <w:spacing w:line="480" w:lineRule="auto"/>
        <w:jc w:val="both"/>
        <w:rPr>
          <w:rFonts w:ascii="Arial" w:hAnsi="Arial" w:cs="Arial"/>
          <w:color w:val="595959" w:themeColor="text1" w:themeTint="A6"/>
        </w:rPr>
      </w:pPr>
    </w:p>
    <w:p w14:paraId="375966F4" w14:textId="77777777" w:rsidR="008C21BF" w:rsidRPr="008C21BF" w:rsidRDefault="008C21BF" w:rsidP="008C21BF">
      <w:pPr>
        <w:tabs>
          <w:tab w:val="left" w:pos="1680"/>
        </w:tabs>
        <w:spacing w:line="480" w:lineRule="auto"/>
        <w:jc w:val="both"/>
        <w:rPr>
          <w:rFonts w:ascii="Arial" w:hAnsi="Arial" w:cs="Arial"/>
          <w:color w:val="595959" w:themeColor="text1" w:themeTint="A6"/>
        </w:rPr>
      </w:pPr>
    </w:p>
    <w:p w14:paraId="7BCF7182" w14:textId="77777777" w:rsidR="008C21BF" w:rsidRPr="008C21BF" w:rsidRDefault="008C21BF" w:rsidP="008C21BF">
      <w:pPr>
        <w:tabs>
          <w:tab w:val="left" w:pos="1680"/>
        </w:tabs>
        <w:spacing w:line="480" w:lineRule="auto"/>
        <w:jc w:val="both"/>
        <w:rPr>
          <w:rFonts w:ascii="Arial" w:hAnsi="Arial" w:cs="Arial"/>
          <w:color w:val="595959" w:themeColor="text1" w:themeTint="A6"/>
        </w:rPr>
      </w:pPr>
    </w:p>
    <w:p w14:paraId="60428462" w14:textId="77777777" w:rsidR="008C21BF" w:rsidRPr="008C21BF" w:rsidRDefault="008C21BF" w:rsidP="008C21BF">
      <w:pPr>
        <w:tabs>
          <w:tab w:val="left" w:pos="1680"/>
        </w:tabs>
        <w:spacing w:line="480" w:lineRule="auto"/>
        <w:jc w:val="both"/>
        <w:rPr>
          <w:rFonts w:ascii="Arial" w:hAnsi="Arial" w:cs="Arial"/>
          <w:color w:val="595959" w:themeColor="text1" w:themeTint="A6"/>
        </w:rPr>
      </w:pPr>
    </w:p>
    <w:p w14:paraId="72DD7CB0" w14:textId="77777777" w:rsidR="008C21BF" w:rsidRPr="008C21BF" w:rsidRDefault="008C21BF" w:rsidP="008C21BF">
      <w:pPr>
        <w:tabs>
          <w:tab w:val="left" w:pos="1680"/>
        </w:tabs>
        <w:spacing w:line="480" w:lineRule="auto"/>
        <w:jc w:val="both"/>
        <w:rPr>
          <w:rFonts w:ascii="Arial" w:hAnsi="Arial" w:cs="Arial"/>
          <w:color w:val="595959" w:themeColor="text1" w:themeTint="A6"/>
        </w:rPr>
      </w:pPr>
    </w:p>
    <w:p w14:paraId="36056B04" w14:textId="77777777" w:rsidR="008C21BF" w:rsidRPr="008C21BF" w:rsidRDefault="008C21BF" w:rsidP="008C21BF">
      <w:pPr>
        <w:tabs>
          <w:tab w:val="left" w:pos="1680"/>
        </w:tabs>
        <w:spacing w:line="480" w:lineRule="auto"/>
        <w:jc w:val="both"/>
        <w:rPr>
          <w:rFonts w:ascii="Arial" w:hAnsi="Arial" w:cs="Arial"/>
          <w:color w:val="595959" w:themeColor="text1" w:themeTint="A6"/>
        </w:rPr>
      </w:pPr>
    </w:p>
    <w:p w14:paraId="08E754B2" w14:textId="77777777" w:rsidR="008C21BF" w:rsidRPr="008C21BF" w:rsidRDefault="008C21BF" w:rsidP="008C21BF">
      <w:pPr>
        <w:tabs>
          <w:tab w:val="left" w:pos="1680"/>
        </w:tabs>
        <w:spacing w:line="480" w:lineRule="auto"/>
        <w:jc w:val="both"/>
        <w:rPr>
          <w:rFonts w:ascii="Arial" w:hAnsi="Arial" w:cs="Arial"/>
          <w:color w:val="595959" w:themeColor="text1" w:themeTint="A6"/>
        </w:rPr>
      </w:pPr>
    </w:p>
    <w:p w14:paraId="2DA8D4C8" w14:textId="77777777" w:rsidR="008C21BF" w:rsidRPr="008C21BF" w:rsidRDefault="008C21BF" w:rsidP="008C21BF">
      <w:pPr>
        <w:tabs>
          <w:tab w:val="left" w:pos="1680"/>
        </w:tabs>
        <w:spacing w:line="480" w:lineRule="auto"/>
        <w:jc w:val="both"/>
        <w:rPr>
          <w:rFonts w:ascii="Arial" w:hAnsi="Arial" w:cs="Arial"/>
          <w:color w:val="595959" w:themeColor="text1" w:themeTint="A6"/>
        </w:rPr>
      </w:pPr>
    </w:p>
    <w:p w14:paraId="40F7C543" w14:textId="77777777" w:rsidR="008C21BF" w:rsidRPr="008C21BF" w:rsidRDefault="008C21BF" w:rsidP="008C21BF">
      <w:pPr>
        <w:tabs>
          <w:tab w:val="left" w:pos="1680"/>
        </w:tabs>
        <w:spacing w:line="480" w:lineRule="auto"/>
        <w:jc w:val="both"/>
        <w:rPr>
          <w:rFonts w:ascii="Arial" w:hAnsi="Arial" w:cs="Arial"/>
          <w:color w:val="595959" w:themeColor="text1" w:themeTint="A6"/>
        </w:rPr>
      </w:pPr>
    </w:p>
    <w:p w14:paraId="7C57758D" w14:textId="77777777" w:rsidR="008C21BF" w:rsidRPr="008C21BF" w:rsidRDefault="008C21BF" w:rsidP="008C21BF">
      <w:pPr>
        <w:tabs>
          <w:tab w:val="left" w:pos="1680"/>
        </w:tabs>
        <w:spacing w:line="480" w:lineRule="auto"/>
        <w:jc w:val="both"/>
        <w:rPr>
          <w:rFonts w:ascii="Arial" w:hAnsi="Arial" w:cs="Arial"/>
          <w:color w:val="595959" w:themeColor="text1" w:themeTint="A6"/>
        </w:rPr>
      </w:pPr>
      <w:r w:rsidRPr="008C21BF">
        <w:rPr>
          <w:rFonts w:ascii="Arial" w:hAnsi="Arial" w:cs="Arial"/>
          <w:noProof/>
          <w:color w:val="595959" w:themeColor="text1" w:themeTint="A6"/>
          <w:sz w:val="24"/>
          <w:szCs w:val="24"/>
          <w:lang w:eastAsia="zh-CN"/>
        </w:rPr>
        <mc:AlternateContent>
          <mc:Choice Requires="wps">
            <w:drawing>
              <wp:anchor distT="0" distB="0" distL="114300" distR="114300" simplePos="0" relativeHeight="251658356" behindDoc="0" locked="0" layoutInCell="1" allowOverlap="1" wp14:anchorId="48E2B27A" wp14:editId="767DAA12">
                <wp:simplePos x="0" y="0"/>
                <wp:positionH relativeFrom="margin">
                  <wp:align>left</wp:align>
                </wp:positionH>
                <wp:positionV relativeFrom="paragraph">
                  <wp:posOffset>6350</wp:posOffset>
                </wp:positionV>
                <wp:extent cx="5723890" cy="1238250"/>
                <wp:effectExtent l="0" t="0" r="0" b="0"/>
                <wp:wrapNone/>
                <wp:docPr id="4122" name="Text Box 4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3890" cy="1238250"/>
                        </a:xfrm>
                        <a:prstGeom prst="rect">
                          <a:avLst/>
                        </a:prstGeom>
                        <a:solidFill>
                          <a:srgbClr val="FFFFFF"/>
                        </a:solidFill>
                        <a:ln w="9525">
                          <a:noFill/>
                          <a:miter lim="800000"/>
                          <a:headEnd/>
                          <a:tailEnd/>
                        </a:ln>
                      </wps:spPr>
                      <wps:txbx>
                        <w:txbxContent>
                          <w:p w14:paraId="1CF6A6E5" w14:textId="77777777" w:rsidR="008A47AC" w:rsidRPr="006B7937" w:rsidRDefault="008A47AC" w:rsidP="008C21BF">
                            <w:pPr>
                              <w:pStyle w:val="Caption"/>
                              <w:keepNext/>
                              <w:jc w:val="both"/>
                              <w:rPr>
                                <w:rFonts w:ascii="Arial Narrow" w:hAnsi="Arial Narrow"/>
                                <w:b/>
                                <w:i w:val="0"/>
                                <w:sz w:val="24"/>
                                <w:szCs w:val="24"/>
                              </w:rPr>
                            </w:pPr>
                            <w:r w:rsidRPr="006B7937">
                              <w:rPr>
                                <w:rFonts w:ascii="Arial Narrow" w:hAnsi="Arial Narrow"/>
                                <w:b/>
                                <w:i w:val="0"/>
                                <w:color w:val="595959" w:themeColor="text1" w:themeTint="A6"/>
                                <w:sz w:val="24"/>
                                <w:szCs w:val="24"/>
                              </w:rPr>
                              <w:t>Figure</w:t>
                            </w:r>
                            <w:r>
                              <w:rPr>
                                <w:rFonts w:ascii="Arial Narrow" w:hAnsi="Arial Narrow"/>
                                <w:b/>
                                <w:i w:val="0"/>
                                <w:color w:val="595959" w:themeColor="text1" w:themeTint="A6"/>
                                <w:sz w:val="24"/>
                                <w:szCs w:val="24"/>
                              </w:rPr>
                              <w:t xml:space="preserve"> 4.9 VCAN abundance in fibroblast-derived matrices </w:t>
                            </w:r>
                          </w:p>
                          <w:p w14:paraId="3D6D7369" w14:textId="77777777" w:rsidR="008A47AC" w:rsidRDefault="008A47AC" w:rsidP="008C21BF">
                            <w:pPr>
                              <w:pStyle w:val="NormalWeb"/>
                              <w:spacing w:after="200" w:line="276" w:lineRule="auto"/>
                              <w:jc w:val="both"/>
                              <w:rPr>
                                <w:rFonts w:ascii="Arial Narrow" w:eastAsia="SimSun" w:hAnsi="Arial Narrow" w:cs="Arial"/>
                                <w:color w:val="595959" w:themeColor="text1" w:themeTint="A6"/>
                                <w:kern w:val="24"/>
                                <w:sz w:val="22"/>
                                <w:szCs w:val="22"/>
                              </w:rPr>
                            </w:pPr>
                            <w:r>
                              <w:rPr>
                                <w:rFonts w:ascii="Arial Narrow" w:eastAsia="SimSun" w:hAnsi="Arial Narrow" w:cs="Arial"/>
                                <w:color w:val="595959" w:themeColor="text1" w:themeTint="A6"/>
                                <w:kern w:val="24"/>
                                <w:sz w:val="22"/>
                                <w:szCs w:val="22"/>
                              </w:rPr>
                              <w:t xml:space="preserve">A representative immunoblot of VCAN protein found in all FDM, with a reference weight of 250 kDa (A).  </w:t>
                            </w:r>
                            <w:r>
                              <w:rPr>
                                <w:rFonts w:ascii="Arial Narrow" w:eastAsia="SimSun" w:hAnsi="Arial Narrow" w:cs="Arial"/>
                                <w:color w:val="595959"/>
                                <w:kern w:val="24"/>
                                <w:sz w:val="22"/>
                              </w:rPr>
                              <w:t xml:space="preserve">Densitometry of the resultant bands were measured using ImageJ and the intensity measured relative to GAPDH controls (B).  Data is expressed as relative fold change, with mean ± SD, N=3, n=2, **** denotes p &lt;0.0001 analysed by Kruskal-Wallis test with Dunn’s multiple comparison test.  </w:t>
                            </w:r>
                            <w:r>
                              <w:rPr>
                                <w:rFonts w:ascii="Arial Narrow" w:eastAsia="SimSun" w:hAnsi="Arial Narrow" w:cs="Arial"/>
                                <w:color w:val="595959" w:themeColor="text1" w:themeTint="A6"/>
                                <w:kern w:val="24"/>
                                <w:sz w:val="22"/>
                                <w:szCs w:val="22"/>
                              </w:rPr>
                              <w:tab/>
                            </w:r>
                          </w:p>
                          <w:p w14:paraId="2AF16347" w14:textId="77777777" w:rsidR="008A47AC" w:rsidRPr="009C15E0" w:rsidRDefault="008A47AC" w:rsidP="008C21BF">
                            <w:pPr>
                              <w:pStyle w:val="NormalWeb"/>
                              <w:spacing w:after="200" w:line="276" w:lineRule="auto"/>
                              <w:jc w:val="both"/>
                              <w:rPr>
                                <w:rFonts w:ascii="Arial Narrow" w:eastAsia="SimSun" w:hAnsi="Arial Narrow" w:cs="Arial"/>
                                <w:color w:val="595959" w:themeColor="text1" w:themeTint="A6"/>
                                <w:kern w:val="24"/>
                                <w:sz w:val="22"/>
                                <w:szCs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E2B27A" id="Text Box 4122" o:spid="_x0000_s1147" type="#_x0000_t202" style="position:absolute;left:0;text-align:left;margin-left:0;margin-top:.5pt;width:450.7pt;height:97.5pt;z-index:2516583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" stroked="f">
                <v:textbox>
                  <w:txbxContent>
                    <w:p w14:paraId="1CF6A6E5" w14:textId="77777777" w:rsidR="008A47AC" w:rsidRPr="006B7937" w:rsidRDefault="008A47AC" w:rsidP="008C21BF">
                      <w:pPr>
                        <w:pStyle w:val="Caption"/>
                        <w:keepNext/>
                        <w:jc w:val="both"/>
                        <w:rPr>
                          <w:rFonts w:ascii="Arial Narrow" w:hAnsi="Arial Narrow"/>
                          <w:b/>
                          <w:i w:val="0"/>
                          <w:sz w:val="24"/>
                          <w:szCs w:val="24"/>
                        </w:rPr>
                      </w:pPr>
                      <w:r w:rsidRPr="006B7937">
                        <w:rPr>
                          <w:rFonts w:ascii="Arial Narrow" w:hAnsi="Arial Narrow"/>
                          <w:b/>
                          <w:i w:val="0"/>
                          <w:color w:val="595959" w:themeColor="text1" w:themeTint="A6"/>
                          <w:sz w:val="24"/>
                          <w:szCs w:val="24"/>
                        </w:rPr>
                        <w:t>Figure</w:t>
                      </w:r>
                      <w:r>
                        <w:rPr>
                          <w:rFonts w:ascii="Arial Narrow" w:hAnsi="Arial Narrow"/>
                          <w:b/>
                          <w:i w:val="0"/>
                          <w:color w:val="595959" w:themeColor="text1" w:themeTint="A6"/>
                          <w:sz w:val="24"/>
                          <w:szCs w:val="24"/>
                        </w:rPr>
                        <w:t xml:space="preserve"> 4.9 VCAN abundance in fibroblast-derived matrices </w:t>
                      </w:r>
                    </w:p>
                    <w:p w14:paraId="3D6D7369" w14:textId="77777777" w:rsidR="008A47AC" w:rsidRDefault="008A47AC" w:rsidP="008C21BF">
                      <w:pPr>
                        <w:pStyle w:val="NormalWeb"/>
                        <w:spacing w:after="200" w:line="276" w:lineRule="auto"/>
                        <w:jc w:val="both"/>
                        <w:rPr>
                          <w:rFonts w:ascii="Arial Narrow" w:eastAsia="SimSun" w:hAnsi="Arial Narrow" w:cs="Arial"/>
                          <w:color w:val="595959" w:themeColor="text1" w:themeTint="A6"/>
                          <w:kern w:val="24"/>
                          <w:sz w:val="22"/>
                          <w:szCs w:val="22"/>
                        </w:rPr>
                      </w:pPr>
                      <w:r>
                        <w:rPr>
                          <w:rFonts w:ascii="Arial Narrow" w:eastAsia="SimSun" w:hAnsi="Arial Narrow" w:cs="Arial"/>
                          <w:color w:val="595959" w:themeColor="text1" w:themeTint="A6"/>
                          <w:kern w:val="24"/>
                          <w:sz w:val="22"/>
                          <w:szCs w:val="22"/>
                        </w:rPr>
                        <w:t xml:space="preserve">A representative </w:t>
                      </w:r>
                      <w:proofErr w:type="gramStart"/>
                      <w:r>
                        <w:rPr>
                          <w:rFonts w:ascii="Arial Narrow" w:eastAsia="SimSun" w:hAnsi="Arial Narrow" w:cs="Arial"/>
                          <w:color w:val="595959" w:themeColor="text1" w:themeTint="A6"/>
                          <w:kern w:val="24"/>
                          <w:sz w:val="22"/>
                          <w:szCs w:val="22"/>
                        </w:rPr>
                        <w:t>immunoblot</w:t>
                      </w:r>
                      <w:proofErr w:type="gramEnd"/>
                      <w:r>
                        <w:rPr>
                          <w:rFonts w:ascii="Arial Narrow" w:eastAsia="SimSun" w:hAnsi="Arial Narrow" w:cs="Arial"/>
                          <w:color w:val="595959" w:themeColor="text1" w:themeTint="A6"/>
                          <w:kern w:val="24"/>
                          <w:sz w:val="22"/>
                          <w:szCs w:val="22"/>
                        </w:rPr>
                        <w:t xml:space="preserve"> of VCAN protein found in all FDM, with a reference weight of 250 </w:t>
                      </w:r>
                      <w:proofErr w:type="spellStart"/>
                      <w:r>
                        <w:rPr>
                          <w:rFonts w:ascii="Arial Narrow" w:eastAsia="SimSun" w:hAnsi="Arial Narrow" w:cs="Arial"/>
                          <w:color w:val="595959" w:themeColor="text1" w:themeTint="A6"/>
                          <w:kern w:val="24"/>
                          <w:sz w:val="22"/>
                          <w:szCs w:val="22"/>
                        </w:rPr>
                        <w:t>kDa</w:t>
                      </w:r>
                      <w:proofErr w:type="spellEnd"/>
                      <w:r>
                        <w:rPr>
                          <w:rFonts w:ascii="Arial Narrow" w:eastAsia="SimSun" w:hAnsi="Arial Narrow" w:cs="Arial"/>
                          <w:color w:val="595959" w:themeColor="text1" w:themeTint="A6"/>
                          <w:kern w:val="24"/>
                          <w:sz w:val="22"/>
                          <w:szCs w:val="22"/>
                        </w:rPr>
                        <w:t xml:space="preserve"> (A).  </w:t>
                      </w:r>
                      <w:r>
                        <w:rPr>
                          <w:rFonts w:ascii="Arial Narrow" w:eastAsia="SimSun" w:hAnsi="Arial Narrow" w:cs="Arial"/>
                          <w:color w:val="595959"/>
                          <w:kern w:val="24"/>
                          <w:sz w:val="22"/>
                        </w:rPr>
                        <w:t xml:space="preserve">Densitometry of the resultant bands were measured using ImageJ and the intensity measured relative to GAPDH controls (B).  Data is expressed as relative fold change, with mean ± SD, N=3, n=2, **** denotes p &lt;0.0001 analysed by Kruskal-Wallis test with Dunn’s multiple comparison test.  </w:t>
                      </w:r>
                      <w:r>
                        <w:rPr>
                          <w:rFonts w:ascii="Arial Narrow" w:eastAsia="SimSun" w:hAnsi="Arial Narrow" w:cs="Arial"/>
                          <w:color w:val="595959" w:themeColor="text1" w:themeTint="A6"/>
                          <w:kern w:val="24"/>
                          <w:sz w:val="22"/>
                          <w:szCs w:val="22"/>
                        </w:rPr>
                        <w:tab/>
                      </w:r>
                    </w:p>
                    <w:p w14:paraId="2AF16347" w14:textId="77777777" w:rsidR="008A47AC" w:rsidRPr="009C15E0" w:rsidRDefault="008A47AC" w:rsidP="008C21BF">
                      <w:pPr>
                        <w:pStyle w:val="NormalWeb"/>
                        <w:spacing w:after="200" w:line="276" w:lineRule="auto"/>
                        <w:jc w:val="both"/>
                        <w:rPr>
                          <w:rFonts w:ascii="Arial Narrow" w:eastAsia="SimSun" w:hAnsi="Arial Narrow" w:cs="Arial"/>
                          <w:color w:val="595959" w:themeColor="text1" w:themeTint="A6"/>
                          <w:kern w:val="24"/>
                          <w:sz w:val="22"/>
                          <w:szCs w:val="22"/>
                        </w:rPr>
                      </w:pPr>
                    </w:p>
                  </w:txbxContent>
                </v:textbox>
                <w10:wrap anchorx="margin"/>
              </v:shape>
            </w:pict>
          </mc:Fallback>
        </mc:AlternateContent>
      </w:r>
    </w:p>
    <w:p w14:paraId="424596BD" w14:textId="77777777" w:rsidR="008C21BF" w:rsidRPr="008C21BF" w:rsidRDefault="008C21BF" w:rsidP="008C21BF">
      <w:pPr>
        <w:tabs>
          <w:tab w:val="left" w:pos="1680"/>
        </w:tabs>
        <w:spacing w:line="480" w:lineRule="auto"/>
        <w:jc w:val="both"/>
        <w:rPr>
          <w:rFonts w:ascii="Arial" w:hAnsi="Arial" w:cs="Arial"/>
          <w:color w:val="595959" w:themeColor="text1" w:themeTint="A6"/>
        </w:rPr>
      </w:pPr>
    </w:p>
    <w:p w14:paraId="02B49586" w14:textId="77777777" w:rsidR="008C21BF" w:rsidRPr="008C21BF" w:rsidRDefault="008C21BF" w:rsidP="008C21BF">
      <w:pPr>
        <w:tabs>
          <w:tab w:val="left" w:pos="1680"/>
        </w:tabs>
        <w:spacing w:line="480" w:lineRule="auto"/>
        <w:jc w:val="both"/>
        <w:rPr>
          <w:rFonts w:ascii="Arial" w:hAnsi="Arial" w:cs="Arial"/>
          <w:color w:val="595959" w:themeColor="text1" w:themeTint="A6"/>
        </w:rPr>
      </w:pPr>
    </w:p>
    <w:p w14:paraId="64D8E662" w14:textId="77777777" w:rsidR="008C21BF" w:rsidRPr="008C21BF" w:rsidRDefault="008C21BF" w:rsidP="004C017B">
      <w:pPr>
        <w:pStyle w:val="Heading6"/>
        <w:rPr>
          <w:rFonts w:ascii="Arial" w:hAnsi="Arial" w:cs="Arial"/>
          <w:i/>
          <w:iCs/>
          <w:color w:val="595959" w:themeColor="text1" w:themeTint="A6"/>
        </w:rPr>
      </w:pPr>
      <w:bookmarkStart w:id="412" w:name="_Toc7678151"/>
      <w:bookmarkStart w:id="413" w:name="_Toc34208426"/>
      <w:r w:rsidRPr="008C21BF">
        <w:rPr>
          <w:rFonts w:ascii="Arial" w:hAnsi="Arial" w:cs="Arial"/>
          <w:i/>
          <w:iCs/>
          <w:color w:val="595959" w:themeColor="text1" w:themeTint="A6"/>
        </w:rPr>
        <w:lastRenderedPageBreak/>
        <w:t>4.3.2.2.1.4 COL1A1 protein abundance in fibroblast-derived matrices</w:t>
      </w:r>
      <w:bookmarkEnd w:id="412"/>
      <w:bookmarkEnd w:id="413"/>
    </w:p>
    <w:p w14:paraId="700B19FD" w14:textId="77777777" w:rsidR="008C21BF" w:rsidRPr="008C21BF" w:rsidRDefault="008C21BF" w:rsidP="008C21BF"/>
    <w:p w14:paraId="74F0EE53" w14:textId="0893BED4" w:rsidR="008C21BF" w:rsidRPr="008C21BF" w:rsidRDefault="008C21BF" w:rsidP="008C21BF">
      <w:pPr>
        <w:tabs>
          <w:tab w:val="left" w:pos="1680"/>
        </w:tabs>
        <w:spacing w:line="480" w:lineRule="auto"/>
        <w:jc w:val="both"/>
        <w:rPr>
          <w:rFonts w:ascii="Arial" w:hAnsi="Arial" w:cs="Arial"/>
          <w:color w:val="595959" w:themeColor="text1" w:themeTint="A6"/>
        </w:rPr>
      </w:pPr>
      <w:r w:rsidRPr="008C21BF">
        <w:rPr>
          <w:rFonts w:ascii="Arial" w:hAnsi="Arial" w:cs="Arial"/>
          <w:color w:val="595959" w:themeColor="text1" w:themeTint="A6"/>
        </w:rPr>
        <w:t>The most abundant protein in the ECM of humans is collagen type 1. Collagen type 1, alpha 1 is a large fibrillar collagen important maintaining tissue rigidity, elasticity and overall structural integrity. In all FDM analysis, COL1A1 was found readily detectable with bands visible at 200 kDa (Figure 4.10 A).  No significant differences were observed in COL1A1 in NOF-DM with the addition of growth facto</w:t>
      </w:r>
      <w:r w:rsidR="00A7230D">
        <w:rPr>
          <w:rFonts w:ascii="Arial" w:hAnsi="Arial" w:cs="Arial"/>
          <w:color w:val="595959" w:themeColor="text1" w:themeTint="A6"/>
        </w:rPr>
        <w:t>rs (</w:t>
      </w:r>
      <w:r w:rsidRPr="008C21BF">
        <w:rPr>
          <w:rFonts w:ascii="Arial" w:hAnsi="Arial" w:cs="Arial"/>
          <w:color w:val="595959" w:themeColor="text1" w:themeTint="A6"/>
        </w:rPr>
        <w:t>7.32 ± 1.98-fold change</w:t>
      </w:r>
      <w:r w:rsidR="00A7230D">
        <w:rPr>
          <w:rFonts w:ascii="Arial" w:hAnsi="Arial" w:cs="Arial"/>
          <w:color w:val="595959" w:themeColor="text1" w:themeTint="A6"/>
        </w:rPr>
        <w:t>)</w:t>
      </w:r>
      <w:r w:rsidRPr="008C21BF">
        <w:rPr>
          <w:rFonts w:ascii="Arial" w:hAnsi="Arial" w:cs="Arial"/>
          <w:color w:val="595959" w:themeColor="text1" w:themeTint="A6"/>
        </w:rPr>
        <w:t xml:space="preserve">, but a significant increase in COL1A1 was observed for CAF-DM-GF with a 24.11 ± 5.97-fold increase compared to NOF-DM-GF (p=0.0004) (Figure 4.10 B). </w:t>
      </w:r>
    </w:p>
    <w:p w14:paraId="59F3EA40" w14:textId="77777777" w:rsidR="008C21BF" w:rsidRPr="008C21BF" w:rsidRDefault="008C21BF" w:rsidP="008C21BF">
      <w:pPr>
        <w:ind w:firstLine="720"/>
        <w:rPr>
          <w:rFonts w:ascii="Arial" w:hAnsi="Arial" w:cs="Arial"/>
        </w:rPr>
      </w:pPr>
      <w:r w:rsidRPr="008C21BF">
        <w:rPr>
          <w:rFonts w:ascii="Arial" w:hAnsi="Arial" w:cs="Arial"/>
          <w:noProof/>
          <w:lang w:eastAsia="zh-CN"/>
        </w:rPr>
        <w:drawing>
          <wp:anchor distT="0" distB="0" distL="114300" distR="114300" simplePos="0" relativeHeight="251658357" behindDoc="0" locked="0" layoutInCell="1" allowOverlap="1" wp14:anchorId="7C7F53EA" wp14:editId="4DF27C89">
            <wp:simplePos x="0" y="0"/>
            <wp:positionH relativeFrom="margin">
              <wp:align>center</wp:align>
            </wp:positionH>
            <wp:positionV relativeFrom="paragraph">
              <wp:posOffset>11209</wp:posOffset>
            </wp:positionV>
            <wp:extent cx="4871085" cy="4694555"/>
            <wp:effectExtent l="0" t="0" r="0" b="0"/>
            <wp:wrapNone/>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871085" cy="4694555"/>
                    </a:xfrm>
                    <a:prstGeom prst="rect">
                      <a:avLst/>
                    </a:prstGeom>
                    <a:noFill/>
                  </pic:spPr>
                </pic:pic>
              </a:graphicData>
            </a:graphic>
          </wp:anchor>
        </w:drawing>
      </w:r>
    </w:p>
    <w:p w14:paraId="7D6E7C14" w14:textId="77777777" w:rsidR="008C21BF" w:rsidRPr="008C21BF" w:rsidRDefault="008C21BF" w:rsidP="008C21BF">
      <w:pPr>
        <w:ind w:firstLine="720"/>
        <w:rPr>
          <w:rFonts w:ascii="Arial" w:hAnsi="Arial" w:cs="Arial"/>
        </w:rPr>
      </w:pPr>
    </w:p>
    <w:p w14:paraId="129AFB83" w14:textId="77777777" w:rsidR="008C21BF" w:rsidRPr="008C21BF" w:rsidRDefault="008C21BF" w:rsidP="008C21BF">
      <w:pPr>
        <w:rPr>
          <w:rFonts w:ascii="Arial" w:hAnsi="Arial" w:cs="Arial"/>
        </w:rPr>
      </w:pPr>
    </w:p>
    <w:p w14:paraId="5EAF87F6" w14:textId="77777777" w:rsidR="008C21BF" w:rsidRPr="008C21BF" w:rsidRDefault="008C21BF" w:rsidP="008C21BF">
      <w:pPr>
        <w:ind w:firstLine="720"/>
        <w:rPr>
          <w:rFonts w:ascii="Arial" w:hAnsi="Arial" w:cs="Arial"/>
        </w:rPr>
      </w:pPr>
    </w:p>
    <w:p w14:paraId="0EFFCB20" w14:textId="77777777" w:rsidR="008C21BF" w:rsidRPr="008C21BF" w:rsidRDefault="008C21BF" w:rsidP="008C21BF">
      <w:pPr>
        <w:ind w:firstLine="720"/>
        <w:rPr>
          <w:rFonts w:ascii="Arial" w:hAnsi="Arial" w:cs="Arial"/>
        </w:rPr>
      </w:pPr>
    </w:p>
    <w:p w14:paraId="06204D8A" w14:textId="77777777" w:rsidR="008C21BF" w:rsidRPr="008C21BF" w:rsidRDefault="008C21BF" w:rsidP="008C21BF">
      <w:pPr>
        <w:ind w:firstLine="720"/>
        <w:rPr>
          <w:rFonts w:ascii="Arial" w:hAnsi="Arial" w:cs="Arial"/>
        </w:rPr>
      </w:pPr>
    </w:p>
    <w:p w14:paraId="204B627A" w14:textId="77777777" w:rsidR="008C21BF" w:rsidRPr="008C21BF" w:rsidRDefault="008C21BF" w:rsidP="008C21BF">
      <w:pPr>
        <w:ind w:firstLine="720"/>
        <w:rPr>
          <w:rFonts w:ascii="Arial" w:hAnsi="Arial" w:cs="Arial"/>
        </w:rPr>
      </w:pPr>
    </w:p>
    <w:p w14:paraId="070DB6C5" w14:textId="77777777" w:rsidR="008C21BF" w:rsidRPr="008C21BF" w:rsidRDefault="008C21BF" w:rsidP="008C21BF">
      <w:pPr>
        <w:ind w:firstLine="720"/>
        <w:rPr>
          <w:rFonts w:ascii="Arial" w:hAnsi="Arial" w:cs="Arial"/>
        </w:rPr>
      </w:pPr>
    </w:p>
    <w:p w14:paraId="34294BE1" w14:textId="77777777" w:rsidR="008C21BF" w:rsidRPr="008C21BF" w:rsidRDefault="008C21BF" w:rsidP="008C21BF">
      <w:pPr>
        <w:ind w:firstLine="720"/>
        <w:rPr>
          <w:rFonts w:ascii="Arial" w:hAnsi="Arial" w:cs="Arial"/>
        </w:rPr>
      </w:pPr>
    </w:p>
    <w:p w14:paraId="2F50C5F0" w14:textId="77777777" w:rsidR="008C21BF" w:rsidRPr="008C21BF" w:rsidRDefault="008C21BF" w:rsidP="008C21BF">
      <w:pPr>
        <w:ind w:firstLine="720"/>
        <w:rPr>
          <w:rFonts w:ascii="Arial" w:hAnsi="Arial" w:cs="Arial"/>
        </w:rPr>
      </w:pPr>
    </w:p>
    <w:p w14:paraId="48C661CD" w14:textId="77777777" w:rsidR="008C21BF" w:rsidRPr="008C21BF" w:rsidRDefault="008C21BF" w:rsidP="008C21BF">
      <w:pPr>
        <w:ind w:firstLine="720"/>
        <w:rPr>
          <w:rFonts w:ascii="Arial" w:hAnsi="Arial" w:cs="Arial"/>
        </w:rPr>
      </w:pPr>
    </w:p>
    <w:p w14:paraId="7DA2D899" w14:textId="77777777" w:rsidR="008C21BF" w:rsidRPr="008C21BF" w:rsidRDefault="008C21BF" w:rsidP="008C21BF">
      <w:pPr>
        <w:ind w:firstLine="720"/>
        <w:rPr>
          <w:rFonts w:ascii="Arial" w:hAnsi="Arial" w:cs="Arial"/>
        </w:rPr>
      </w:pPr>
    </w:p>
    <w:p w14:paraId="6B5C71B2" w14:textId="77777777" w:rsidR="008C21BF" w:rsidRPr="008C21BF" w:rsidRDefault="008C21BF" w:rsidP="008C21BF">
      <w:pPr>
        <w:ind w:firstLine="720"/>
        <w:rPr>
          <w:rFonts w:ascii="Arial" w:hAnsi="Arial" w:cs="Arial"/>
        </w:rPr>
      </w:pPr>
    </w:p>
    <w:p w14:paraId="5482AD47" w14:textId="77777777" w:rsidR="008C21BF" w:rsidRPr="008C21BF" w:rsidRDefault="008C21BF" w:rsidP="008C21BF">
      <w:pPr>
        <w:ind w:firstLine="720"/>
        <w:rPr>
          <w:rFonts w:ascii="Arial" w:hAnsi="Arial" w:cs="Arial"/>
        </w:rPr>
      </w:pPr>
    </w:p>
    <w:p w14:paraId="343E611F" w14:textId="77777777" w:rsidR="008C21BF" w:rsidRPr="008C21BF" w:rsidRDefault="008C21BF" w:rsidP="008C21BF">
      <w:pPr>
        <w:ind w:firstLine="720"/>
        <w:rPr>
          <w:rFonts w:ascii="Arial" w:hAnsi="Arial" w:cs="Arial"/>
        </w:rPr>
      </w:pPr>
    </w:p>
    <w:p w14:paraId="5820C46B" w14:textId="77777777" w:rsidR="008C21BF" w:rsidRPr="008C21BF" w:rsidRDefault="008C21BF" w:rsidP="008C21BF">
      <w:pPr>
        <w:ind w:firstLine="720"/>
        <w:rPr>
          <w:rFonts w:ascii="Arial" w:hAnsi="Arial" w:cs="Arial"/>
        </w:rPr>
      </w:pPr>
    </w:p>
    <w:p w14:paraId="7C1C14C2" w14:textId="77777777" w:rsidR="008C21BF" w:rsidRPr="008C21BF" w:rsidRDefault="008C21BF" w:rsidP="008C21BF">
      <w:pPr>
        <w:ind w:firstLine="720"/>
        <w:rPr>
          <w:rFonts w:ascii="Arial" w:hAnsi="Arial" w:cs="Arial"/>
        </w:rPr>
      </w:pPr>
    </w:p>
    <w:p w14:paraId="5C555926" w14:textId="77777777" w:rsidR="008C21BF" w:rsidRPr="008C21BF" w:rsidRDefault="008C21BF" w:rsidP="008C21BF">
      <w:pPr>
        <w:ind w:firstLine="720"/>
        <w:rPr>
          <w:rFonts w:ascii="Arial" w:hAnsi="Arial" w:cs="Arial"/>
        </w:rPr>
      </w:pPr>
      <w:r w:rsidRPr="008C21BF">
        <w:rPr>
          <w:rFonts w:ascii="Arial" w:hAnsi="Arial" w:cs="Arial"/>
          <w:noProof/>
          <w:color w:val="595959" w:themeColor="text1" w:themeTint="A6"/>
          <w:sz w:val="24"/>
          <w:szCs w:val="24"/>
          <w:lang w:eastAsia="zh-CN"/>
        </w:rPr>
        <mc:AlternateContent>
          <mc:Choice Requires="wps">
            <w:drawing>
              <wp:anchor distT="0" distB="0" distL="114300" distR="114300" simplePos="0" relativeHeight="251658358" behindDoc="0" locked="0" layoutInCell="1" allowOverlap="1" wp14:anchorId="489B809B" wp14:editId="6AA06151">
                <wp:simplePos x="0" y="0"/>
                <wp:positionH relativeFrom="margin">
                  <wp:align>left</wp:align>
                </wp:positionH>
                <wp:positionV relativeFrom="paragraph">
                  <wp:posOffset>226060</wp:posOffset>
                </wp:positionV>
                <wp:extent cx="5723890" cy="1143000"/>
                <wp:effectExtent l="0" t="0" r="0" b="0"/>
                <wp:wrapNone/>
                <wp:docPr id="4123" name="Text Box 4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3890" cy="1143000"/>
                        </a:xfrm>
                        <a:prstGeom prst="rect">
                          <a:avLst/>
                        </a:prstGeom>
                        <a:solidFill>
                          <a:srgbClr val="FFFFFF"/>
                        </a:solidFill>
                        <a:ln w="9525">
                          <a:noFill/>
                          <a:miter lim="800000"/>
                          <a:headEnd/>
                          <a:tailEnd/>
                        </a:ln>
                      </wps:spPr>
                      <wps:txbx>
                        <w:txbxContent>
                          <w:p w14:paraId="3A1B598D" w14:textId="77777777" w:rsidR="008A47AC" w:rsidRPr="006B7937" w:rsidRDefault="008A47AC" w:rsidP="008C21BF">
                            <w:pPr>
                              <w:pStyle w:val="Caption"/>
                              <w:keepNext/>
                              <w:jc w:val="both"/>
                              <w:rPr>
                                <w:rFonts w:ascii="Arial Narrow" w:hAnsi="Arial Narrow"/>
                                <w:b/>
                                <w:i w:val="0"/>
                                <w:sz w:val="24"/>
                                <w:szCs w:val="24"/>
                              </w:rPr>
                            </w:pPr>
                            <w:r w:rsidRPr="006B7937">
                              <w:rPr>
                                <w:rFonts w:ascii="Arial Narrow" w:hAnsi="Arial Narrow"/>
                                <w:b/>
                                <w:i w:val="0"/>
                                <w:color w:val="595959" w:themeColor="text1" w:themeTint="A6"/>
                                <w:sz w:val="24"/>
                                <w:szCs w:val="24"/>
                              </w:rPr>
                              <w:t>Figure</w:t>
                            </w:r>
                            <w:r>
                              <w:rPr>
                                <w:rFonts w:ascii="Arial Narrow" w:hAnsi="Arial Narrow"/>
                                <w:b/>
                                <w:i w:val="0"/>
                                <w:color w:val="595959" w:themeColor="text1" w:themeTint="A6"/>
                                <w:sz w:val="24"/>
                                <w:szCs w:val="24"/>
                              </w:rPr>
                              <w:t xml:space="preserve"> 4.10 COL1A1 abundance in fibroblast-derived matrices </w:t>
                            </w:r>
                          </w:p>
                          <w:p w14:paraId="46473D8E" w14:textId="77777777" w:rsidR="008A47AC" w:rsidRDefault="008A47AC" w:rsidP="008C21BF">
                            <w:pPr>
                              <w:pStyle w:val="NormalWeb"/>
                              <w:spacing w:after="200" w:line="276" w:lineRule="auto"/>
                              <w:jc w:val="both"/>
                              <w:rPr>
                                <w:rFonts w:ascii="Arial Narrow" w:eastAsia="SimSun" w:hAnsi="Arial Narrow" w:cs="Arial"/>
                                <w:color w:val="595959" w:themeColor="text1" w:themeTint="A6"/>
                                <w:kern w:val="24"/>
                                <w:sz w:val="22"/>
                                <w:szCs w:val="22"/>
                              </w:rPr>
                            </w:pPr>
                            <w:r>
                              <w:rPr>
                                <w:rFonts w:ascii="Arial Narrow" w:eastAsia="SimSun" w:hAnsi="Arial Narrow" w:cs="Arial"/>
                                <w:color w:val="595959" w:themeColor="text1" w:themeTint="A6"/>
                                <w:kern w:val="24"/>
                                <w:sz w:val="22"/>
                                <w:szCs w:val="22"/>
                              </w:rPr>
                              <w:t xml:space="preserve">A representative immunoblot of COL1A1 protein was observed in all FDM, with a reference weight of 200 kDa (A).  </w:t>
                            </w:r>
                            <w:r>
                              <w:rPr>
                                <w:rFonts w:ascii="Arial Narrow" w:eastAsia="SimSun" w:hAnsi="Arial Narrow" w:cs="Arial"/>
                                <w:color w:val="595959"/>
                                <w:kern w:val="24"/>
                                <w:sz w:val="22"/>
                              </w:rPr>
                              <w:t xml:space="preserve">Densitometry of the resultant bands were measured using ImageJ and the intensity measured relative to GAPDH controls (B).  Data is expressed as relative fold change, with mean ± SD, N=3, n=2, *** denotes p &lt;0.001 as analysed by Kruskal-Wallis test with Dunn’s multiple comparison test.  </w:t>
                            </w:r>
                            <w:r>
                              <w:rPr>
                                <w:rFonts w:ascii="Arial Narrow" w:eastAsia="SimSun" w:hAnsi="Arial Narrow" w:cs="Arial"/>
                                <w:color w:val="595959" w:themeColor="text1" w:themeTint="A6"/>
                                <w:kern w:val="24"/>
                                <w:sz w:val="22"/>
                                <w:szCs w:val="22"/>
                              </w:rPr>
                              <w:tab/>
                            </w:r>
                            <w:r>
                              <w:rPr>
                                <w:rFonts w:ascii="Arial Narrow" w:eastAsia="SimSun" w:hAnsi="Arial Narrow" w:cs="Arial"/>
                                <w:color w:val="595959" w:themeColor="text1" w:themeTint="A6"/>
                                <w:kern w:val="24"/>
                                <w:sz w:val="22"/>
                                <w:szCs w:val="22"/>
                              </w:rPr>
                              <w:tab/>
                            </w:r>
                          </w:p>
                          <w:p w14:paraId="3611476E" w14:textId="77777777" w:rsidR="008A47AC" w:rsidRPr="009C15E0" w:rsidRDefault="008A47AC" w:rsidP="008C21BF">
                            <w:pPr>
                              <w:pStyle w:val="NormalWeb"/>
                              <w:spacing w:after="200" w:line="276" w:lineRule="auto"/>
                              <w:jc w:val="both"/>
                              <w:rPr>
                                <w:rFonts w:ascii="Arial Narrow" w:eastAsia="SimSun" w:hAnsi="Arial Narrow" w:cs="Arial"/>
                                <w:color w:val="595959" w:themeColor="text1" w:themeTint="A6"/>
                                <w:kern w:val="24"/>
                                <w:sz w:val="22"/>
                                <w:szCs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9B809B" id="Text Box 4123" o:spid="_x0000_s1148" type="#_x0000_t202" style="position:absolute;left:0;text-align:left;margin-left:0;margin-top:17.8pt;width:450.7pt;height:90pt;z-index:25165835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" stroked="f">
                <v:textbox>
                  <w:txbxContent>
                    <w:p w14:paraId="3A1B598D" w14:textId="77777777" w:rsidR="008A47AC" w:rsidRPr="006B7937" w:rsidRDefault="008A47AC" w:rsidP="008C21BF">
                      <w:pPr>
                        <w:pStyle w:val="Caption"/>
                        <w:keepNext/>
                        <w:jc w:val="both"/>
                        <w:rPr>
                          <w:rFonts w:ascii="Arial Narrow" w:hAnsi="Arial Narrow"/>
                          <w:b/>
                          <w:i w:val="0"/>
                          <w:sz w:val="24"/>
                          <w:szCs w:val="24"/>
                        </w:rPr>
                      </w:pPr>
                      <w:r w:rsidRPr="006B7937">
                        <w:rPr>
                          <w:rFonts w:ascii="Arial Narrow" w:hAnsi="Arial Narrow"/>
                          <w:b/>
                          <w:i w:val="0"/>
                          <w:color w:val="595959" w:themeColor="text1" w:themeTint="A6"/>
                          <w:sz w:val="24"/>
                          <w:szCs w:val="24"/>
                        </w:rPr>
                        <w:t>Figure</w:t>
                      </w:r>
                      <w:r>
                        <w:rPr>
                          <w:rFonts w:ascii="Arial Narrow" w:hAnsi="Arial Narrow"/>
                          <w:b/>
                          <w:i w:val="0"/>
                          <w:color w:val="595959" w:themeColor="text1" w:themeTint="A6"/>
                          <w:sz w:val="24"/>
                          <w:szCs w:val="24"/>
                        </w:rPr>
                        <w:t xml:space="preserve"> 4.10 COL1A1 abundance in fibroblast-derived matrices </w:t>
                      </w:r>
                    </w:p>
                    <w:p w14:paraId="46473D8E" w14:textId="77777777" w:rsidR="008A47AC" w:rsidRDefault="008A47AC" w:rsidP="008C21BF">
                      <w:pPr>
                        <w:pStyle w:val="NormalWeb"/>
                        <w:spacing w:after="200" w:line="276" w:lineRule="auto"/>
                        <w:jc w:val="both"/>
                        <w:rPr>
                          <w:rFonts w:ascii="Arial Narrow" w:eastAsia="SimSun" w:hAnsi="Arial Narrow" w:cs="Arial"/>
                          <w:color w:val="595959" w:themeColor="text1" w:themeTint="A6"/>
                          <w:kern w:val="24"/>
                          <w:sz w:val="22"/>
                          <w:szCs w:val="22"/>
                        </w:rPr>
                      </w:pPr>
                      <w:r>
                        <w:rPr>
                          <w:rFonts w:ascii="Arial Narrow" w:eastAsia="SimSun" w:hAnsi="Arial Narrow" w:cs="Arial"/>
                          <w:color w:val="595959" w:themeColor="text1" w:themeTint="A6"/>
                          <w:kern w:val="24"/>
                          <w:sz w:val="22"/>
                          <w:szCs w:val="22"/>
                        </w:rPr>
                        <w:t xml:space="preserve">A representative immunoblot of COL1A1 protein was observed in all FDM, with a reference weight of 200 </w:t>
                      </w:r>
                      <w:proofErr w:type="spellStart"/>
                      <w:r>
                        <w:rPr>
                          <w:rFonts w:ascii="Arial Narrow" w:eastAsia="SimSun" w:hAnsi="Arial Narrow" w:cs="Arial"/>
                          <w:color w:val="595959" w:themeColor="text1" w:themeTint="A6"/>
                          <w:kern w:val="24"/>
                          <w:sz w:val="22"/>
                          <w:szCs w:val="22"/>
                        </w:rPr>
                        <w:t>kDa</w:t>
                      </w:r>
                      <w:proofErr w:type="spellEnd"/>
                      <w:r>
                        <w:rPr>
                          <w:rFonts w:ascii="Arial Narrow" w:eastAsia="SimSun" w:hAnsi="Arial Narrow" w:cs="Arial"/>
                          <w:color w:val="595959" w:themeColor="text1" w:themeTint="A6"/>
                          <w:kern w:val="24"/>
                          <w:sz w:val="22"/>
                          <w:szCs w:val="22"/>
                        </w:rPr>
                        <w:t xml:space="preserve"> (A).  </w:t>
                      </w:r>
                      <w:r>
                        <w:rPr>
                          <w:rFonts w:ascii="Arial Narrow" w:eastAsia="SimSun" w:hAnsi="Arial Narrow" w:cs="Arial"/>
                          <w:color w:val="595959"/>
                          <w:kern w:val="24"/>
                          <w:sz w:val="22"/>
                        </w:rPr>
                        <w:t xml:space="preserve">Densitometry of the resultant bands were measured using ImageJ and the intensity measured relative to GAPDH controls (B).  Data is expressed as relative fold change, with mean ± SD, N=3, n=2, *** denotes p &lt;0.001 as analysed by Kruskal-Wallis test with Dunn’s multiple comparison test.  </w:t>
                      </w:r>
                      <w:r>
                        <w:rPr>
                          <w:rFonts w:ascii="Arial Narrow" w:eastAsia="SimSun" w:hAnsi="Arial Narrow" w:cs="Arial"/>
                          <w:color w:val="595959" w:themeColor="text1" w:themeTint="A6"/>
                          <w:kern w:val="24"/>
                          <w:sz w:val="22"/>
                          <w:szCs w:val="22"/>
                        </w:rPr>
                        <w:tab/>
                      </w:r>
                      <w:r>
                        <w:rPr>
                          <w:rFonts w:ascii="Arial Narrow" w:eastAsia="SimSun" w:hAnsi="Arial Narrow" w:cs="Arial"/>
                          <w:color w:val="595959" w:themeColor="text1" w:themeTint="A6"/>
                          <w:kern w:val="24"/>
                          <w:sz w:val="22"/>
                          <w:szCs w:val="22"/>
                        </w:rPr>
                        <w:tab/>
                      </w:r>
                    </w:p>
                    <w:p w14:paraId="3611476E" w14:textId="77777777" w:rsidR="008A47AC" w:rsidRPr="009C15E0" w:rsidRDefault="008A47AC" w:rsidP="008C21BF">
                      <w:pPr>
                        <w:pStyle w:val="NormalWeb"/>
                        <w:spacing w:after="200" w:line="276" w:lineRule="auto"/>
                        <w:jc w:val="both"/>
                        <w:rPr>
                          <w:rFonts w:ascii="Arial Narrow" w:eastAsia="SimSun" w:hAnsi="Arial Narrow" w:cs="Arial"/>
                          <w:color w:val="595959" w:themeColor="text1" w:themeTint="A6"/>
                          <w:kern w:val="24"/>
                          <w:sz w:val="22"/>
                          <w:szCs w:val="22"/>
                        </w:rPr>
                      </w:pPr>
                    </w:p>
                  </w:txbxContent>
                </v:textbox>
                <w10:wrap anchorx="margin"/>
              </v:shape>
            </w:pict>
          </mc:Fallback>
        </mc:AlternateContent>
      </w:r>
    </w:p>
    <w:p w14:paraId="5149FE9D" w14:textId="77777777" w:rsidR="008C21BF" w:rsidRPr="008C21BF" w:rsidRDefault="008C21BF" w:rsidP="008C21BF">
      <w:pPr>
        <w:rPr>
          <w:rFonts w:ascii="Arial" w:hAnsi="Arial" w:cs="Arial"/>
        </w:rPr>
      </w:pPr>
    </w:p>
    <w:p w14:paraId="1EB9B7E3" w14:textId="77777777" w:rsidR="008C21BF" w:rsidRPr="008C21BF" w:rsidRDefault="008C21BF" w:rsidP="008C21BF">
      <w:pPr>
        <w:rPr>
          <w:rFonts w:ascii="Arial" w:hAnsi="Arial" w:cs="Arial"/>
        </w:rPr>
      </w:pPr>
    </w:p>
    <w:p w14:paraId="55D033B0" w14:textId="77777777" w:rsidR="008C21BF" w:rsidRPr="008C21BF" w:rsidRDefault="008C21BF" w:rsidP="008C21BF">
      <w:pPr>
        <w:ind w:firstLine="720"/>
        <w:rPr>
          <w:rFonts w:ascii="Arial" w:hAnsi="Arial" w:cs="Arial"/>
        </w:rPr>
      </w:pPr>
    </w:p>
    <w:p w14:paraId="2F5BD7EE" w14:textId="77777777" w:rsidR="008C21BF" w:rsidRPr="008C21BF" w:rsidRDefault="008C21BF" w:rsidP="008C21BF">
      <w:pPr>
        <w:tabs>
          <w:tab w:val="left" w:pos="1545"/>
        </w:tabs>
        <w:rPr>
          <w:rFonts w:ascii="Arial" w:hAnsi="Arial" w:cs="Arial"/>
        </w:rPr>
      </w:pPr>
      <w:r w:rsidRPr="008C21BF">
        <w:rPr>
          <w:rFonts w:ascii="Arial" w:hAnsi="Arial" w:cs="Arial"/>
        </w:rPr>
        <w:tab/>
      </w:r>
    </w:p>
    <w:p w14:paraId="71779C00" w14:textId="77777777" w:rsidR="008C21BF" w:rsidRPr="008C21BF" w:rsidRDefault="008C21BF" w:rsidP="004C017B">
      <w:pPr>
        <w:pStyle w:val="Heading6"/>
        <w:rPr>
          <w:rFonts w:ascii="Arial" w:hAnsi="Arial" w:cs="Arial"/>
          <w:i/>
          <w:iCs/>
          <w:color w:val="595959" w:themeColor="text1" w:themeTint="A6"/>
        </w:rPr>
      </w:pPr>
      <w:bookmarkStart w:id="414" w:name="_Toc7678152"/>
      <w:bookmarkStart w:id="415" w:name="_Toc34208427"/>
      <w:r w:rsidRPr="008C21BF">
        <w:rPr>
          <w:rFonts w:ascii="Arial" w:hAnsi="Arial" w:cs="Arial"/>
          <w:i/>
          <w:iCs/>
          <w:color w:val="595959" w:themeColor="text1" w:themeTint="A6"/>
        </w:rPr>
        <w:lastRenderedPageBreak/>
        <w:t>4.3.2.2.1.5 LAMB-5 (γ-2) protein abundance in fibroblast-derived matrices</w:t>
      </w:r>
      <w:bookmarkEnd w:id="414"/>
      <w:bookmarkEnd w:id="415"/>
    </w:p>
    <w:p w14:paraId="14A8A456" w14:textId="77777777" w:rsidR="008C21BF" w:rsidRPr="008C21BF" w:rsidRDefault="008C21BF" w:rsidP="008C21BF"/>
    <w:p w14:paraId="24B5464B" w14:textId="77777777" w:rsidR="008C21BF" w:rsidRPr="008C21BF" w:rsidRDefault="008C21BF" w:rsidP="008C21BF">
      <w:pPr>
        <w:tabs>
          <w:tab w:val="left" w:pos="1680"/>
        </w:tabs>
        <w:spacing w:line="480" w:lineRule="auto"/>
        <w:jc w:val="both"/>
        <w:rPr>
          <w:rFonts w:ascii="Arial" w:hAnsi="Arial" w:cs="Arial"/>
          <w:color w:val="595959" w:themeColor="text1" w:themeTint="A6"/>
        </w:rPr>
      </w:pPr>
      <w:r w:rsidRPr="008C21BF">
        <w:rPr>
          <w:rFonts w:ascii="Arial" w:hAnsi="Arial" w:cs="Arial"/>
          <w:color w:val="595959" w:themeColor="text1" w:themeTint="A6"/>
        </w:rPr>
        <w:t xml:space="preserve">Laminin and its sub-types are glycoproteins that form the major non-collagenous constituents of the basement membranes of epithelia. Functionally they are implicated in many biological processes including but not limited to cell adhesion, differentiation, migration, signalling, and metastasis. LAMB-5 (γ-2) protein was only present in CAF-DM-GF matrices and the representative immunoblot shows evidence of dual bands at both 130 kDa and 95 kDa; representing the mature and precursor forms of laminin (Figure 4.11 A).  Band intensity increase 24.21 ± 5.84-fold compared to the NOF-DM with and without growth factors (p=0.0003). </w:t>
      </w:r>
    </w:p>
    <w:p w14:paraId="595676EC" w14:textId="77777777" w:rsidR="008C21BF" w:rsidRPr="008C21BF" w:rsidRDefault="008C21BF" w:rsidP="008C21BF">
      <w:pPr>
        <w:tabs>
          <w:tab w:val="left" w:pos="1680"/>
        </w:tabs>
        <w:spacing w:line="480" w:lineRule="auto"/>
        <w:jc w:val="both"/>
        <w:rPr>
          <w:rFonts w:ascii="Arial" w:hAnsi="Arial" w:cs="Arial"/>
          <w:color w:val="595959" w:themeColor="text1" w:themeTint="A6"/>
        </w:rPr>
      </w:pPr>
      <w:r w:rsidRPr="008C21BF">
        <w:rPr>
          <w:rFonts w:ascii="Arial" w:hAnsi="Arial" w:cs="Arial"/>
          <w:noProof/>
          <w:color w:val="595959" w:themeColor="text1" w:themeTint="A6"/>
          <w:lang w:eastAsia="zh-CN"/>
        </w:rPr>
        <w:drawing>
          <wp:anchor distT="0" distB="0" distL="114300" distR="114300" simplePos="0" relativeHeight="251658359" behindDoc="0" locked="0" layoutInCell="1" allowOverlap="1" wp14:anchorId="231ED792" wp14:editId="25C2608E">
            <wp:simplePos x="0" y="0"/>
            <wp:positionH relativeFrom="margin">
              <wp:align>center</wp:align>
            </wp:positionH>
            <wp:positionV relativeFrom="paragraph">
              <wp:posOffset>344465</wp:posOffset>
            </wp:positionV>
            <wp:extent cx="4359275" cy="3694430"/>
            <wp:effectExtent l="0" t="0" r="0" b="0"/>
            <wp:wrapNone/>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359275" cy="3694430"/>
                    </a:xfrm>
                    <a:prstGeom prst="rect">
                      <a:avLst/>
                    </a:prstGeom>
                    <a:noFill/>
                  </pic:spPr>
                </pic:pic>
              </a:graphicData>
            </a:graphic>
          </wp:anchor>
        </w:drawing>
      </w:r>
    </w:p>
    <w:p w14:paraId="651D271B" w14:textId="77777777" w:rsidR="008C21BF" w:rsidRPr="008C21BF" w:rsidRDefault="008C21BF" w:rsidP="008C21BF">
      <w:pPr>
        <w:tabs>
          <w:tab w:val="left" w:pos="1680"/>
        </w:tabs>
        <w:spacing w:line="480" w:lineRule="auto"/>
        <w:jc w:val="both"/>
        <w:rPr>
          <w:rFonts w:ascii="Arial" w:hAnsi="Arial" w:cs="Arial"/>
          <w:color w:val="595959" w:themeColor="text1" w:themeTint="A6"/>
        </w:rPr>
      </w:pPr>
    </w:p>
    <w:p w14:paraId="2A721BD0" w14:textId="77777777" w:rsidR="008C21BF" w:rsidRPr="008C21BF" w:rsidRDefault="008C21BF" w:rsidP="008C21BF">
      <w:pPr>
        <w:tabs>
          <w:tab w:val="left" w:pos="1680"/>
        </w:tabs>
        <w:spacing w:line="480" w:lineRule="auto"/>
        <w:jc w:val="both"/>
        <w:rPr>
          <w:rFonts w:ascii="Arial" w:hAnsi="Arial" w:cs="Arial"/>
          <w:color w:val="595959" w:themeColor="text1" w:themeTint="A6"/>
        </w:rPr>
      </w:pPr>
    </w:p>
    <w:p w14:paraId="76A1CEB4" w14:textId="77777777" w:rsidR="008C21BF" w:rsidRPr="008C21BF" w:rsidRDefault="008C21BF" w:rsidP="008C21BF">
      <w:pPr>
        <w:tabs>
          <w:tab w:val="left" w:pos="1680"/>
        </w:tabs>
        <w:spacing w:line="480" w:lineRule="auto"/>
        <w:jc w:val="both"/>
        <w:rPr>
          <w:rFonts w:ascii="Arial" w:hAnsi="Arial" w:cs="Arial"/>
          <w:color w:val="595959" w:themeColor="text1" w:themeTint="A6"/>
        </w:rPr>
      </w:pPr>
    </w:p>
    <w:p w14:paraId="3883CEEB" w14:textId="77777777" w:rsidR="008C21BF" w:rsidRPr="008C21BF" w:rsidRDefault="008C21BF" w:rsidP="008C21BF">
      <w:pPr>
        <w:tabs>
          <w:tab w:val="left" w:pos="1680"/>
        </w:tabs>
        <w:spacing w:line="480" w:lineRule="auto"/>
        <w:jc w:val="both"/>
        <w:rPr>
          <w:rFonts w:ascii="Arial" w:hAnsi="Arial" w:cs="Arial"/>
          <w:color w:val="595959" w:themeColor="text1" w:themeTint="A6"/>
        </w:rPr>
      </w:pPr>
    </w:p>
    <w:p w14:paraId="33A5ED35" w14:textId="77777777" w:rsidR="008C21BF" w:rsidRPr="008C21BF" w:rsidRDefault="008C21BF" w:rsidP="008C21BF">
      <w:pPr>
        <w:tabs>
          <w:tab w:val="left" w:pos="1680"/>
        </w:tabs>
        <w:spacing w:line="480" w:lineRule="auto"/>
        <w:jc w:val="both"/>
        <w:rPr>
          <w:rFonts w:ascii="Arial" w:hAnsi="Arial" w:cs="Arial"/>
          <w:color w:val="595959" w:themeColor="text1" w:themeTint="A6"/>
        </w:rPr>
      </w:pPr>
    </w:p>
    <w:p w14:paraId="7F89C9F0" w14:textId="77777777" w:rsidR="008C21BF" w:rsidRPr="008C21BF" w:rsidRDefault="008C21BF" w:rsidP="008C21BF">
      <w:pPr>
        <w:tabs>
          <w:tab w:val="left" w:pos="1680"/>
        </w:tabs>
        <w:spacing w:line="480" w:lineRule="auto"/>
        <w:jc w:val="both"/>
        <w:rPr>
          <w:rFonts w:ascii="Arial" w:hAnsi="Arial" w:cs="Arial"/>
          <w:color w:val="595959" w:themeColor="text1" w:themeTint="A6"/>
        </w:rPr>
      </w:pPr>
    </w:p>
    <w:p w14:paraId="64150B86" w14:textId="77777777" w:rsidR="008C21BF" w:rsidRPr="008C21BF" w:rsidRDefault="008C21BF" w:rsidP="008C21BF">
      <w:pPr>
        <w:tabs>
          <w:tab w:val="left" w:pos="1680"/>
        </w:tabs>
        <w:spacing w:line="480" w:lineRule="auto"/>
        <w:jc w:val="both"/>
        <w:rPr>
          <w:rFonts w:ascii="Arial" w:hAnsi="Arial" w:cs="Arial"/>
          <w:color w:val="595959" w:themeColor="text1" w:themeTint="A6"/>
        </w:rPr>
      </w:pPr>
    </w:p>
    <w:p w14:paraId="1667FFF4" w14:textId="77777777" w:rsidR="008C21BF" w:rsidRPr="008C21BF" w:rsidRDefault="008C21BF" w:rsidP="008C21BF">
      <w:pPr>
        <w:tabs>
          <w:tab w:val="left" w:pos="1680"/>
        </w:tabs>
        <w:spacing w:line="480" w:lineRule="auto"/>
        <w:jc w:val="both"/>
        <w:rPr>
          <w:rFonts w:ascii="Arial" w:hAnsi="Arial" w:cs="Arial"/>
          <w:color w:val="595959" w:themeColor="text1" w:themeTint="A6"/>
        </w:rPr>
      </w:pPr>
    </w:p>
    <w:p w14:paraId="2ED2F92D" w14:textId="77777777" w:rsidR="008C21BF" w:rsidRPr="008C21BF" w:rsidRDefault="008C21BF" w:rsidP="008C21BF">
      <w:pPr>
        <w:tabs>
          <w:tab w:val="left" w:pos="1545"/>
        </w:tabs>
        <w:rPr>
          <w:rFonts w:ascii="Arial" w:hAnsi="Arial" w:cs="Arial"/>
          <w:color w:val="595959" w:themeColor="text1" w:themeTint="A6"/>
        </w:rPr>
      </w:pPr>
    </w:p>
    <w:p w14:paraId="6EADFC66" w14:textId="77777777" w:rsidR="008C21BF" w:rsidRPr="008C21BF" w:rsidRDefault="008C21BF" w:rsidP="008C21BF">
      <w:pPr>
        <w:tabs>
          <w:tab w:val="left" w:pos="1545"/>
        </w:tabs>
        <w:rPr>
          <w:rFonts w:ascii="Arial" w:hAnsi="Arial" w:cs="Arial"/>
          <w:color w:val="595959" w:themeColor="text1" w:themeTint="A6"/>
        </w:rPr>
      </w:pPr>
    </w:p>
    <w:p w14:paraId="23B8D915" w14:textId="77777777" w:rsidR="008C21BF" w:rsidRPr="008C21BF" w:rsidRDefault="008C21BF" w:rsidP="008C21BF">
      <w:pPr>
        <w:tabs>
          <w:tab w:val="left" w:pos="1545"/>
        </w:tabs>
        <w:rPr>
          <w:rFonts w:ascii="Arial" w:hAnsi="Arial" w:cs="Arial"/>
        </w:rPr>
      </w:pPr>
      <w:r w:rsidRPr="008C21BF">
        <w:rPr>
          <w:rFonts w:ascii="Arial" w:hAnsi="Arial" w:cs="Arial"/>
          <w:noProof/>
          <w:color w:val="595959" w:themeColor="text1" w:themeTint="A6"/>
          <w:sz w:val="24"/>
          <w:szCs w:val="24"/>
          <w:lang w:eastAsia="zh-CN"/>
        </w:rPr>
        <mc:AlternateContent>
          <mc:Choice Requires="wps">
            <w:drawing>
              <wp:anchor distT="0" distB="0" distL="114300" distR="114300" simplePos="0" relativeHeight="251658336" behindDoc="0" locked="0" layoutInCell="1" allowOverlap="1" wp14:anchorId="5E0F5948" wp14:editId="2CFEF24A">
                <wp:simplePos x="0" y="0"/>
                <wp:positionH relativeFrom="margin">
                  <wp:align>right</wp:align>
                </wp:positionH>
                <wp:positionV relativeFrom="paragraph">
                  <wp:posOffset>4445</wp:posOffset>
                </wp:positionV>
                <wp:extent cx="5734050" cy="1314450"/>
                <wp:effectExtent l="0" t="0" r="0" b="0"/>
                <wp:wrapNone/>
                <wp:docPr id="4124" name="Text Box 4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1314450"/>
                        </a:xfrm>
                        <a:prstGeom prst="rect">
                          <a:avLst/>
                        </a:prstGeom>
                        <a:solidFill>
                          <a:srgbClr val="FFFFFF"/>
                        </a:solidFill>
                        <a:ln w="9525">
                          <a:noFill/>
                          <a:miter lim="800000"/>
                          <a:headEnd/>
                          <a:tailEnd/>
                        </a:ln>
                      </wps:spPr>
                      <wps:txbx>
                        <w:txbxContent>
                          <w:p w14:paraId="7AACE9D3" w14:textId="77777777" w:rsidR="008A47AC" w:rsidRPr="00A013F6" w:rsidRDefault="008A47AC" w:rsidP="008C21BF">
                            <w:pPr>
                              <w:pStyle w:val="Caption"/>
                              <w:keepNext/>
                              <w:jc w:val="both"/>
                              <w:rPr>
                                <w:rFonts w:ascii="Arial Narrow" w:hAnsi="Arial Narrow"/>
                                <w:b/>
                                <w:i w:val="0"/>
                                <w:color w:val="595959" w:themeColor="text1" w:themeTint="A6"/>
                                <w:sz w:val="24"/>
                                <w:szCs w:val="24"/>
                              </w:rPr>
                            </w:pPr>
                            <w:r w:rsidRPr="006B7937">
                              <w:rPr>
                                <w:rFonts w:ascii="Arial Narrow" w:hAnsi="Arial Narrow"/>
                                <w:b/>
                                <w:i w:val="0"/>
                                <w:color w:val="595959" w:themeColor="text1" w:themeTint="A6"/>
                                <w:sz w:val="24"/>
                                <w:szCs w:val="24"/>
                              </w:rPr>
                              <w:t xml:space="preserve">Figure </w:t>
                            </w:r>
                            <w:r>
                              <w:rPr>
                                <w:rFonts w:ascii="Arial Narrow" w:hAnsi="Arial Narrow"/>
                                <w:b/>
                                <w:i w:val="0"/>
                                <w:color w:val="595959" w:themeColor="text1" w:themeTint="A6"/>
                                <w:sz w:val="24"/>
                                <w:szCs w:val="24"/>
                              </w:rPr>
                              <w:t xml:space="preserve">4.11 Analysis of LAMB-5 (γ-2) abundance </w:t>
                            </w:r>
                            <w:r w:rsidRPr="00A013F6">
                              <w:rPr>
                                <w:rFonts w:ascii="Arial Narrow" w:hAnsi="Arial Narrow"/>
                                <w:b/>
                                <w:i w:val="0"/>
                                <w:color w:val="595959" w:themeColor="text1" w:themeTint="A6"/>
                                <w:sz w:val="24"/>
                                <w:szCs w:val="24"/>
                              </w:rPr>
                              <w:t>in fibroblast-derived matrices</w:t>
                            </w:r>
                          </w:p>
                          <w:p w14:paraId="56934F9E" w14:textId="77777777" w:rsidR="008A47AC" w:rsidRPr="009C15E0" w:rsidRDefault="008A47AC" w:rsidP="008C21BF">
                            <w:pPr>
                              <w:pStyle w:val="NormalWeb"/>
                              <w:spacing w:after="200" w:line="276" w:lineRule="auto"/>
                              <w:jc w:val="both"/>
                              <w:rPr>
                                <w:rFonts w:ascii="Arial Narrow" w:eastAsia="SimSun" w:hAnsi="Arial Narrow" w:cs="Arial"/>
                                <w:color w:val="595959" w:themeColor="text1" w:themeTint="A6"/>
                                <w:kern w:val="24"/>
                                <w:sz w:val="22"/>
                                <w:szCs w:val="22"/>
                              </w:rPr>
                            </w:pPr>
                            <w:r>
                              <w:rPr>
                                <w:rFonts w:ascii="Arial Narrow" w:eastAsia="SimSun" w:hAnsi="Arial Narrow" w:cs="Arial"/>
                                <w:color w:val="595959" w:themeColor="text1" w:themeTint="A6"/>
                                <w:kern w:val="24"/>
                                <w:sz w:val="22"/>
                                <w:szCs w:val="22"/>
                              </w:rPr>
                              <w:t xml:space="preserve">A representative blot showed that LAMB-5 was only visible in the developed CAF-DM-GF matrix, with a dual band indicating the mature form (130 kDa) And the precursor form (95 kDa) (A). </w:t>
                            </w:r>
                            <w:r>
                              <w:rPr>
                                <w:rFonts w:ascii="Arial Narrow" w:eastAsia="SimSun" w:hAnsi="Arial Narrow" w:cs="Arial"/>
                                <w:color w:val="595959"/>
                                <w:kern w:val="24"/>
                                <w:sz w:val="22"/>
                              </w:rPr>
                              <w:t xml:space="preserve">Densitometry of the resultant bands were measured using ImageJ and the intensity measured relative to GAPDH controls (B).  Data is expressed as relative fold change, with mean ± SD, N=3, n=2, *** denotes p &lt;0.001 as analysed by Kruskal-Wallis test with Dunn’s multiple comparison test.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0F5948" id="Text Box 4124" o:spid="_x0000_s1149" type="#_x0000_t202" style="position:absolute;margin-left:400.3pt;margin-top:.35pt;width:451.5pt;height:103.5pt;z-index:2516583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" stroked="f">
                <v:textbox>
                  <w:txbxContent>
                    <w:p w14:paraId="7AACE9D3" w14:textId="77777777" w:rsidR="008A47AC" w:rsidRPr="00A013F6" w:rsidRDefault="008A47AC" w:rsidP="008C21BF">
                      <w:pPr>
                        <w:pStyle w:val="Caption"/>
                        <w:keepNext/>
                        <w:jc w:val="both"/>
                        <w:rPr>
                          <w:rFonts w:ascii="Arial Narrow" w:hAnsi="Arial Narrow"/>
                          <w:b/>
                          <w:i w:val="0"/>
                          <w:color w:val="595959" w:themeColor="text1" w:themeTint="A6"/>
                          <w:sz w:val="24"/>
                          <w:szCs w:val="24"/>
                        </w:rPr>
                      </w:pPr>
                      <w:r w:rsidRPr="006B7937">
                        <w:rPr>
                          <w:rFonts w:ascii="Arial Narrow" w:hAnsi="Arial Narrow"/>
                          <w:b/>
                          <w:i w:val="0"/>
                          <w:color w:val="595959" w:themeColor="text1" w:themeTint="A6"/>
                          <w:sz w:val="24"/>
                          <w:szCs w:val="24"/>
                        </w:rPr>
                        <w:t xml:space="preserve">Figure </w:t>
                      </w:r>
                      <w:r>
                        <w:rPr>
                          <w:rFonts w:ascii="Arial Narrow" w:hAnsi="Arial Narrow"/>
                          <w:b/>
                          <w:i w:val="0"/>
                          <w:color w:val="595959" w:themeColor="text1" w:themeTint="A6"/>
                          <w:sz w:val="24"/>
                          <w:szCs w:val="24"/>
                        </w:rPr>
                        <w:t xml:space="preserve">4.11 Analysis of LAMB-5 (γ-2) abundance </w:t>
                      </w:r>
                      <w:r w:rsidRPr="00A013F6">
                        <w:rPr>
                          <w:rFonts w:ascii="Arial Narrow" w:hAnsi="Arial Narrow"/>
                          <w:b/>
                          <w:i w:val="0"/>
                          <w:color w:val="595959" w:themeColor="text1" w:themeTint="A6"/>
                          <w:sz w:val="24"/>
                          <w:szCs w:val="24"/>
                        </w:rPr>
                        <w:t>in fibroblast-derived matrices</w:t>
                      </w:r>
                    </w:p>
                    <w:p w14:paraId="56934F9E" w14:textId="77777777" w:rsidR="008A47AC" w:rsidRPr="009C15E0" w:rsidRDefault="008A47AC" w:rsidP="008C21BF">
                      <w:pPr>
                        <w:pStyle w:val="NormalWeb"/>
                        <w:spacing w:after="200" w:line="276" w:lineRule="auto"/>
                        <w:jc w:val="both"/>
                        <w:rPr>
                          <w:rFonts w:ascii="Arial Narrow" w:eastAsia="SimSun" w:hAnsi="Arial Narrow" w:cs="Arial"/>
                          <w:color w:val="595959" w:themeColor="text1" w:themeTint="A6"/>
                          <w:kern w:val="24"/>
                          <w:sz w:val="22"/>
                          <w:szCs w:val="22"/>
                        </w:rPr>
                      </w:pPr>
                      <w:r>
                        <w:rPr>
                          <w:rFonts w:ascii="Arial Narrow" w:eastAsia="SimSun" w:hAnsi="Arial Narrow" w:cs="Arial"/>
                          <w:color w:val="595959" w:themeColor="text1" w:themeTint="A6"/>
                          <w:kern w:val="24"/>
                          <w:sz w:val="22"/>
                          <w:szCs w:val="22"/>
                        </w:rPr>
                        <w:t xml:space="preserve">A representative blot showed that LAMB-5 was only visible in the developed CAF-DM-GF matrix, with a dual band indicating the mature form (130 </w:t>
                      </w:r>
                      <w:proofErr w:type="spellStart"/>
                      <w:r>
                        <w:rPr>
                          <w:rFonts w:ascii="Arial Narrow" w:eastAsia="SimSun" w:hAnsi="Arial Narrow" w:cs="Arial"/>
                          <w:color w:val="595959" w:themeColor="text1" w:themeTint="A6"/>
                          <w:kern w:val="24"/>
                          <w:sz w:val="22"/>
                          <w:szCs w:val="22"/>
                        </w:rPr>
                        <w:t>kDa</w:t>
                      </w:r>
                      <w:proofErr w:type="spellEnd"/>
                      <w:r>
                        <w:rPr>
                          <w:rFonts w:ascii="Arial Narrow" w:eastAsia="SimSun" w:hAnsi="Arial Narrow" w:cs="Arial"/>
                          <w:color w:val="595959" w:themeColor="text1" w:themeTint="A6"/>
                          <w:kern w:val="24"/>
                          <w:sz w:val="22"/>
                          <w:szCs w:val="22"/>
                        </w:rPr>
                        <w:t xml:space="preserve">) And the precursor form (95 </w:t>
                      </w:r>
                      <w:proofErr w:type="spellStart"/>
                      <w:r>
                        <w:rPr>
                          <w:rFonts w:ascii="Arial Narrow" w:eastAsia="SimSun" w:hAnsi="Arial Narrow" w:cs="Arial"/>
                          <w:color w:val="595959" w:themeColor="text1" w:themeTint="A6"/>
                          <w:kern w:val="24"/>
                          <w:sz w:val="22"/>
                          <w:szCs w:val="22"/>
                        </w:rPr>
                        <w:t>kDa</w:t>
                      </w:r>
                      <w:proofErr w:type="spellEnd"/>
                      <w:r>
                        <w:rPr>
                          <w:rFonts w:ascii="Arial Narrow" w:eastAsia="SimSun" w:hAnsi="Arial Narrow" w:cs="Arial"/>
                          <w:color w:val="595959" w:themeColor="text1" w:themeTint="A6"/>
                          <w:kern w:val="24"/>
                          <w:sz w:val="22"/>
                          <w:szCs w:val="22"/>
                        </w:rPr>
                        <w:t xml:space="preserve">) (A). </w:t>
                      </w:r>
                      <w:r>
                        <w:rPr>
                          <w:rFonts w:ascii="Arial Narrow" w:eastAsia="SimSun" w:hAnsi="Arial Narrow" w:cs="Arial"/>
                          <w:color w:val="595959"/>
                          <w:kern w:val="24"/>
                          <w:sz w:val="22"/>
                        </w:rPr>
                        <w:t xml:space="preserve">Densitometry of the resultant bands were measured using ImageJ and the intensity measured relative to GAPDH controls (B).  Data is expressed as relative fold change, with mean ± SD, N=3, n=2, *** denotes p &lt;0.001 as analysed by Kruskal-Wallis test with Dunn’s multiple comparison test.  </w:t>
                      </w:r>
                    </w:p>
                  </w:txbxContent>
                </v:textbox>
                <w10:wrap anchorx="margin"/>
              </v:shape>
            </w:pict>
          </mc:Fallback>
        </mc:AlternateContent>
      </w:r>
    </w:p>
    <w:p w14:paraId="056CB035" w14:textId="77777777" w:rsidR="008C21BF" w:rsidRPr="008C21BF" w:rsidRDefault="008C21BF" w:rsidP="008C21BF">
      <w:pPr>
        <w:tabs>
          <w:tab w:val="left" w:pos="1545"/>
        </w:tabs>
        <w:rPr>
          <w:rFonts w:ascii="Arial" w:hAnsi="Arial" w:cs="Arial"/>
        </w:rPr>
      </w:pPr>
    </w:p>
    <w:p w14:paraId="35B08FDC" w14:textId="77777777" w:rsidR="008C21BF" w:rsidRPr="008C21BF" w:rsidRDefault="008C21BF" w:rsidP="008C21BF">
      <w:pPr>
        <w:tabs>
          <w:tab w:val="left" w:pos="1350"/>
        </w:tabs>
        <w:rPr>
          <w:rFonts w:ascii="Arial" w:hAnsi="Arial" w:cs="Arial"/>
        </w:rPr>
      </w:pPr>
    </w:p>
    <w:p w14:paraId="518BC403" w14:textId="77777777" w:rsidR="008C21BF" w:rsidRPr="008C21BF" w:rsidRDefault="008C21BF" w:rsidP="008C21BF">
      <w:pPr>
        <w:keepNext/>
        <w:keepLines/>
        <w:spacing w:before="40" w:after="0"/>
        <w:outlineLvl w:val="2"/>
        <w:rPr>
          <w:rFonts w:ascii="Arial" w:eastAsiaTheme="majorEastAsia" w:hAnsi="Arial" w:cs="Arial"/>
          <w:i/>
          <w:color w:val="595959" w:themeColor="text1" w:themeTint="A6"/>
          <w:sz w:val="24"/>
          <w:szCs w:val="24"/>
        </w:rPr>
      </w:pPr>
      <w:bookmarkStart w:id="416" w:name="_Toc7678153"/>
    </w:p>
    <w:p w14:paraId="79EB7FCD" w14:textId="77777777" w:rsidR="008C21BF" w:rsidRPr="008C21BF" w:rsidRDefault="008C21BF" w:rsidP="008C21BF"/>
    <w:p w14:paraId="5A92DE12" w14:textId="77777777" w:rsidR="008C21BF" w:rsidRPr="008C21BF" w:rsidRDefault="008C21BF" w:rsidP="004C017B">
      <w:pPr>
        <w:pStyle w:val="Heading4"/>
        <w:rPr>
          <w:rFonts w:ascii="Arial" w:hAnsi="Arial" w:cs="Arial"/>
          <w:i w:val="0"/>
          <w:color w:val="595959" w:themeColor="text1" w:themeTint="A6"/>
          <w:sz w:val="24"/>
          <w:szCs w:val="24"/>
        </w:rPr>
      </w:pPr>
      <w:bookmarkStart w:id="417" w:name="_Toc34208428"/>
      <w:r w:rsidRPr="008C21BF">
        <w:rPr>
          <w:rFonts w:ascii="Arial" w:hAnsi="Arial" w:cs="Arial"/>
          <w:color w:val="595959" w:themeColor="text1" w:themeTint="A6"/>
          <w:sz w:val="24"/>
          <w:szCs w:val="24"/>
        </w:rPr>
        <w:lastRenderedPageBreak/>
        <w:t>4.3.2.3 Understanding fibroblast-derived matrix biomechanics</w:t>
      </w:r>
      <w:bookmarkEnd w:id="416"/>
      <w:r w:rsidRPr="008C21BF">
        <w:rPr>
          <w:rFonts w:ascii="Arial" w:hAnsi="Arial" w:cs="Arial"/>
          <w:color w:val="595959" w:themeColor="text1" w:themeTint="A6"/>
          <w:sz w:val="24"/>
          <w:szCs w:val="24"/>
        </w:rPr>
        <w:t xml:space="preserve"> and structure</w:t>
      </w:r>
      <w:bookmarkEnd w:id="417"/>
    </w:p>
    <w:p w14:paraId="4F5E4975" w14:textId="77777777" w:rsidR="008C21BF" w:rsidRPr="008C21BF" w:rsidRDefault="008C21BF" w:rsidP="008C21BF"/>
    <w:p w14:paraId="6F34DD13" w14:textId="77777777" w:rsidR="008C21BF" w:rsidRPr="008C21BF" w:rsidRDefault="008C21BF" w:rsidP="004C017B">
      <w:pPr>
        <w:pStyle w:val="Heading5"/>
        <w:rPr>
          <w:rFonts w:ascii="Arial" w:hAnsi="Arial" w:cs="Arial"/>
          <w:i/>
          <w:iCs/>
          <w:color w:val="595959" w:themeColor="text1" w:themeTint="A6"/>
        </w:rPr>
      </w:pPr>
      <w:bookmarkStart w:id="418" w:name="_Toc7678154"/>
      <w:bookmarkStart w:id="419" w:name="_Toc34208429"/>
      <w:r w:rsidRPr="008C21BF">
        <w:rPr>
          <w:rFonts w:ascii="Arial" w:hAnsi="Arial" w:cs="Arial"/>
          <w:i/>
          <w:iCs/>
          <w:color w:val="595959" w:themeColor="text1" w:themeTint="A6"/>
        </w:rPr>
        <w:t>4.3.2.3.1 Identifying modified collagen-fibre signatures in fibroblast-derived matrices</w:t>
      </w:r>
      <w:bookmarkEnd w:id="418"/>
      <w:bookmarkEnd w:id="419"/>
      <w:r w:rsidRPr="008C21BF">
        <w:rPr>
          <w:rFonts w:ascii="Arial" w:hAnsi="Arial" w:cs="Arial"/>
          <w:i/>
          <w:iCs/>
          <w:color w:val="595959" w:themeColor="text1" w:themeTint="A6"/>
        </w:rPr>
        <w:t xml:space="preserve"> </w:t>
      </w:r>
    </w:p>
    <w:p w14:paraId="5A121E5B" w14:textId="77777777" w:rsidR="008C21BF" w:rsidRPr="008C21BF" w:rsidRDefault="008C21BF" w:rsidP="008C21BF"/>
    <w:p w14:paraId="04237E07" w14:textId="77777777" w:rsidR="008C21BF" w:rsidRPr="008C21BF" w:rsidRDefault="008C21BF" w:rsidP="008C21BF">
      <w:pPr>
        <w:tabs>
          <w:tab w:val="left" w:pos="1350"/>
        </w:tabs>
        <w:spacing w:line="480" w:lineRule="auto"/>
        <w:jc w:val="both"/>
        <w:rPr>
          <w:rFonts w:ascii="Arial" w:hAnsi="Arial" w:cs="Arial"/>
          <w:color w:val="595959" w:themeColor="text1" w:themeTint="A6"/>
        </w:rPr>
      </w:pPr>
      <w:r w:rsidRPr="008C21BF">
        <w:rPr>
          <w:rFonts w:ascii="Arial" w:hAnsi="Arial" w:cs="Arial"/>
          <w:color w:val="595959" w:themeColor="text1" w:themeTint="A6"/>
        </w:rPr>
        <w:t xml:space="preserve">To determine whether it was possible to optically image fibrillar collagen in unfixed FDM and to investigate whether the different cell phenotypes produced matrices with altering collagen signatures second harmonic generation (SHG) microscopy was employed. </w:t>
      </w:r>
    </w:p>
    <w:p w14:paraId="60A67469" w14:textId="57C73DD0" w:rsidR="008C21BF" w:rsidRPr="008C21BF" w:rsidRDefault="008C21BF" w:rsidP="008C21BF">
      <w:pPr>
        <w:tabs>
          <w:tab w:val="left" w:pos="1350"/>
        </w:tabs>
        <w:spacing w:line="480" w:lineRule="auto"/>
        <w:jc w:val="both"/>
        <w:rPr>
          <w:rFonts w:ascii="Arial" w:hAnsi="Arial" w:cs="Arial"/>
          <w:color w:val="595959" w:themeColor="text1" w:themeTint="A6"/>
        </w:rPr>
      </w:pPr>
      <w:r w:rsidRPr="008C21BF">
        <w:rPr>
          <w:rFonts w:ascii="Arial" w:hAnsi="Arial" w:cs="Arial"/>
          <w:color w:val="595959" w:themeColor="text1" w:themeTint="A6"/>
        </w:rPr>
        <w:t>NOF-DM with and without growth factors and CAF-DM</w:t>
      </w:r>
      <w:r w:rsidR="00CE467F">
        <w:rPr>
          <w:rFonts w:ascii="Arial" w:hAnsi="Arial" w:cs="Arial"/>
          <w:color w:val="595959" w:themeColor="text1" w:themeTint="A6"/>
        </w:rPr>
        <w:t xml:space="preserve"> without growth factors</w:t>
      </w:r>
      <w:r w:rsidRPr="008C21BF">
        <w:rPr>
          <w:rFonts w:ascii="Arial" w:hAnsi="Arial" w:cs="Arial"/>
          <w:color w:val="595959" w:themeColor="text1" w:themeTint="A6"/>
        </w:rPr>
        <w:t xml:space="preserve"> were imaged at day 28 with representative images shown in Figure 4.12.  Pseudo-colouring of all images was added for improved visualisation. Distinct collagen fibres could be observed in all of the FDM studied (Figure 4.12 A-C). </w:t>
      </w:r>
      <w:r w:rsidR="003F5B3B">
        <w:rPr>
          <w:rFonts w:ascii="Arial" w:hAnsi="Arial" w:cs="Arial"/>
          <w:color w:val="595959" w:themeColor="text1" w:themeTint="A6"/>
        </w:rPr>
        <w:t xml:space="preserve">Quantification of </w:t>
      </w:r>
      <w:r w:rsidR="000732DC">
        <w:rPr>
          <w:rFonts w:ascii="Arial" w:hAnsi="Arial" w:cs="Arial"/>
          <w:color w:val="595959" w:themeColor="text1" w:themeTint="A6"/>
        </w:rPr>
        <w:t xml:space="preserve">fibres </w:t>
      </w:r>
      <w:r w:rsidR="009635FE">
        <w:rPr>
          <w:rFonts w:ascii="Arial" w:hAnsi="Arial" w:cs="Arial"/>
          <w:color w:val="595959" w:themeColor="text1" w:themeTint="A6"/>
        </w:rPr>
        <w:t xml:space="preserve">from </w:t>
      </w:r>
      <w:r w:rsidR="003F5B3B">
        <w:rPr>
          <w:rFonts w:ascii="Arial" w:hAnsi="Arial" w:cs="Arial"/>
          <w:color w:val="595959" w:themeColor="text1" w:themeTint="A6"/>
        </w:rPr>
        <w:t>these im</w:t>
      </w:r>
      <w:r w:rsidRPr="008C21BF">
        <w:rPr>
          <w:rFonts w:ascii="Arial" w:hAnsi="Arial" w:cs="Arial"/>
          <w:color w:val="595959" w:themeColor="text1" w:themeTint="A6"/>
        </w:rPr>
        <w:t xml:space="preserve">ages analysed; collagen fibre length, diameter and alignment. </w:t>
      </w:r>
    </w:p>
    <w:p w14:paraId="6CCCBDE1" w14:textId="4BBB6323" w:rsidR="008C21BF" w:rsidRPr="008C21BF" w:rsidRDefault="008C21BF" w:rsidP="008C21BF">
      <w:pPr>
        <w:tabs>
          <w:tab w:val="left" w:pos="1350"/>
        </w:tabs>
        <w:spacing w:line="480" w:lineRule="auto"/>
        <w:jc w:val="both"/>
        <w:rPr>
          <w:rFonts w:ascii="Arial" w:hAnsi="Arial" w:cs="Arial"/>
          <w:color w:val="595959" w:themeColor="text1" w:themeTint="A6"/>
        </w:rPr>
      </w:pPr>
      <w:r w:rsidRPr="008C21BF">
        <w:rPr>
          <w:rFonts w:ascii="Arial" w:hAnsi="Arial" w:cs="Arial"/>
          <w:color w:val="595959" w:themeColor="text1" w:themeTint="A6"/>
        </w:rPr>
        <w:t>Collagen length was shortest for NOF-DM-GF with an average of 53.33 ± 1.06 μm (Figure 4.12</w:t>
      </w:r>
      <w:r w:rsidR="00CE467F">
        <w:rPr>
          <w:rFonts w:ascii="Arial" w:hAnsi="Arial" w:cs="Arial"/>
          <w:color w:val="595959" w:themeColor="text1" w:themeTint="A6"/>
        </w:rPr>
        <w:t xml:space="preserve"> D</w:t>
      </w:r>
      <w:r w:rsidRPr="008C21BF">
        <w:rPr>
          <w:rFonts w:ascii="Arial" w:hAnsi="Arial" w:cs="Arial"/>
          <w:color w:val="595959" w:themeColor="text1" w:themeTint="A6"/>
        </w:rPr>
        <w:t>). The addition of growth factors to the NOF-DM caused significant increase in fibre length with a mean value of 64.62 ± 0.89 μm</w:t>
      </w:r>
      <w:r w:rsidR="00CE467F">
        <w:rPr>
          <w:rFonts w:ascii="Arial" w:hAnsi="Arial" w:cs="Arial"/>
          <w:color w:val="595959" w:themeColor="text1" w:themeTint="A6"/>
        </w:rPr>
        <w:t xml:space="preserve">, </w:t>
      </w:r>
      <w:r w:rsidRPr="008C21BF">
        <w:rPr>
          <w:rFonts w:ascii="Arial" w:hAnsi="Arial" w:cs="Arial"/>
          <w:color w:val="595959" w:themeColor="text1" w:themeTint="A6"/>
        </w:rPr>
        <w:t>p=0.0013. CAF-DM-GF showed the greatest collagen fibre length with a mean of 77.25 ± 3.50 μm, significantly longer than NOF-DM without growth factors</w:t>
      </w:r>
      <w:r w:rsidR="00CE467F">
        <w:rPr>
          <w:rFonts w:ascii="Arial" w:hAnsi="Arial" w:cs="Arial"/>
          <w:color w:val="595959" w:themeColor="text1" w:themeTint="A6"/>
        </w:rPr>
        <w:t xml:space="preserve">, </w:t>
      </w:r>
      <w:r w:rsidRPr="008C21BF">
        <w:rPr>
          <w:rFonts w:ascii="Arial" w:hAnsi="Arial" w:cs="Arial"/>
          <w:color w:val="595959" w:themeColor="text1" w:themeTint="A6"/>
        </w:rPr>
        <w:t xml:space="preserve">p &lt;0.0001 (Figure 4.12 D). </w:t>
      </w:r>
    </w:p>
    <w:p w14:paraId="059D437F" w14:textId="77777777" w:rsidR="008C21BF" w:rsidRPr="008C21BF" w:rsidRDefault="008C21BF" w:rsidP="008C21BF">
      <w:pPr>
        <w:tabs>
          <w:tab w:val="left" w:pos="1350"/>
        </w:tabs>
        <w:spacing w:line="480" w:lineRule="auto"/>
        <w:jc w:val="both"/>
        <w:rPr>
          <w:rFonts w:ascii="Arial" w:hAnsi="Arial" w:cs="Arial"/>
          <w:color w:val="595959" w:themeColor="text1" w:themeTint="A6"/>
        </w:rPr>
      </w:pPr>
      <w:r w:rsidRPr="008C21BF">
        <w:rPr>
          <w:rFonts w:ascii="Arial" w:hAnsi="Arial" w:cs="Arial"/>
          <w:color w:val="595959" w:themeColor="text1" w:themeTint="A6"/>
        </w:rPr>
        <w:t xml:space="preserve">Collagen fibre alignment was assessed on a scale of 0 to 1 (Figure 4.12 E). With a value of zero indicating no alignment, and 1 scoring absolute alignment. NOF-DM-GF matrices had a mean alignment value of 0.89 ± 0.004. NOF-DM+GF showed a significant increase, in alignment with a mean value of 0.90 ± 0.0005 (p=0.0008). CAF-DM-GF matrices were shown to be the most aligned and were significantly more so than the NOF-DM-GF, with a mean value of 0.92 ± 0.002 (p &lt;0.0001) (Figure 4.12 E). </w:t>
      </w:r>
    </w:p>
    <w:p w14:paraId="7D332232" w14:textId="5A400338" w:rsidR="008C21BF" w:rsidRPr="008C21BF" w:rsidRDefault="008C21BF" w:rsidP="008C21BF">
      <w:pPr>
        <w:tabs>
          <w:tab w:val="left" w:pos="1350"/>
        </w:tabs>
        <w:spacing w:line="480" w:lineRule="auto"/>
        <w:jc w:val="both"/>
        <w:rPr>
          <w:rFonts w:ascii="Arial" w:hAnsi="Arial" w:cs="Arial"/>
          <w:color w:val="595959" w:themeColor="text1" w:themeTint="A6"/>
        </w:rPr>
      </w:pPr>
      <w:r w:rsidRPr="008C21BF">
        <w:rPr>
          <w:rFonts w:ascii="Arial" w:hAnsi="Arial" w:cs="Arial"/>
          <w:color w:val="595959" w:themeColor="text1" w:themeTint="A6"/>
        </w:rPr>
        <w:t>Fibre diameter was also assessed (Figure 4.12 F). NOF-DM-GF matrices had a mean width of 0.76 ± 0.04 μm. Upon the addition of growth factors this significantly increased to 0.87 ± 0.01 μm</w:t>
      </w:r>
      <w:r w:rsidR="00CE467F">
        <w:rPr>
          <w:rFonts w:ascii="Arial" w:hAnsi="Arial" w:cs="Arial"/>
          <w:color w:val="595959" w:themeColor="text1" w:themeTint="A6"/>
        </w:rPr>
        <w:t xml:space="preserve">, </w:t>
      </w:r>
      <w:r w:rsidRPr="008C21BF">
        <w:rPr>
          <w:rFonts w:ascii="Arial" w:hAnsi="Arial" w:cs="Arial"/>
          <w:color w:val="595959" w:themeColor="text1" w:themeTint="A6"/>
        </w:rPr>
        <w:t xml:space="preserve">p=0.0035 and fibres were similar for CAF-DM-GF with an average fibre width of 0.87 ± 0.02 μm (p=0.0026). </w:t>
      </w:r>
    </w:p>
    <w:p w14:paraId="2DB3C7CF" w14:textId="77777777" w:rsidR="008C21BF" w:rsidRPr="008C21BF" w:rsidRDefault="008C21BF" w:rsidP="008C21BF">
      <w:pPr>
        <w:tabs>
          <w:tab w:val="left" w:pos="1350"/>
        </w:tabs>
        <w:spacing w:line="480" w:lineRule="auto"/>
        <w:jc w:val="both"/>
        <w:rPr>
          <w:rFonts w:ascii="Arial" w:hAnsi="Arial" w:cs="Arial"/>
          <w:color w:val="595959" w:themeColor="text1" w:themeTint="A6"/>
        </w:rPr>
      </w:pPr>
    </w:p>
    <w:p w14:paraId="65051C8D" w14:textId="77777777" w:rsidR="008C21BF" w:rsidRPr="008C21BF" w:rsidRDefault="008C21BF" w:rsidP="008C21BF">
      <w:pPr>
        <w:tabs>
          <w:tab w:val="left" w:pos="1350"/>
        </w:tabs>
        <w:spacing w:line="480" w:lineRule="auto"/>
        <w:jc w:val="both"/>
        <w:rPr>
          <w:rFonts w:ascii="Arial" w:hAnsi="Arial" w:cs="Arial"/>
          <w:color w:val="595959" w:themeColor="text1" w:themeTint="A6"/>
        </w:rPr>
      </w:pPr>
      <w:r w:rsidRPr="008C21BF">
        <w:rPr>
          <w:noProof/>
          <w:lang w:eastAsia="zh-CN"/>
        </w:rPr>
        <mc:AlternateContent>
          <mc:Choice Requires="wps">
            <w:drawing>
              <wp:anchor distT="0" distB="0" distL="114300" distR="114300" simplePos="0" relativeHeight="251658339" behindDoc="0" locked="0" layoutInCell="1" allowOverlap="1" wp14:anchorId="0CB7098D" wp14:editId="4BA1DE65">
                <wp:simplePos x="0" y="0"/>
                <wp:positionH relativeFrom="column">
                  <wp:posOffset>152400</wp:posOffset>
                </wp:positionH>
                <wp:positionV relativeFrom="paragraph">
                  <wp:posOffset>-400050</wp:posOffset>
                </wp:positionV>
                <wp:extent cx="352425" cy="400050"/>
                <wp:effectExtent l="0" t="0" r="0" b="0"/>
                <wp:wrapNone/>
                <wp:docPr id="4127" name="TextBox 4"/>
                <wp:cNvGraphicFramePr/>
                <a:graphic xmlns:a="http://schemas.openxmlformats.org/drawingml/2006/main">
                  <a:graphicData uri="http://schemas.microsoft.com/office/word/2010/wordprocessingShape">
                    <wps:wsp>
                      <wps:cNvSpPr txBox="1"/>
                      <wps:spPr>
                        <a:xfrm>
                          <a:off x="0" y="0"/>
                          <a:ext cx="352425" cy="400050"/>
                        </a:xfrm>
                        <a:prstGeom prst="rect">
                          <a:avLst/>
                        </a:prstGeom>
                        <a:noFill/>
                      </wps:spPr>
                      <wps:txbx>
                        <w:txbxContent>
                          <w:p w14:paraId="112173A9" w14:textId="77777777" w:rsidR="008A47AC" w:rsidRPr="00CD71E0" w:rsidRDefault="008A47AC" w:rsidP="008C21BF">
                            <w:pPr>
                              <w:pStyle w:val="NormalWeb"/>
                              <w:spacing w:after="0"/>
                              <w:rPr>
                                <w:color w:val="595959" w:themeColor="text1" w:themeTint="A6"/>
                              </w:rPr>
                            </w:pPr>
                          </w:p>
                        </w:txbxContent>
                      </wps:txbx>
                      <wps:bodyPr wrap="square" rtlCol="0">
                        <a:noAutofit/>
                      </wps:bodyPr>
                    </wps:wsp>
                  </a:graphicData>
                </a:graphic>
              </wp:anchor>
            </w:drawing>
          </mc:Choice>
          <mc:Fallback>
            <w:pict>
              <v:shape w14:anchorId="0CB7098D" id="TextBox 4" o:spid="_x0000_s1150" type="#_x0000_t202" style="position:absolute;left:0;text-align:left;margin-left:12pt;margin-top:-31.5pt;width:27.75pt;height:31.5pt;z-index:25165833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" filled="f" stroked="f">
                <v:textbox>
                  <w:txbxContent>
                    <w:p w14:paraId="112173A9" w14:textId="77777777" w:rsidR="008A47AC" w:rsidRPr="00CD71E0" w:rsidRDefault="008A47AC" w:rsidP="008C21BF">
                      <w:pPr>
                        <w:pStyle w:val="NormalWeb"/>
                        <w:spacing w:after="0"/>
                        <w:rPr>
                          <w:color w:val="595959" w:themeColor="text1" w:themeTint="A6"/>
                        </w:rPr>
                      </w:pPr>
                    </w:p>
                  </w:txbxContent>
                </v:textbox>
              </v:shape>
            </w:pict>
          </mc:Fallback>
        </mc:AlternateContent>
      </w:r>
      <w:r w:rsidRPr="008C21BF">
        <w:rPr>
          <w:rFonts w:ascii="Arial" w:hAnsi="Arial" w:cs="Arial"/>
          <w:color w:val="595959" w:themeColor="text1" w:themeTint="A6"/>
        </w:rPr>
        <w:tab/>
      </w:r>
    </w:p>
    <w:p w14:paraId="7CDF7C67" w14:textId="21736F73" w:rsidR="008C21BF" w:rsidRPr="008C21BF" w:rsidRDefault="008C21BF" w:rsidP="008C21BF">
      <w:pPr>
        <w:tabs>
          <w:tab w:val="left" w:pos="1350"/>
        </w:tabs>
        <w:spacing w:line="480" w:lineRule="auto"/>
        <w:jc w:val="both"/>
        <w:rPr>
          <w:rFonts w:ascii="Arial" w:hAnsi="Arial" w:cs="Arial"/>
          <w:color w:val="595959" w:themeColor="text1" w:themeTint="A6"/>
        </w:rPr>
      </w:pPr>
    </w:p>
    <w:p w14:paraId="24B4794D" w14:textId="77777777" w:rsidR="008C21BF" w:rsidRPr="008C21BF" w:rsidRDefault="008C21BF" w:rsidP="008C21BF">
      <w:pPr>
        <w:rPr>
          <w:rFonts w:ascii="Arial" w:hAnsi="Arial" w:cs="Arial"/>
        </w:rPr>
      </w:pPr>
    </w:p>
    <w:p w14:paraId="3A9E3871" w14:textId="77777777" w:rsidR="008C21BF" w:rsidRPr="008C21BF" w:rsidRDefault="008C21BF" w:rsidP="008C21BF">
      <w:pPr>
        <w:rPr>
          <w:rFonts w:ascii="Arial" w:hAnsi="Arial" w:cs="Arial"/>
        </w:rPr>
      </w:pPr>
      <w:r w:rsidRPr="008C21BF">
        <w:rPr>
          <w:rFonts w:ascii="Arial" w:hAnsi="Arial" w:cs="Arial"/>
          <w:noProof/>
          <w:color w:val="595959" w:themeColor="text1" w:themeTint="A6"/>
          <w:lang w:eastAsia="zh-CN"/>
        </w:rPr>
        <mc:AlternateContent>
          <mc:Choice Requires="wpg">
            <w:drawing>
              <wp:anchor distT="0" distB="0" distL="114300" distR="114300" simplePos="0" relativeHeight="251658337" behindDoc="0" locked="0" layoutInCell="1" allowOverlap="1" wp14:anchorId="50BD7444" wp14:editId="1BDD968B">
                <wp:simplePos x="0" y="0"/>
                <wp:positionH relativeFrom="margin">
                  <wp:align>right</wp:align>
                </wp:positionH>
                <wp:positionV relativeFrom="paragraph">
                  <wp:posOffset>195580</wp:posOffset>
                </wp:positionV>
                <wp:extent cx="5610225" cy="1657350"/>
                <wp:effectExtent l="0" t="0" r="28575" b="0"/>
                <wp:wrapNone/>
                <wp:docPr id="2080" name="Group 10"/>
                <wp:cNvGraphicFramePr/>
                <a:graphic xmlns:a="http://schemas.openxmlformats.org/drawingml/2006/main">
                  <a:graphicData uri="http://schemas.microsoft.com/office/word/2010/wordprocessingGroup">
                    <wpg:wgp>
                      <wpg:cNvGrpSpPr/>
                      <wpg:grpSpPr>
                        <a:xfrm>
                          <a:off x="0" y="0"/>
                          <a:ext cx="5610225" cy="1657350"/>
                          <a:chOff x="0" y="-1"/>
                          <a:chExt cx="8654705" cy="2705463"/>
                        </a:xfrm>
                      </wpg:grpSpPr>
                      <pic:pic xmlns:pic="http://schemas.openxmlformats.org/drawingml/2006/picture">
                        <pic:nvPicPr>
                          <pic:cNvPr id="2081" name="Picture 2081"/>
                          <pic:cNvPicPr>
                            <a:picLocks noChangeAspect="1"/>
                          </pic:cNvPicPr>
                        </pic:nvPicPr>
                        <pic:blipFill rotWithShape="1">
                          <a:blip r:embed="rId120"/>
                          <a:srcRect r="29822" b="14434"/>
                          <a:stretch/>
                        </pic:blipFill>
                        <pic:spPr>
                          <a:xfrm>
                            <a:off x="0" y="0"/>
                            <a:ext cx="2673131" cy="2705462"/>
                          </a:xfrm>
                          <a:prstGeom prst="rect">
                            <a:avLst/>
                          </a:prstGeom>
                        </pic:spPr>
                      </pic:pic>
                      <pic:pic xmlns:pic="http://schemas.openxmlformats.org/drawingml/2006/picture">
                        <pic:nvPicPr>
                          <pic:cNvPr id="2082" name="Picture 2082"/>
                          <pic:cNvPicPr>
                            <a:picLocks noChangeAspect="1"/>
                          </pic:cNvPicPr>
                        </pic:nvPicPr>
                        <pic:blipFill rotWithShape="1">
                          <a:blip r:embed="rId121"/>
                          <a:srcRect l="24508" t="5063" r="24332" b="36373"/>
                          <a:stretch/>
                        </pic:blipFill>
                        <pic:spPr>
                          <a:xfrm>
                            <a:off x="2990788" y="0"/>
                            <a:ext cx="2673130" cy="2705462"/>
                          </a:xfrm>
                          <a:prstGeom prst="rect">
                            <a:avLst/>
                          </a:prstGeom>
                        </pic:spPr>
                      </pic:pic>
                      <pic:pic xmlns:pic="http://schemas.openxmlformats.org/drawingml/2006/picture">
                        <pic:nvPicPr>
                          <pic:cNvPr id="2086" name="Picture 2086"/>
                          <pic:cNvPicPr>
                            <a:picLocks noChangeAspect="1"/>
                          </pic:cNvPicPr>
                        </pic:nvPicPr>
                        <pic:blipFill>
                          <a:blip r:embed="rId122" cstate="print">
                            <a:extLst>
                              <a:ext uri="{28A0092B-C50C-407E-A947-70E740481C1C}">
                                <a14:useLocalDpi xmlns:a14="http://schemas.microsoft.com/office/drawing/2010/main" val="0"/>
                              </a:ext>
                            </a:extLst>
                          </a:blip>
                          <a:stretch>
                            <a:fillRect/>
                          </a:stretch>
                        </pic:blipFill>
                        <pic:spPr>
                          <a:xfrm>
                            <a:off x="5981575" y="0"/>
                            <a:ext cx="2673130" cy="2705462"/>
                          </a:xfrm>
                          <a:prstGeom prst="rect">
                            <a:avLst/>
                          </a:prstGeom>
                        </pic:spPr>
                      </pic:pic>
                      <wps:wsp>
                        <wps:cNvPr id="2087" name="TextBox 4"/>
                        <wps:cNvSpPr txBox="1"/>
                        <wps:spPr>
                          <a:xfrm>
                            <a:off x="0" y="0"/>
                            <a:ext cx="480096" cy="546295"/>
                          </a:xfrm>
                          <a:prstGeom prst="rect">
                            <a:avLst/>
                          </a:prstGeom>
                          <a:noFill/>
                        </wps:spPr>
                        <wps:txbx>
                          <w:txbxContent>
                            <w:p w14:paraId="1065A62B" w14:textId="77777777" w:rsidR="008A47AC" w:rsidRDefault="008A47AC" w:rsidP="008C21BF">
                              <w:pPr>
                                <w:pStyle w:val="NormalWeb"/>
                                <w:spacing w:after="0"/>
                              </w:pPr>
                              <w:r>
                                <w:rPr>
                                  <w:rFonts w:asciiTheme="minorHAnsi" w:hAnsi="Calibri" w:cstheme="minorBidi"/>
                                  <w:color w:val="D9D9D9" w:themeColor="background1" w:themeShade="D9"/>
                                  <w:kern w:val="24"/>
                                  <w:sz w:val="36"/>
                                  <w:szCs w:val="36"/>
                                </w:rPr>
                                <w:t>A</w:t>
                              </w:r>
                            </w:p>
                          </w:txbxContent>
                        </wps:txbx>
                        <wps:bodyPr wrap="square" rtlCol="0">
                          <a:noAutofit/>
                        </wps:bodyPr>
                      </wps:wsp>
                      <wps:wsp>
                        <wps:cNvPr id="2088" name="TextBox 5"/>
                        <wps:cNvSpPr txBox="1"/>
                        <wps:spPr>
                          <a:xfrm>
                            <a:off x="3004819" y="-1"/>
                            <a:ext cx="576438" cy="559302"/>
                          </a:xfrm>
                          <a:prstGeom prst="rect">
                            <a:avLst/>
                          </a:prstGeom>
                          <a:noFill/>
                        </wps:spPr>
                        <wps:txbx>
                          <w:txbxContent>
                            <w:p w14:paraId="0E70114A" w14:textId="77777777" w:rsidR="008A47AC" w:rsidRDefault="008A47AC" w:rsidP="008C21BF">
                              <w:pPr>
                                <w:pStyle w:val="NormalWeb"/>
                                <w:spacing w:after="0"/>
                              </w:pPr>
                              <w:r>
                                <w:rPr>
                                  <w:rFonts w:asciiTheme="minorHAnsi" w:hAnsi="Calibri" w:cstheme="minorBidi"/>
                                  <w:color w:val="D9D9D9" w:themeColor="background1" w:themeShade="D9"/>
                                  <w:kern w:val="24"/>
                                  <w:sz w:val="36"/>
                                  <w:szCs w:val="36"/>
                                </w:rPr>
                                <w:t>B</w:t>
                              </w:r>
                            </w:p>
                          </w:txbxContent>
                        </wps:txbx>
                        <wps:bodyPr wrap="square" rtlCol="0">
                          <a:noAutofit/>
                        </wps:bodyPr>
                      </wps:wsp>
                      <wps:wsp>
                        <wps:cNvPr id="2089" name="TextBox 6"/>
                        <wps:cNvSpPr txBox="1"/>
                        <wps:spPr>
                          <a:xfrm>
                            <a:off x="5981576" y="0"/>
                            <a:ext cx="584063" cy="546295"/>
                          </a:xfrm>
                          <a:prstGeom prst="rect">
                            <a:avLst/>
                          </a:prstGeom>
                          <a:noFill/>
                        </wps:spPr>
                        <wps:txbx>
                          <w:txbxContent>
                            <w:p w14:paraId="3FD1AD3A" w14:textId="77777777" w:rsidR="008A47AC" w:rsidRDefault="008A47AC" w:rsidP="008C21BF">
                              <w:pPr>
                                <w:pStyle w:val="NormalWeb"/>
                                <w:spacing w:after="0"/>
                              </w:pPr>
                              <w:r>
                                <w:rPr>
                                  <w:rFonts w:asciiTheme="minorHAnsi" w:hAnsi="Calibri" w:cstheme="minorBidi"/>
                                  <w:color w:val="D9D9D9" w:themeColor="background1" w:themeShade="D9"/>
                                  <w:kern w:val="24"/>
                                  <w:sz w:val="36"/>
                                  <w:szCs w:val="36"/>
                                </w:rPr>
                                <w:t>C</w:t>
                              </w:r>
                            </w:p>
                          </w:txbxContent>
                        </wps:txbx>
                        <wps:bodyPr wrap="square" rtlCol="0">
                          <a:noAutofit/>
                        </wps:bodyPr>
                      </wps:wsp>
                      <wps:wsp>
                        <wps:cNvPr id="2090" name="Straight Connector 2090"/>
                        <wps:cNvCnPr/>
                        <wps:spPr>
                          <a:xfrm>
                            <a:off x="8084875" y="2583678"/>
                            <a:ext cx="483353" cy="0"/>
                          </a:xfrm>
                          <a:prstGeom prst="line">
                            <a:avLst/>
                          </a:prstGeom>
                          <a:noFill/>
                          <a:ln w="25400" cap="flat" cmpd="sng" algn="ctr">
                            <a:solidFill>
                              <a:srgbClr val="93A299"/>
                            </a:solidFill>
                            <a:prstDash val="solid"/>
                          </a:ln>
                          <a:effectLst>
                            <a:outerShdw blurRad="38100" dist="25400" dir="2700000" algn="br" rotWithShape="0">
                              <a:srgbClr val="000000">
                                <a:alpha val="60000"/>
                              </a:srgbClr>
                            </a:outerShdw>
                          </a:effectLst>
                        </wps:spPr>
                        <wps:bodyPr/>
                      </wps:wsp>
                      <wps:wsp>
                        <wps:cNvPr id="2091" name="Straight Connector 2091"/>
                        <wps:cNvCnPr/>
                        <wps:spPr>
                          <a:xfrm>
                            <a:off x="5057195" y="2583678"/>
                            <a:ext cx="483353" cy="0"/>
                          </a:xfrm>
                          <a:prstGeom prst="line">
                            <a:avLst/>
                          </a:prstGeom>
                          <a:noFill/>
                          <a:ln w="25400" cap="flat" cmpd="sng" algn="ctr">
                            <a:solidFill>
                              <a:srgbClr val="93A299"/>
                            </a:solidFill>
                            <a:prstDash val="solid"/>
                          </a:ln>
                          <a:effectLst>
                            <a:outerShdw blurRad="38100" dist="25400" dir="2700000" algn="br" rotWithShape="0">
                              <a:srgbClr val="000000">
                                <a:alpha val="60000"/>
                              </a:srgbClr>
                            </a:outerShdw>
                          </a:effectLst>
                        </wps:spPr>
                        <wps:bodyPr/>
                      </wps:wsp>
                      <wps:wsp>
                        <wps:cNvPr id="2092" name="Straight Connector 2092"/>
                        <wps:cNvCnPr/>
                        <wps:spPr>
                          <a:xfrm>
                            <a:off x="2059995" y="2583678"/>
                            <a:ext cx="483353" cy="0"/>
                          </a:xfrm>
                          <a:prstGeom prst="line">
                            <a:avLst/>
                          </a:prstGeom>
                          <a:noFill/>
                          <a:ln w="25400" cap="flat" cmpd="sng" algn="ctr">
                            <a:solidFill>
                              <a:srgbClr val="93A299"/>
                            </a:solidFill>
                            <a:prstDash val="solid"/>
                          </a:ln>
                          <a:effectLst>
                            <a:outerShdw blurRad="38100" dist="25400" dir="2700000" algn="br" rotWithShape="0">
                              <a:srgbClr val="000000">
                                <a:alpha val="60000"/>
                              </a:srgbClr>
                            </a:outerShdw>
                          </a:effectLst>
                        </wps:spPr>
                        <wps:bodyPr/>
                      </wps:wsp>
                    </wpg:wgp>
                  </a:graphicData>
                </a:graphic>
                <wp14:sizeRelH relativeFrom="margin">
                  <wp14:pctWidth>0</wp14:pctWidth>
                </wp14:sizeRelH>
                <wp14:sizeRelV relativeFrom="margin">
                  <wp14:pctHeight>0</wp14:pctHeight>
                </wp14:sizeRelV>
              </wp:anchor>
            </w:drawing>
          </mc:Choice>
          <mc:Fallback>
            <w:pict>
              <v:group w14:anchorId="50BD7444" id="Group 10" o:spid="_x0000_s1151" style="position:absolute;margin-left:390.55pt;margin-top:15.4pt;width:441.75pt;height:130.5pt;z-index:251658337;mso-position-horizontal:right;mso-position-horizontal-relative:margin;mso-width-relative:margin;mso-height-relative:margin" coordorigin="" coordsize="86547,270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">
                <v:shape id="Picture 2081" o:spid="_x0000_s1152" type="#_x0000_t75" style="position:absolute;width:26731;height:270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">
                  <v:imagedata r:id="rId123" o:title="" cropbottom="9459f" cropright="19544f"/>
                </v:shape>
                <v:shape id="Picture 2082" o:spid="_x0000_s1153" type="#_x0000_t75" style="position:absolute;left:29907;width:26732;height:270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">
                  <v:imagedata r:id="rId124" o:title="" croptop="3318f" cropbottom="23837f" cropleft="16062f" cropright="15946f"/>
                </v:shape>
                <v:shape id="Picture 2086" o:spid="_x0000_s1154" type="#_x0000_t75" style="position:absolute;left:59815;width:26732;height:270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">
                  <v:imagedata r:id="rId125" o:title=""/>
                </v:shape>
                <v:shape id="_x0000_s1155" type="#_x0000_t202" style="position:absolute;width:4800;height:5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" filled="f" stroked="f">
                  <v:textbox>
                    <w:txbxContent>
                      <w:p w14:paraId="1065A62B" w14:textId="77777777" w:rsidR="008A47AC" w:rsidRDefault="008A47AC" w:rsidP="008C21BF">
                        <w:pPr>
                          <w:pStyle w:val="NormalWeb"/>
                          <w:spacing w:after="0"/>
                        </w:pPr>
                        <w:r>
                          <w:rPr>
                            <w:rFonts w:asciiTheme="minorHAnsi" w:hAnsi="Calibri" w:cstheme="minorBidi"/>
                            <w:color w:val="D9D9D9" w:themeColor="background1" w:themeShade="D9"/>
                            <w:kern w:val="24"/>
                            <w:sz w:val="36"/>
                            <w:szCs w:val="36"/>
                          </w:rPr>
                          <w:t>A</w:t>
                        </w:r>
                      </w:p>
                    </w:txbxContent>
                  </v:textbox>
                </v:shape>
                <v:shape id="_x0000_s1156" type="#_x0000_t202" style="position:absolute;left:30048;width:5764;height:55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" filled="f" stroked="f">
                  <v:textbox>
                    <w:txbxContent>
                      <w:p w14:paraId="0E70114A" w14:textId="77777777" w:rsidR="008A47AC" w:rsidRDefault="008A47AC" w:rsidP="008C21BF">
                        <w:pPr>
                          <w:pStyle w:val="NormalWeb"/>
                          <w:spacing w:after="0"/>
                        </w:pPr>
                        <w:r>
                          <w:rPr>
                            <w:rFonts w:asciiTheme="minorHAnsi" w:hAnsi="Calibri" w:cstheme="minorBidi"/>
                            <w:color w:val="D9D9D9" w:themeColor="background1" w:themeShade="D9"/>
                            <w:kern w:val="24"/>
                            <w:sz w:val="36"/>
                            <w:szCs w:val="36"/>
                          </w:rPr>
                          <w:t>B</w:t>
                        </w:r>
                      </w:p>
                    </w:txbxContent>
                  </v:textbox>
                </v:shape>
                <v:shape id="TextBox 6" o:spid="_x0000_s1157" type="#_x0000_t202" style="position:absolute;left:59815;width:5841;height:5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" filled="f" stroked="f">
                  <v:textbox>
                    <w:txbxContent>
                      <w:p w14:paraId="3FD1AD3A" w14:textId="77777777" w:rsidR="008A47AC" w:rsidRDefault="008A47AC" w:rsidP="008C21BF">
                        <w:pPr>
                          <w:pStyle w:val="NormalWeb"/>
                          <w:spacing w:after="0"/>
                        </w:pPr>
                        <w:r>
                          <w:rPr>
                            <w:rFonts w:asciiTheme="minorHAnsi" w:hAnsi="Calibri" w:cstheme="minorBidi"/>
                            <w:color w:val="D9D9D9" w:themeColor="background1" w:themeShade="D9"/>
                            <w:kern w:val="24"/>
                            <w:sz w:val="36"/>
                            <w:szCs w:val="36"/>
                          </w:rPr>
                          <w:t>C</w:t>
                        </w:r>
                      </w:p>
                    </w:txbxContent>
                  </v:textbox>
                </v:shape>
                <v:line id="Straight Connector 2090" o:spid="_x0000_s1158" style="position:absolute;visibility:visible;mso-wrap-style:square" from="80848,25836" to="85682,258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" strokecolor="#93a299" strokeweight="2pt">
                  <v:shadow on="t" color="black" opacity="39321f" origin=".5,.5" offset=".49892mm,.49892mm"/>
                </v:line>
                <v:line id="Straight Connector 2091" o:spid="_x0000_s1159" style="position:absolute;visibility:visible;mso-wrap-style:square" from="50571,25836" to="55405,258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" strokecolor="#93a299" strokeweight="2pt">
                  <v:shadow on="t" color="black" opacity="39321f" origin=".5,.5" offset=".49892mm,.49892mm"/>
                </v:line>
                <v:line id="Straight Connector 2092" o:spid="_x0000_s1160" style="position:absolute;visibility:visible;mso-wrap-style:square" from="20599,25836" to="25433,258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" strokecolor="#93a299" strokeweight="2pt">
                  <v:shadow on="t" color="black" opacity="39321f" origin=".5,.5" offset=".49892mm,.49892mm"/>
                </v:line>
                <w10:wrap anchorx="margin"/>
              </v:group>
            </w:pict>
          </mc:Fallback>
        </mc:AlternateContent>
      </w:r>
    </w:p>
    <w:p w14:paraId="62E82D1A" w14:textId="77777777" w:rsidR="008C21BF" w:rsidRPr="008C21BF" w:rsidRDefault="008C21BF" w:rsidP="008C21BF">
      <w:pPr>
        <w:rPr>
          <w:rFonts w:ascii="Arial" w:hAnsi="Arial" w:cs="Arial"/>
        </w:rPr>
      </w:pPr>
    </w:p>
    <w:p w14:paraId="0017276D" w14:textId="77777777" w:rsidR="008C21BF" w:rsidRPr="008C21BF" w:rsidRDefault="008C21BF" w:rsidP="008C21BF">
      <w:pPr>
        <w:rPr>
          <w:rFonts w:ascii="Arial" w:hAnsi="Arial" w:cs="Arial"/>
        </w:rPr>
      </w:pPr>
    </w:p>
    <w:p w14:paraId="13502012" w14:textId="77777777" w:rsidR="008C21BF" w:rsidRPr="008C21BF" w:rsidRDefault="008C21BF" w:rsidP="008C21BF">
      <w:pPr>
        <w:rPr>
          <w:rFonts w:ascii="Arial" w:hAnsi="Arial" w:cs="Arial"/>
        </w:rPr>
      </w:pPr>
    </w:p>
    <w:p w14:paraId="03EB111C" w14:textId="77777777" w:rsidR="008C21BF" w:rsidRPr="008C21BF" w:rsidRDefault="008C21BF" w:rsidP="008C21BF">
      <w:pPr>
        <w:rPr>
          <w:rFonts w:ascii="Arial" w:hAnsi="Arial" w:cs="Arial"/>
        </w:rPr>
      </w:pPr>
    </w:p>
    <w:p w14:paraId="6BFC13A3" w14:textId="77777777" w:rsidR="008C21BF" w:rsidRPr="008C21BF" w:rsidRDefault="008C21BF" w:rsidP="008C21BF">
      <w:pPr>
        <w:rPr>
          <w:rFonts w:ascii="Arial" w:hAnsi="Arial" w:cs="Arial"/>
        </w:rPr>
      </w:pPr>
    </w:p>
    <w:p w14:paraId="408A5243" w14:textId="77777777" w:rsidR="008C21BF" w:rsidRPr="008C21BF" w:rsidRDefault="008C21BF" w:rsidP="008C21BF">
      <w:pPr>
        <w:rPr>
          <w:rFonts w:ascii="Arial" w:hAnsi="Arial" w:cs="Arial"/>
        </w:rPr>
      </w:pPr>
    </w:p>
    <w:p w14:paraId="1582BA52" w14:textId="77777777" w:rsidR="008C21BF" w:rsidRPr="008C21BF" w:rsidRDefault="008C21BF" w:rsidP="008C21BF">
      <w:pPr>
        <w:rPr>
          <w:rFonts w:ascii="Arial" w:hAnsi="Arial" w:cs="Arial"/>
        </w:rPr>
      </w:pPr>
      <w:r w:rsidRPr="008C21BF">
        <w:rPr>
          <w:noProof/>
          <w:lang w:eastAsia="zh-CN"/>
        </w:rPr>
        <mc:AlternateContent>
          <mc:Choice Requires="wps">
            <w:drawing>
              <wp:anchor distT="0" distB="0" distL="114300" distR="114300" simplePos="0" relativeHeight="251658363" behindDoc="0" locked="0" layoutInCell="1" allowOverlap="1" wp14:anchorId="301DBC9D" wp14:editId="1EE521C6">
                <wp:simplePos x="0" y="0"/>
                <wp:positionH relativeFrom="margin">
                  <wp:posOffset>-47625</wp:posOffset>
                </wp:positionH>
                <wp:positionV relativeFrom="paragraph">
                  <wp:posOffset>252095</wp:posOffset>
                </wp:positionV>
                <wp:extent cx="316865" cy="334645"/>
                <wp:effectExtent l="0" t="0" r="0" b="0"/>
                <wp:wrapNone/>
                <wp:docPr id="2093" name="TextBox 4"/>
                <wp:cNvGraphicFramePr/>
                <a:graphic xmlns:a="http://schemas.openxmlformats.org/drawingml/2006/main">
                  <a:graphicData uri="http://schemas.microsoft.com/office/word/2010/wordprocessingShape">
                    <wps:wsp>
                      <wps:cNvSpPr txBox="1"/>
                      <wps:spPr>
                        <a:xfrm>
                          <a:off x="0" y="0"/>
                          <a:ext cx="316865" cy="334645"/>
                        </a:xfrm>
                        <a:prstGeom prst="rect">
                          <a:avLst/>
                        </a:prstGeom>
                        <a:noFill/>
                      </wps:spPr>
                      <wps:txbx>
                        <w:txbxContent>
                          <w:p w14:paraId="201DB037" w14:textId="77777777" w:rsidR="008A47AC" w:rsidRPr="003A7A0D" w:rsidRDefault="008A47AC" w:rsidP="008C21BF">
                            <w:pPr>
                              <w:pStyle w:val="NormalWeb"/>
                              <w:spacing w:after="0"/>
                              <w:rPr>
                                <w:color w:val="404040" w:themeColor="text1" w:themeTint="BF"/>
                              </w:rPr>
                            </w:pPr>
                            <w:r>
                              <w:rPr>
                                <w:rFonts w:asciiTheme="minorHAnsi" w:hAnsi="Calibri" w:cstheme="minorBidi"/>
                                <w:color w:val="404040" w:themeColor="text1" w:themeTint="BF"/>
                                <w:kern w:val="24"/>
                                <w:sz w:val="36"/>
                                <w:szCs w:val="36"/>
                              </w:rPr>
                              <w:t>D</w:t>
                            </w:r>
                          </w:p>
                        </w:txbxContent>
                      </wps:txbx>
                      <wps:bodyPr wrap="square" rtlCol="0">
                        <a:noAutofit/>
                      </wps:bodyPr>
                    </wps:wsp>
                  </a:graphicData>
                </a:graphic>
              </wp:anchor>
            </w:drawing>
          </mc:Choice>
          <mc:Fallback>
            <w:pict>
              <v:shape w14:anchorId="301DBC9D" id="_x0000_s1161" type="#_x0000_t202" style="position:absolute;margin-left:-3.75pt;margin-top:19.85pt;width:24.95pt;height:26.35pt;z-index:251658363;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" filled="f" stroked="f">
                <v:textbox>
                  <w:txbxContent>
                    <w:p w14:paraId="201DB037" w14:textId="77777777" w:rsidR="008A47AC" w:rsidRPr="003A7A0D" w:rsidRDefault="008A47AC" w:rsidP="008C21BF">
                      <w:pPr>
                        <w:pStyle w:val="NormalWeb"/>
                        <w:spacing w:after="0"/>
                        <w:rPr>
                          <w:color w:val="404040" w:themeColor="text1" w:themeTint="BF"/>
                        </w:rPr>
                      </w:pPr>
                      <w:r>
                        <w:rPr>
                          <w:rFonts w:asciiTheme="minorHAnsi" w:hAnsi="Calibri" w:cstheme="minorBidi"/>
                          <w:color w:val="404040" w:themeColor="text1" w:themeTint="BF"/>
                          <w:kern w:val="24"/>
                          <w:sz w:val="36"/>
                          <w:szCs w:val="36"/>
                        </w:rPr>
                        <w:t>D</w:t>
                      </w:r>
                    </w:p>
                  </w:txbxContent>
                </v:textbox>
                <w10:wrap anchorx="margin"/>
              </v:shape>
            </w:pict>
          </mc:Fallback>
        </mc:AlternateContent>
      </w:r>
      <w:r w:rsidRPr="008C21BF">
        <w:rPr>
          <w:noProof/>
          <w:lang w:eastAsia="zh-CN"/>
        </w:rPr>
        <mc:AlternateContent>
          <mc:Choice Requires="wps">
            <w:drawing>
              <wp:anchor distT="0" distB="0" distL="114300" distR="114300" simplePos="0" relativeHeight="251658364" behindDoc="0" locked="0" layoutInCell="1" allowOverlap="1" wp14:anchorId="5B822DCA" wp14:editId="574D6326">
                <wp:simplePos x="0" y="0"/>
                <wp:positionH relativeFrom="margin">
                  <wp:posOffset>1869440</wp:posOffset>
                </wp:positionH>
                <wp:positionV relativeFrom="paragraph">
                  <wp:posOffset>222250</wp:posOffset>
                </wp:positionV>
                <wp:extent cx="316865" cy="334645"/>
                <wp:effectExtent l="0" t="0" r="0" b="0"/>
                <wp:wrapNone/>
                <wp:docPr id="2094" name="TextBox 4"/>
                <wp:cNvGraphicFramePr/>
                <a:graphic xmlns:a="http://schemas.openxmlformats.org/drawingml/2006/main">
                  <a:graphicData uri="http://schemas.microsoft.com/office/word/2010/wordprocessingShape">
                    <wps:wsp>
                      <wps:cNvSpPr txBox="1"/>
                      <wps:spPr>
                        <a:xfrm>
                          <a:off x="0" y="0"/>
                          <a:ext cx="316865" cy="334645"/>
                        </a:xfrm>
                        <a:prstGeom prst="rect">
                          <a:avLst/>
                        </a:prstGeom>
                        <a:noFill/>
                      </wps:spPr>
                      <wps:txbx>
                        <w:txbxContent>
                          <w:p w14:paraId="021ABC05" w14:textId="77777777" w:rsidR="008A47AC" w:rsidRPr="003A7A0D" w:rsidRDefault="008A47AC" w:rsidP="008C21BF">
                            <w:pPr>
                              <w:pStyle w:val="NormalWeb"/>
                              <w:spacing w:after="0"/>
                              <w:rPr>
                                <w:color w:val="404040" w:themeColor="text1" w:themeTint="BF"/>
                              </w:rPr>
                            </w:pPr>
                            <w:r>
                              <w:rPr>
                                <w:rFonts w:asciiTheme="minorHAnsi" w:hAnsi="Calibri" w:cstheme="minorBidi"/>
                                <w:color w:val="404040" w:themeColor="text1" w:themeTint="BF"/>
                                <w:kern w:val="24"/>
                                <w:sz w:val="36"/>
                                <w:szCs w:val="36"/>
                              </w:rPr>
                              <w:t>E</w:t>
                            </w:r>
                            <w:r w:rsidRPr="003A7A0D">
                              <w:rPr>
                                <w:rFonts w:asciiTheme="minorHAnsi" w:hAnsi="Calibri" w:cstheme="minorBidi"/>
                                <w:noProof/>
                                <w:color w:val="404040" w:themeColor="text1" w:themeTint="BF"/>
                                <w:kern w:val="24"/>
                                <w:sz w:val="36"/>
                                <w:szCs w:val="36"/>
                                <w:lang w:eastAsia="zh-CN"/>
                              </w:rPr>
                              <w:drawing>
                                <wp:inline distT="0" distB="0" distL="0" distR="0" wp14:anchorId="184ED579" wp14:editId="236034B6">
                                  <wp:extent cx="133985" cy="14224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33985" cy="142240"/>
                                          </a:xfrm>
                                          <a:prstGeom prst="rect">
                                            <a:avLst/>
                                          </a:prstGeom>
                                          <a:noFill/>
                                          <a:ln>
                                            <a:noFill/>
                                          </a:ln>
                                        </pic:spPr>
                                      </pic:pic>
                                    </a:graphicData>
                                  </a:graphic>
                                </wp:inline>
                              </w:drawing>
                            </w:r>
                          </w:p>
                        </w:txbxContent>
                      </wps:txbx>
                      <wps:bodyPr wrap="square" rtlCol="0">
                        <a:noAutofit/>
                      </wps:bodyPr>
                    </wps:wsp>
                  </a:graphicData>
                </a:graphic>
              </wp:anchor>
            </w:drawing>
          </mc:Choice>
          <mc:Fallback>
            <w:pict>
              <v:shape w14:anchorId="5B822DCA" id="_x0000_s1162" type="#_x0000_t202" style="position:absolute;margin-left:147.2pt;margin-top:17.5pt;width:24.95pt;height:26.35pt;z-index:25165836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" filled="f" stroked="f">
                <v:textbox>
                  <w:txbxContent>
                    <w:p w14:paraId="021ABC05" w14:textId="77777777" w:rsidR="008A47AC" w:rsidRPr="003A7A0D" w:rsidRDefault="008A47AC" w:rsidP="008C21BF">
                      <w:pPr>
                        <w:pStyle w:val="NormalWeb"/>
                        <w:spacing w:after="0"/>
                        <w:rPr>
                          <w:color w:val="404040" w:themeColor="text1" w:themeTint="BF"/>
                        </w:rPr>
                      </w:pPr>
                      <w:r>
                        <w:rPr>
                          <w:rFonts w:asciiTheme="minorHAnsi" w:hAnsi="Calibri" w:cstheme="minorBidi"/>
                          <w:color w:val="404040" w:themeColor="text1" w:themeTint="BF"/>
                          <w:kern w:val="24"/>
                          <w:sz w:val="36"/>
                          <w:szCs w:val="36"/>
                        </w:rPr>
                        <w:t>E</w:t>
                      </w:r>
                      <w:r w:rsidRPr="003A7A0D">
                        <w:rPr>
                          <w:rFonts w:asciiTheme="minorHAnsi" w:hAnsi="Calibri" w:cstheme="minorBidi"/>
                          <w:noProof/>
                          <w:color w:val="404040" w:themeColor="text1" w:themeTint="BF"/>
                          <w:kern w:val="24"/>
                          <w:sz w:val="36"/>
                          <w:szCs w:val="36"/>
                          <w:lang w:eastAsia="zh-CN"/>
                        </w:rPr>
                        <w:drawing>
                          <wp:inline distT="0" distB="0" distL="0" distR="0" wp14:anchorId="184ED579" wp14:editId="236034B6">
                            <wp:extent cx="133985" cy="14224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33985" cy="142240"/>
                                    </a:xfrm>
                                    <a:prstGeom prst="rect">
                                      <a:avLst/>
                                    </a:prstGeom>
                                    <a:noFill/>
                                    <a:ln>
                                      <a:noFill/>
                                    </a:ln>
                                  </pic:spPr>
                                </pic:pic>
                              </a:graphicData>
                            </a:graphic>
                          </wp:inline>
                        </w:drawing>
                      </w:r>
                    </w:p>
                  </w:txbxContent>
                </v:textbox>
                <w10:wrap anchorx="margin"/>
              </v:shape>
            </w:pict>
          </mc:Fallback>
        </mc:AlternateContent>
      </w:r>
      <w:r w:rsidRPr="008C21BF">
        <w:rPr>
          <w:noProof/>
          <w:lang w:eastAsia="zh-CN"/>
        </w:rPr>
        <mc:AlternateContent>
          <mc:Choice Requires="wps">
            <w:drawing>
              <wp:anchor distT="0" distB="0" distL="114300" distR="114300" simplePos="0" relativeHeight="251658365" behindDoc="0" locked="0" layoutInCell="1" allowOverlap="1" wp14:anchorId="6920E4DC" wp14:editId="4EE187D0">
                <wp:simplePos x="0" y="0"/>
                <wp:positionH relativeFrom="margin">
                  <wp:posOffset>3895725</wp:posOffset>
                </wp:positionH>
                <wp:positionV relativeFrom="paragraph">
                  <wp:posOffset>233045</wp:posOffset>
                </wp:positionV>
                <wp:extent cx="316865" cy="334645"/>
                <wp:effectExtent l="0" t="0" r="0" b="0"/>
                <wp:wrapNone/>
                <wp:docPr id="2095" name="TextBox 4"/>
                <wp:cNvGraphicFramePr/>
                <a:graphic xmlns:a="http://schemas.openxmlformats.org/drawingml/2006/main">
                  <a:graphicData uri="http://schemas.microsoft.com/office/word/2010/wordprocessingShape">
                    <wps:wsp>
                      <wps:cNvSpPr txBox="1"/>
                      <wps:spPr>
                        <a:xfrm>
                          <a:off x="0" y="0"/>
                          <a:ext cx="316865" cy="334645"/>
                        </a:xfrm>
                        <a:prstGeom prst="rect">
                          <a:avLst/>
                        </a:prstGeom>
                        <a:noFill/>
                      </wps:spPr>
                      <wps:txbx>
                        <w:txbxContent>
                          <w:p w14:paraId="3CD2F4F9" w14:textId="77777777" w:rsidR="008A47AC" w:rsidRPr="003A7A0D" w:rsidRDefault="008A47AC" w:rsidP="008C21BF">
                            <w:pPr>
                              <w:pStyle w:val="NormalWeb"/>
                              <w:spacing w:after="0"/>
                              <w:rPr>
                                <w:color w:val="404040" w:themeColor="text1" w:themeTint="BF"/>
                              </w:rPr>
                            </w:pPr>
                            <w:r>
                              <w:rPr>
                                <w:rFonts w:asciiTheme="minorHAnsi" w:hAnsi="Calibri" w:cstheme="minorBidi"/>
                                <w:color w:val="404040" w:themeColor="text1" w:themeTint="BF"/>
                                <w:kern w:val="24"/>
                                <w:sz w:val="36"/>
                                <w:szCs w:val="36"/>
                              </w:rPr>
                              <w:t>F</w:t>
                            </w:r>
                            <w:r w:rsidRPr="003A7A0D">
                              <w:rPr>
                                <w:rFonts w:asciiTheme="minorHAnsi" w:hAnsi="Calibri" w:cstheme="minorBidi"/>
                                <w:noProof/>
                                <w:color w:val="404040" w:themeColor="text1" w:themeTint="BF"/>
                                <w:kern w:val="24"/>
                                <w:sz w:val="36"/>
                                <w:szCs w:val="36"/>
                                <w:lang w:eastAsia="zh-CN"/>
                              </w:rPr>
                              <w:drawing>
                                <wp:inline distT="0" distB="0" distL="0" distR="0" wp14:anchorId="7736CF1A" wp14:editId="0CB40ED6">
                                  <wp:extent cx="133985" cy="14224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33985" cy="142240"/>
                                          </a:xfrm>
                                          <a:prstGeom prst="rect">
                                            <a:avLst/>
                                          </a:prstGeom>
                                          <a:noFill/>
                                          <a:ln>
                                            <a:noFill/>
                                          </a:ln>
                                        </pic:spPr>
                                      </pic:pic>
                                    </a:graphicData>
                                  </a:graphic>
                                </wp:inline>
                              </w:drawing>
                            </w:r>
                          </w:p>
                        </w:txbxContent>
                      </wps:txbx>
                      <wps:bodyPr wrap="square" rtlCol="0">
                        <a:noAutofit/>
                      </wps:bodyPr>
                    </wps:wsp>
                  </a:graphicData>
                </a:graphic>
              </wp:anchor>
            </w:drawing>
          </mc:Choice>
          <mc:Fallback>
            <w:pict>
              <v:shape w14:anchorId="6920E4DC" id="_x0000_s1163" type="#_x0000_t202" style="position:absolute;margin-left:306.75pt;margin-top:18.35pt;width:24.95pt;height:26.35pt;z-index:251658365;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" filled="f" stroked="f">
                <v:textbox>
                  <w:txbxContent>
                    <w:p w14:paraId="3CD2F4F9" w14:textId="77777777" w:rsidR="008A47AC" w:rsidRPr="003A7A0D" w:rsidRDefault="008A47AC" w:rsidP="008C21BF">
                      <w:pPr>
                        <w:pStyle w:val="NormalWeb"/>
                        <w:spacing w:after="0"/>
                        <w:rPr>
                          <w:color w:val="404040" w:themeColor="text1" w:themeTint="BF"/>
                        </w:rPr>
                      </w:pPr>
                      <w:r>
                        <w:rPr>
                          <w:rFonts w:asciiTheme="minorHAnsi" w:hAnsi="Calibri" w:cstheme="minorBidi"/>
                          <w:color w:val="404040" w:themeColor="text1" w:themeTint="BF"/>
                          <w:kern w:val="24"/>
                          <w:sz w:val="36"/>
                          <w:szCs w:val="36"/>
                        </w:rPr>
                        <w:t>F</w:t>
                      </w:r>
                      <w:r w:rsidRPr="003A7A0D">
                        <w:rPr>
                          <w:rFonts w:asciiTheme="minorHAnsi" w:hAnsi="Calibri" w:cstheme="minorBidi"/>
                          <w:noProof/>
                          <w:color w:val="404040" w:themeColor="text1" w:themeTint="BF"/>
                          <w:kern w:val="24"/>
                          <w:sz w:val="36"/>
                          <w:szCs w:val="36"/>
                          <w:lang w:eastAsia="zh-CN"/>
                        </w:rPr>
                        <w:drawing>
                          <wp:inline distT="0" distB="0" distL="0" distR="0" wp14:anchorId="7736CF1A" wp14:editId="0CB40ED6">
                            <wp:extent cx="133985" cy="14224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33985" cy="142240"/>
                                    </a:xfrm>
                                    <a:prstGeom prst="rect">
                                      <a:avLst/>
                                    </a:prstGeom>
                                    <a:noFill/>
                                    <a:ln>
                                      <a:noFill/>
                                    </a:ln>
                                  </pic:spPr>
                                </pic:pic>
                              </a:graphicData>
                            </a:graphic>
                          </wp:inline>
                        </w:drawing>
                      </w:r>
                    </w:p>
                  </w:txbxContent>
                </v:textbox>
                <w10:wrap anchorx="margin"/>
              </v:shape>
            </w:pict>
          </mc:Fallback>
        </mc:AlternateContent>
      </w:r>
    </w:p>
    <w:p w14:paraId="5332976E" w14:textId="77777777" w:rsidR="008C21BF" w:rsidRPr="008C21BF" w:rsidRDefault="008C21BF" w:rsidP="008C21BF">
      <w:pPr>
        <w:rPr>
          <w:rFonts w:ascii="Arial" w:hAnsi="Arial" w:cs="Arial"/>
        </w:rPr>
      </w:pPr>
      <w:r w:rsidRPr="008C21BF">
        <w:rPr>
          <w:rFonts w:ascii="Arial" w:hAnsi="Arial" w:cs="Arial"/>
          <w:noProof/>
          <w:lang w:eastAsia="zh-CN"/>
        </w:rPr>
        <w:drawing>
          <wp:anchor distT="0" distB="0" distL="114300" distR="114300" simplePos="0" relativeHeight="251658362" behindDoc="0" locked="0" layoutInCell="1" allowOverlap="1" wp14:anchorId="378BB50C" wp14:editId="3D241CB1">
            <wp:simplePos x="0" y="0"/>
            <wp:positionH relativeFrom="margin">
              <wp:align>left</wp:align>
            </wp:positionH>
            <wp:positionV relativeFrom="paragraph">
              <wp:posOffset>196215</wp:posOffset>
            </wp:positionV>
            <wp:extent cx="6035446" cy="1219200"/>
            <wp:effectExtent l="0" t="0" r="0" b="0"/>
            <wp:wrapNone/>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6035446" cy="1219200"/>
                    </a:xfrm>
                    <a:prstGeom prst="rect">
                      <a:avLst/>
                    </a:prstGeom>
                    <a:noFill/>
                  </pic:spPr>
                </pic:pic>
              </a:graphicData>
            </a:graphic>
            <wp14:sizeRelH relativeFrom="margin">
              <wp14:pctWidth>0</wp14:pctWidth>
            </wp14:sizeRelH>
            <wp14:sizeRelV relativeFrom="margin">
              <wp14:pctHeight>0</wp14:pctHeight>
            </wp14:sizeRelV>
          </wp:anchor>
        </w:drawing>
      </w:r>
    </w:p>
    <w:p w14:paraId="56E84747" w14:textId="77777777" w:rsidR="008C21BF" w:rsidRPr="008C21BF" w:rsidRDefault="008C21BF" w:rsidP="008C21BF">
      <w:pPr>
        <w:rPr>
          <w:rFonts w:ascii="Arial" w:hAnsi="Arial" w:cs="Arial"/>
        </w:rPr>
      </w:pPr>
    </w:p>
    <w:p w14:paraId="28035359" w14:textId="77777777" w:rsidR="008C21BF" w:rsidRPr="008C21BF" w:rsidRDefault="008C21BF" w:rsidP="008C21BF">
      <w:pPr>
        <w:rPr>
          <w:rFonts w:ascii="Arial" w:hAnsi="Arial" w:cs="Arial"/>
        </w:rPr>
      </w:pPr>
    </w:p>
    <w:p w14:paraId="22A14E08" w14:textId="77777777" w:rsidR="008C21BF" w:rsidRPr="008C21BF" w:rsidRDefault="008C21BF" w:rsidP="008C21BF">
      <w:pPr>
        <w:rPr>
          <w:rFonts w:ascii="Arial" w:hAnsi="Arial" w:cs="Arial"/>
        </w:rPr>
      </w:pPr>
      <w:r w:rsidRPr="008C21BF">
        <w:rPr>
          <w:rFonts w:ascii="Arial" w:hAnsi="Arial" w:cs="Arial"/>
          <w:lang w:val="en-US"/>
        </w:rPr>
        <w:t xml:space="preserve"> </w:t>
      </w:r>
    </w:p>
    <w:p w14:paraId="213B5470" w14:textId="77777777" w:rsidR="008C21BF" w:rsidRPr="008C21BF" w:rsidRDefault="008C21BF" w:rsidP="008C21BF">
      <w:pPr>
        <w:rPr>
          <w:rFonts w:ascii="Arial" w:hAnsi="Arial" w:cs="Arial"/>
        </w:rPr>
      </w:pPr>
    </w:p>
    <w:p w14:paraId="7C2303C2" w14:textId="77777777" w:rsidR="008C21BF" w:rsidRPr="008C21BF" w:rsidRDefault="008C21BF" w:rsidP="008C21BF">
      <w:pPr>
        <w:rPr>
          <w:rFonts w:ascii="Arial" w:hAnsi="Arial" w:cs="Arial"/>
        </w:rPr>
      </w:pPr>
    </w:p>
    <w:p w14:paraId="665416B8" w14:textId="77777777" w:rsidR="008C21BF" w:rsidRPr="008C21BF" w:rsidRDefault="008C21BF" w:rsidP="008C21BF">
      <w:pPr>
        <w:rPr>
          <w:rFonts w:ascii="Arial" w:hAnsi="Arial" w:cs="Arial"/>
        </w:rPr>
      </w:pPr>
    </w:p>
    <w:p w14:paraId="42F88AC1" w14:textId="77777777" w:rsidR="008C21BF" w:rsidRPr="008C21BF" w:rsidRDefault="008C21BF" w:rsidP="008C21BF">
      <w:pPr>
        <w:rPr>
          <w:rFonts w:ascii="Arial" w:hAnsi="Arial" w:cs="Arial"/>
        </w:rPr>
      </w:pPr>
    </w:p>
    <w:p w14:paraId="53EFD5E5" w14:textId="77777777" w:rsidR="008C21BF" w:rsidRPr="008C21BF" w:rsidRDefault="008C21BF" w:rsidP="008C21BF">
      <w:pPr>
        <w:rPr>
          <w:rFonts w:ascii="Arial" w:hAnsi="Arial" w:cs="Arial"/>
        </w:rPr>
      </w:pPr>
      <w:r w:rsidRPr="008C21BF">
        <w:rPr>
          <w:rFonts w:ascii="Arial" w:hAnsi="Arial" w:cs="Arial"/>
          <w:noProof/>
          <w:color w:val="595959" w:themeColor="text1" w:themeTint="A6"/>
          <w:sz w:val="24"/>
          <w:szCs w:val="24"/>
          <w:lang w:eastAsia="zh-CN"/>
        </w:rPr>
        <mc:AlternateContent>
          <mc:Choice Requires="wps">
            <w:drawing>
              <wp:anchor distT="0" distB="0" distL="114300" distR="114300" simplePos="0" relativeHeight="251658338" behindDoc="0" locked="0" layoutInCell="1" allowOverlap="1" wp14:anchorId="66297A8C" wp14:editId="76767C84">
                <wp:simplePos x="0" y="0"/>
                <wp:positionH relativeFrom="margin">
                  <wp:align>right</wp:align>
                </wp:positionH>
                <wp:positionV relativeFrom="paragraph">
                  <wp:posOffset>162560</wp:posOffset>
                </wp:positionV>
                <wp:extent cx="5734050" cy="1704975"/>
                <wp:effectExtent l="0" t="0" r="0" b="9525"/>
                <wp:wrapNone/>
                <wp:docPr id="2096" name="Text Box 20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1704975"/>
                        </a:xfrm>
                        <a:prstGeom prst="rect">
                          <a:avLst/>
                        </a:prstGeom>
                        <a:solidFill>
                          <a:srgbClr val="FFFFFF"/>
                        </a:solidFill>
                        <a:ln w="9525">
                          <a:noFill/>
                          <a:miter lim="800000"/>
                          <a:headEnd/>
                          <a:tailEnd/>
                        </a:ln>
                      </wps:spPr>
                      <wps:txbx>
                        <w:txbxContent>
                          <w:p w14:paraId="72A9DAEA" w14:textId="77777777" w:rsidR="008A47AC" w:rsidRPr="006B7937" w:rsidRDefault="008A47AC" w:rsidP="008C21BF">
                            <w:pPr>
                              <w:pStyle w:val="Caption"/>
                              <w:keepNext/>
                              <w:jc w:val="both"/>
                              <w:rPr>
                                <w:rFonts w:ascii="Arial Narrow" w:hAnsi="Arial Narrow"/>
                                <w:b/>
                                <w:i w:val="0"/>
                                <w:sz w:val="24"/>
                                <w:szCs w:val="24"/>
                              </w:rPr>
                            </w:pPr>
                            <w:r w:rsidRPr="006B7937">
                              <w:rPr>
                                <w:rFonts w:ascii="Arial Narrow" w:hAnsi="Arial Narrow"/>
                                <w:b/>
                                <w:i w:val="0"/>
                                <w:color w:val="595959" w:themeColor="text1" w:themeTint="A6"/>
                                <w:sz w:val="24"/>
                                <w:szCs w:val="24"/>
                              </w:rPr>
                              <w:t xml:space="preserve">Figure </w:t>
                            </w:r>
                            <w:r>
                              <w:rPr>
                                <w:rFonts w:ascii="Arial Narrow" w:hAnsi="Arial Narrow"/>
                                <w:b/>
                                <w:i w:val="0"/>
                                <w:color w:val="595959" w:themeColor="text1" w:themeTint="A6"/>
                                <w:sz w:val="24"/>
                                <w:szCs w:val="24"/>
                              </w:rPr>
                              <w:t xml:space="preserve">4.12 </w:t>
                            </w:r>
                            <w:r w:rsidRPr="00CD71E0">
                              <w:rPr>
                                <w:rFonts w:ascii="Arial Narrow" w:hAnsi="Arial Narrow"/>
                                <w:b/>
                                <w:i w:val="0"/>
                                <w:color w:val="595959" w:themeColor="text1" w:themeTint="A6"/>
                                <w:sz w:val="24"/>
                                <w:szCs w:val="24"/>
                              </w:rPr>
                              <w:t>Automated segmentation and quantification of collagen fib</w:t>
                            </w:r>
                            <w:r>
                              <w:rPr>
                                <w:rFonts w:ascii="Arial Narrow" w:hAnsi="Arial Narrow"/>
                                <w:b/>
                                <w:i w:val="0"/>
                                <w:color w:val="595959" w:themeColor="text1" w:themeTint="A6"/>
                                <w:sz w:val="24"/>
                                <w:szCs w:val="24"/>
                              </w:rPr>
                              <w:t>re</w:t>
                            </w:r>
                            <w:r w:rsidRPr="00CD71E0">
                              <w:rPr>
                                <w:rFonts w:ascii="Arial Narrow" w:hAnsi="Arial Narrow"/>
                                <w:b/>
                                <w:i w:val="0"/>
                                <w:color w:val="595959" w:themeColor="text1" w:themeTint="A6"/>
                                <w:sz w:val="24"/>
                                <w:szCs w:val="24"/>
                              </w:rPr>
                              <w:t xml:space="preserve"> length</w:t>
                            </w:r>
                            <w:r>
                              <w:rPr>
                                <w:rFonts w:ascii="Arial Narrow" w:hAnsi="Arial Narrow"/>
                                <w:b/>
                                <w:i w:val="0"/>
                                <w:color w:val="595959" w:themeColor="text1" w:themeTint="A6"/>
                                <w:sz w:val="24"/>
                                <w:szCs w:val="24"/>
                              </w:rPr>
                              <w:t xml:space="preserve">, </w:t>
                            </w:r>
                            <w:r w:rsidRPr="00CD71E0">
                              <w:rPr>
                                <w:rFonts w:ascii="Arial Narrow" w:hAnsi="Arial Narrow"/>
                                <w:b/>
                                <w:i w:val="0"/>
                                <w:color w:val="595959" w:themeColor="text1" w:themeTint="A6"/>
                                <w:sz w:val="24"/>
                                <w:szCs w:val="24"/>
                              </w:rPr>
                              <w:t>alignment</w:t>
                            </w:r>
                            <w:r>
                              <w:rPr>
                                <w:rFonts w:ascii="Arial Narrow" w:hAnsi="Arial Narrow"/>
                                <w:b/>
                                <w:i w:val="0"/>
                                <w:color w:val="595959" w:themeColor="text1" w:themeTint="A6"/>
                                <w:sz w:val="24"/>
                                <w:szCs w:val="24"/>
                              </w:rPr>
                              <w:t xml:space="preserve"> and width </w:t>
                            </w:r>
                          </w:p>
                          <w:p w14:paraId="79404588" w14:textId="77777777" w:rsidR="008A47AC" w:rsidRDefault="008A47AC" w:rsidP="008C21BF">
                            <w:pPr>
                              <w:pStyle w:val="NormalWeb"/>
                              <w:spacing w:after="200" w:line="276" w:lineRule="auto"/>
                              <w:jc w:val="both"/>
                              <w:rPr>
                                <w:rFonts w:ascii="Arial Narrow" w:eastAsia="SimSun" w:hAnsi="Arial Narrow" w:cs="Arial"/>
                                <w:color w:val="595959" w:themeColor="text1" w:themeTint="A6"/>
                                <w:kern w:val="24"/>
                                <w:sz w:val="22"/>
                                <w:szCs w:val="22"/>
                              </w:rPr>
                            </w:pPr>
                            <w:r>
                              <w:rPr>
                                <w:rFonts w:ascii="Arial Narrow" w:eastAsia="SimSun" w:hAnsi="Arial Narrow" w:cs="Arial"/>
                                <w:color w:val="595959" w:themeColor="text1" w:themeTint="A6"/>
                                <w:kern w:val="24"/>
                                <w:sz w:val="22"/>
                                <w:szCs w:val="22"/>
                              </w:rPr>
                              <w:t xml:space="preserve">Representative SHG microscopy </w:t>
                            </w:r>
                            <w:r w:rsidRPr="00CD71E0">
                              <w:rPr>
                                <w:rFonts w:ascii="Arial Narrow" w:eastAsia="SimSun" w:hAnsi="Arial Narrow" w:cs="Arial"/>
                                <w:color w:val="595959" w:themeColor="text1" w:themeTint="A6"/>
                                <w:kern w:val="24"/>
                                <w:sz w:val="22"/>
                                <w:szCs w:val="22"/>
                              </w:rPr>
                              <w:t>image</w:t>
                            </w:r>
                            <w:r>
                              <w:rPr>
                                <w:rFonts w:ascii="Arial Narrow" w:eastAsia="SimSun" w:hAnsi="Arial Narrow" w:cs="Arial"/>
                                <w:color w:val="595959" w:themeColor="text1" w:themeTint="A6"/>
                                <w:kern w:val="24"/>
                                <w:sz w:val="22"/>
                                <w:szCs w:val="22"/>
                              </w:rPr>
                              <w:t>s</w:t>
                            </w:r>
                            <w:r w:rsidRPr="00CD71E0">
                              <w:rPr>
                                <w:rFonts w:ascii="Arial Narrow" w:eastAsia="SimSun" w:hAnsi="Arial Narrow" w:cs="Arial"/>
                                <w:color w:val="595959" w:themeColor="text1" w:themeTint="A6"/>
                                <w:kern w:val="24"/>
                                <w:sz w:val="22"/>
                                <w:szCs w:val="22"/>
                              </w:rPr>
                              <w:t xml:space="preserve"> </w:t>
                            </w:r>
                            <w:r>
                              <w:rPr>
                                <w:rFonts w:ascii="Arial Narrow" w:eastAsia="SimSun" w:hAnsi="Arial Narrow" w:cs="Arial"/>
                                <w:color w:val="595959" w:themeColor="text1" w:themeTint="A6"/>
                                <w:kern w:val="24"/>
                                <w:sz w:val="22"/>
                                <w:szCs w:val="22"/>
                              </w:rPr>
                              <w:t>of NOF-DM-GF (A), NOF-DM+GF (B), and CAF-DM-GF (C).  Using c</w:t>
                            </w:r>
                            <w:r w:rsidRPr="00CD71E0">
                              <w:rPr>
                                <w:rFonts w:ascii="Arial Narrow" w:eastAsia="SimSun" w:hAnsi="Arial Narrow" w:cs="Arial"/>
                                <w:color w:val="595959" w:themeColor="text1" w:themeTint="A6"/>
                                <w:kern w:val="24"/>
                                <w:sz w:val="22"/>
                                <w:szCs w:val="22"/>
                              </w:rPr>
                              <w:t>urvelet transformation (CT) and fibre extraction (FIRE) algorithms</w:t>
                            </w:r>
                            <w:r>
                              <w:rPr>
                                <w:rFonts w:ascii="Arial Narrow" w:eastAsia="SimSun" w:hAnsi="Arial Narrow" w:cs="Arial"/>
                                <w:color w:val="595959" w:themeColor="text1" w:themeTint="A6"/>
                                <w:kern w:val="24"/>
                                <w:sz w:val="22"/>
                                <w:szCs w:val="22"/>
                              </w:rPr>
                              <w:t xml:space="preserve"> collagen fibre length (D), alignment (E) and width (F) was investigated from extracted images. </w:t>
                            </w:r>
                            <w:r>
                              <w:rPr>
                                <w:rFonts w:ascii="Arial Narrow" w:eastAsia="SimSun" w:hAnsi="Arial Narrow" w:cs="Arial"/>
                                <w:color w:val="595959"/>
                                <w:kern w:val="24"/>
                                <w:sz w:val="22"/>
                              </w:rPr>
                              <w:t xml:space="preserve">Data is expressed as mean ± SD, N=3, n=3, ** denotes p &lt;0.01, *** p &lt;0.001 and **** p &lt;0.0001 as analysed by Kruskal-Wallis test with Dunn’s multiple comparison test.  </w:t>
                            </w:r>
                            <w:r>
                              <w:rPr>
                                <w:rFonts w:ascii="Arial Narrow" w:eastAsia="SimSun" w:hAnsi="Arial Narrow" w:cs="Arial"/>
                                <w:color w:val="595959" w:themeColor="text1" w:themeTint="A6"/>
                                <w:kern w:val="24"/>
                                <w:sz w:val="22"/>
                                <w:szCs w:val="22"/>
                              </w:rPr>
                              <w:t xml:space="preserve">Image scale bar =20 </w:t>
                            </w:r>
                            <w:r w:rsidRPr="00CD71E0">
                              <w:rPr>
                                <w:rFonts w:ascii="Arial Narrow" w:eastAsia="SimSun" w:hAnsi="Arial Narrow" w:cs="Arial"/>
                                <w:color w:val="595959" w:themeColor="text1" w:themeTint="A6"/>
                                <w:kern w:val="24"/>
                                <w:sz w:val="22"/>
                                <w:szCs w:val="22"/>
                              </w:rPr>
                              <w:t>μm</w:t>
                            </w:r>
                            <w:r>
                              <w:rPr>
                                <w:rFonts w:ascii="Arial Narrow" w:eastAsia="SimSun" w:hAnsi="Arial Narrow" w:cs="Arial"/>
                                <w:color w:val="595959" w:themeColor="text1" w:themeTint="A6"/>
                                <w:kern w:val="24"/>
                                <w:sz w:val="22"/>
                                <w:szCs w:val="22"/>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297A8C" id="Text Box 2096" o:spid="_x0000_s1164" type="#_x0000_t202" style="position:absolute;margin-left:400.3pt;margin-top:12.8pt;width:451.5pt;height:134.25pt;z-index:25165833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" stroked="f">
                <v:textbox>
                  <w:txbxContent>
                    <w:p w14:paraId="72A9DAEA" w14:textId="77777777" w:rsidR="008A47AC" w:rsidRPr="006B7937" w:rsidRDefault="008A47AC" w:rsidP="008C21BF">
                      <w:pPr>
                        <w:pStyle w:val="Caption"/>
                        <w:keepNext/>
                        <w:jc w:val="both"/>
                        <w:rPr>
                          <w:rFonts w:ascii="Arial Narrow" w:hAnsi="Arial Narrow"/>
                          <w:b/>
                          <w:i w:val="0"/>
                          <w:sz w:val="24"/>
                          <w:szCs w:val="24"/>
                        </w:rPr>
                      </w:pPr>
                      <w:r w:rsidRPr="006B7937">
                        <w:rPr>
                          <w:rFonts w:ascii="Arial Narrow" w:hAnsi="Arial Narrow"/>
                          <w:b/>
                          <w:i w:val="0"/>
                          <w:color w:val="595959" w:themeColor="text1" w:themeTint="A6"/>
                          <w:sz w:val="24"/>
                          <w:szCs w:val="24"/>
                        </w:rPr>
                        <w:t xml:space="preserve">Figure </w:t>
                      </w:r>
                      <w:r>
                        <w:rPr>
                          <w:rFonts w:ascii="Arial Narrow" w:hAnsi="Arial Narrow"/>
                          <w:b/>
                          <w:i w:val="0"/>
                          <w:color w:val="595959" w:themeColor="text1" w:themeTint="A6"/>
                          <w:sz w:val="24"/>
                          <w:szCs w:val="24"/>
                        </w:rPr>
                        <w:t xml:space="preserve">4.12 </w:t>
                      </w:r>
                      <w:r w:rsidRPr="00CD71E0">
                        <w:rPr>
                          <w:rFonts w:ascii="Arial Narrow" w:hAnsi="Arial Narrow"/>
                          <w:b/>
                          <w:i w:val="0"/>
                          <w:color w:val="595959" w:themeColor="text1" w:themeTint="A6"/>
                          <w:sz w:val="24"/>
                          <w:szCs w:val="24"/>
                        </w:rPr>
                        <w:t>Automated segmentation and quantification of collagen fib</w:t>
                      </w:r>
                      <w:r>
                        <w:rPr>
                          <w:rFonts w:ascii="Arial Narrow" w:hAnsi="Arial Narrow"/>
                          <w:b/>
                          <w:i w:val="0"/>
                          <w:color w:val="595959" w:themeColor="text1" w:themeTint="A6"/>
                          <w:sz w:val="24"/>
                          <w:szCs w:val="24"/>
                        </w:rPr>
                        <w:t>re</w:t>
                      </w:r>
                      <w:r w:rsidRPr="00CD71E0">
                        <w:rPr>
                          <w:rFonts w:ascii="Arial Narrow" w:hAnsi="Arial Narrow"/>
                          <w:b/>
                          <w:i w:val="0"/>
                          <w:color w:val="595959" w:themeColor="text1" w:themeTint="A6"/>
                          <w:sz w:val="24"/>
                          <w:szCs w:val="24"/>
                        </w:rPr>
                        <w:t xml:space="preserve"> length</w:t>
                      </w:r>
                      <w:r>
                        <w:rPr>
                          <w:rFonts w:ascii="Arial Narrow" w:hAnsi="Arial Narrow"/>
                          <w:b/>
                          <w:i w:val="0"/>
                          <w:color w:val="595959" w:themeColor="text1" w:themeTint="A6"/>
                          <w:sz w:val="24"/>
                          <w:szCs w:val="24"/>
                        </w:rPr>
                        <w:t xml:space="preserve">, </w:t>
                      </w:r>
                      <w:r w:rsidRPr="00CD71E0">
                        <w:rPr>
                          <w:rFonts w:ascii="Arial Narrow" w:hAnsi="Arial Narrow"/>
                          <w:b/>
                          <w:i w:val="0"/>
                          <w:color w:val="595959" w:themeColor="text1" w:themeTint="A6"/>
                          <w:sz w:val="24"/>
                          <w:szCs w:val="24"/>
                        </w:rPr>
                        <w:t>alignment</w:t>
                      </w:r>
                      <w:r>
                        <w:rPr>
                          <w:rFonts w:ascii="Arial Narrow" w:hAnsi="Arial Narrow"/>
                          <w:b/>
                          <w:i w:val="0"/>
                          <w:color w:val="595959" w:themeColor="text1" w:themeTint="A6"/>
                          <w:sz w:val="24"/>
                          <w:szCs w:val="24"/>
                        </w:rPr>
                        <w:t xml:space="preserve"> and width </w:t>
                      </w:r>
                    </w:p>
                    <w:p w14:paraId="79404588" w14:textId="77777777" w:rsidR="008A47AC" w:rsidRDefault="008A47AC" w:rsidP="008C21BF">
                      <w:pPr>
                        <w:pStyle w:val="NormalWeb"/>
                        <w:spacing w:after="200" w:line="276" w:lineRule="auto"/>
                        <w:jc w:val="both"/>
                        <w:rPr>
                          <w:rFonts w:ascii="Arial Narrow" w:eastAsia="SimSun" w:hAnsi="Arial Narrow" w:cs="Arial"/>
                          <w:color w:val="595959" w:themeColor="text1" w:themeTint="A6"/>
                          <w:kern w:val="24"/>
                          <w:sz w:val="22"/>
                          <w:szCs w:val="22"/>
                        </w:rPr>
                      </w:pPr>
                      <w:r>
                        <w:rPr>
                          <w:rFonts w:ascii="Arial Narrow" w:eastAsia="SimSun" w:hAnsi="Arial Narrow" w:cs="Arial"/>
                          <w:color w:val="595959" w:themeColor="text1" w:themeTint="A6"/>
                          <w:kern w:val="24"/>
                          <w:sz w:val="22"/>
                          <w:szCs w:val="22"/>
                        </w:rPr>
                        <w:t xml:space="preserve">Representative SHG microscopy </w:t>
                      </w:r>
                      <w:r w:rsidRPr="00CD71E0">
                        <w:rPr>
                          <w:rFonts w:ascii="Arial Narrow" w:eastAsia="SimSun" w:hAnsi="Arial Narrow" w:cs="Arial"/>
                          <w:color w:val="595959" w:themeColor="text1" w:themeTint="A6"/>
                          <w:kern w:val="24"/>
                          <w:sz w:val="22"/>
                          <w:szCs w:val="22"/>
                        </w:rPr>
                        <w:t>image</w:t>
                      </w:r>
                      <w:r>
                        <w:rPr>
                          <w:rFonts w:ascii="Arial Narrow" w:eastAsia="SimSun" w:hAnsi="Arial Narrow" w:cs="Arial"/>
                          <w:color w:val="595959" w:themeColor="text1" w:themeTint="A6"/>
                          <w:kern w:val="24"/>
                          <w:sz w:val="22"/>
                          <w:szCs w:val="22"/>
                        </w:rPr>
                        <w:t>s</w:t>
                      </w:r>
                      <w:r w:rsidRPr="00CD71E0">
                        <w:rPr>
                          <w:rFonts w:ascii="Arial Narrow" w:eastAsia="SimSun" w:hAnsi="Arial Narrow" w:cs="Arial"/>
                          <w:color w:val="595959" w:themeColor="text1" w:themeTint="A6"/>
                          <w:kern w:val="24"/>
                          <w:sz w:val="22"/>
                          <w:szCs w:val="22"/>
                        </w:rPr>
                        <w:t xml:space="preserve"> </w:t>
                      </w:r>
                      <w:r>
                        <w:rPr>
                          <w:rFonts w:ascii="Arial Narrow" w:eastAsia="SimSun" w:hAnsi="Arial Narrow" w:cs="Arial"/>
                          <w:color w:val="595959" w:themeColor="text1" w:themeTint="A6"/>
                          <w:kern w:val="24"/>
                          <w:sz w:val="22"/>
                          <w:szCs w:val="22"/>
                        </w:rPr>
                        <w:t>of NOF-DM-GF (A), NOF-DM+GF (B), and CAF-DM-GF (C).  Using c</w:t>
                      </w:r>
                      <w:r w:rsidRPr="00CD71E0">
                        <w:rPr>
                          <w:rFonts w:ascii="Arial Narrow" w:eastAsia="SimSun" w:hAnsi="Arial Narrow" w:cs="Arial"/>
                          <w:color w:val="595959" w:themeColor="text1" w:themeTint="A6"/>
                          <w:kern w:val="24"/>
                          <w:sz w:val="22"/>
                          <w:szCs w:val="22"/>
                        </w:rPr>
                        <w:t>urvelet transformation (CT) and fibre extraction (FIRE) algorithms</w:t>
                      </w:r>
                      <w:r>
                        <w:rPr>
                          <w:rFonts w:ascii="Arial Narrow" w:eastAsia="SimSun" w:hAnsi="Arial Narrow" w:cs="Arial"/>
                          <w:color w:val="595959" w:themeColor="text1" w:themeTint="A6"/>
                          <w:kern w:val="24"/>
                          <w:sz w:val="22"/>
                          <w:szCs w:val="22"/>
                        </w:rPr>
                        <w:t xml:space="preserve"> collagen fibre length (D), alignment (E) and width (F) was investigated from extracted images. </w:t>
                      </w:r>
                      <w:r>
                        <w:rPr>
                          <w:rFonts w:ascii="Arial Narrow" w:eastAsia="SimSun" w:hAnsi="Arial Narrow" w:cs="Arial"/>
                          <w:color w:val="595959"/>
                          <w:kern w:val="24"/>
                          <w:sz w:val="22"/>
                        </w:rPr>
                        <w:t xml:space="preserve">Data is expressed as mean ± SD, N=3, n=3, ** denotes p &lt;0.01, *** p &lt;0.001 and **** p &lt;0.0001 as analysed by Kruskal-Wallis test with Dunn’s multiple comparison test.  </w:t>
                      </w:r>
                      <w:r>
                        <w:rPr>
                          <w:rFonts w:ascii="Arial Narrow" w:eastAsia="SimSun" w:hAnsi="Arial Narrow" w:cs="Arial"/>
                          <w:color w:val="595959" w:themeColor="text1" w:themeTint="A6"/>
                          <w:kern w:val="24"/>
                          <w:sz w:val="22"/>
                          <w:szCs w:val="22"/>
                        </w:rPr>
                        <w:t xml:space="preserve">Image scale bar =20 </w:t>
                      </w:r>
                      <w:proofErr w:type="spellStart"/>
                      <w:r w:rsidRPr="00CD71E0">
                        <w:rPr>
                          <w:rFonts w:ascii="Arial Narrow" w:eastAsia="SimSun" w:hAnsi="Arial Narrow" w:cs="Arial"/>
                          <w:color w:val="595959" w:themeColor="text1" w:themeTint="A6"/>
                          <w:kern w:val="24"/>
                          <w:sz w:val="22"/>
                          <w:szCs w:val="22"/>
                        </w:rPr>
                        <w:t>μm</w:t>
                      </w:r>
                      <w:proofErr w:type="spellEnd"/>
                      <w:r>
                        <w:rPr>
                          <w:rFonts w:ascii="Arial Narrow" w:eastAsia="SimSun" w:hAnsi="Arial Narrow" w:cs="Arial"/>
                          <w:color w:val="595959" w:themeColor="text1" w:themeTint="A6"/>
                          <w:kern w:val="24"/>
                          <w:sz w:val="22"/>
                          <w:szCs w:val="22"/>
                        </w:rPr>
                        <w:t xml:space="preserve">. </w:t>
                      </w:r>
                    </w:p>
                  </w:txbxContent>
                </v:textbox>
                <w10:wrap anchorx="margin"/>
              </v:shape>
            </w:pict>
          </mc:Fallback>
        </mc:AlternateContent>
      </w:r>
    </w:p>
    <w:p w14:paraId="32ED8C7B" w14:textId="77777777" w:rsidR="008C21BF" w:rsidRPr="008C21BF" w:rsidRDefault="008C21BF" w:rsidP="008C21BF">
      <w:pPr>
        <w:rPr>
          <w:rFonts w:ascii="Arial" w:hAnsi="Arial" w:cs="Arial"/>
        </w:rPr>
      </w:pPr>
    </w:p>
    <w:p w14:paraId="5E331FCD" w14:textId="77777777" w:rsidR="008C21BF" w:rsidRPr="008C21BF" w:rsidRDefault="008C21BF" w:rsidP="008C21BF">
      <w:pPr>
        <w:rPr>
          <w:rFonts w:ascii="Arial" w:hAnsi="Arial" w:cs="Arial"/>
        </w:rPr>
      </w:pPr>
    </w:p>
    <w:p w14:paraId="6A57E27F" w14:textId="77777777" w:rsidR="008C21BF" w:rsidRPr="008C21BF" w:rsidRDefault="008C21BF" w:rsidP="008C21BF">
      <w:pPr>
        <w:rPr>
          <w:rFonts w:ascii="Arial" w:hAnsi="Arial" w:cs="Arial"/>
        </w:rPr>
      </w:pPr>
    </w:p>
    <w:p w14:paraId="489918F9" w14:textId="77777777" w:rsidR="008C21BF" w:rsidRPr="008C21BF" w:rsidRDefault="008C21BF" w:rsidP="008C21BF">
      <w:pPr>
        <w:rPr>
          <w:rFonts w:ascii="Arial" w:hAnsi="Arial" w:cs="Arial"/>
        </w:rPr>
      </w:pPr>
    </w:p>
    <w:p w14:paraId="345FE572" w14:textId="77777777" w:rsidR="008C21BF" w:rsidRPr="008C21BF" w:rsidRDefault="008C21BF" w:rsidP="008C21BF">
      <w:pPr>
        <w:rPr>
          <w:rFonts w:ascii="Arial" w:hAnsi="Arial" w:cs="Arial"/>
        </w:rPr>
      </w:pPr>
    </w:p>
    <w:p w14:paraId="5DF209D9" w14:textId="77777777" w:rsidR="008C21BF" w:rsidRPr="008C21BF" w:rsidRDefault="008C21BF" w:rsidP="008C21BF">
      <w:pPr>
        <w:tabs>
          <w:tab w:val="left" w:pos="975"/>
        </w:tabs>
        <w:rPr>
          <w:rFonts w:ascii="Arial" w:hAnsi="Arial" w:cs="Arial"/>
        </w:rPr>
      </w:pPr>
    </w:p>
    <w:p w14:paraId="2970B5F5" w14:textId="77777777" w:rsidR="008C21BF" w:rsidRPr="008C21BF" w:rsidRDefault="008C21BF" w:rsidP="008C21BF">
      <w:pPr>
        <w:tabs>
          <w:tab w:val="left" w:pos="975"/>
        </w:tabs>
        <w:rPr>
          <w:rFonts w:ascii="Arial" w:hAnsi="Arial" w:cs="Arial"/>
        </w:rPr>
      </w:pPr>
    </w:p>
    <w:p w14:paraId="64012F99" w14:textId="533254B2" w:rsidR="008C21BF" w:rsidRDefault="008C21BF" w:rsidP="008C21BF">
      <w:pPr>
        <w:tabs>
          <w:tab w:val="left" w:pos="975"/>
        </w:tabs>
        <w:rPr>
          <w:rFonts w:ascii="Arial" w:hAnsi="Arial" w:cs="Arial"/>
        </w:rPr>
      </w:pPr>
    </w:p>
    <w:p w14:paraId="4CE8093B" w14:textId="77777777" w:rsidR="009F41B6" w:rsidRPr="008C21BF" w:rsidRDefault="009F41B6" w:rsidP="008C21BF">
      <w:pPr>
        <w:tabs>
          <w:tab w:val="left" w:pos="975"/>
        </w:tabs>
        <w:rPr>
          <w:rFonts w:ascii="Arial" w:hAnsi="Arial" w:cs="Arial"/>
        </w:rPr>
      </w:pPr>
    </w:p>
    <w:p w14:paraId="1C8BF83F" w14:textId="77777777" w:rsidR="008C21BF" w:rsidRPr="008C21BF" w:rsidRDefault="008C21BF" w:rsidP="004C017B">
      <w:pPr>
        <w:pStyle w:val="Heading5"/>
        <w:rPr>
          <w:rFonts w:ascii="Arial" w:hAnsi="Arial" w:cs="Arial"/>
          <w:i/>
          <w:iCs/>
          <w:color w:val="595959" w:themeColor="text1" w:themeTint="A6"/>
        </w:rPr>
      </w:pPr>
      <w:bookmarkStart w:id="420" w:name="_Toc7678155"/>
      <w:bookmarkStart w:id="421" w:name="_Toc34208430"/>
      <w:r w:rsidRPr="008C21BF">
        <w:rPr>
          <w:rFonts w:ascii="Arial" w:hAnsi="Arial" w:cs="Arial"/>
          <w:i/>
          <w:iCs/>
          <w:color w:val="595959" w:themeColor="text1" w:themeTint="A6"/>
        </w:rPr>
        <w:lastRenderedPageBreak/>
        <w:t>4.3.2.3.2 Soft matter properties of fibroblast-derived matrices</w:t>
      </w:r>
      <w:bookmarkEnd w:id="420"/>
      <w:bookmarkEnd w:id="421"/>
      <w:r w:rsidRPr="008C21BF">
        <w:rPr>
          <w:rFonts w:ascii="Arial" w:hAnsi="Arial" w:cs="Arial"/>
          <w:i/>
          <w:iCs/>
          <w:color w:val="595959" w:themeColor="text1" w:themeTint="A6"/>
        </w:rPr>
        <w:t xml:space="preserve"> </w:t>
      </w:r>
    </w:p>
    <w:p w14:paraId="40BF3F6F" w14:textId="77777777" w:rsidR="008C21BF" w:rsidRPr="008C21BF" w:rsidRDefault="008C21BF" w:rsidP="008C21BF"/>
    <w:p w14:paraId="03F16829" w14:textId="698CE3D8" w:rsidR="008C21BF" w:rsidRPr="008C21BF" w:rsidRDefault="008C21BF" w:rsidP="004C017B">
      <w:pPr>
        <w:pStyle w:val="Heading6"/>
        <w:rPr>
          <w:rFonts w:ascii="Arial" w:hAnsi="Arial" w:cs="Arial"/>
          <w:i/>
          <w:color w:val="595959" w:themeColor="text1" w:themeTint="A6"/>
        </w:rPr>
      </w:pPr>
      <w:bookmarkStart w:id="422" w:name="_Toc7678156"/>
      <w:bookmarkStart w:id="423" w:name="_Toc34208431"/>
      <w:r w:rsidRPr="008C21BF">
        <w:rPr>
          <w:rFonts w:ascii="Arial" w:hAnsi="Arial" w:cs="Arial"/>
          <w:i/>
          <w:color w:val="595959" w:themeColor="text1" w:themeTint="A6"/>
        </w:rPr>
        <w:t xml:space="preserve">4.3.2.3.2.1 </w:t>
      </w:r>
      <w:r w:rsidR="00A7230D">
        <w:rPr>
          <w:rFonts w:ascii="Arial" w:hAnsi="Arial" w:cs="Arial"/>
          <w:i/>
          <w:color w:val="595959" w:themeColor="text1" w:themeTint="A6"/>
        </w:rPr>
        <w:t xml:space="preserve">Measuring stiffness of fibroblast-derived matrices </w:t>
      </w:r>
      <w:r w:rsidRPr="008C21BF">
        <w:rPr>
          <w:rFonts w:ascii="Arial" w:hAnsi="Arial" w:cs="Arial"/>
          <w:i/>
          <w:color w:val="595959" w:themeColor="text1" w:themeTint="A6"/>
        </w:rPr>
        <w:t xml:space="preserve">by </w:t>
      </w:r>
      <w:bookmarkEnd w:id="422"/>
      <w:r w:rsidR="00A7230D">
        <w:rPr>
          <w:rFonts w:ascii="Arial" w:hAnsi="Arial" w:cs="Arial"/>
          <w:i/>
          <w:color w:val="595959" w:themeColor="text1" w:themeTint="A6"/>
        </w:rPr>
        <w:t>atomic force microscopy</w:t>
      </w:r>
      <w:bookmarkEnd w:id="423"/>
    </w:p>
    <w:p w14:paraId="5F359069" w14:textId="77777777" w:rsidR="008C21BF" w:rsidRPr="008C21BF" w:rsidRDefault="008C21BF" w:rsidP="008C21BF">
      <w:r w:rsidRPr="008C21BF">
        <w:t xml:space="preserve"> </w:t>
      </w:r>
    </w:p>
    <w:p w14:paraId="24F1E9BB" w14:textId="42E096C1" w:rsidR="008C21BF" w:rsidRPr="008C21BF" w:rsidRDefault="008C21BF" w:rsidP="008C21BF">
      <w:pPr>
        <w:tabs>
          <w:tab w:val="left" w:pos="1350"/>
        </w:tabs>
        <w:spacing w:line="480" w:lineRule="auto"/>
        <w:jc w:val="both"/>
        <w:rPr>
          <w:rFonts w:ascii="Arial" w:hAnsi="Arial" w:cs="Arial"/>
          <w:color w:val="595959" w:themeColor="text1" w:themeTint="A6"/>
        </w:rPr>
      </w:pPr>
      <w:r w:rsidRPr="008C21BF">
        <w:rPr>
          <w:rFonts w:ascii="Arial" w:hAnsi="Arial" w:cs="Arial"/>
          <w:color w:val="595959" w:themeColor="text1" w:themeTint="A6"/>
        </w:rPr>
        <w:t xml:space="preserve">Preliminary studies were conducted to assess whether the mechanical properties of FDM could be quantified using AFM. Both NOF- and CAF-DM were analysed for their soft matter properties and to assess if stiffness altered with pathological ECM deposition. Force indentation curves were generated, and the Young’s elastic modulus calculated as a measure of stiffness. The Young’s moduli calculated were 4.25 MPa and 5.82 MPa for NOF-DM and CAF-DM, thus, preliminary analysis indicates the matrix produced by CAF-DM to be stiffer (Figure 4.13 A). </w:t>
      </w:r>
    </w:p>
    <w:p w14:paraId="6FA07FC0" w14:textId="77777777" w:rsidR="008C21BF" w:rsidRPr="008C21BF" w:rsidRDefault="008C21BF" w:rsidP="008C21BF">
      <w:pPr>
        <w:tabs>
          <w:tab w:val="left" w:pos="1350"/>
        </w:tabs>
        <w:spacing w:line="480" w:lineRule="auto"/>
        <w:jc w:val="both"/>
        <w:rPr>
          <w:rFonts w:ascii="Arial" w:hAnsi="Arial" w:cs="Arial"/>
          <w:color w:val="595959" w:themeColor="text1" w:themeTint="A6"/>
        </w:rPr>
      </w:pPr>
      <w:r w:rsidRPr="008C21BF">
        <w:rPr>
          <w:rFonts w:ascii="Arial" w:hAnsi="Arial" w:cs="Arial"/>
          <w:color w:val="595959" w:themeColor="text1" w:themeTint="A6"/>
        </w:rPr>
        <w:t>Using AFM, it is also possible to collate the force distance curves of a given area and thereby generate a stiffness map. The CAF-DM map indicates variances of ECM stiffness across the matrix, which may correspond to differences in stiffness between ECM components as well as the embedded fibroblasts (Figure 4.13 B). Topographical images of the ECM structures also generated for CAF-DM showed a non-uniformed distribution in ECM structure across the section (Figure 4.13 C).</w:t>
      </w:r>
    </w:p>
    <w:p w14:paraId="7B51DA43" w14:textId="77777777" w:rsidR="008C21BF" w:rsidRPr="008C21BF" w:rsidRDefault="008C21BF" w:rsidP="008C21BF">
      <w:pPr>
        <w:tabs>
          <w:tab w:val="left" w:pos="1350"/>
        </w:tabs>
        <w:spacing w:line="480" w:lineRule="auto"/>
        <w:jc w:val="both"/>
        <w:rPr>
          <w:rFonts w:ascii="Arial" w:hAnsi="Arial" w:cs="Arial"/>
          <w:color w:val="595959" w:themeColor="text1" w:themeTint="A6"/>
        </w:rPr>
      </w:pPr>
      <w:r w:rsidRPr="008C21BF">
        <w:rPr>
          <w:rFonts w:ascii="Arial" w:hAnsi="Arial" w:cs="Arial"/>
          <w:color w:val="595959" w:themeColor="text1" w:themeTint="A6"/>
        </w:rPr>
        <w:tab/>
      </w:r>
    </w:p>
    <w:p w14:paraId="0E2F43BD" w14:textId="77777777" w:rsidR="008C21BF" w:rsidRPr="008C21BF" w:rsidRDefault="008C21BF" w:rsidP="008C21BF">
      <w:pPr>
        <w:tabs>
          <w:tab w:val="left" w:pos="1350"/>
        </w:tabs>
        <w:spacing w:line="480" w:lineRule="auto"/>
        <w:jc w:val="both"/>
        <w:rPr>
          <w:rFonts w:ascii="Arial" w:hAnsi="Arial" w:cs="Arial"/>
          <w:color w:val="595959" w:themeColor="text1" w:themeTint="A6"/>
        </w:rPr>
      </w:pPr>
    </w:p>
    <w:p w14:paraId="464665D4" w14:textId="77777777" w:rsidR="008C21BF" w:rsidRPr="008C21BF" w:rsidRDefault="008C21BF" w:rsidP="008C21BF">
      <w:pPr>
        <w:tabs>
          <w:tab w:val="left" w:pos="1350"/>
        </w:tabs>
        <w:spacing w:line="480" w:lineRule="auto"/>
        <w:jc w:val="both"/>
        <w:rPr>
          <w:rFonts w:ascii="Arial" w:hAnsi="Arial" w:cs="Arial"/>
          <w:color w:val="595959" w:themeColor="text1" w:themeTint="A6"/>
        </w:rPr>
      </w:pPr>
    </w:p>
    <w:p w14:paraId="15BD4A63" w14:textId="77777777" w:rsidR="008C21BF" w:rsidRPr="008C21BF" w:rsidRDefault="008C21BF" w:rsidP="008C21BF">
      <w:pPr>
        <w:tabs>
          <w:tab w:val="left" w:pos="1350"/>
        </w:tabs>
        <w:spacing w:line="480" w:lineRule="auto"/>
        <w:jc w:val="both"/>
        <w:rPr>
          <w:rFonts w:ascii="Arial" w:hAnsi="Arial" w:cs="Arial"/>
          <w:color w:val="595959" w:themeColor="text1" w:themeTint="A6"/>
        </w:rPr>
      </w:pPr>
    </w:p>
    <w:p w14:paraId="19DB7FAD" w14:textId="77777777" w:rsidR="008C21BF" w:rsidRPr="008C21BF" w:rsidRDefault="008C21BF" w:rsidP="008C21BF">
      <w:pPr>
        <w:tabs>
          <w:tab w:val="left" w:pos="1350"/>
        </w:tabs>
        <w:spacing w:line="480" w:lineRule="auto"/>
        <w:jc w:val="both"/>
        <w:rPr>
          <w:rFonts w:ascii="Arial" w:hAnsi="Arial" w:cs="Arial"/>
          <w:color w:val="595959" w:themeColor="text1" w:themeTint="A6"/>
        </w:rPr>
      </w:pPr>
    </w:p>
    <w:p w14:paraId="14BDBCCF" w14:textId="77777777" w:rsidR="008C21BF" w:rsidRPr="008C21BF" w:rsidRDefault="008C21BF" w:rsidP="008C21BF">
      <w:pPr>
        <w:tabs>
          <w:tab w:val="left" w:pos="1350"/>
        </w:tabs>
        <w:spacing w:line="480" w:lineRule="auto"/>
        <w:jc w:val="both"/>
        <w:rPr>
          <w:rFonts w:ascii="Arial" w:hAnsi="Arial" w:cs="Arial"/>
          <w:color w:val="595959" w:themeColor="text1" w:themeTint="A6"/>
        </w:rPr>
      </w:pPr>
    </w:p>
    <w:p w14:paraId="4E010413" w14:textId="77777777" w:rsidR="008C21BF" w:rsidRPr="008C21BF" w:rsidRDefault="008C21BF" w:rsidP="008C21BF">
      <w:pPr>
        <w:tabs>
          <w:tab w:val="left" w:pos="1350"/>
        </w:tabs>
        <w:spacing w:line="480" w:lineRule="auto"/>
        <w:jc w:val="both"/>
        <w:rPr>
          <w:rFonts w:ascii="Arial" w:hAnsi="Arial" w:cs="Arial"/>
          <w:color w:val="595959" w:themeColor="text1" w:themeTint="A6"/>
        </w:rPr>
      </w:pPr>
    </w:p>
    <w:p w14:paraId="1806338F" w14:textId="77777777" w:rsidR="008C21BF" w:rsidRPr="008C21BF" w:rsidRDefault="008C21BF" w:rsidP="008C21BF">
      <w:pPr>
        <w:tabs>
          <w:tab w:val="left" w:pos="1350"/>
        </w:tabs>
        <w:spacing w:line="480" w:lineRule="auto"/>
        <w:jc w:val="both"/>
        <w:rPr>
          <w:rFonts w:ascii="Arial" w:hAnsi="Arial" w:cs="Arial"/>
          <w:color w:val="595959" w:themeColor="text1" w:themeTint="A6"/>
        </w:rPr>
      </w:pPr>
    </w:p>
    <w:p w14:paraId="40F4A295" w14:textId="77777777" w:rsidR="008C21BF" w:rsidRPr="008C21BF" w:rsidRDefault="008C21BF" w:rsidP="008C21BF">
      <w:pPr>
        <w:tabs>
          <w:tab w:val="left" w:pos="1350"/>
        </w:tabs>
        <w:spacing w:line="480" w:lineRule="auto"/>
        <w:jc w:val="both"/>
        <w:rPr>
          <w:rFonts w:ascii="Arial" w:hAnsi="Arial" w:cs="Arial"/>
          <w:color w:val="595959" w:themeColor="text1" w:themeTint="A6"/>
        </w:rPr>
      </w:pPr>
    </w:p>
    <w:p w14:paraId="040DF95C" w14:textId="77777777" w:rsidR="008C21BF" w:rsidRPr="008C21BF" w:rsidRDefault="008C21BF" w:rsidP="008C21BF">
      <w:pPr>
        <w:tabs>
          <w:tab w:val="left" w:pos="1350"/>
        </w:tabs>
        <w:spacing w:line="480" w:lineRule="auto"/>
        <w:jc w:val="both"/>
        <w:rPr>
          <w:rFonts w:ascii="Arial" w:hAnsi="Arial" w:cs="Arial"/>
          <w:color w:val="595959" w:themeColor="text1" w:themeTint="A6"/>
        </w:rPr>
      </w:pPr>
      <w:r w:rsidRPr="008C21BF">
        <w:rPr>
          <w:rFonts w:ascii="Arial" w:hAnsi="Arial" w:cs="Arial"/>
          <w:noProof/>
          <w:color w:val="595959" w:themeColor="text1" w:themeTint="A6"/>
          <w:lang w:eastAsia="zh-CN"/>
        </w:rPr>
        <w:lastRenderedPageBreak/>
        <w:drawing>
          <wp:anchor distT="0" distB="0" distL="114300" distR="114300" simplePos="0" relativeHeight="251658366" behindDoc="0" locked="0" layoutInCell="1" allowOverlap="1" wp14:anchorId="57CBAFDA" wp14:editId="5C364ED0">
            <wp:simplePos x="0" y="0"/>
            <wp:positionH relativeFrom="margin">
              <wp:align>right</wp:align>
            </wp:positionH>
            <wp:positionV relativeFrom="paragraph">
              <wp:posOffset>143008</wp:posOffset>
            </wp:positionV>
            <wp:extent cx="5577574" cy="5224720"/>
            <wp:effectExtent l="0" t="0" r="0" b="0"/>
            <wp:wrapNone/>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577574" cy="5224720"/>
                    </a:xfrm>
                    <a:prstGeom prst="rect">
                      <a:avLst/>
                    </a:prstGeom>
                    <a:noFill/>
                  </pic:spPr>
                </pic:pic>
              </a:graphicData>
            </a:graphic>
            <wp14:sizeRelH relativeFrom="margin">
              <wp14:pctWidth>0</wp14:pctWidth>
            </wp14:sizeRelH>
            <wp14:sizeRelV relativeFrom="margin">
              <wp14:pctHeight>0</wp14:pctHeight>
            </wp14:sizeRelV>
          </wp:anchor>
        </w:drawing>
      </w:r>
    </w:p>
    <w:p w14:paraId="2723FFFC" w14:textId="77777777" w:rsidR="008C21BF" w:rsidRPr="008C21BF" w:rsidRDefault="008C21BF" w:rsidP="008C21BF">
      <w:pPr>
        <w:tabs>
          <w:tab w:val="left" w:pos="1350"/>
        </w:tabs>
        <w:spacing w:line="480" w:lineRule="auto"/>
        <w:jc w:val="both"/>
        <w:rPr>
          <w:rFonts w:ascii="Arial" w:hAnsi="Arial" w:cs="Arial"/>
          <w:color w:val="595959" w:themeColor="text1" w:themeTint="A6"/>
        </w:rPr>
      </w:pPr>
    </w:p>
    <w:p w14:paraId="2B203DEA" w14:textId="77777777" w:rsidR="008C21BF" w:rsidRPr="008C21BF" w:rsidRDefault="008C21BF" w:rsidP="008C21BF">
      <w:pPr>
        <w:tabs>
          <w:tab w:val="left" w:pos="1350"/>
        </w:tabs>
        <w:spacing w:line="480" w:lineRule="auto"/>
        <w:jc w:val="both"/>
        <w:rPr>
          <w:rFonts w:ascii="Arial" w:hAnsi="Arial" w:cs="Arial"/>
          <w:color w:val="595959" w:themeColor="text1" w:themeTint="A6"/>
        </w:rPr>
      </w:pPr>
    </w:p>
    <w:p w14:paraId="0EF40BE8" w14:textId="77777777" w:rsidR="008C21BF" w:rsidRPr="008C21BF" w:rsidRDefault="008C21BF" w:rsidP="008C21BF">
      <w:pPr>
        <w:tabs>
          <w:tab w:val="left" w:pos="1350"/>
        </w:tabs>
        <w:spacing w:line="480" w:lineRule="auto"/>
        <w:jc w:val="both"/>
        <w:rPr>
          <w:rFonts w:ascii="Arial" w:hAnsi="Arial" w:cs="Arial"/>
          <w:color w:val="595959" w:themeColor="text1" w:themeTint="A6"/>
        </w:rPr>
      </w:pPr>
    </w:p>
    <w:p w14:paraId="43798B36" w14:textId="77777777" w:rsidR="008C21BF" w:rsidRPr="008C21BF" w:rsidRDefault="008C21BF" w:rsidP="008C21BF">
      <w:pPr>
        <w:tabs>
          <w:tab w:val="left" w:pos="1350"/>
        </w:tabs>
        <w:spacing w:line="480" w:lineRule="auto"/>
        <w:jc w:val="both"/>
        <w:rPr>
          <w:rFonts w:ascii="Arial" w:hAnsi="Arial" w:cs="Arial"/>
          <w:color w:val="595959" w:themeColor="text1" w:themeTint="A6"/>
        </w:rPr>
      </w:pPr>
    </w:p>
    <w:p w14:paraId="28DE7ED8" w14:textId="77777777" w:rsidR="008C21BF" w:rsidRPr="008C21BF" w:rsidRDefault="008C21BF" w:rsidP="008C21BF">
      <w:pPr>
        <w:tabs>
          <w:tab w:val="left" w:pos="1350"/>
        </w:tabs>
        <w:spacing w:line="480" w:lineRule="auto"/>
        <w:jc w:val="both"/>
        <w:rPr>
          <w:rFonts w:ascii="Arial" w:hAnsi="Arial" w:cs="Arial"/>
          <w:color w:val="595959" w:themeColor="text1" w:themeTint="A6"/>
        </w:rPr>
      </w:pPr>
    </w:p>
    <w:p w14:paraId="7AB4F158" w14:textId="77777777" w:rsidR="008C21BF" w:rsidRPr="008C21BF" w:rsidRDefault="008C21BF" w:rsidP="008C21BF">
      <w:pPr>
        <w:tabs>
          <w:tab w:val="left" w:pos="1815"/>
        </w:tabs>
        <w:spacing w:line="480" w:lineRule="auto"/>
        <w:jc w:val="both"/>
        <w:rPr>
          <w:rFonts w:ascii="Arial" w:hAnsi="Arial" w:cs="Arial"/>
          <w:color w:val="595959" w:themeColor="text1" w:themeTint="A6"/>
        </w:rPr>
      </w:pPr>
      <w:r w:rsidRPr="008C21BF">
        <w:rPr>
          <w:rFonts w:ascii="Arial" w:hAnsi="Arial" w:cs="Arial"/>
          <w:color w:val="595959" w:themeColor="text1" w:themeTint="A6"/>
        </w:rPr>
        <w:tab/>
      </w:r>
    </w:p>
    <w:p w14:paraId="0A9BA4BF" w14:textId="77777777" w:rsidR="008C21BF" w:rsidRPr="008C21BF" w:rsidRDefault="008C21BF" w:rsidP="008C21BF">
      <w:pPr>
        <w:tabs>
          <w:tab w:val="left" w:pos="1815"/>
        </w:tabs>
        <w:spacing w:line="480" w:lineRule="auto"/>
        <w:jc w:val="both"/>
        <w:rPr>
          <w:rFonts w:ascii="Arial" w:hAnsi="Arial" w:cs="Arial"/>
          <w:color w:val="595959" w:themeColor="text1" w:themeTint="A6"/>
        </w:rPr>
      </w:pPr>
    </w:p>
    <w:p w14:paraId="100BFCE5" w14:textId="77777777" w:rsidR="008C21BF" w:rsidRPr="008C21BF" w:rsidRDefault="008C21BF" w:rsidP="008C21BF">
      <w:pPr>
        <w:tabs>
          <w:tab w:val="left" w:pos="1350"/>
        </w:tabs>
        <w:spacing w:line="480" w:lineRule="auto"/>
        <w:jc w:val="both"/>
        <w:rPr>
          <w:rFonts w:ascii="Arial" w:hAnsi="Arial" w:cs="Arial"/>
          <w:color w:val="595959" w:themeColor="text1" w:themeTint="A6"/>
        </w:rPr>
      </w:pPr>
    </w:p>
    <w:p w14:paraId="36F197F0" w14:textId="77777777" w:rsidR="008C21BF" w:rsidRPr="008C21BF" w:rsidRDefault="008C21BF" w:rsidP="008C21BF">
      <w:pPr>
        <w:tabs>
          <w:tab w:val="left" w:pos="1350"/>
        </w:tabs>
        <w:spacing w:line="480" w:lineRule="auto"/>
        <w:jc w:val="both"/>
        <w:rPr>
          <w:rFonts w:ascii="Arial" w:hAnsi="Arial" w:cs="Arial"/>
          <w:color w:val="595959" w:themeColor="text1" w:themeTint="A6"/>
        </w:rPr>
      </w:pPr>
    </w:p>
    <w:p w14:paraId="6D5E953F" w14:textId="77777777" w:rsidR="008C21BF" w:rsidRPr="008C21BF" w:rsidRDefault="008C21BF" w:rsidP="008C21BF">
      <w:pPr>
        <w:tabs>
          <w:tab w:val="left" w:pos="1350"/>
        </w:tabs>
        <w:spacing w:line="480" w:lineRule="auto"/>
        <w:jc w:val="both"/>
        <w:rPr>
          <w:rFonts w:ascii="Arial" w:hAnsi="Arial" w:cs="Arial"/>
          <w:color w:val="595959" w:themeColor="text1" w:themeTint="A6"/>
        </w:rPr>
      </w:pPr>
      <w:r w:rsidRPr="008C21BF">
        <w:rPr>
          <w:rFonts w:ascii="Arial" w:hAnsi="Arial" w:cs="Arial"/>
          <w:color w:val="595959" w:themeColor="text1" w:themeTint="A6"/>
        </w:rPr>
        <w:tab/>
      </w:r>
    </w:p>
    <w:p w14:paraId="60908187" w14:textId="77777777" w:rsidR="008C21BF" w:rsidRPr="008C21BF" w:rsidRDefault="008C21BF" w:rsidP="008C21BF">
      <w:pPr>
        <w:tabs>
          <w:tab w:val="left" w:pos="1350"/>
        </w:tabs>
        <w:spacing w:line="480" w:lineRule="auto"/>
        <w:jc w:val="both"/>
        <w:rPr>
          <w:rFonts w:ascii="Arial" w:hAnsi="Arial" w:cs="Arial"/>
          <w:color w:val="595959" w:themeColor="text1" w:themeTint="A6"/>
        </w:rPr>
      </w:pPr>
      <w:r w:rsidRPr="008C21BF">
        <w:rPr>
          <w:rFonts w:ascii="Arial" w:hAnsi="Arial" w:cs="Arial"/>
          <w:color w:val="595959" w:themeColor="text1" w:themeTint="A6"/>
        </w:rPr>
        <w:tab/>
      </w:r>
    </w:p>
    <w:p w14:paraId="22C60AC3" w14:textId="77777777" w:rsidR="008C21BF" w:rsidRPr="008C21BF" w:rsidRDefault="008C21BF" w:rsidP="008C21BF">
      <w:pPr>
        <w:tabs>
          <w:tab w:val="left" w:pos="1350"/>
        </w:tabs>
        <w:spacing w:line="480" w:lineRule="auto"/>
        <w:jc w:val="both"/>
        <w:rPr>
          <w:rFonts w:ascii="Arial" w:hAnsi="Arial" w:cs="Arial"/>
          <w:color w:val="595959" w:themeColor="text1" w:themeTint="A6"/>
        </w:rPr>
      </w:pPr>
    </w:p>
    <w:p w14:paraId="229791D7" w14:textId="77777777" w:rsidR="008C21BF" w:rsidRPr="008C21BF" w:rsidRDefault="008C21BF" w:rsidP="008C21BF">
      <w:pPr>
        <w:tabs>
          <w:tab w:val="left" w:pos="1350"/>
        </w:tabs>
        <w:spacing w:line="480" w:lineRule="auto"/>
        <w:jc w:val="both"/>
        <w:rPr>
          <w:rFonts w:ascii="Arial" w:hAnsi="Arial" w:cs="Arial"/>
          <w:color w:val="595959" w:themeColor="text1" w:themeTint="A6"/>
        </w:rPr>
      </w:pPr>
    </w:p>
    <w:p w14:paraId="2BC2A505" w14:textId="77777777" w:rsidR="008C21BF" w:rsidRPr="008C21BF" w:rsidRDefault="008C21BF" w:rsidP="008C21BF">
      <w:pPr>
        <w:tabs>
          <w:tab w:val="left" w:pos="1350"/>
        </w:tabs>
        <w:spacing w:line="480" w:lineRule="auto"/>
        <w:jc w:val="both"/>
        <w:rPr>
          <w:rFonts w:ascii="Arial" w:hAnsi="Arial" w:cs="Arial"/>
          <w:color w:val="595959" w:themeColor="text1" w:themeTint="A6"/>
        </w:rPr>
      </w:pPr>
      <w:r w:rsidRPr="008C21BF">
        <w:rPr>
          <w:rFonts w:ascii="Arial" w:hAnsi="Arial" w:cs="Arial"/>
          <w:noProof/>
          <w:color w:val="595959" w:themeColor="text1" w:themeTint="A6"/>
          <w:sz w:val="24"/>
          <w:szCs w:val="24"/>
          <w:lang w:eastAsia="zh-CN"/>
        </w:rPr>
        <mc:AlternateContent>
          <mc:Choice Requires="wps">
            <w:drawing>
              <wp:anchor distT="0" distB="0" distL="114300" distR="114300" simplePos="0" relativeHeight="251658341" behindDoc="0" locked="0" layoutInCell="1" allowOverlap="1" wp14:anchorId="200CB98F" wp14:editId="2A7A66DE">
                <wp:simplePos x="0" y="0"/>
                <wp:positionH relativeFrom="margin">
                  <wp:align>right</wp:align>
                </wp:positionH>
                <wp:positionV relativeFrom="paragraph">
                  <wp:posOffset>3175</wp:posOffset>
                </wp:positionV>
                <wp:extent cx="5726430" cy="1335024"/>
                <wp:effectExtent l="0" t="0" r="7620" b="0"/>
                <wp:wrapNone/>
                <wp:docPr id="2097" name="Text Box 20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6430" cy="1335024"/>
                        </a:xfrm>
                        <a:prstGeom prst="rect">
                          <a:avLst/>
                        </a:prstGeom>
                        <a:solidFill>
                          <a:srgbClr val="FFFFFF"/>
                        </a:solidFill>
                        <a:ln w="9525">
                          <a:noFill/>
                          <a:miter lim="800000"/>
                          <a:headEnd/>
                          <a:tailEnd/>
                        </a:ln>
                      </wps:spPr>
                      <wps:txbx>
                        <w:txbxContent>
                          <w:p w14:paraId="08BEC2B4" w14:textId="77777777" w:rsidR="008A47AC" w:rsidRPr="006B7937" w:rsidRDefault="008A47AC" w:rsidP="008C21BF">
                            <w:pPr>
                              <w:pStyle w:val="Caption"/>
                              <w:keepNext/>
                              <w:jc w:val="both"/>
                              <w:rPr>
                                <w:rFonts w:ascii="Arial Narrow" w:hAnsi="Arial Narrow"/>
                                <w:b/>
                                <w:i w:val="0"/>
                                <w:sz w:val="24"/>
                                <w:szCs w:val="24"/>
                              </w:rPr>
                            </w:pPr>
                            <w:r w:rsidRPr="006B7937">
                              <w:rPr>
                                <w:rFonts w:ascii="Arial Narrow" w:hAnsi="Arial Narrow"/>
                                <w:b/>
                                <w:i w:val="0"/>
                                <w:color w:val="595959" w:themeColor="text1" w:themeTint="A6"/>
                                <w:sz w:val="24"/>
                                <w:szCs w:val="24"/>
                              </w:rPr>
                              <w:t xml:space="preserve">Figure </w:t>
                            </w:r>
                            <w:r>
                              <w:rPr>
                                <w:rFonts w:ascii="Arial Narrow" w:hAnsi="Arial Narrow"/>
                                <w:b/>
                                <w:i w:val="0"/>
                                <w:color w:val="595959" w:themeColor="text1" w:themeTint="A6"/>
                                <w:sz w:val="24"/>
                                <w:szCs w:val="24"/>
                              </w:rPr>
                              <w:t xml:space="preserve">4.13 Mechanical mapping and topography of fibroblast-derived matrix </w:t>
                            </w:r>
                          </w:p>
                          <w:p w14:paraId="19402598" w14:textId="77777777" w:rsidR="008A47AC" w:rsidRDefault="008A47AC" w:rsidP="008C21BF">
                            <w:pPr>
                              <w:pStyle w:val="NormalWeb"/>
                              <w:spacing w:after="200" w:line="276" w:lineRule="auto"/>
                              <w:jc w:val="both"/>
                              <w:rPr>
                                <w:rFonts w:ascii="Arial Narrow" w:eastAsia="SimSun" w:hAnsi="Arial Narrow" w:cs="Arial"/>
                                <w:color w:val="595959" w:themeColor="text1" w:themeTint="A6"/>
                                <w:kern w:val="24"/>
                                <w:sz w:val="22"/>
                                <w:szCs w:val="22"/>
                              </w:rPr>
                            </w:pPr>
                            <w:r>
                              <w:rPr>
                                <w:rFonts w:ascii="Arial Narrow" w:eastAsia="SimSun" w:hAnsi="Arial Narrow" w:cs="Arial"/>
                                <w:color w:val="595959" w:themeColor="text1" w:themeTint="A6"/>
                                <w:kern w:val="24"/>
                                <w:sz w:val="22"/>
                                <w:szCs w:val="22"/>
                              </w:rPr>
                              <w:t>Force indentation curves were produced using AFM and the effective Young’s modulus calculated for NOF- and CAF-DM (A)</w:t>
                            </w:r>
                            <w:r w:rsidRPr="00DD166B">
                              <w:rPr>
                                <w:rFonts w:ascii="Arial Narrow" w:eastAsia="SimSun" w:hAnsi="Arial Narrow" w:cs="Arial"/>
                                <w:color w:val="595959" w:themeColor="text1" w:themeTint="A6"/>
                                <w:kern w:val="24"/>
                                <w:sz w:val="22"/>
                                <w:szCs w:val="22"/>
                              </w:rPr>
                              <w:t xml:space="preserve"> </w:t>
                            </w:r>
                            <w:r>
                              <w:rPr>
                                <w:rFonts w:ascii="Arial Narrow" w:eastAsia="SimSun" w:hAnsi="Arial Narrow" w:cs="Arial"/>
                                <w:color w:val="595959" w:themeColor="text1" w:themeTint="A6"/>
                                <w:kern w:val="24"/>
                                <w:sz w:val="22"/>
                                <w:szCs w:val="22"/>
                              </w:rPr>
                              <w:t xml:space="preserve">Data is presented as mean (N=2, n=2). Topographical analysis of CAF-DM show variations in stiffness calculated across the FDM slice (B). Further aspect analysis of the CAF-DM surface indicates the presence of ECM structures and the heterogeneity of stiffness attributed to ECM compositional differences (C). (N=2, n=2).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0CB98F" id="Text Box 2097" o:spid="_x0000_s1165" type="#_x0000_t202" style="position:absolute;left:0;text-align:left;margin-left:399.7pt;margin-top:.25pt;width:450.9pt;height:105.1pt;z-index:251658341;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" stroked="f">
                <v:textbox>
                  <w:txbxContent>
                    <w:p w14:paraId="08BEC2B4" w14:textId="77777777" w:rsidR="008A47AC" w:rsidRPr="006B7937" w:rsidRDefault="008A47AC" w:rsidP="008C21BF">
                      <w:pPr>
                        <w:pStyle w:val="Caption"/>
                        <w:keepNext/>
                        <w:jc w:val="both"/>
                        <w:rPr>
                          <w:rFonts w:ascii="Arial Narrow" w:hAnsi="Arial Narrow"/>
                          <w:b/>
                          <w:i w:val="0"/>
                          <w:sz w:val="24"/>
                          <w:szCs w:val="24"/>
                        </w:rPr>
                      </w:pPr>
                      <w:r w:rsidRPr="006B7937">
                        <w:rPr>
                          <w:rFonts w:ascii="Arial Narrow" w:hAnsi="Arial Narrow"/>
                          <w:b/>
                          <w:i w:val="0"/>
                          <w:color w:val="595959" w:themeColor="text1" w:themeTint="A6"/>
                          <w:sz w:val="24"/>
                          <w:szCs w:val="24"/>
                        </w:rPr>
                        <w:t xml:space="preserve">Figure </w:t>
                      </w:r>
                      <w:r>
                        <w:rPr>
                          <w:rFonts w:ascii="Arial Narrow" w:hAnsi="Arial Narrow"/>
                          <w:b/>
                          <w:i w:val="0"/>
                          <w:color w:val="595959" w:themeColor="text1" w:themeTint="A6"/>
                          <w:sz w:val="24"/>
                          <w:szCs w:val="24"/>
                        </w:rPr>
                        <w:t xml:space="preserve">4.13 Mechanical mapping and topography of fibroblast-derived matrix </w:t>
                      </w:r>
                    </w:p>
                    <w:p w14:paraId="19402598" w14:textId="77777777" w:rsidR="008A47AC" w:rsidRDefault="008A47AC" w:rsidP="008C21BF">
                      <w:pPr>
                        <w:pStyle w:val="NormalWeb"/>
                        <w:spacing w:after="200" w:line="276" w:lineRule="auto"/>
                        <w:jc w:val="both"/>
                        <w:rPr>
                          <w:rFonts w:ascii="Arial Narrow" w:eastAsia="SimSun" w:hAnsi="Arial Narrow" w:cs="Arial"/>
                          <w:color w:val="595959" w:themeColor="text1" w:themeTint="A6"/>
                          <w:kern w:val="24"/>
                          <w:sz w:val="22"/>
                          <w:szCs w:val="22"/>
                        </w:rPr>
                      </w:pPr>
                      <w:r>
                        <w:rPr>
                          <w:rFonts w:ascii="Arial Narrow" w:eastAsia="SimSun" w:hAnsi="Arial Narrow" w:cs="Arial"/>
                          <w:color w:val="595959" w:themeColor="text1" w:themeTint="A6"/>
                          <w:kern w:val="24"/>
                          <w:sz w:val="22"/>
                          <w:szCs w:val="22"/>
                        </w:rPr>
                        <w:t>Force indentation curves were produced using AFM and the effective Young’s modulus calculated for NOF- and CAF-DM (A)</w:t>
                      </w:r>
                      <w:r w:rsidRPr="00DD166B">
                        <w:rPr>
                          <w:rFonts w:ascii="Arial Narrow" w:eastAsia="SimSun" w:hAnsi="Arial Narrow" w:cs="Arial"/>
                          <w:color w:val="595959" w:themeColor="text1" w:themeTint="A6"/>
                          <w:kern w:val="24"/>
                          <w:sz w:val="22"/>
                          <w:szCs w:val="22"/>
                        </w:rPr>
                        <w:t xml:space="preserve"> </w:t>
                      </w:r>
                      <w:r>
                        <w:rPr>
                          <w:rFonts w:ascii="Arial Narrow" w:eastAsia="SimSun" w:hAnsi="Arial Narrow" w:cs="Arial"/>
                          <w:color w:val="595959" w:themeColor="text1" w:themeTint="A6"/>
                          <w:kern w:val="24"/>
                          <w:sz w:val="22"/>
                          <w:szCs w:val="22"/>
                        </w:rPr>
                        <w:t xml:space="preserve">Data is presented as mean (N=2, n=2). Topographical analysis of CAF-DM show variations in stiffness calculated across the FDM slice (B). Further aspect analysis of the CAF-DM surface indicates the presence of ECM structures and the heterogeneity of stiffness attributed to ECM compositional differences (C). (N=2, n=2). </w:t>
                      </w:r>
                    </w:p>
                  </w:txbxContent>
                </v:textbox>
                <w10:wrap anchorx="margin"/>
              </v:shape>
            </w:pict>
          </mc:Fallback>
        </mc:AlternateContent>
      </w:r>
    </w:p>
    <w:p w14:paraId="65418855" w14:textId="77777777" w:rsidR="008C21BF" w:rsidRPr="008C21BF" w:rsidRDefault="008C21BF" w:rsidP="008C21BF">
      <w:pPr>
        <w:tabs>
          <w:tab w:val="left" w:pos="1350"/>
        </w:tabs>
        <w:spacing w:line="480" w:lineRule="auto"/>
        <w:jc w:val="both"/>
        <w:rPr>
          <w:rFonts w:ascii="Arial" w:hAnsi="Arial" w:cs="Arial"/>
          <w:color w:val="595959" w:themeColor="text1" w:themeTint="A6"/>
        </w:rPr>
      </w:pPr>
    </w:p>
    <w:p w14:paraId="1E1804B7" w14:textId="77777777" w:rsidR="008C21BF" w:rsidRPr="008C21BF" w:rsidRDefault="008C21BF" w:rsidP="008C21BF">
      <w:pPr>
        <w:tabs>
          <w:tab w:val="left" w:pos="1350"/>
        </w:tabs>
        <w:spacing w:line="480" w:lineRule="auto"/>
        <w:jc w:val="both"/>
        <w:rPr>
          <w:rFonts w:ascii="Arial" w:hAnsi="Arial" w:cs="Arial"/>
          <w:color w:val="595959" w:themeColor="text1" w:themeTint="A6"/>
        </w:rPr>
      </w:pPr>
    </w:p>
    <w:p w14:paraId="1A79A02C" w14:textId="77777777" w:rsidR="008C21BF" w:rsidRPr="008C21BF" w:rsidRDefault="008C21BF" w:rsidP="008C21BF">
      <w:pPr>
        <w:rPr>
          <w:rFonts w:ascii="Arial" w:hAnsi="Arial" w:cs="Arial"/>
          <w:color w:val="595959" w:themeColor="text1" w:themeTint="A6"/>
        </w:rPr>
      </w:pPr>
    </w:p>
    <w:p w14:paraId="47027A98" w14:textId="77777777" w:rsidR="008C21BF" w:rsidRPr="008C21BF" w:rsidRDefault="008C21BF" w:rsidP="008C21BF"/>
    <w:p w14:paraId="4526056A" w14:textId="77777777" w:rsidR="008C21BF" w:rsidRPr="008C21BF" w:rsidRDefault="008C21BF" w:rsidP="008C21BF"/>
    <w:p w14:paraId="5EAA986F" w14:textId="77777777" w:rsidR="008C21BF" w:rsidRPr="008C21BF" w:rsidRDefault="008C21BF" w:rsidP="008C21BF"/>
    <w:p w14:paraId="51A6CDDD" w14:textId="77777777" w:rsidR="008C21BF" w:rsidRPr="008C21BF" w:rsidRDefault="008C21BF" w:rsidP="008C21BF"/>
    <w:p w14:paraId="07347493" w14:textId="77777777" w:rsidR="008C21BF" w:rsidRPr="008C21BF" w:rsidRDefault="008C21BF" w:rsidP="003F1583">
      <w:pPr>
        <w:pStyle w:val="Heading4"/>
        <w:rPr>
          <w:rFonts w:ascii="Arial" w:hAnsi="Arial" w:cs="Arial"/>
          <w:i w:val="0"/>
          <w:color w:val="595959" w:themeColor="text1" w:themeTint="A6"/>
          <w:sz w:val="24"/>
          <w:szCs w:val="24"/>
        </w:rPr>
      </w:pPr>
      <w:bookmarkStart w:id="424" w:name="_Toc7678157"/>
      <w:bookmarkStart w:id="425" w:name="_Toc34208432"/>
      <w:r w:rsidRPr="008C21BF">
        <w:rPr>
          <w:rFonts w:ascii="Arial" w:hAnsi="Arial" w:cs="Arial"/>
          <w:color w:val="595959" w:themeColor="text1" w:themeTint="A6"/>
          <w:sz w:val="24"/>
          <w:szCs w:val="24"/>
        </w:rPr>
        <w:lastRenderedPageBreak/>
        <w:t>4.3.2.4 ECM remodelling in fibroblast-derived matrices</w:t>
      </w:r>
      <w:bookmarkEnd w:id="424"/>
      <w:bookmarkEnd w:id="425"/>
    </w:p>
    <w:p w14:paraId="0268E45A" w14:textId="77777777" w:rsidR="008C21BF" w:rsidRPr="008C21BF" w:rsidRDefault="008C21BF" w:rsidP="008C21BF"/>
    <w:p w14:paraId="0D0D05F9" w14:textId="77777777" w:rsidR="008C21BF" w:rsidRPr="008C21BF" w:rsidRDefault="008C21BF" w:rsidP="003F1583">
      <w:pPr>
        <w:pStyle w:val="Heading5"/>
        <w:rPr>
          <w:rFonts w:ascii="Arial" w:hAnsi="Arial" w:cs="Arial"/>
          <w:i/>
          <w:iCs/>
          <w:color w:val="595959" w:themeColor="text1" w:themeTint="A6"/>
        </w:rPr>
      </w:pPr>
      <w:bookmarkStart w:id="426" w:name="_Toc7678158"/>
      <w:bookmarkStart w:id="427" w:name="_Toc34208433"/>
      <w:r w:rsidRPr="008C21BF">
        <w:rPr>
          <w:rFonts w:ascii="Arial" w:hAnsi="Arial" w:cs="Arial"/>
          <w:i/>
          <w:iCs/>
          <w:color w:val="595959" w:themeColor="text1" w:themeTint="A6"/>
        </w:rPr>
        <w:t>4.3.2.4.1 MMP-2 and MMP-9 activity in fibroblast-derived matrices</w:t>
      </w:r>
      <w:bookmarkEnd w:id="426"/>
      <w:bookmarkEnd w:id="427"/>
    </w:p>
    <w:p w14:paraId="47AADA8E" w14:textId="77777777" w:rsidR="008C21BF" w:rsidRPr="008C21BF" w:rsidRDefault="008C21BF" w:rsidP="008C21BF"/>
    <w:p w14:paraId="008F53CB" w14:textId="1C57CBC4" w:rsidR="008C21BF" w:rsidRPr="008C21BF" w:rsidRDefault="008C21BF" w:rsidP="008C21BF">
      <w:pPr>
        <w:tabs>
          <w:tab w:val="left" w:pos="1350"/>
        </w:tabs>
        <w:spacing w:line="480" w:lineRule="auto"/>
        <w:jc w:val="both"/>
        <w:rPr>
          <w:rFonts w:ascii="Arial" w:hAnsi="Arial" w:cs="Arial"/>
          <w:color w:val="595959" w:themeColor="text1" w:themeTint="A6"/>
        </w:rPr>
      </w:pPr>
      <w:r w:rsidRPr="008C21BF">
        <w:rPr>
          <w:rFonts w:ascii="Arial" w:hAnsi="Arial" w:cs="Arial"/>
          <w:color w:val="595959" w:themeColor="text1" w:themeTint="A6"/>
        </w:rPr>
        <w:t xml:space="preserve">In order to establish if FDM are capable of remodelling the ECM </w:t>
      </w:r>
      <w:r w:rsidRPr="008C21BF">
        <w:rPr>
          <w:rFonts w:ascii="Arial" w:hAnsi="Arial" w:cs="Arial"/>
          <w:i/>
          <w:color w:val="595959" w:themeColor="text1" w:themeTint="A6"/>
        </w:rPr>
        <w:t>in vitro</w:t>
      </w:r>
      <w:r w:rsidRPr="008C21BF">
        <w:rPr>
          <w:rFonts w:ascii="Arial" w:hAnsi="Arial" w:cs="Arial"/>
          <w:color w:val="595959" w:themeColor="text1" w:themeTint="A6"/>
        </w:rPr>
        <w:t xml:space="preserve"> a zymography assay was used to measure the activity of two well characterised matrix metalloproteases; MMP-2 and MMP-9</w:t>
      </w:r>
      <w:r w:rsidR="00DC78F1">
        <w:rPr>
          <w:rFonts w:ascii="Arial" w:hAnsi="Arial" w:cs="Arial"/>
          <w:color w:val="595959" w:themeColor="text1" w:themeTint="A6"/>
        </w:rPr>
        <w:t xml:space="preserve"> </w:t>
      </w:r>
      <w:r w:rsidRPr="008C21BF">
        <w:rPr>
          <w:rFonts w:ascii="Arial" w:hAnsi="Arial" w:cs="Arial"/>
          <w:color w:val="595959" w:themeColor="text1" w:themeTint="A6"/>
        </w:rPr>
        <w:t>activity</w:t>
      </w:r>
      <w:r w:rsidR="00DC78F1">
        <w:rPr>
          <w:rFonts w:ascii="Arial" w:hAnsi="Arial" w:cs="Arial"/>
          <w:color w:val="595959" w:themeColor="text1" w:themeTint="A6"/>
        </w:rPr>
        <w:t xml:space="preserve"> was observed</w:t>
      </w:r>
      <w:r w:rsidRPr="008C21BF">
        <w:rPr>
          <w:rFonts w:ascii="Arial" w:hAnsi="Arial" w:cs="Arial"/>
          <w:color w:val="595959" w:themeColor="text1" w:themeTint="A6"/>
        </w:rPr>
        <w:t xml:space="preserve"> in OSCC (Kato </w:t>
      </w:r>
      <w:r w:rsidRPr="008C21BF">
        <w:rPr>
          <w:rFonts w:ascii="Arial" w:hAnsi="Arial" w:cs="Arial"/>
          <w:i/>
          <w:iCs/>
          <w:color w:val="595959" w:themeColor="text1" w:themeTint="A6"/>
        </w:rPr>
        <w:t>et al.,</w:t>
      </w:r>
      <w:r w:rsidRPr="008C21BF">
        <w:rPr>
          <w:rFonts w:ascii="Arial" w:hAnsi="Arial" w:cs="Arial"/>
          <w:color w:val="595959" w:themeColor="text1" w:themeTint="A6"/>
        </w:rPr>
        <w:t xml:space="preserve"> 2005). Gelatin zymography was used to measure MMP-2 and MMP-9 activity in NOF and CAF-DM. Imaging of the gel revealed detectable bands for both MMP-2 and MMP-9 activity from supernatants collected from NOF-and CAF-DM (Figure 4.14 A). The intensity of the MMP bands was quantified further using ImageJ software. </w:t>
      </w:r>
      <w:bookmarkStart w:id="428" w:name="_Hlk536558135"/>
      <w:r w:rsidRPr="008C21BF">
        <w:rPr>
          <w:rFonts w:ascii="Arial" w:hAnsi="Arial" w:cs="Arial"/>
          <w:color w:val="595959" w:themeColor="text1" w:themeTint="A6"/>
        </w:rPr>
        <w:t>No significant difference was observed in MMP-2 activity between the NOF- and CAF-DM (Figure 4.1</w:t>
      </w:r>
      <w:r w:rsidR="00937A47">
        <w:rPr>
          <w:rFonts w:ascii="Arial" w:hAnsi="Arial" w:cs="Arial"/>
          <w:color w:val="595959" w:themeColor="text1" w:themeTint="A6"/>
        </w:rPr>
        <w:t>4</w:t>
      </w:r>
      <w:r w:rsidRPr="008C21BF">
        <w:rPr>
          <w:rFonts w:ascii="Arial" w:hAnsi="Arial" w:cs="Arial"/>
          <w:color w:val="595959" w:themeColor="text1" w:themeTint="A6"/>
        </w:rPr>
        <w:t xml:space="preserve"> B). MMP-9 activity was also observ</w:t>
      </w:r>
      <w:r w:rsidR="00CE467F">
        <w:rPr>
          <w:rFonts w:ascii="Arial" w:hAnsi="Arial" w:cs="Arial"/>
          <w:color w:val="595959" w:themeColor="text1" w:themeTint="A6"/>
        </w:rPr>
        <w:t xml:space="preserve">able </w:t>
      </w:r>
      <w:r w:rsidRPr="008C21BF">
        <w:rPr>
          <w:rFonts w:ascii="Arial" w:hAnsi="Arial" w:cs="Arial"/>
          <w:color w:val="595959" w:themeColor="text1" w:themeTint="A6"/>
        </w:rPr>
        <w:t>from matrices deposited by both cell types</w:t>
      </w:r>
      <w:r w:rsidR="00A40B58">
        <w:rPr>
          <w:rFonts w:ascii="Arial" w:hAnsi="Arial" w:cs="Arial"/>
          <w:color w:val="595959" w:themeColor="text1" w:themeTint="A6"/>
        </w:rPr>
        <w:t>,</w:t>
      </w:r>
      <w:r w:rsidRPr="008C21BF">
        <w:rPr>
          <w:rFonts w:ascii="Arial" w:hAnsi="Arial" w:cs="Arial"/>
          <w:color w:val="595959" w:themeColor="text1" w:themeTint="A6"/>
        </w:rPr>
        <w:t xml:space="preserve"> but these were not significantly different (Figure 4.1</w:t>
      </w:r>
      <w:r w:rsidR="00054CBC">
        <w:rPr>
          <w:rFonts w:ascii="Arial" w:hAnsi="Arial" w:cs="Arial"/>
          <w:color w:val="595959" w:themeColor="text1" w:themeTint="A6"/>
        </w:rPr>
        <w:t>4</w:t>
      </w:r>
      <w:r w:rsidRPr="008C21BF">
        <w:rPr>
          <w:rFonts w:ascii="Arial" w:hAnsi="Arial" w:cs="Arial"/>
          <w:color w:val="595959" w:themeColor="text1" w:themeTint="A6"/>
        </w:rPr>
        <w:t xml:space="preserve"> C). </w:t>
      </w:r>
    </w:p>
    <w:p w14:paraId="158E519D" w14:textId="77777777" w:rsidR="008C21BF" w:rsidRPr="008C21BF" w:rsidRDefault="008C21BF" w:rsidP="008C21BF">
      <w:pPr>
        <w:tabs>
          <w:tab w:val="left" w:pos="1350"/>
        </w:tabs>
        <w:spacing w:line="480" w:lineRule="auto"/>
        <w:jc w:val="both"/>
        <w:rPr>
          <w:rFonts w:ascii="Arial" w:hAnsi="Arial" w:cs="Arial"/>
          <w:color w:val="595959" w:themeColor="text1" w:themeTint="A6"/>
        </w:rPr>
      </w:pPr>
      <w:r w:rsidRPr="008C21BF">
        <w:rPr>
          <w:rFonts w:ascii="Arial" w:hAnsi="Arial" w:cs="Arial"/>
          <w:noProof/>
          <w:color w:val="595959" w:themeColor="text1" w:themeTint="A6"/>
          <w:lang w:eastAsia="zh-CN"/>
        </w:rPr>
        <w:drawing>
          <wp:anchor distT="0" distB="0" distL="114300" distR="114300" simplePos="0" relativeHeight="251658370" behindDoc="0" locked="0" layoutInCell="1" allowOverlap="1" wp14:anchorId="2081FCAA" wp14:editId="34C91C4E">
            <wp:simplePos x="0" y="0"/>
            <wp:positionH relativeFrom="margin">
              <wp:align>right</wp:align>
            </wp:positionH>
            <wp:positionV relativeFrom="paragraph">
              <wp:posOffset>112423</wp:posOffset>
            </wp:positionV>
            <wp:extent cx="5732728" cy="3676015"/>
            <wp:effectExtent l="0" t="0" r="0" b="0"/>
            <wp:wrapNone/>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732728" cy="3676015"/>
                    </a:xfrm>
                    <a:prstGeom prst="rect">
                      <a:avLst/>
                    </a:prstGeom>
                    <a:noFill/>
                  </pic:spPr>
                </pic:pic>
              </a:graphicData>
            </a:graphic>
            <wp14:sizeRelH relativeFrom="page">
              <wp14:pctWidth>0</wp14:pctWidth>
            </wp14:sizeRelH>
            <wp14:sizeRelV relativeFrom="page">
              <wp14:pctHeight>0</wp14:pctHeight>
            </wp14:sizeRelV>
          </wp:anchor>
        </w:drawing>
      </w:r>
    </w:p>
    <w:p w14:paraId="0FDDB6BA" w14:textId="77777777" w:rsidR="008C21BF" w:rsidRPr="008C21BF" w:rsidRDefault="008C21BF" w:rsidP="008C21BF">
      <w:pPr>
        <w:tabs>
          <w:tab w:val="left" w:pos="1350"/>
        </w:tabs>
        <w:spacing w:line="480" w:lineRule="auto"/>
        <w:jc w:val="both"/>
        <w:rPr>
          <w:rFonts w:ascii="Arial" w:hAnsi="Arial" w:cs="Arial"/>
          <w:color w:val="595959" w:themeColor="text1" w:themeTint="A6"/>
        </w:rPr>
      </w:pPr>
    </w:p>
    <w:bookmarkEnd w:id="428"/>
    <w:p w14:paraId="47B7AF83" w14:textId="77777777" w:rsidR="008C21BF" w:rsidRPr="008C21BF" w:rsidRDefault="008C21BF" w:rsidP="008C21BF">
      <w:pPr>
        <w:tabs>
          <w:tab w:val="left" w:pos="1350"/>
        </w:tabs>
        <w:spacing w:line="480" w:lineRule="auto"/>
        <w:jc w:val="both"/>
        <w:rPr>
          <w:rFonts w:ascii="Arial" w:hAnsi="Arial" w:cs="Arial"/>
          <w:color w:val="595959" w:themeColor="text1" w:themeTint="A6"/>
        </w:rPr>
      </w:pPr>
    </w:p>
    <w:p w14:paraId="6CD4FDAE" w14:textId="77777777" w:rsidR="008C21BF" w:rsidRPr="008C21BF" w:rsidRDefault="008C21BF" w:rsidP="008C21BF">
      <w:pPr>
        <w:tabs>
          <w:tab w:val="left" w:pos="1350"/>
        </w:tabs>
        <w:spacing w:line="480" w:lineRule="auto"/>
        <w:jc w:val="both"/>
      </w:pPr>
    </w:p>
    <w:p w14:paraId="4214F080" w14:textId="77777777" w:rsidR="008C21BF" w:rsidRPr="008C21BF" w:rsidRDefault="008C21BF" w:rsidP="008C21BF">
      <w:pPr>
        <w:tabs>
          <w:tab w:val="left" w:pos="1350"/>
        </w:tabs>
        <w:spacing w:line="480" w:lineRule="auto"/>
        <w:jc w:val="both"/>
        <w:rPr>
          <w:rFonts w:ascii="Arial" w:hAnsi="Arial" w:cs="Arial"/>
          <w:color w:val="595959" w:themeColor="text1" w:themeTint="A6"/>
        </w:rPr>
      </w:pPr>
    </w:p>
    <w:p w14:paraId="385B34BE" w14:textId="77777777" w:rsidR="008C21BF" w:rsidRPr="008C21BF" w:rsidRDefault="008C21BF" w:rsidP="008C21BF">
      <w:pPr>
        <w:tabs>
          <w:tab w:val="left" w:pos="1350"/>
        </w:tabs>
        <w:spacing w:line="480" w:lineRule="auto"/>
        <w:jc w:val="both"/>
        <w:rPr>
          <w:rFonts w:ascii="Arial" w:hAnsi="Arial" w:cs="Arial"/>
          <w:color w:val="595959" w:themeColor="text1" w:themeTint="A6"/>
        </w:rPr>
      </w:pPr>
    </w:p>
    <w:p w14:paraId="1E03397D" w14:textId="77777777" w:rsidR="008C21BF" w:rsidRPr="008C21BF" w:rsidRDefault="008C21BF" w:rsidP="008C21BF">
      <w:pPr>
        <w:tabs>
          <w:tab w:val="left" w:pos="1350"/>
        </w:tabs>
        <w:spacing w:line="480" w:lineRule="auto"/>
        <w:jc w:val="both"/>
        <w:rPr>
          <w:rFonts w:ascii="Arial" w:hAnsi="Arial" w:cs="Arial"/>
          <w:color w:val="595959" w:themeColor="text1" w:themeTint="A6"/>
        </w:rPr>
      </w:pPr>
    </w:p>
    <w:p w14:paraId="7CC1296D" w14:textId="77777777" w:rsidR="008C21BF" w:rsidRPr="008C21BF" w:rsidRDefault="008C21BF" w:rsidP="008C21BF">
      <w:pPr>
        <w:tabs>
          <w:tab w:val="left" w:pos="1350"/>
        </w:tabs>
        <w:spacing w:line="480" w:lineRule="auto"/>
        <w:jc w:val="both"/>
        <w:rPr>
          <w:rFonts w:ascii="Arial" w:hAnsi="Arial" w:cs="Arial"/>
          <w:noProof/>
          <w:color w:val="595959" w:themeColor="text1" w:themeTint="A6"/>
          <w:lang w:eastAsia="zh-CN"/>
        </w:rPr>
      </w:pPr>
      <w:r w:rsidRPr="008C21BF">
        <w:rPr>
          <w:rFonts w:ascii="Arial" w:hAnsi="Arial" w:cs="Arial"/>
          <w:noProof/>
          <w:color w:val="595959" w:themeColor="text1" w:themeTint="A6"/>
          <w:sz w:val="24"/>
          <w:szCs w:val="24"/>
          <w:lang w:eastAsia="zh-CN"/>
        </w:rPr>
        <mc:AlternateContent>
          <mc:Choice Requires="wps">
            <w:drawing>
              <wp:anchor distT="0" distB="0" distL="114300" distR="114300" simplePos="0" relativeHeight="251658348" behindDoc="0" locked="0" layoutInCell="1" allowOverlap="1" wp14:anchorId="25387366" wp14:editId="224FA505">
                <wp:simplePos x="0" y="0"/>
                <wp:positionH relativeFrom="margin">
                  <wp:align>right</wp:align>
                </wp:positionH>
                <wp:positionV relativeFrom="paragraph">
                  <wp:posOffset>7553739</wp:posOffset>
                </wp:positionV>
                <wp:extent cx="5724939" cy="1294765"/>
                <wp:effectExtent l="0" t="0" r="9525" b="635"/>
                <wp:wrapNone/>
                <wp:docPr id="2100" name="Text Box 2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939" cy="1294765"/>
                        </a:xfrm>
                        <a:prstGeom prst="rect">
                          <a:avLst/>
                        </a:prstGeom>
                        <a:solidFill>
                          <a:srgbClr val="FFFFFF"/>
                        </a:solidFill>
                        <a:ln w="9525">
                          <a:noFill/>
                          <a:miter lim="800000"/>
                          <a:headEnd/>
                          <a:tailEnd/>
                        </a:ln>
                      </wps:spPr>
                      <wps:txbx>
                        <w:txbxContent>
                          <w:p w14:paraId="08D9EF0A" w14:textId="77777777" w:rsidR="008A47AC" w:rsidRPr="006B7937" w:rsidRDefault="008A47AC" w:rsidP="008C21BF">
                            <w:pPr>
                              <w:pStyle w:val="Caption"/>
                              <w:keepNext/>
                              <w:jc w:val="both"/>
                              <w:rPr>
                                <w:rFonts w:ascii="Arial Narrow" w:hAnsi="Arial Narrow"/>
                                <w:b/>
                                <w:i w:val="0"/>
                                <w:sz w:val="24"/>
                                <w:szCs w:val="24"/>
                              </w:rPr>
                            </w:pPr>
                            <w:r w:rsidRPr="006B7937">
                              <w:rPr>
                                <w:rFonts w:ascii="Arial Narrow" w:hAnsi="Arial Narrow"/>
                                <w:b/>
                                <w:i w:val="0"/>
                                <w:color w:val="595959" w:themeColor="text1" w:themeTint="A6"/>
                                <w:sz w:val="24"/>
                                <w:szCs w:val="24"/>
                              </w:rPr>
                              <w:t xml:space="preserve">Figure </w:t>
                            </w:r>
                            <w:r>
                              <w:rPr>
                                <w:rFonts w:ascii="Arial Narrow" w:hAnsi="Arial Narrow"/>
                                <w:b/>
                                <w:i w:val="0"/>
                                <w:color w:val="595959" w:themeColor="text1" w:themeTint="A6"/>
                                <w:sz w:val="24"/>
                                <w:szCs w:val="24"/>
                              </w:rPr>
                              <w:t xml:space="preserve">4.13 MMP-2 and -9 activity by gelatin zymography </w:t>
                            </w:r>
                          </w:p>
                          <w:p w14:paraId="2BB41A7E" w14:textId="77777777" w:rsidR="008A47AC" w:rsidRDefault="008A47AC" w:rsidP="008C21BF">
                            <w:pPr>
                              <w:pStyle w:val="NormalWeb"/>
                              <w:spacing w:after="200" w:line="276" w:lineRule="auto"/>
                              <w:jc w:val="both"/>
                              <w:rPr>
                                <w:rFonts w:ascii="Arial Narrow" w:eastAsia="SimSun" w:hAnsi="Arial Narrow" w:cs="Arial"/>
                                <w:color w:val="595959" w:themeColor="text1" w:themeTint="A6"/>
                                <w:kern w:val="24"/>
                                <w:sz w:val="22"/>
                                <w:szCs w:val="22"/>
                              </w:rPr>
                            </w:pPr>
                            <w:r>
                              <w:rPr>
                                <w:rFonts w:ascii="Arial Narrow" w:eastAsia="SimSun" w:hAnsi="Arial Narrow" w:cs="Arial"/>
                                <w:color w:val="595959" w:themeColor="text1" w:themeTint="A6"/>
                                <w:kern w:val="24"/>
                                <w:sz w:val="22"/>
                                <w:szCs w:val="22"/>
                              </w:rPr>
                              <w:t xml:space="preserve"> Detection of MMP-2 and MMP-2 activity was confirmed by the presence of white bands at specific molecular weights in FDM using gelatin zymography (A). Quantification of MMP activity by densitometry revealed NOF-DM expressed higher levels of MMP-2 than CAF-DM (B). MMP-9 activity was elevated in CAF-DM compared to NOF-DM. Densitometry was relative to recombinant protein control band.  (N=2, n=2).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387366" id="Text Box 2100" o:spid="_x0000_s1166" type="#_x0000_t202" style="position:absolute;left:0;text-align:left;margin-left:399.6pt;margin-top:594.8pt;width:450.8pt;height:101.95pt;z-index:2516583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" stroked="f">
                <v:textbox>
                  <w:txbxContent>
                    <w:p w14:paraId="08D9EF0A" w14:textId="77777777" w:rsidR="008A47AC" w:rsidRPr="006B7937" w:rsidRDefault="008A47AC" w:rsidP="008C21BF">
                      <w:pPr>
                        <w:pStyle w:val="Caption"/>
                        <w:keepNext/>
                        <w:jc w:val="both"/>
                        <w:rPr>
                          <w:rFonts w:ascii="Arial Narrow" w:hAnsi="Arial Narrow"/>
                          <w:b/>
                          <w:i w:val="0"/>
                          <w:sz w:val="24"/>
                          <w:szCs w:val="24"/>
                        </w:rPr>
                      </w:pPr>
                      <w:r w:rsidRPr="006B7937">
                        <w:rPr>
                          <w:rFonts w:ascii="Arial Narrow" w:hAnsi="Arial Narrow"/>
                          <w:b/>
                          <w:i w:val="0"/>
                          <w:color w:val="595959" w:themeColor="text1" w:themeTint="A6"/>
                          <w:sz w:val="24"/>
                          <w:szCs w:val="24"/>
                        </w:rPr>
                        <w:t xml:space="preserve">Figure </w:t>
                      </w:r>
                      <w:r>
                        <w:rPr>
                          <w:rFonts w:ascii="Arial Narrow" w:hAnsi="Arial Narrow"/>
                          <w:b/>
                          <w:i w:val="0"/>
                          <w:color w:val="595959" w:themeColor="text1" w:themeTint="A6"/>
                          <w:sz w:val="24"/>
                          <w:szCs w:val="24"/>
                        </w:rPr>
                        <w:t xml:space="preserve">4.13 MMP-2 and -9 activity by gelatin zymography </w:t>
                      </w:r>
                    </w:p>
                    <w:p w14:paraId="2BB41A7E" w14:textId="77777777" w:rsidR="008A47AC" w:rsidRDefault="008A47AC" w:rsidP="008C21BF">
                      <w:pPr>
                        <w:pStyle w:val="NormalWeb"/>
                        <w:spacing w:after="200" w:line="276" w:lineRule="auto"/>
                        <w:jc w:val="both"/>
                        <w:rPr>
                          <w:rFonts w:ascii="Arial Narrow" w:eastAsia="SimSun" w:hAnsi="Arial Narrow" w:cs="Arial"/>
                          <w:color w:val="595959" w:themeColor="text1" w:themeTint="A6"/>
                          <w:kern w:val="24"/>
                          <w:sz w:val="22"/>
                          <w:szCs w:val="22"/>
                        </w:rPr>
                      </w:pPr>
                      <w:r>
                        <w:rPr>
                          <w:rFonts w:ascii="Arial Narrow" w:eastAsia="SimSun" w:hAnsi="Arial Narrow" w:cs="Arial"/>
                          <w:color w:val="595959" w:themeColor="text1" w:themeTint="A6"/>
                          <w:kern w:val="24"/>
                          <w:sz w:val="22"/>
                          <w:szCs w:val="22"/>
                        </w:rPr>
                        <w:t xml:space="preserve"> Detection of MMP-2 and MMP-2 activity was confirmed by the presence of white bands at specific molecular weights in FDM using </w:t>
                      </w:r>
                      <w:proofErr w:type="spellStart"/>
                      <w:r>
                        <w:rPr>
                          <w:rFonts w:ascii="Arial Narrow" w:eastAsia="SimSun" w:hAnsi="Arial Narrow" w:cs="Arial"/>
                          <w:color w:val="595959" w:themeColor="text1" w:themeTint="A6"/>
                          <w:kern w:val="24"/>
                          <w:sz w:val="22"/>
                          <w:szCs w:val="22"/>
                        </w:rPr>
                        <w:t>gelatin</w:t>
                      </w:r>
                      <w:proofErr w:type="spellEnd"/>
                      <w:r>
                        <w:rPr>
                          <w:rFonts w:ascii="Arial Narrow" w:eastAsia="SimSun" w:hAnsi="Arial Narrow" w:cs="Arial"/>
                          <w:color w:val="595959" w:themeColor="text1" w:themeTint="A6"/>
                          <w:kern w:val="24"/>
                          <w:sz w:val="22"/>
                          <w:szCs w:val="22"/>
                        </w:rPr>
                        <w:t xml:space="preserve"> zymography (A). Quantification of MMP activity by densitometry revealed NOF-DM expressed higher levels of MMP-2 than CAF-DM (B). MMP-9 activity was elevated in CAF-DM compared to NOF-DM. Densitometry was relative to recombinant protein control band.  (N=2, n=2).</w:t>
                      </w:r>
                    </w:p>
                  </w:txbxContent>
                </v:textbox>
                <w10:wrap anchorx="margin"/>
              </v:shape>
            </w:pict>
          </mc:Fallback>
        </mc:AlternateContent>
      </w:r>
      <w:bookmarkStart w:id="429" w:name="_Toc7678159"/>
    </w:p>
    <w:p w14:paraId="195F4392" w14:textId="0FDBEDE8" w:rsidR="008C21BF" w:rsidRPr="008C21BF" w:rsidRDefault="008C21BF" w:rsidP="008C21BF">
      <w:pPr>
        <w:tabs>
          <w:tab w:val="left" w:pos="1350"/>
        </w:tabs>
        <w:spacing w:line="480" w:lineRule="auto"/>
        <w:jc w:val="both"/>
        <w:rPr>
          <w:rFonts w:ascii="Arial" w:hAnsi="Arial" w:cs="Arial"/>
          <w:noProof/>
          <w:color w:val="595959" w:themeColor="text1" w:themeTint="A6"/>
          <w:lang w:eastAsia="zh-CN"/>
        </w:rPr>
      </w:pPr>
    </w:p>
    <w:p w14:paraId="76AFED03" w14:textId="03428885" w:rsidR="008C21BF" w:rsidRPr="008C21BF" w:rsidRDefault="00CE467F" w:rsidP="008C21BF">
      <w:pPr>
        <w:tabs>
          <w:tab w:val="left" w:pos="1350"/>
        </w:tabs>
        <w:spacing w:line="480" w:lineRule="auto"/>
        <w:jc w:val="both"/>
        <w:rPr>
          <w:rFonts w:ascii="Arial" w:hAnsi="Arial" w:cs="Arial"/>
          <w:noProof/>
          <w:color w:val="595959" w:themeColor="text1" w:themeTint="A6"/>
          <w:lang w:eastAsia="zh-CN"/>
        </w:rPr>
      </w:pPr>
      <w:r w:rsidRPr="008C21BF">
        <w:rPr>
          <w:rFonts w:ascii="Arial" w:hAnsi="Arial" w:cs="Arial"/>
          <w:noProof/>
          <w:color w:val="595959" w:themeColor="text1" w:themeTint="A6"/>
          <w:sz w:val="24"/>
          <w:szCs w:val="24"/>
          <w:lang w:eastAsia="zh-CN"/>
        </w:rPr>
        <mc:AlternateContent>
          <mc:Choice Requires="wps">
            <w:drawing>
              <wp:anchor distT="0" distB="0" distL="114300" distR="114300" simplePos="0" relativeHeight="251658371" behindDoc="0" locked="0" layoutInCell="1" allowOverlap="1" wp14:anchorId="53931489" wp14:editId="647A6BA2">
                <wp:simplePos x="0" y="0"/>
                <wp:positionH relativeFrom="margin">
                  <wp:align>left</wp:align>
                </wp:positionH>
                <wp:positionV relativeFrom="paragraph">
                  <wp:posOffset>30480</wp:posOffset>
                </wp:positionV>
                <wp:extent cx="5734050" cy="1067435"/>
                <wp:effectExtent l="0" t="0" r="0" b="0"/>
                <wp:wrapNone/>
                <wp:docPr id="21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1067435"/>
                        </a:xfrm>
                        <a:prstGeom prst="rect">
                          <a:avLst/>
                        </a:prstGeom>
                        <a:solidFill>
                          <a:srgbClr val="FFFFFF"/>
                        </a:solidFill>
                        <a:ln w="9525">
                          <a:noFill/>
                          <a:miter lim="800000"/>
                          <a:headEnd/>
                          <a:tailEnd/>
                        </a:ln>
                      </wps:spPr>
                      <wps:txbx>
                        <w:txbxContent>
                          <w:p w14:paraId="5464871E" w14:textId="797D984E" w:rsidR="008A47AC" w:rsidRDefault="008A47AC" w:rsidP="008C21BF">
                            <w:pPr>
                              <w:pStyle w:val="Caption"/>
                              <w:keepNext/>
                              <w:jc w:val="both"/>
                              <w:rPr>
                                <w:rFonts w:ascii="Arial Narrow" w:hAnsi="Arial Narrow"/>
                                <w:b/>
                                <w:i w:val="0"/>
                                <w:color w:val="595959" w:themeColor="text1" w:themeTint="A6"/>
                                <w:sz w:val="24"/>
                                <w:szCs w:val="24"/>
                              </w:rPr>
                            </w:pPr>
                            <w:r w:rsidRPr="006B7937">
                              <w:rPr>
                                <w:rFonts w:ascii="Arial Narrow" w:hAnsi="Arial Narrow"/>
                                <w:b/>
                                <w:i w:val="0"/>
                                <w:color w:val="595959" w:themeColor="text1" w:themeTint="A6"/>
                                <w:sz w:val="24"/>
                                <w:szCs w:val="24"/>
                              </w:rPr>
                              <w:t xml:space="preserve">Figure </w:t>
                            </w:r>
                            <w:r>
                              <w:rPr>
                                <w:rFonts w:ascii="Arial Narrow" w:hAnsi="Arial Narrow"/>
                                <w:b/>
                                <w:i w:val="0"/>
                                <w:color w:val="595959" w:themeColor="text1" w:themeTint="A6"/>
                                <w:sz w:val="24"/>
                                <w:szCs w:val="24"/>
                              </w:rPr>
                              <w:t>4.14 MMP-2 and -9 activity in FDM</w:t>
                            </w:r>
                          </w:p>
                          <w:p w14:paraId="2FA0714D" w14:textId="77777777" w:rsidR="008A47AC" w:rsidRPr="00DB75AE" w:rsidRDefault="008A47AC" w:rsidP="008C21BF">
                            <w:pPr>
                              <w:spacing w:line="240" w:lineRule="auto"/>
                              <w:jc w:val="both"/>
                              <w:rPr>
                                <w:rFonts w:ascii="Arial Narrow" w:hAnsi="Arial Narrow"/>
                                <w:color w:val="404040" w:themeColor="text1" w:themeTint="BF"/>
                              </w:rPr>
                            </w:pPr>
                            <w:r>
                              <w:rPr>
                                <w:rFonts w:ascii="Arial Narrow" w:hAnsi="Arial Narrow"/>
                                <w:color w:val="404040" w:themeColor="text1" w:themeTint="BF"/>
                              </w:rPr>
                              <w:t xml:space="preserve">Detection of MMP-2 and MMP-9 activity confirmed by the presence of white bands at specific molecular weights in FDM using gelatin zymography (A). </w:t>
                            </w:r>
                            <w:r w:rsidRPr="00DB75AE">
                              <w:rPr>
                                <w:rFonts w:ascii="Arial Narrow" w:hAnsi="Arial Narrow"/>
                                <w:color w:val="404040" w:themeColor="text1" w:themeTint="BF"/>
                              </w:rPr>
                              <w:t>Densitometry of the resultant bands were measured using ImageJ</w:t>
                            </w:r>
                            <w:r>
                              <w:rPr>
                                <w:rFonts w:ascii="Arial Narrow" w:hAnsi="Arial Narrow"/>
                                <w:color w:val="404040" w:themeColor="text1" w:themeTint="BF"/>
                              </w:rPr>
                              <w:t xml:space="preserve"> for MMP-2 (B) and MMP-9 (C). </w:t>
                            </w:r>
                            <w:r w:rsidRPr="00DB75AE">
                              <w:rPr>
                                <w:rFonts w:ascii="Arial Narrow" w:hAnsi="Arial Narrow"/>
                                <w:color w:val="404040" w:themeColor="text1" w:themeTint="BF"/>
                              </w:rPr>
                              <w:t xml:space="preserve">Data is expressed as relative fold change, with mean ± SD, N=3, n=2, as </w:t>
                            </w:r>
                            <w:r>
                              <w:rPr>
                                <w:rFonts w:ascii="Arial Narrow" w:hAnsi="Arial Narrow"/>
                                <w:color w:val="404040" w:themeColor="text1" w:themeTint="BF"/>
                              </w:rPr>
                              <w:t>analysed by unpaired Student’s T-test.</w:t>
                            </w:r>
                          </w:p>
                          <w:p w14:paraId="392763ED" w14:textId="77777777" w:rsidR="008A47AC" w:rsidRPr="00805597" w:rsidRDefault="008A47AC" w:rsidP="008C21BF">
                            <w:pPr>
                              <w:pStyle w:val="Caption"/>
                              <w:keepNext/>
                              <w:spacing w:line="276" w:lineRule="auto"/>
                              <w:jc w:val="both"/>
                              <w:rPr>
                                <w:rFonts w:ascii="Arial Narrow" w:hAnsi="Arial Narrow"/>
                                <w:b/>
                                <w:i w:val="0"/>
                                <w:iCs w:val="0"/>
                                <w:color w:val="595959" w:themeColor="text1" w:themeTint="A6"/>
                                <w:sz w:val="36"/>
                                <w:szCs w:val="3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931489" id="_x0000_s1167" type="#_x0000_t202" style="position:absolute;left:0;text-align:left;margin-left:0;margin-top:2.4pt;width:451.5pt;height:84.05pt;z-index:251658371;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" stroked="f">
                <v:textbox>
                  <w:txbxContent>
                    <w:p w14:paraId="5464871E" w14:textId="797D984E" w:rsidR="008A47AC" w:rsidRDefault="008A47AC" w:rsidP="008C21BF">
                      <w:pPr>
                        <w:pStyle w:val="Caption"/>
                        <w:keepNext/>
                        <w:jc w:val="both"/>
                        <w:rPr>
                          <w:rFonts w:ascii="Arial Narrow" w:hAnsi="Arial Narrow"/>
                          <w:b/>
                          <w:i w:val="0"/>
                          <w:color w:val="595959" w:themeColor="text1" w:themeTint="A6"/>
                          <w:sz w:val="24"/>
                          <w:szCs w:val="24"/>
                        </w:rPr>
                      </w:pPr>
                      <w:r w:rsidRPr="006B7937">
                        <w:rPr>
                          <w:rFonts w:ascii="Arial Narrow" w:hAnsi="Arial Narrow"/>
                          <w:b/>
                          <w:i w:val="0"/>
                          <w:color w:val="595959" w:themeColor="text1" w:themeTint="A6"/>
                          <w:sz w:val="24"/>
                          <w:szCs w:val="24"/>
                        </w:rPr>
                        <w:t xml:space="preserve">Figure </w:t>
                      </w:r>
                      <w:r>
                        <w:rPr>
                          <w:rFonts w:ascii="Arial Narrow" w:hAnsi="Arial Narrow"/>
                          <w:b/>
                          <w:i w:val="0"/>
                          <w:color w:val="595959" w:themeColor="text1" w:themeTint="A6"/>
                          <w:sz w:val="24"/>
                          <w:szCs w:val="24"/>
                        </w:rPr>
                        <w:t>4.14 MMP-2 and -9 activity in FDM</w:t>
                      </w:r>
                    </w:p>
                    <w:p w14:paraId="2FA0714D" w14:textId="77777777" w:rsidR="008A47AC" w:rsidRPr="00DB75AE" w:rsidRDefault="008A47AC" w:rsidP="008C21BF">
                      <w:pPr>
                        <w:spacing w:line="240" w:lineRule="auto"/>
                        <w:jc w:val="both"/>
                        <w:rPr>
                          <w:rFonts w:ascii="Arial Narrow" w:hAnsi="Arial Narrow"/>
                          <w:color w:val="404040" w:themeColor="text1" w:themeTint="BF"/>
                        </w:rPr>
                      </w:pPr>
                      <w:r>
                        <w:rPr>
                          <w:rFonts w:ascii="Arial Narrow" w:hAnsi="Arial Narrow"/>
                          <w:color w:val="404040" w:themeColor="text1" w:themeTint="BF"/>
                        </w:rPr>
                        <w:t xml:space="preserve">Detection of MMP-2 and MMP-9 activity confirmed by the presence of white bands at specific molecular weights in FDM using </w:t>
                      </w:r>
                      <w:proofErr w:type="spellStart"/>
                      <w:r>
                        <w:rPr>
                          <w:rFonts w:ascii="Arial Narrow" w:hAnsi="Arial Narrow"/>
                          <w:color w:val="404040" w:themeColor="text1" w:themeTint="BF"/>
                        </w:rPr>
                        <w:t>gelatin</w:t>
                      </w:r>
                      <w:proofErr w:type="spellEnd"/>
                      <w:r>
                        <w:rPr>
                          <w:rFonts w:ascii="Arial Narrow" w:hAnsi="Arial Narrow"/>
                          <w:color w:val="404040" w:themeColor="text1" w:themeTint="BF"/>
                        </w:rPr>
                        <w:t xml:space="preserve"> zymography (A). </w:t>
                      </w:r>
                      <w:r w:rsidRPr="00DB75AE">
                        <w:rPr>
                          <w:rFonts w:ascii="Arial Narrow" w:hAnsi="Arial Narrow"/>
                          <w:color w:val="404040" w:themeColor="text1" w:themeTint="BF"/>
                        </w:rPr>
                        <w:t>Densitometry of the resultant bands were measured using ImageJ</w:t>
                      </w:r>
                      <w:r>
                        <w:rPr>
                          <w:rFonts w:ascii="Arial Narrow" w:hAnsi="Arial Narrow"/>
                          <w:color w:val="404040" w:themeColor="text1" w:themeTint="BF"/>
                        </w:rPr>
                        <w:t xml:space="preserve"> for MMP-2 (B) and MMP-9 (C). </w:t>
                      </w:r>
                      <w:r w:rsidRPr="00DB75AE">
                        <w:rPr>
                          <w:rFonts w:ascii="Arial Narrow" w:hAnsi="Arial Narrow"/>
                          <w:color w:val="404040" w:themeColor="text1" w:themeTint="BF"/>
                        </w:rPr>
                        <w:t xml:space="preserve">Data is expressed as relative fold change, with mean ± SD, N=3, n=2, as </w:t>
                      </w:r>
                      <w:r>
                        <w:rPr>
                          <w:rFonts w:ascii="Arial Narrow" w:hAnsi="Arial Narrow"/>
                          <w:color w:val="404040" w:themeColor="text1" w:themeTint="BF"/>
                        </w:rPr>
                        <w:t>analysed by unpaired Student’s T-test.</w:t>
                      </w:r>
                    </w:p>
                    <w:p w14:paraId="392763ED" w14:textId="77777777" w:rsidR="008A47AC" w:rsidRPr="00805597" w:rsidRDefault="008A47AC" w:rsidP="008C21BF">
                      <w:pPr>
                        <w:pStyle w:val="Caption"/>
                        <w:keepNext/>
                        <w:spacing w:line="276" w:lineRule="auto"/>
                        <w:jc w:val="both"/>
                        <w:rPr>
                          <w:rFonts w:ascii="Arial Narrow" w:hAnsi="Arial Narrow"/>
                          <w:b/>
                          <w:i w:val="0"/>
                          <w:iCs w:val="0"/>
                          <w:color w:val="595959" w:themeColor="text1" w:themeTint="A6"/>
                          <w:sz w:val="36"/>
                          <w:szCs w:val="36"/>
                        </w:rPr>
                      </w:pPr>
                    </w:p>
                  </w:txbxContent>
                </v:textbox>
                <w10:wrap anchorx="margin"/>
              </v:shape>
            </w:pict>
          </mc:Fallback>
        </mc:AlternateContent>
      </w:r>
    </w:p>
    <w:p w14:paraId="5624760A" w14:textId="77777777" w:rsidR="008C21BF" w:rsidRPr="008C21BF" w:rsidRDefault="008C21BF" w:rsidP="008C21BF">
      <w:pPr>
        <w:tabs>
          <w:tab w:val="left" w:pos="1350"/>
        </w:tabs>
        <w:spacing w:line="480" w:lineRule="auto"/>
        <w:jc w:val="both"/>
        <w:rPr>
          <w:rFonts w:ascii="Arial" w:hAnsi="Arial" w:cs="Arial"/>
          <w:noProof/>
          <w:color w:val="595959" w:themeColor="text1" w:themeTint="A6"/>
          <w:lang w:eastAsia="zh-CN"/>
        </w:rPr>
      </w:pPr>
    </w:p>
    <w:p w14:paraId="4FD1317A" w14:textId="77777777" w:rsidR="008C21BF" w:rsidRPr="008C21BF" w:rsidRDefault="008C21BF" w:rsidP="008C21BF">
      <w:pPr>
        <w:tabs>
          <w:tab w:val="left" w:pos="1350"/>
        </w:tabs>
        <w:spacing w:line="480" w:lineRule="auto"/>
        <w:jc w:val="both"/>
        <w:rPr>
          <w:rFonts w:ascii="Arial" w:hAnsi="Arial" w:cs="Arial"/>
          <w:noProof/>
          <w:color w:val="595959" w:themeColor="text1" w:themeTint="A6"/>
          <w:lang w:eastAsia="zh-CN"/>
        </w:rPr>
      </w:pPr>
    </w:p>
    <w:p w14:paraId="708EBF7C" w14:textId="42712715" w:rsidR="004214B5" w:rsidRPr="004214B5" w:rsidRDefault="008C21BF" w:rsidP="004214B5">
      <w:pPr>
        <w:pStyle w:val="Heading4"/>
        <w:spacing w:line="480" w:lineRule="auto"/>
        <w:jc w:val="both"/>
        <w:rPr>
          <w:rFonts w:ascii="Arial" w:hAnsi="Arial" w:cs="Arial"/>
          <w:bCs/>
          <w:color w:val="595959" w:themeColor="text1" w:themeTint="A6"/>
        </w:rPr>
      </w:pPr>
      <w:bookmarkStart w:id="430" w:name="_Toc34208434"/>
      <w:r w:rsidRPr="008C21BF">
        <w:rPr>
          <w:rFonts w:ascii="Arial" w:hAnsi="Arial" w:cs="Arial"/>
          <w:bCs/>
          <w:color w:val="595959" w:themeColor="text1" w:themeTint="A6"/>
        </w:rPr>
        <w:lastRenderedPageBreak/>
        <w:t>4.3.2.5 Investigation of the effects of stromal targeting drugs on oral fibroblast-derived matrices</w:t>
      </w:r>
      <w:bookmarkEnd w:id="430"/>
      <w:r w:rsidRPr="008C21BF">
        <w:rPr>
          <w:rFonts w:ascii="Arial" w:hAnsi="Arial" w:cs="Arial"/>
          <w:bCs/>
          <w:color w:val="595959" w:themeColor="text1" w:themeTint="A6"/>
        </w:rPr>
        <w:t xml:space="preserve"> </w:t>
      </w:r>
    </w:p>
    <w:p w14:paraId="415358A0" w14:textId="31D45775" w:rsidR="008C21BF" w:rsidRPr="00E659AF" w:rsidRDefault="007E1FDE" w:rsidP="008C21BF">
      <w:pPr>
        <w:tabs>
          <w:tab w:val="left" w:pos="1350"/>
        </w:tabs>
        <w:spacing w:line="480" w:lineRule="auto"/>
        <w:jc w:val="both"/>
        <w:rPr>
          <w:rFonts w:ascii="Arial" w:hAnsi="Arial" w:cs="Arial"/>
          <w:bCs/>
          <w:color w:val="595959" w:themeColor="text1" w:themeTint="A6"/>
        </w:rPr>
      </w:pPr>
      <w:r w:rsidRPr="00E659AF">
        <w:rPr>
          <w:rFonts w:ascii="Arial" w:hAnsi="Arial" w:cs="Arial"/>
          <w:color w:val="595959" w:themeColor="text1" w:themeTint="A6"/>
        </w:rPr>
        <w:t xml:space="preserve">After </w:t>
      </w:r>
      <w:r w:rsidR="00460AD3" w:rsidRPr="00E659AF">
        <w:rPr>
          <w:rFonts w:ascii="Arial" w:hAnsi="Arial" w:cs="Arial"/>
          <w:color w:val="595959" w:themeColor="text1" w:themeTint="A6"/>
        </w:rPr>
        <w:t xml:space="preserve">showing efficacy in 2D, Scriptaid and Batimastat </w:t>
      </w:r>
      <w:r w:rsidR="00C85A76">
        <w:rPr>
          <w:rFonts w:ascii="Arial" w:hAnsi="Arial" w:cs="Arial"/>
          <w:color w:val="595959" w:themeColor="text1" w:themeTint="A6"/>
        </w:rPr>
        <w:t>treatment</w:t>
      </w:r>
      <w:r w:rsidR="00E659AF" w:rsidRPr="00E659AF">
        <w:rPr>
          <w:rFonts w:ascii="Arial" w:hAnsi="Arial" w:cs="Arial"/>
          <w:color w:val="595959" w:themeColor="text1" w:themeTint="A6"/>
        </w:rPr>
        <w:t xml:space="preserve"> </w:t>
      </w:r>
      <w:r w:rsidR="00E659AF">
        <w:rPr>
          <w:rFonts w:ascii="Arial" w:hAnsi="Arial" w:cs="Arial"/>
          <w:color w:val="595959" w:themeColor="text1" w:themeTint="A6"/>
        </w:rPr>
        <w:t xml:space="preserve">analysed </w:t>
      </w:r>
      <w:r w:rsidR="00922EF5">
        <w:rPr>
          <w:rFonts w:ascii="Arial" w:hAnsi="Arial" w:cs="Arial"/>
          <w:color w:val="595959" w:themeColor="text1" w:themeTint="A6"/>
        </w:rPr>
        <w:t>o</w:t>
      </w:r>
      <w:r w:rsidR="00E659AF">
        <w:rPr>
          <w:rFonts w:ascii="Arial" w:hAnsi="Arial" w:cs="Arial"/>
          <w:color w:val="595959" w:themeColor="text1" w:themeTint="A6"/>
        </w:rPr>
        <w:t xml:space="preserve">n </w:t>
      </w:r>
      <w:r w:rsidR="004214B5" w:rsidRPr="00E659AF">
        <w:rPr>
          <w:rFonts w:ascii="Arial" w:hAnsi="Arial" w:cs="Arial"/>
          <w:color w:val="595959" w:themeColor="text1" w:themeTint="A6"/>
        </w:rPr>
        <w:t>FDM</w:t>
      </w:r>
      <w:r w:rsidR="00794CB1">
        <w:rPr>
          <w:rFonts w:ascii="Arial" w:hAnsi="Arial" w:cs="Arial"/>
          <w:color w:val="595959" w:themeColor="text1" w:themeTint="A6"/>
        </w:rPr>
        <w:t xml:space="preserve">, to assess </w:t>
      </w:r>
      <w:r w:rsidR="008C21BF" w:rsidRPr="00E659AF">
        <w:rPr>
          <w:rFonts w:ascii="Arial" w:hAnsi="Arial" w:cs="Arial"/>
          <w:color w:val="595959" w:themeColor="text1" w:themeTint="A6"/>
        </w:rPr>
        <w:t>their</w:t>
      </w:r>
      <w:r w:rsidR="00794CB1">
        <w:rPr>
          <w:rFonts w:ascii="Arial" w:hAnsi="Arial" w:cs="Arial"/>
          <w:color w:val="595959" w:themeColor="text1" w:themeTint="A6"/>
        </w:rPr>
        <w:t xml:space="preserve"> potential</w:t>
      </w:r>
      <w:r w:rsidR="008C21BF" w:rsidRPr="00E659AF">
        <w:rPr>
          <w:rFonts w:ascii="Arial" w:hAnsi="Arial" w:cs="Arial"/>
          <w:color w:val="595959" w:themeColor="text1" w:themeTint="A6"/>
        </w:rPr>
        <w:t xml:space="preserve"> use as drug </w:t>
      </w:r>
      <w:r w:rsidR="00087BCF" w:rsidRPr="00E659AF">
        <w:rPr>
          <w:rFonts w:ascii="Arial" w:hAnsi="Arial" w:cs="Arial"/>
          <w:color w:val="595959" w:themeColor="text1" w:themeTint="A6"/>
        </w:rPr>
        <w:t>screening</w:t>
      </w:r>
      <w:r w:rsidR="008C21BF" w:rsidRPr="00E659AF">
        <w:rPr>
          <w:rFonts w:ascii="Arial" w:hAnsi="Arial" w:cs="Arial"/>
          <w:color w:val="595959" w:themeColor="text1" w:themeTint="A6"/>
        </w:rPr>
        <w:t xml:space="preserve"> platforms </w:t>
      </w:r>
      <w:r w:rsidR="001B7E82">
        <w:rPr>
          <w:rFonts w:ascii="Arial" w:hAnsi="Arial" w:cs="Arial"/>
          <w:color w:val="595959" w:themeColor="text1" w:themeTint="A6"/>
        </w:rPr>
        <w:t>for s</w:t>
      </w:r>
      <w:r w:rsidR="001B7E82" w:rsidRPr="00E659AF">
        <w:rPr>
          <w:rFonts w:ascii="Arial" w:hAnsi="Arial" w:cs="Arial"/>
          <w:color w:val="595959" w:themeColor="text1" w:themeTint="A6"/>
        </w:rPr>
        <w:t xml:space="preserve">tromal targeting </w:t>
      </w:r>
      <w:r w:rsidR="008C21BF" w:rsidRPr="00E659AF">
        <w:rPr>
          <w:rFonts w:ascii="Arial" w:hAnsi="Arial" w:cs="Arial"/>
          <w:i/>
          <w:color w:val="595959" w:themeColor="text1" w:themeTint="A6"/>
        </w:rPr>
        <w:t>in vitro</w:t>
      </w:r>
      <w:r w:rsidR="001B7E82">
        <w:rPr>
          <w:rFonts w:ascii="Arial" w:hAnsi="Arial" w:cs="Arial"/>
          <w:color w:val="595959" w:themeColor="text1" w:themeTint="A6"/>
        </w:rPr>
        <w:t xml:space="preserve">. </w:t>
      </w:r>
      <w:r w:rsidR="004604A3" w:rsidRPr="00E659AF">
        <w:rPr>
          <w:rFonts w:ascii="Arial" w:hAnsi="Arial" w:cs="Arial"/>
          <w:color w:val="595959" w:themeColor="text1" w:themeTint="A6"/>
        </w:rPr>
        <w:t xml:space="preserve">All </w:t>
      </w:r>
      <w:r w:rsidR="00C24315" w:rsidRPr="00E659AF">
        <w:rPr>
          <w:rFonts w:ascii="Arial" w:hAnsi="Arial" w:cs="Arial"/>
          <w:color w:val="595959" w:themeColor="text1" w:themeTint="A6"/>
        </w:rPr>
        <w:t xml:space="preserve">fold changes </w:t>
      </w:r>
      <w:r w:rsidR="004604A3" w:rsidRPr="00E659AF">
        <w:rPr>
          <w:rFonts w:ascii="Arial" w:hAnsi="Arial" w:cs="Arial"/>
          <w:color w:val="595959" w:themeColor="text1" w:themeTint="A6"/>
        </w:rPr>
        <w:t xml:space="preserve">were </w:t>
      </w:r>
      <w:r w:rsidR="00454000" w:rsidRPr="00E659AF">
        <w:rPr>
          <w:rFonts w:ascii="Arial" w:hAnsi="Arial" w:cs="Arial"/>
          <w:color w:val="595959" w:themeColor="text1" w:themeTint="A6"/>
        </w:rPr>
        <w:t>analysed</w:t>
      </w:r>
      <w:r w:rsidR="008A59D4" w:rsidRPr="00E659AF">
        <w:rPr>
          <w:rFonts w:ascii="Arial" w:hAnsi="Arial" w:cs="Arial"/>
          <w:color w:val="595959" w:themeColor="text1" w:themeTint="A6"/>
        </w:rPr>
        <w:t xml:space="preserve"> relative</w:t>
      </w:r>
      <w:r w:rsidR="004604A3" w:rsidRPr="00E659AF">
        <w:rPr>
          <w:rFonts w:ascii="Arial" w:hAnsi="Arial" w:cs="Arial"/>
          <w:color w:val="595959" w:themeColor="text1" w:themeTint="A6"/>
        </w:rPr>
        <w:t xml:space="preserve"> to </w:t>
      </w:r>
      <w:r w:rsidR="00C24315" w:rsidRPr="00E659AF">
        <w:rPr>
          <w:rFonts w:ascii="Arial" w:hAnsi="Arial" w:cs="Arial"/>
          <w:color w:val="595959" w:themeColor="text1" w:themeTint="A6"/>
        </w:rPr>
        <w:t xml:space="preserve">vehicle </w:t>
      </w:r>
      <w:r w:rsidR="004604A3" w:rsidRPr="00E659AF">
        <w:rPr>
          <w:rFonts w:ascii="Arial" w:hAnsi="Arial" w:cs="Arial"/>
          <w:color w:val="595959" w:themeColor="text1" w:themeTint="A6"/>
        </w:rPr>
        <w:t xml:space="preserve">control </w:t>
      </w:r>
      <w:r w:rsidR="00C24315" w:rsidRPr="00E659AF">
        <w:rPr>
          <w:rFonts w:ascii="Arial" w:hAnsi="Arial" w:cs="Arial"/>
          <w:color w:val="595959" w:themeColor="text1" w:themeTint="A6"/>
        </w:rPr>
        <w:t xml:space="preserve">samples. </w:t>
      </w:r>
      <w:r w:rsidR="00D43160">
        <w:rPr>
          <w:rFonts w:ascii="Arial" w:hAnsi="Arial" w:cs="Arial"/>
          <w:color w:val="595959" w:themeColor="text1" w:themeTint="A6"/>
        </w:rPr>
        <w:t xml:space="preserve">Matrices were developed as previously described, then treated with the inhibitors for 7 days. </w:t>
      </w:r>
    </w:p>
    <w:p w14:paraId="357BC8BE" w14:textId="66660B61" w:rsidR="008C21BF" w:rsidRDefault="008C21BF" w:rsidP="00485FC4">
      <w:pPr>
        <w:pStyle w:val="Heading5"/>
        <w:rPr>
          <w:rFonts w:ascii="Arial" w:hAnsi="Arial" w:cs="Arial"/>
          <w:color w:val="595959" w:themeColor="text1" w:themeTint="A6"/>
        </w:rPr>
      </w:pPr>
      <w:bookmarkStart w:id="431" w:name="_Toc34208435"/>
      <w:r w:rsidRPr="008C21BF">
        <w:rPr>
          <w:rFonts w:ascii="Arial" w:hAnsi="Arial" w:cs="Arial"/>
          <w:color w:val="595959" w:themeColor="text1" w:themeTint="A6"/>
        </w:rPr>
        <w:t xml:space="preserve">4.3.2.5.1 The effect of Scriptaid and Batimastat on αSMA expression </w:t>
      </w:r>
      <w:r w:rsidR="00CE467F">
        <w:rPr>
          <w:rFonts w:ascii="Arial" w:hAnsi="Arial" w:cs="Arial"/>
          <w:color w:val="595959" w:themeColor="text1" w:themeTint="A6"/>
        </w:rPr>
        <w:t xml:space="preserve">in </w:t>
      </w:r>
      <w:r w:rsidRPr="008C21BF">
        <w:rPr>
          <w:rFonts w:ascii="Arial" w:hAnsi="Arial" w:cs="Arial"/>
          <w:color w:val="595959" w:themeColor="text1" w:themeTint="A6"/>
        </w:rPr>
        <w:t>NOF-</w:t>
      </w:r>
      <w:r w:rsidR="00CE467F">
        <w:rPr>
          <w:rFonts w:ascii="Arial" w:hAnsi="Arial" w:cs="Arial"/>
          <w:color w:val="595959" w:themeColor="text1" w:themeTint="A6"/>
        </w:rPr>
        <w:t>and CAF-</w:t>
      </w:r>
      <w:r w:rsidRPr="008C21BF">
        <w:rPr>
          <w:rFonts w:ascii="Arial" w:hAnsi="Arial" w:cs="Arial"/>
          <w:color w:val="595959" w:themeColor="text1" w:themeTint="A6"/>
        </w:rPr>
        <w:t>DM</w:t>
      </w:r>
      <w:bookmarkEnd w:id="431"/>
    </w:p>
    <w:p w14:paraId="73CF879D" w14:textId="77777777" w:rsidR="00485FC4" w:rsidRPr="00485FC4" w:rsidRDefault="00485FC4" w:rsidP="00485FC4"/>
    <w:p w14:paraId="21B10650" w14:textId="7A3503AF" w:rsidR="00894D91" w:rsidRDefault="00CA3A7D" w:rsidP="008C21BF">
      <w:pPr>
        <w:tabs>
          <w:tab w:val="left" w:pos="1350"/>
        </w:tabs>
        <w:spacing w:line="480" w:lineRule="auto"/>
        <w:jc w:val="both"/>
        <w:rPr>
          <w:rFonts w:ascii="Arial" w:hAnsi="Arial" w:cs="Arial"/>
          <w:color w:val="595959" w:themeColor="text1" w:themeTint="A6"/>
        </w:rPr>
      </w:pPr>
      <w:r>
        <w:rPr>
          <w:rFonts w:ascii="Arial" w:hAnsi="Arial" w:cs="Arial"/>
          <w:color w:val="595959" w:themeColor="text1" w:themeTint="A6"/>
        </w:rPr>
        <w:t>No significant changes in</w:t>
      </w:r>
      <w:r w:rsidRPr="00CA3A7D">
        <w:rPr>
          <w:rFonts w:ascii="Arial" w:hAnsi="Arial" w:cs="Arial"/>
          <w:color w:val="595959" w:themeColor="text1" w:themeTint="A6"/>
        </w:rPr>
        <w:t xml:space="preserve"> </w:t>
      </w:r>
      <w:r>
        <w:rPr>
          <w:rFonts w:ascii="Arial" w:hAnsi="Arial" w:cs="Arial"/>
          <w:color w:val="595959" w:themeColor="text1" w:themeTint="A6"/>
        </w:rPr>
        <w:t>αSMA expression</w:t>
      </w:r>
      <w:r w:rsidR="005E61CE">
        <w:rPr>
          <w:rFonts w:ascii="Arial" w:hAnsi="Arial" w:cs="Arial"/>
          <w:color w:val="595959" w:themeColor="text1" w:themeTint="A6"/>
        </w:rPr>
        <w:t xml:space="preserve"> were observed for </w:t>
      </w:r>
      <w:r w:rsidR="001B51A4">
        <w:rPr>
          <w:rFonts w:ascii="Arial" w:hAnsi="Arial" w:cs="Arial"/>
          <w:color w:val="595959" w:themeColor="text1" w:themeTint="A6"/>
        </w:rPr>
        <w:t>NOF</w:t>
      </w:r>
      <w:r w:rsidR="003F0C98">
        <w:rPr>
          <w:rFonts w:ascii="Arial" w:hAnsi="Arial" w:cs="Arial"/>
          <w:color w:val="595959" w:themeColor="text1" w:themeTint="A6"/>
        </w:rPr>
        <w:t>-DM</w:t>
      </w:r>
      <w:r w:rsidR="001B51A4">
        <w:rPr>
          <w:rFonts w:ascii="Arial" w:hAnsi="Arial" w:cs="Arial"/>
          <w:color w:val="595959" w:themeColor="text1" w:themeTint="A6"/>
        </w:rPr>
        <w:t xml:space="preserve">, </w:t>
      </w:r>
      <w:r w:rsidR="00C264E0">
        <w:rPr>
          <w:rFonts w:ascii="Arial" w:hAnsi="Arial" w:cs="Arial"/>
          <w:color w:val="595959" w:themeColor="text1" w:themeTint="A6"/>
        </w:rPr>
        <w:t>treat</w:t>
      </w:r>
      <w:r w:rsidR="00FE56AE">
        <w:rPr>
          <w:rFonts w:ascii="Arial" w:hAnsi="Arial" w:cs="Arial"/>
          <w:color w:val="595959" w:themeColor="text1" w:themeTint="A6"/>
        </w:rPr>
        <w:t xml:space="preserve">ed </w:t>
      </w:r>
      <w:r w:rsidR="00C264E0">
        <w:rPr>
          <w:rFonts w:ascii="Arial" w:hAnsi="Arial" w:cs="Arial"/>
          <w:color w:val="595959" w:themeColor="text1" w:themeTint="A6"/>
        </w:rPr>
        <w:t xml:space="preserve">with </w:t>
      </w:r>
      <w:r w:rsidR="001B51A4" w:rsidRPr="0054039C">
        <w:rPr>
          <w:rFonts w:ascii="Arial" w:hAnsi="Arial" w:cs="Arial"/>
          <w:color w:val="595959" w:themeColor="text1" w:themeTint="A6"/>
        </w:rPr>
        <w:t xml:space="preserve">Batimastat </w:t>
      </w:r>
      <w:r w:rsidR="001B51A4">
        <w:rPr>
          <w:rFonts w:ascii="Arial" w:hAnsi="Arial" w:cs="Arial"/>
          <w:color w:val="595959" w:themeColor="text1" w:themeTint="A6"/>
        </w:rPr>
        <w:t xml:space="preserve">for </w:t>
      </w:r>
      <w:r w:rsidR="003F0C98">
        <w:rPr>
          <w:rFonts w:ascii="Arial" w:hAnsi="Arial" w:cs="Arial"/>
          <w:color w:val="595959" w:themeColor="text1" w:themeTint="A6"/>
        </w:rPr>
        <w:t>7 days</w:t>
      </w:r>
      <w:r w:rsidR="006E444C">
        <w:rPr>
          <w:rFonts w:ascii="Arial" w:hAnsi="Arial" w:cs="Arial"/>
          <w:color w:val="595959" w:themeColor="text1" w:themeTint="A6"/>
        </w:rPr>
        <w:t xml:space="preserve"> </w:t>
      </w:r>
      <w:r w:rsidR="00240D84">
        <w:rPr>
          <w:rFonts w:ascii="Arial" w:hAnsi="Arial" w:cs="Arial"/>
          <w:color w:val="595959" w:themeColor="text1" w:themeTint="A6"/>
        </w:rPr>
        <w:t xml:space="preserve">compared to vehicle control treated NOF-DM </w:t>
      </w:r>
      <w:r w:rsidR="00FE56AE">
        <w:rPr>
          <w:rFonts w:ascii="Arial" w:hAnsi="Arial" w:cs="Arial"/>
          <w:color w:val="595959" w:themeColor="text1" w:themeTint="A6"/>
        </w:rPr>
        <w:t>(Figure 4.1</w:t>
      </w:r>
      <w:r w:rsidR="00665341">
        <w:rPr>
          <w:rFonts w:ascii="Arial" w:hAnsi="Arial" w:cs="Arial"/>
          <w:color w:val="595959" w:themeColor="text1" w:themeTint="A6"/>
        </w:rPr>
        <w:t>5 A</w:t>
      </w:r>
      <w:r w:rsidR="00FE56AE">
        <w:rPr>
          <w:rFonts w:ascii="Arial" w:hAnsi="Arial" w:cs="Arial"/>
          <w:color w:val="595959" w:themeColor="text1" w:themeTint="A6"/>
        </w:rPr>
        <w:t>)</w:t>
      </w:r>
      <w:r w:rsidR="00240D84">
        <w:rPr>
          <w:rFonts w:ascii="Arial" w:hAnsi="Arial" w:cs="Arial"/>
          <w:color w:val="595959" w:themeColor="text1" w:themeTint="A6"/>
        </w:rPr>
        <w:t xml:space="preserve">. </w:t>
      </w:r>
      <w:r w:rsidR="007C0076">
        <w:rPr>
          <w:rFonts w:ascii="Arial" w:hAnsi="Arial" w:cs="Arial"/>
          <w:color w:val="595959" w:themeColor="text1" w:themeTint="A6"/>
        </w:rPr>
        <w:t>Treatment of NOF-DM with Scriptaid</w:t>
      </w:r>
      <w:r w:rsidR="00952AFC">
        <w:rPr>
          <w:rFonts w:ascii="Arial" w:hAnsi="Arial" w:cs="Arial"/>
          <w:color w:val="595959" w:themeColor="text1" w:themeTint="A6"/>
        </w:rPr>
        <w:t xml:space="preserve"> significan</w:t>
      </w:r>
      <w:r w:rsidR="007C0076">
        <w:rPr>
          <w:rFonts w:ascii="Arial" w:hAnsi="Arial" w:cs="Arial"/>
          <w:color w:val="595959" w:themeColor="text1" w:themeTint="A6"/>
        </w:rPr>
        <w:t xml:space="preserve">tly </w:t>
      </w:r>
      <w:r w:rsidR="00AA6585">
        <w:rPr>
          <w:rFonts w:ascii="Arial" w:hAnsi="Arial" w:cs="Arial"/>
          <w:color w:val="595959" w:themeColor="text1" w:themeTint="A6"/>
        </w:rPr>
        <w:t>increased αSMA expression</w:t>
      </w:r>
      <w:r w:rsidR="008C21BF" w:rsidRPr="008C21BF">
        <w:rPr>
          <w:rFonts w:ascii="Arial" w:hAnsi="Arial" w:cs="Arial"/>
          <w:color w:val="595959" w:themeColor="text1" w:themeTint="A6"/>
        </w:rPr>
        <w:t xml:space="preserve"> </w:t>
      </w:r>
      <w:r w:rsidR="004C150E">
        <w:rPr>
          <w:rFonts w:ascii="Arial" w:hAnsi="Arial" w:cs="Arial"/>
          <w:color w:val="595959" w:themeColor="text1" w:themeTint="A6"/>
        </w:rPr>
        <w:t>(</w:t>
      </w:r>
      <w:r w:rsidR="002B1D7B">
        <w:rPr>
          <w:rFonts w:ascii="Arial" w:hAnsi="Arial" w:cs="Arial"/>
          <w:color w:val="595959" w:themeColor="text1" w:themeTint="A6"/>
        </w:rPr>
        <w:t xml:space="preserve">2.43 ± 0.66) </w:t>
      </w:r>
      <w:r w:rsidR="008C21BF" w:rsidRPr="008C21BF">
        <w:rPr>
          <w:rFonts w:ascii="Arial" w:hAnsi="Arial" w:cs="Arial"/>
          <w:color w:val="595959" w:themeColor="text1" w:themeTint="A6"/>
        </w:rPr>
        <w:t xml:space="preserve">compared to </w:t>
      </w:r>
      <w:r w:rsidR="00286993">
        <w:rPr>
          <w:rFonts w:ascii="Arial" w:hAnsi="Arial" w:cs="Arial"/>
          <w:color w:val="595959" w:themeColor="text1" w:themeTint="A6"/>
        </w:rPr>
        <w:t xml:space="preserve">vehicle </w:t>
      </w:r>
      <w:r w:rsidR="000705A7">
        <w:rPr>
          <w:rFonts w:ascii="Arial" w:hAnsi="Arial" w:cs="Arial"/>
          <w:color w:val="595959" w:themeColor="text1" w:themeTint="A6"/>
        </w:rPr>
        <w:t>controls</w:t>
      </w:r>
      <w:r w:rsidR="00692479">
        <w:rPr>
          <w:rFonts w:ascii="Arial" w:hAnsi="Arial" w:cs="Arial"/>
          <w:color w:val="595959" w:themeColor="text1" w:themeTint="A6"/>
        </w:rPr>
        <w:t>, p=0.</w:t>
      </w:r>
      <w:r w:rsidR="00000A6A">
        <w:rPr>
          <w:rFonts w:ascii="Arial" w:hAnsi="Arial" w:cs="Arial"/>
          <w:color w:val="595959" w:themeColor="text1" w:themeTint="A6"/>
        </w:rPr>
        <w:t>0003</w:t>
      </w:r>
      <w:r w:rsidR="00692479">
        <w:rPr>
          <w:rFonts w:ascii="Arial" w:hAnsi="Arial" w:cs="Arial"/>
          <w:color w:val="595959" w:themeColor="text1" w:themeTint="A6"/>
        </w:rPr>
        <w:t xml:space="preserve"> </w:t>
      </w:r>
      <w:r w:rsidR="00D52C0A">
        <w:rPr>
          <w:rFonts w:ascii="Arial" w:hAnsi="Arial" w:cs="Arial"/>
          <w:color w:val="595959" w:themeColor="text1" w:themeTint="A6"/>
        </w:rPr>
        <w:t>(Figure 4.1</w:t>
      </w:r>
      <w:r w:rsidR="00286993">
        <w:rPr>
          <w:rFonts w:ascii="Arial" w:hAnsi="Arial" w:cs="Arial"/>
          <w:color w:val="595959" w:themeColor="text1" w:themeTint="A6"/>
        </w:rPr>
        <w:t>5</w:t>
      </w:r>
      <w:r w:rsidR="004C150E">
        <w:rPr>
          <w:rFonts w:ascii="Arial" w:hAnsi="Arial" w:cs="Arial"/>
          <w:color w:val="595959" w:themeColor="text1" w:themeTint="A6"/>
        </w:rPr>
        <w:t xml:space="preserve"> A).</w:t>
      </w:r>
      <w:r w:rsidR="008C21BF" w:rsidRPr="008C21BF">
        <w:rPr>
          <w:rFonts w:ascii="Arial" w:hAnsi="Arial" w:cs="Arial"/>
          <w:color w:val="595959" w:themeColor="text1" w:themeTint="A6"/>
        </w:rPr>
        <w:t xml:space="preserve"> </w:t>
      </w:r>
      <w:r w:rsidR="00D26B17">
        <w:rPr>
          <w:rFonts w:ascii="Arial" w:hAnsi="Arial" w:cs="Arial"/>
          <w:color w:val="595959" w:themeColor="text1" w:themeTint="A6"/>
        </w:rPr>
        <w:t>Script</w:t>
      </w:r>
      <w:r w:rsidR="00894D91">
        <w:rPr>
          <w:rFonts w:ascii="Arial" w:hAnsi="Arial" w:cs="Arial"/>
          <w:color w:val="595959" w:themeColor="text1" w:themeTint="A6"/>
        </w:rPr>
        <w:t>aid</w:t>
      </w:r>
      <w:r w:rsidR="00D26B17">
        <w:rPr>
          <w:rFonts w:ascii="Arial" w:hAnsi="Arial" w:cs="Arial"/>
          <w:color w:val="595959" w:themeColor="text1" w:themeTint="A6"/>
        </w:rPr>
        <w:t xml:space="preserve"> </w:t>
      </w:r>
      <w:r w:rsidR="00926555">
        <w:rPr>
          <w:rFonts w:ascii="Arial" w:hAnsi="Arial" w:cs="Arial"/>
          <w:color w:val="595959" w:themeColor="text1" w:themeTint="A6"/>
        </w:rPr>
        <w:t xml:space="preserve">treatment </w:t>
      </w:r>
      <w:r w:rsidR="00D26B17">
        <w:rPr>
          <w:rFonts w:ascii="Arial" w:hAnsi="Arial" w:cs="Arial"/>
          <w:color w:val="595959" w:themeColor="text1" w:themeTint="A6"/>
        </w:rPr>
        <w:t xml:space="preserve">in combination with </w:t>
      </w:r>
      <w:r w:rsidR="00894D91" w:rsidRPr="008C21BF">
        <w:rPr>
          <w:rFonts w:ascii="Arial" w:hAnsi="Arial" w:cs="Arial"/>
          <w:color w:val="595959" w:themeColor="text1" w:themeTint="A6"/>
        </w:rPr>
        <w:t xml:space="preserve">TGFβ-1 </w:t>
      </w:r>
      <w:r w:rsidR="009D1CF2">
        <w:rPr>
          <w:rFonts w:ascii="Arial" w:hAnsi="Arial" w:cs="Arial"/>
          <w:color w:val="595959" w:themeColor="text1" w:themeTint="A6"/>
        </w:rPr>
        <w:t xml:space="preserve">(14.65 ± 15.82) </w:t>
      </w:r>
      <w:r w:rsidR="008360A6">
        <w:rPr>
          <w:rFonts w:ascii="Arial" w:hAnsi="Arial" w:cs="Arial"/>
          <w:color w:val="595959" w:themeColor="text1" w:themeTint="A6"/>
        </w:rPr>
        <w:t>re</w:t>
      </w:r>
      <w:r w:rsidR="00A36B23">
        <w:rPr>
          <w:rFonts w:ascii="Arial" w:hAnsi="Arial" w:cs="Arial"/>
          <w:color w:val="595959" w:themeColor="text1" w:themeTint="A6"/>
        </w:rPr>
        <w:t>duced</w:t>
      </w:r>
      <w:r w:rsidR="00121D1C">
        <w:rPr>
          <w:rFonts w:ascii="Arial" w:hAnsi="Arial" w:cs="Arial"/>
          <w:color w:val="595959" w:themeColor="text1" w:themeTint="A6"/>
        </w:rPr>
        <w:t xml:space="preserve"> </w:t>
      </w:r>
      <w:r w:rsidR="00926555">
        <w:rPr>
          <w:rFonts w:ascii="Arial" w:hAnsi="Arial" w:cs="Arial"/>
          <w:color w:val="595959" w:themeColor="text1" w:themeTint="A6"/>
        </w:rPr>
        <w:t xml:space="preserve">αSMA </w:t>
      </w:r>
      <w:r w:rsidR="00121D1C">
        <w:rPr>
          <w:rFonts w:ascii="Arial" w:hAnsi="Arial" w:cs="Arial"/>
          <w:color w:val="595959" w:themeColor="text1" w:themeTint="A6"/>
        </w:rPr>
        <w:t xml:space="preserve">expression </w:t>
      </w:r>
      <w:r w:rsidR="009D1CF2">
        <w:rPr>
          <w:rFonts w:ascii="Arial" w:hAnsi="Arial" w:cs="Arial"/>
          <w:color w:val="595959" w:themeColor="text1" w:themeTint="A6"/>
        </w:rPr>
        <w:t xml:space="preserve">by ~3-fold </w:t>
      </w:r>
      <w:r w:rsidR="00F744F5">
        <w:rPr>
          <w:rFonts w:ascii="Arial" w:hAnsi="Arial" w:cs="Arial"/>
          <w:color w:val="595959" w:themeColor="text1" w:themeTint="A6"/>
        </w:rPr>
        <w:t>compared to NOF-DM treated with TGFβ</w:t>
      </w:r>
      <w:r w:rsidR="000E35F8">
        <w:rPr>
          <w:rFonts w:ascii="Arial" w:hAnsi="Arial" w:cs="Arial"/>
          <w:color w:val="595959" w:themeColor="text1" w:themeTint="A6"/>
        </w:rPr>
        <w:t>-1</w:t>
      </w:r>
      <w:r w:rsidR="003105FA">
        <w:rPr>
          <w:rFonts w:ascii="Arial" w:hAnsi="Arial" w:cs="Arial"/>
          <w:color w:val="595959" w:themeColor="text1" w:themeTint="A6"/>
        </w:rPr>
        <w:t xml:space="preserve"> alone</w:t>
      </w:r>
      <w:r w:rsidR="000E35F8">
        <w:rPr>
          <w:rFonts w:ascii="Arial" w:hAnsi="Arial" w:cs="Arial"/>
          <w:color w:val="595959" w:themeColor="text1" w:themeTint="A6"/>
        </w:rPr>
        <w:t xml:space="preserve"> (55.99 ±</w:t>
      </w:r>
      <w:r w:rsidR="00343FD1">
        <w:rPr>
          <w:rFonts w:ascii="Arial" w:hAnsi="Arial" w:cs="Arial"/>
          <w:color w:val="595959" w:themeColor="text1" w:themeTint="A6"/>
        </w:rPr>
        <w:t xml:space="preserve"> 15.23</w:t>
      </w:r>
      <w:r w:rsidR="004229F6">
        <w:rPr>
          <w:rFonts w:ascii="Arial" w:hAnsi="Arial" w:cs="Arial"/>
          <w:color w:val="595959" w:themeColor="text1" w:themeTint="A6"/>
        </w:rPr>
        <w:t>, p=0.0010</w:t>
      </w:r>
      <w:r w:rsidR="00343FD1">
        <w:rPr>
          <w:rFonts w:ascii="Arial" w:hAnsi="Arial" w:cs="Arial"/>
          <w:color w:val="595959" w:themeColor="text1" w:themeTint="A6"/>
        </w:rPr>
        <w:t>)</w:t>
      </w:r>
      <w:r w:rsidR="004C5BEC">
        <w:rPr>
          <w:rFonts w:ascii="Arial" w:hAnsi="Arial" w:cs="Arial"/>
          <w:color w:val="595959" w:themeColor="text1" w:themeTint="A6"/>
        </w:rPr>
        <w:t xml:space="preserve">. </w:t>
      </w:r>
      <w:r w:rsidR="003B43E0">
        <w:rPr>
          <w:rFonts w:ascii="Arial" w:hAnsi="Arial" w:cs="Arial"/>
          <w:color w:val="595959" w:themeColor="text1" w:themeTint="A6"/>
        </w:rPr>
        <w:t>Batimast</w:t>
      </w:r>
      <w:r w:rsidR="007F7A48">
        <w:rPr>
          <w:rFonts w:ascii="Arial" w:hAnsi="Arial" w:cs="Arial"/>
          <w:color w:val="595959" w:themeColor="text1" w:themeTint="A6"/>
        </w:rPr>
        <w:t xml:space="preserve">at </w:t>
      </w:r>
      <w:r w:rsidR="005D4714">
        <w:rPr>
          <w:rFonts w:ascii="Arial" w:hAnsi="Arial" w:cs="Arial"/>
          <w:color w:val="595959" w:themeColor="text1" w:themeTint="A6"/>
        </w:rPr>
        <w:t>in combination therapy with TGF</w:t>
      </w:r>
      <w:r w:rsidR="003D519D">
        <w:rPr>
          <w:rFonts w:ascii="Arial" w:hAnsi="Arial" w:cs="Arial"/>
          <w:color w:val="595959" w:themeColor="text1" w:themeTint="A6"/>
        </w:rPr>
        <w:t xml:space="preserve">β-1 </w:t>
      </w:r>
      <w:r w:rsidR="007F7A48">
        <w:rPr>
          <w:rFonts w:ascii="Arial" w:hAnsi="Arial" w:cs="Arial"/>
          <w:color w:val="595959" w:themeColor="text1" w:themeTint="A6"/>
        </w:rPr>
        <w:t xml:space="preserve">also significantly reduced </w:t>
      </w:r>
      <w:r w:rsidR="007F7A48" w:rsidRPr="008C21BF">
        <w:rPr>
          <w:rFonts w:ascii="Arial" w:hAnsi="Arial" w:cs="Arial"/>
          <w:color w:val="595959" w:themeColor="text1" w:themeTint="A6"/>
        </w:rPr>
        <w:t>αSMA</w:t>
      </w:r>
      <w:r w:rsidR="007F7A48">
        <w:rPr>
          <w:rFonts w:ascii="Arial" w:hAnsi="Arial" w:cs="Arial"/>
          <w:color w:val="595959" w:themeColor="text1" w:themeTint="A6"/>
        </w:rPr>
        <w:t xml:space="preserve"> expression, with a</w:t>
      </w:r>
      <w:r w:rsidR="006B4AC8">
        <w:rPr>
          <w:rFonts w:ascii="Arial" w:hAnsi="Arial" w:cs="Arial"/>
          <w:color w:val="595959" w:themeColor="text1" w:themeTint="A6"/>
        </w:rPr>
        <w:t>n observable ~</w:t>
      </w:r>
      <w:r w:rsidR="003D519D">
        <w:rPr>
          <w:rFonts w:ascii="Arial" w:hAnsi="Arial" w:cs="Arial"/>
          <w:color w:val="595959" w:themeColor="text1" w:themeTint="A6"/>
        </w:rPr>
        <w:t>13</w:t>
      </w:r>
      <w:r w:rsidR="006B4AC8">
        <w:rPr>
          <w:rFonts w:ascii="Arial" w:hAnsi="Arial" w:cs="Arial"/>
          <w:color w:val="595959" w:themeColor="text1" w:themeTint="A6"/>
        </w:rPr>
        <w:t xml:space="preserve">-fold reduction </w:t>
      </w:r>
      <w:r w:rsidR="00906466">
        <w:rPr>
          <w:rFonts w:ascii="Arial" w:hAnsi="Arial" w:cs="Arial"/>
          <w:color w:val="595959" w:themeColor="text1" w:themeTint="A6"/>
        </w:rPr>
        <w:t>(</w:t>
      </w:r>
      <w:r w:rsidR="0055432A">
        <w:rPr>
          <w:rFonts w:ascii="Arial" w:hAnsi="Arial" w:cs="Arial"/>
          <w:color w:val="595959" w:themeColor="text1" w:themeTint="A6"/>
        </w:rPr>
        <w:t xml:space="preserve">1.39 ± 0.71) </w:t>
      </w:r>
      <w:r w:rsidR="006B4AC8">
        <w:rPr>
          <w:rFonts w:ascii="Arial" w:hAnsi="Arial" w:cs="Arial"/>
          <w:color w:val="595959" w:themeColor="text1" w:themeTint="A6"/>
        </w:rPr>
        <w:t xml:space="preserve">compared to NOF-DM treated with </w:t>
      </w:r>
      <w:r w:rsidR="006B4AC8" w:rsidRPr="008C21BF">
        <w:rPr>
          <w:rFonts w:ascii="Arial" w:hAnsi="Arial" w:cs="Arial"/>
          <w:color w:val="595959" w:themeColor="text1" w:themeTint="A6"/>
        </w:rPr>
        <w:t>TGFβ-1</w:t>
      </w:r>
      <w:r w:rsidR="006B4AC8">
        <w:rPr>
          <w:rFonts w:ascii="Arial" w:hAnsi="Arial" w:cs="Arial"/>
          <w:color w:val="595959" w:themeColor="text1" w:themeTint="A6"/>
        </w:rPr>
        <w:t xml:space="preserve"> alone</w:t>
      </w:r>
      <w:r w:rsidR="00133C78">
        <w:rPr>
          <w:rFonts w:ascii="Arial" w:hAnsi="Arial" w:cs="Arial"/>
          <w:color w:val="595959" w:themeColor="text1" w:themeTint="A6"/>
        </w:rPr>
        <w:t xml:space="preserve"> (55.99 ± 15.23</w:t>
      </w:r>
      <w:r w:rsidR="00180A0A">
        <w:rPr>
          <w:rFonts w:ascii="Arial" w:hAnsi="Arial" w:cs="Arial"/>
          <w:color w:val="595959" w:themeColor="text1" w:themeTint="A6"/>
        </w:rPr>
        <w:t>, p</w:t>
      </w:r>
      <w:r w:rsidR="00713054">
        <w:rPr>
          <w:rFonts w:ascii="Arial" w:hAnsi="Arial" w:cs="Arial"/>
          <w:color w:val="595959" w:themeColor="text1" w:themeTint="A6"/>
        </w:rPr>
        <w:t xml:space="preserve"> &lt;</w:t>
      </w:r>
      <w:r w:rsidR="00180A0A">
        <w:rPr>
          <w:rFonts w:ascii="Arial" w:hAnsi="Arial" w:cs="Arial"/>
          <w:color w:val="595959" w:themeColor="text1" w:themeTint="A6"/>
        </w:rPr>
        <w:t>0.00</w:t>
      </w:r>
      <w:r w:rsidR="00713054">
        <w:rPr>
          <w:rFonts w:ascii="Arial" w:hAnsi="Arial" w:cs="Arial"/>
          <w:color w:val="595959" w:themeColor="text1" w:themeTint="A6"/>
        </w:rPr>
        <w:t>01)</w:t>
      </w:r>
      <w:r w:rsidR="006B4AC8">
        <w:rPr>
          <w:rFonts w:ascii="Arial" w:hAnsi="Arial" w:cs="Arial"/>
          <w:color w:val="595959" w:themeColor="text1" w:themeTint="A6"/>
        </w:rPr>
        <w:t>.</w:t>
      </w:r>
      <w:r w:rsidR="0045471A">
        <w:rPr>
          <w:rFonts w:ascii="Arial" w:hAnsi="Arial" w:cs="Arial"/>
          <w:color w:val="595959" w:themeColor="text1" w:themeTint="A6"/>
        </w:rPr>
        <w:t xml:space="preserve"> </w:t>
      </w:r>
    </w:p>
    <w:p w14:paraId="5304FF17" w14:textId="052FECC1" w:rsidR="00A835EF" w:rsidRDefault="00524997" w:rsidP="008C21BF">
      <w:pPr>
        <w:tabs>
          <w:tab w:val="left" w:pos="1350"/>
        </w:tabs>
        <w:spacing w:line="480" w:lineRule="auto"/>
        <w:jc w:val="both"/>
        <w:rPr>
          <w:rFonts w:ascii="Arial" w:hAnsi="Arial" w:cs="Arial"/>
          <w:color w:val="595959" w:themeColor="text1" w:themeTint="A6"/>
        </w:rPr>
      </w:pPr>
      <w:r>
        <w:rPr>
          <w:rFonts w:ascii="Arial" w:hAnsi="Arial" w:cs="Arial"/>
          <w:color w:val="595959" w:themeColor="text1" w:themeTint="A6"/>
        </w:rPr>
        <w:t xml:space="preserve">In comparison, CAF-DM </w:t>
      </w:r>
      <w:r w:rsidR="0031028C">
        <w:rPr>
          <w:rFonts w:ascii="Arial" w:hAnsi="Arial" w:cs="Arial"/>
          <w:color w:val="595959" w:themeColor="text1" w:themeTint="A6"/>
        </w:rPr>
        <w:t xml:space="preserve">treated with </w:t>
      </w:r>
      <w:r>
        <w:rPr>
          <w:rFonts w:ascii="Arial" w:hAnsi="Arial" w:cs="Arial"/>
          <w:color w:val="595959" w:themeColor="text1" w:themeTint="A6"/>
        </w:rPr>
        <w:t>Batimastat alone</w:t>
      </w:r>
      <w:r w:rsidR="004243EC">
        <w:rPr>
          <w:rFonts w:ascii="Arial" w:hAnsi="Arial" w:cs="Arial"/>
          <w:color w:val="595959" w:themeColor="text1" w:themeTint="A6"/>
        </w:rPr>
        <w:t xml:space="preserve">, showed a </w:t>
      </w:r>
      <w:r w:rsidR="00654B30">
        <w:rPr>
          <w:rFonts w:ascii="Arial" w:hAnsi="Arial" w:cs="Arial"/>
          <w:color w:val="595959" w:themeColor="text1" w:themeTint="A6"/>
        </w:rPr>
        <w:t>reduced expression of αSMA transcript</w:t>
      </w:r>
      <w:r w:rsidR="005A6437">
        <w:rPr>
          <w:rFonts w:ascii="Arial" w:hAnsi="Arial" w:cs="Arial"/>
          <w:color w:val="595959" w:themeColor="text1" w:themeTint="A6"/>
        </w:rPr>
        <w:t xml:space="preserve"> (</w:t>
      </w:r>
      <w:r w:rsidR="009C5767">
        <w:rPr>
          <w:rFonts w:ascii="Arial" w:hAnsi="Arial" w:cs="Arial"/>
          <w:color w:val="595959" w:themeColor="text1" w:themeTint="A6"/>
        </w:rPr>
        <w:t>0.31 ±</w:t>
      </w:r>
      <w:r w:rsidR="00AF7E53">
        <w:rPr>
          <w:rFonts w:ascii="Arial" w:hAnsi="Arial" w:cs="Arial"/>
          <w:color w:val="595959" w:themeColor="text1" w:themeTint="A6"/>
        </w:rPr>
        <w:t xml:space="preserve"> 0.30) </w:t>
      </w:r>
      <w:r w:rsidR="006F2641">
        <w:rPr>
          <w:rFonts w:ascii="Arial" w:hAnsi="Arial" w:cs="Arial"/>
          <w:color w:val="595959" w:themeColor="text1" w:themeTint="A6"/>
        </w:rPr>
        <w:t xml:space="preserve">compared to </w:t>
      </w:r>
      <w:r w:rsidR="00F5560B">
        <w:rPr>
          <w:rFonts w:ascii="Arial" w:hAnsi="Arial" w:cs="Arial"/>
          <w:color w:val="595959" w:themeColor="text1" w:themeTint="A6"/>
        </w:rPr>
        <w:t xml:space="preserve">vehicle control treated </w:t>
      </w:r>
      <w:r w:rsidR="00A227DD">
        <w:rPr>
          <w:rFonts w:ascii="Arial" w:hAnsi="Arial" w:cs="Arial"/>
          <w:color w:val="595959" w:themeColor="text1" w:themeTint="A6"/>
        </w:rPr>
        <w:t>CA</w:t>
      </w:r>
      <w:r w:rsidR="00F5560B">
        <w:rPr>
          <w:rFonts w:ascii="Arial" w:hAnsi="Arial" w:cs="Arial"/>
          <w:color w:val="595959" w:themeColor="text1" w:themeTint="A6"/>
        </w:rPr>
        <w:t>F-DM</w:t>
      </w:r>
      <w:r w:rsidR="00C47769">
        <w:rPr>
          <w:rFonts w:ascii="Arial" w:hAnsi="Arial" w:cs="Arial"/>
          <w:color w:val="595959" w:themeColor="text1" w:themeTint="A6"/>
        </w:rPr>
        <w:t>, p=0.000</w:t>
      </w:r>
      <w:r w:rsidR="008F5291">
        <w:rPr>
          <w:rFonts w:ascii="Arial" w:hAnsi="Arial" w:cs="Arial"/>
          <w:color w:val="595959" w:themeColor="text1" w:themeTint="A6"/>
        </w:rPr>
        <w:t>2</w:t>
      </w:r>
      <w:r w:rsidR="009A37E4">
        <w:rPr>
          <w:rFonts w:ascii="Arial" w:hAnsi="Arial" w:cs="Arial"/>
          <w:color w:val="595959" w:themeColor="text1" w:themeTint="A6"/>
        </w:rPr>
        <w:t xml:space="preserve">, and treatment with Scriptaid incited no observable change in </w:t>
      </w:r>
      <w:r w:rsidR="009A37E4" w:rsidRPr="008C21BF">
        <w:rPr>
          <w:rFonts w:ascii="Arial" w:hAnsi="Arial" w:cs="Arial"/>
          <w:color w:val="595959" w:themeColor="text1" w:themeTint="A6"/>
        </w:rPr>
        <w:t>αSMA expression</w:t>
      </w:r>
      <w:r w:rsidR="00E9010C">
        <w:rPr>
          <w:rFonts w:ascii="Arial" w:hAnsi="Arial" w:cs="Arial"/>
          <w:color w:val="595959" w:themeColor="text1" w:themeTint="A6"/>
        </w:rPr>
        <w:t xml:space="preserve">, compared to </w:t>
      </w:r>
      <w:r w:rsidR="001C43CF">
        <w:rPr>
          <w:rFonts w:ascii="Arial" w:hAnsi="Arial" w:cs="Arial"/>
          <w:color w:val="595959" w:themeColor="text1" w:themeTint="A6"/>
        </w:rPr>
        <w:t xml:space="preserve">vehicle </w:t>
      </w:r>
      <w:r w:rsidR="00E9010C">
        <w:rPr>
          <w:rFonts w:ascii="Arial" w:hAnsi="Arial" w:cs="Arial"/>
          <w:color w:val="595959" w:themeColor="text1" w:themeTint="A6"/>
        </w:rPr>
        <w:t>controls (Figure 4.1</w:t>
      </w:r>
      <w:r w:rsidR="001C43CF">
        <w:rPr>
          <w:rFonts w:ascii="Arial" w:hAnsi="Arial" w:cs="Arial"/>
          <w:color w:val="595959" w:themeColor="text1" w:themeTint="A6"/>
        </w:rPr>
        <w:t>5 B</w:t>
      </w:r>
      <w:r w:rsidR="00E9010C">
        <w:rPr>
          <w:rFonts w:ascii="Arial" w:hAnsi="Arial" w:cs="Arial"/>
          <w:color w:val="595959" w:themeColor="text1" w:themeTint="A6"/>
        </w:rPr>
        <w:t xml:space="preserve">). </w:t>
      </w:r>
      <w:r w:rsidR="00464573">
        <w:rPr>
          <w:rFonts w:ascii="Arial" w:hAnsi="Arial" w:cs="Arial"/>
          <w:color w:val="595959" w:themeColor="text1" w:themeTint="A6"/>
        </w:rPr>
        <w:t xml:space="preserve">No significant changes in </w:t>
      </w:r>
      <w:r w:rsidR="00464573" w:rsidRPr="008C21BF">
        <w:rPr>
          <w:rFonts w:ascii="Arial" w:hAnsi="Arial" w:cs="Arial"/>
          <w:color w:val="595959" w:themeColor="text1" w:themeTint="A6"/>
        </w:rPr>
        <w:t>αSMA</w:t>
      </w:r>
      <w:r w:rsidR="00464573">
        <w:rPr>
          <w:rFonts w:ascii="Arial" w:hAnsi="Arial" w:cs="Arial"/>
          <w:color w:val="595959" w:themeColor="text1" w:themeTint="A6"/>
        </w:rPr>
        <w:t xml:space="preserve"> expression were observed for treatment of t</w:t>
      </w:r>
      <w:r w:rsidR="00E9010C">
        <w:rPr>
          <w:rFonts w:ascii="Arial" w:hAnsi="Arial" w:cs="Arial"/>
          <w:color w:val="595959" w:themeColor="text1" w:themeTint="A6"/>
        </w:rPr>
        <w:t xml:space="preserve">he inhibitors in </w:t>
      </w:r>
      <w:r>
        <w:rPr>
          <w:rFonts w:ascii="Arial" w:hAnsi="Arial" w:cs="Arial"/>
          <w:color w:val="595959" w:themeColor="text1" w:themeTint="A6"/>
        </w:rPr>
        <w:t xml:space="preserve">combination therapy with TGFβ-1 </w:t>
      </w:r>
      <w:r w:rsidR="00C866B0">
        <w:rPr>
          <w:rFonts w:ascii="Arial" w:hAnsi="Arial" w:cs="Arial"/>
          <w:color w:val="595959" w:themeColor="text1" w:themeTint="A6"/>
        </w:rPr>
        <w:t>compared to CAF-DM treated with TGFβ-1 alone (Figure 4.1</w:t>
      </w:r>
      <w:r w:rsidR="001F38B5">
        <w:rPr>
          <w:rFonts w:ascii="Arial" w:hAnsi="Arial" w:cs="Arial"/>
          <w:color w:val="595959" w:themeColor="text1" w:themeTint="A6"/>
        </w:rPr>
        <w:t>5</w:t>
      </w:r>
      <w:r w:rsidR="00C866B0">
        <w:rPr>
          <w:rFonts w:ascii="Arial" w:hAnsi="Arial" w:cs="Arial"/>
          <w:color w:val="595959" w:themeColor="text1" w:themeTint="A6"/>
        </w:rPr>
        <w:t xml:space="preserve"> B). </w:t>
      </w:r>
    </w:p>
    <w:p w14:paraId="6B89383F" w14:textId="77777777" w:rsidR="00A86C40" w:rsidRDefault="00A86C40" w:rsidP="008C21BF">
      <w:pPr>
        <w:tabs>
          <w:tab w:val="left" w:pos="1350"/>
        </w:tabs>
        <w:spacing w:line="480" w:lineRule="auto"/>
        <w:jc w:val="both"/>
        <w:rPr>
          <w:rFonts w:ascii="Arial" w:hAnsi="Arial" w:cs="Arial"/>
          <w:color w:val="595959" w:themeColor="text1" w:themeTint="A6"/>
        </w:rPr>
      </w:pPr>
    </w:p>
    <w:p w14:paraId="2CA3BADD" w14:textId="2A119058" w:rsidR="00286C1F" w:rsidRDefault="00286C1F" w:rsidP="008C21BF">
      <w:pPr>
        <w:tabs>
          <w:tab w:val="left" w:pos="1350"/>
        </w:tabs>
        <w:spacing w:line="480" w:lineRule="auto"/>
        <w:jc w:val="both"/>
        <w:rPr>
          <w:rFonts w:ascii="Arial" w:hAnsi="Arial" w:cs="Arial"/>
          <w:color w:val="595959" w:themeColor="text1" w:themeTint="A6"/>
        </w:rPr>
      </w:pPr>
    </w:p>
    <w:p w14:paraId="7EDB4905" w14:textId="3D8D48D7" w:rsidR="007204C7" w:rsidRDefault="007204C7" w:rsidP="008C21BF">
      <w:pPr>
        <w:tabs>
          <w:tab w:val="left" w:pos="1350"/>
        </w:tabs>
        <w:spacing w:line="480" w:lineRule="auto"/>
        <w:jc w:val="both"/>
        <w:rPr>
          <w:rFonts w:ascii="Arial" w:hAnsi="Arial" w:cs="Arial"/>
          <w:color w:val="595959" w:themeColor="text1" w:themeTint="A6"/>
        </w:rPr>
      </w:pPr>
    </w:p>
    <w:p w14:paraId="1C685D62" w14:textId="77777777" w:rsidR="007204C7" w:rsidRDefault="007204C7" w:rsidP="008C21BF">
      <w:pPr>
        <w:tabs>
          <w:tab w:val="left" w:pos="1350"/>
        </w:tabs>
        <w:spacing w:line="480" w:lineRule="auto"/>
        <w:jc w:val="both"/>
        <w:rPr>
          <w:rFonts w:ascii="Arial" w:hAnsi="Arial" w:cs="Arial"/>
          <w:color w:val="595959" w:themeColor="text1" w:themeTint="A6"/>
        </w:rPr>
      </w:pPr>
    </w:p>
    <w:p w14:paraId="56E10766" w14:textId="11E5AEB9" w:rsidR="00CE467F" w:rsidRDefault="00CE467F" w:rsidP="008C21BF">
      <w:pPr>
        <w:tabs>
          <w:tab w:val="left" w:pos="1350"/>
        </w:tabs>
        <w:spacing w:line="480" w:lineRule="auto"/>
        <w:jc w:val="both"/>
        <w:rPr>
          <w:rFonts w:ascii="Arial" w:hAnsi="Arial" w:cs="Arial"/>
          <w:color w:val="595959" w:themeColor="text1" w:themeTint="A6"/>
        </w:rPr>
      </w:pPr>
    </w:p>
    <w:p w14:paraId="336C9A71" w14:textId="1DE1AD78" w:rsidR="00CE467F" w:rsidRDefault="00840C6D" w:rsidP="008C21BF">
      <w:pPr>
        <w:tabs>
          <w:tab w:val="left" w:pos="1350"/>
        </w:tabs>
        <w:spacing w:line="480" w:lineRule="auto"/>
        <w:jc w:val="both"/>
        <w:rPr>
          <w:rFonts w:ascii="Arial" w:hAnsi="Arial" w:cs="Arial"/>
          <w:color w:val="595959" w:themeColor="text1" w:themeTint="A6"/>
        </w:rPr>
      </w:pPr>
      <w:r>
        <w:rPr>
          <w:rFonts w:ascii="Arial" w:hAnsi="Arial" w:cs="Arial"/>
          <w:noProof/>
          <w:color w:val="595959" w:themeColor="text1" w:themeTint="A6"/>
        </w:rPr>
        <w:drawing>
          <wp:anchor distT="0" distB="0" distL="114300" distR="114300" simplePos="0" relativeHeight="251658502" behindDoc="0" locked="0" layoutInCell="1" allowOverlap="1" wp14:anchorId="47C92BD0" wp14:editId="023AD7AB">
            <wp:simplePos x="0" y="0"/>
            <wp:positionH relativeFrom="margin">
              <wp:align>center</wp:align>
            </wp:positionH>
            <wp:positionV relativeFrom="paragraph">
              <wp:posOffset>0</wp:posOffset>
            </wp:positionV>
            <wp:extent cx="3102001" cy="5930900"/>
            <wp:effectExtent l="0" t="0" r="0" b="0"/>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102001" cy="5930900"/>
                    </a:xfrm>
                    <a:prstGeom prst="rect">
                      <a:avLst/>
                    </a:prstGeom>
                    <a:noFill/>
                  </pic:spPr>
                </pic:pic>
              </a:graphicData>
            </a:graphic>
            <wp14:sizeRelH relativeFrom="margin">
              <wp14:pctWidth>0</wp14:pctWidth>
            </wp14:sizeRelH>
            <wp14:sizeRelV relativeFrom="margin">
              <wp14:pctHeight>0</wp14:pctHeight>
            </wp14:sizeRelV>
          </wp:anchor>
        </w:drawing>
      </w:r>
    </w:p>
    <w:p w14:paraId="538AFB4D" w14:textId="506884A0" w:rsidR="00CE467F" w:rsidRDefault="00CE467F" w:rsidP="008C21BF">
      <w:pPr>
        <w:tabs>
          <w:tab w:val="left" w:pos="1350"/>
        </w:tabs>
        <w:spacing w:line="480" w:lineRule="auto"/>
        <w:jc w:val="both"/>
        <w:rPr>
          <w:rFonts w:ascii="Arial" w:hAnsi="Arial" w:cs="Arial"/>
          <w:color w:val="595959" w:themeColor="text1" w:themeTint="A6"/>
        </w:rPr>
      </w:pPr>
    </w:p>
    <w:p w14:paraId="0DBCFDFC" w14:textId="754F29AD" w:rsidR="00CE467F" w:rsidRDefault="00CE467F" w:rsidP="008C21BF">
      <w:pPr>
        <w:tabs>
          <w:tab w:val="left" w:pos="1350"/>
        </w:tabs>
        <w:spacing w:line="480" w:lineRule="auto"/>
        <w:jc w:val="both"/>
        <w:rPr>
          <w:rFonts w:ascii="Arial" w:hAnsi="Arial" w:cs="Arial"/>
          <w:color w:val="595959" w:themeColor="text1" w:themeTint="A6"/>
        </w:rPr>
      </w:pPr>
    </w:p>
    <w:p w14:paraId="0B9D8A59" w14:textId="5DFA016A" w:rsidR="00CE467F" w:rsidRDefault="00CE467F" w:rsidP="008C21BF">
      <w:pPr>
        <w:tabs>
          <w:tab w:val="left" w:pos="1350"/>
        </w:tabs>
        <w:spacing w:line="480" w:lineRule="auto"/>
        <w:jc w:val="both"/>
        <w:rPr>
          <w:rFonts w:ascii="Arial" w:hAnsi="Arial" w:cs="Arial"/>
          <w:color w:val="595959" w:themeColor="text1" w:themeTint="A6"/>
        </w:rPr>
      </w:pPr>
    </w:p>
    <w:p w14:paraId="368CFEB9" w14:textId="1143BB92" w:rsidR="00CE467F" w:rsidRDefault="00CE467F" w:rsidP="008C21BF">
      <w:pPr>
        <w:tabs>
          <w:tab w:val="left" w:pos="1350"/>
        </w:tabs>
        <w:spacing w:line="480" w:lineRule="auto"/>
        <w:jc w:val="both"/>
        <w:rPr>
          <w:rFonts w:ascii="Arial" w:hAnsi="Arial" w:cs="Arial"/>
          <w:color w:val="595959" w:themeColor="text1" w:themeTint="A6"/>
        </w:rPr>
      </w:pPr>
    </w:p>
    <w:p w14:paraId="6B75E2F0" w14:textId="48D2751A" w:rsidR="00CE467F" w:rsidRDefault="00CE467F" w:rsidP="008C21BF">
      <w:pPr>
        <w:tabs>
          <w:tab w:val="left" w:pos="1350"/>
        </w:tabs>
        <w:spacing w:line="480" w:lineRule="auto"/>
        <w:jc w:val="both"/>
        <w:rPr>
          <w:rFonts w:ascii="Arial" w:hAnsi="Arial" w:cs="Arial"/>
          <w:color w:val="595959" w:themeColor="text1" w:themeTint="A6"/>
        </w:rPr>
      </w:pPr>
    </w:p>
    <w:p w14:paraId="4160500B" w14:textId="26EB9ADA" w:rsidR="00CE467F" w:rsidRDefault="00CE467F" w:rsidP="008C21BF">
      <w:pPr>
        <w:tabs>
          <w:tab w:val="left" w:pos="1350"/>
        </w:tabs>
        <w:spacing w:line="480" w:lineRule="auto"/>
        <w:jc w:val="both"/>
        <w:rPr>
          <w:rFonts w:ascii="Arial" w:hAnsi="Arial" w:cs="Arial"/>
          <w:color w:val="595959" w:themeColor="text1" w:themeTint="A6"/>
        </w:rPr>
      </w:pPr>
    </w:p>
    <w:p w14:paraId="37A06367" w14:textId="1F1247D4" w:rsidR="00CE467F" w:rsidRDefault="00CE467F" w:rsidP="008C21BF">
      <w:pPr>
        <w:tabs>
          <w:tab w:val="left" w:pos="1350"/>
        </w:tabs>
        <w:spacing w:line="480" w:lineRule="auto"/>
        <w:jc w:val="both"/>
        <w:rPr>
          <w:rFonts w:ascii="Arial" w:hAnsi="Arial" w:cs="Arial"/>
          <w:color w:val="595959" w:themeColor="text1" w:themeTint="A6"/>
        </w:rPr>
      </w:pPr>
    </w:p>
    <w:p w14:paraId="1B5A4897" w14:textId="719F81A6" w:rsidR="00CE467F" w:rsidRDefault="00CE467F" w:rsidP="008C21BF">
      <w:pPr>
        <w:tabs>
          <w:tab w:val="left" w:pos="1350"/>
        </w:tabs>
        <w:spacing w:line="480" w:lineRule="auto"/>
        <w:jc w:val="both"/>
        <w:rPr>
          <w:rFonts w:ascii="Arial" w:hAnsi="Arial" w:cs="Arial"/>
          <w:color w:val="595959" w:themeColor="text1" w:themeTint="A6"/>
        </w:rPr>
      </w:pPr>
    </w:p>
    <w:p w14:paraId="0F3DB15F" w14:textId="4CCA4AEC" w:rsidR="00CE467F" w:rsidRDefault="00CE467F" w:rsidP="008C21BF">
      <w:pPr>
        <w:tabs>
          <w:tab w:val="left" w:pos="1350"/>
        </w:tabs>
        <w:spacing w:line="480" w:lineRule="auto"/>
        <w:jc w:val="both"/>
        <w:rPr>
          <w:rFonts w:ascii="Arial" w:hAnsi="Arial" w:cs="Arial"/>
          <w:color w:val="595959" w:themeColor="text1" w:themeTint="A6"/>
        </w:rPr>
      </w:pPr>
    </w:p>
    <w:p w14:paraId="07A92F88" w14:textId="00912830" w:rsidR="00CE467F" w:rsidRDefault="00CE467F" w:rsidP="008C21BF">
      <w:pPr>
        <w:tabs>
          <w:tab w:val="left" w:pos="1350"/>
        </w:tabs>
        <w:spacing w:line="480" w:lineRule="auto"/>
        <w:jc w:val="both"/>
        <w:rPr>
          <w:rFonts w:ascii="Arial" w:hAnsi="Arial" w:cs="Arial"/>
          <w:color w:val="595959" w:themeColor="text1" w:themeTint="A6"/>
        </w:rPr>
      </w:pPr>
    </w:p>
    <w:p w14:paraId="5BBF5A41" w14:textId="56F65EE2" w:rsidR="00CE467F" w:rsidRDefault="00CE467F" w:rsidP="008C21BF">
      <w:pPr>
        <w:tabs>
          <w:tab w:val="left" w:pos="1350"/>
        </w:tabs>
        <w:spacing w:line="480" w:lineRule="auto"/>
        <w:jc w:val="both"/>
        <w:rPr>
          <w:rFonts w:ascii="Arial" w:hAnsi="Arial" w:cs="Arial"/>
          <w:color w:val="595959" w:themeColor="text1" w:themeTint="A6"/>
        </w:rPr>
      </w:pPr>
    </w:p>
    <w:p w14:paraId="44A2DF4A" w14:textId="375CF5E5" w:rsidR="00CE467F" w:rsidRDefault="00CE467F" w:rsidP="008C21BF">
      <w:pPr>
        <w:tabs>
          <w:tab w:val="left" w:pos="1350"/>
        </w:tabs>
        <w:spacing w:line="480" w:lineRule="auto"/>
        <w:jc w:val="both"/>
        <w:rPr>
          <w:rFonts w:ascii="Arial" w:hAnsi="Arial" w:cs="Arial"/>
          <w:color w:val="595959" w:themeColor="text1" w:themeTint="A6"/>
        </w:rPr>
      </w:pPr>
    </w:p>
    <w:p w14:paraId="04522E22" w14:textId="4880AE70" w:rsidR="00CE467F" w:rsidRDefault="00CE467F" w:rsidP="008C21BF">
      <w:pPr>
        <w:tabs>
          <w:tab w:val="left" w:pos="1350"/>
        </w:tabs>
        <w:spacing w:line="480" w:lineRule="auto"/>
        <w:jc w:val="both"/>
        <w:rPr>
          <w:rFonts w:ascii="Arial" w:hAnsi="Arial" w:cs="Arial"/>
          <w:color w:val="595959" w:themeColor="text1" w:themeTint="A6"/>
        </w:rPr>
      </w:pPr>
    </w:p>
    <w:p w14:paraId="6DFAC062" w14:textId="47B36D42" w:rsidR="00CE467F" w:rsidRDefault="00CE467F" w:rsidP="008C21BF">
      <w:pPr>
        <w:tabs>
          <w:tab w:val="left" w:pos="1350"/>
        </w:tabs>
        <w:spacing w:line="480" w:lineRule="auto"/>
        <w:jc w:val="both"/>
        <w:rPr>
          <w:rFonts w:ascii="Arial" w:hAnsi="Arial" w:cs="Arial"/>
          <w:color w:val="595959" w:themeColor="text1" w:themeTint="A6"/>
        </w:rPr>
      </w:pPr>
    </w:p>
    <w:p w14:paraId="497347FB" w14:textId="5251DC26" w:rsidR="00CE467F" w:rsidRDefault="00BA253D" w:rsidP="008C21BF">
      <w:pPr>
        <w:tabs>
          <w:tab w:val="left" w:pos="1350"/>
        </w:tabs>
        <w:spacing w:line="480" w:lineRule="auto"/>
        <w:jc w:val="both"/>
        <w:rPr>
          <w:rFonts w:ascii="Arial" w:hAnsi="Arial" w:cs="Arial"/>
          <w:color w:val="595959" w:themeColor="text1" w:themeTint="A6"/>
        </w:rPr>
      </w:pPr>
      <w:r w:rsidRPr="0054039C">
        <w:rPr>
          <w:rFonts w:ascii="Arial" w:hAnsi="Arial" w:cs="Arial"/>
          <w:noProof/>
          <w:color w:val="595959" w:themeColor="text1" w:themeTint="A6"/>
          <w:sz w:val="24"/>
          <w:szCs w:val="24"/>
          <w:lang w:eastAsia="zh-CN"/>
        </w:rPr>
        <mc:AlternateContent>
          <mc:Choice Requires="wps">
            <w:drawing>
              <wp:anchor distT="0" distB="0" distL="114300" distR="114300" simplePos="0" relativeHeight="251658468" behindDoc="0" locked="0" layoutInCell="1" allowOverlap="1" wp14:anchorId="04065FD8" wp14:editId="2BCBCE84">
                <wp:simplePos x="0" y="0"/>
                <wp:positionH relativeFrom="margin">
                  <wp:align>left</wp:align>
                </wp:positionH>
                <wp:positionV relativeFrom="paragraph">
                  <wp:posOffset>147320</wp:posOffset>
                </wp:positionV>
                <wp:extent cx="5724525" cy="1371600"/>
                <wp:effectExtent l="0" t="0" r="9525" b="0"/>
                <wp:wrapNone/>
                <wp:docPr id="20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1371600"/>
                        </a:xfrm>
                        <a:prstGeom prst="rect">
                          <a:avLst/>
                        </a:prstGeom>
                        <a:solidFill>
                          <a:srgbClr val="FFFFFF"/>
                        </a:solidFill>
                        <a:ln w="9525">
                          <a:noFill/>
                          <a:miter lim="800000"/>
                          <a:headEnd/>
                          <a:tailEnd/>
                        </a:ln>
                      </wps:spPr>
                      <wps:txbx>
                        <w:txbxContent>
                          <w:p w14:paraId="356F353B" w14:textId="3951171F" w:rsidR="008A47AC" w:rsidRDefault="008A47AC" w:rsidP="00BA253D">
                            <w:pPr>
                              <w:pStyle w:val="NormalWeb"/>
                              <w:spacing w:after="200"/>
                              <w:jc w:val="both"/>
                              <w:rPr>
                                <w:rFonts w:ascii="Arial Narrow" w:eastAsia="SimSun" w:hAnsi="Arial Narrow" w:cs="Arial"/>
                                <w:b/>
                                <w:bCs/>
                                <w:color w:val="595959"/>
                                <w:kern w:val="24"/>
                                <w:sz w:val="22"/>
                                <w:szCs w:val="22"/>
                              </w:rPr>
                            </w:pPr>
                            <w:r>
                              <w:rPr>
                                <w:rFonts w:ascii="Arial Narrow" w:eastAsia="SimSun" w:hAnsi="Arial Narrow" w:cs="Arial"/>
                                <w:b/>
                                <w:bCs/>
                                <w:color w:val="595959"/>
                                <w:kern w:val="24"/>
                                <w:sz w:val="22"/>
                                <w:szCs w:val="22"/>
                              </w:rPr>
                              <w:t xml:space="preserve">Figure 4.15 αSMA gene expression in NOF- and CAF-DM in response to Scriptaid and Batimastat treatment with and without TGFβ-1 stimulation </w:t>
                            </w:r>
                          </w:p>
                          <w:p w14:paraId="0659DD13" w14:textId="4F188368" w:rsidR="008A47AC" w:rsidRPr="00944EBD" w:rsidRDefault="008A47AC" w:rsidP="00BA253D">
                            <w:pPr>
                              <w:pStyle w:val="NormalWeb"/>
                              <w:spacing w:after="200" w:line="276" w:lineRule="auto"/>
                              <w:jc w:val="both"/>
                              <w:rPr>
                                <w:rFonts w:ascii="Arial Narrow" w:eastAsia="SimSun" w:hAnsi="Arial Narrow" w:cs="Arial"/>
                                <w:color w:val="595959"/>
                                <w:kern w:val="24"/>
                                <w:sz w:val="22"/>
                              </w:rPr>
                            </w:pPr>
                            <w:r>
                              <w:rPr>
                                <w:rFonts w:ascii="Arial Narrow" w:eastAsia="SimSun" w:hAnsi="Arial Narrow" w:cs="Arial"/>
                                <w:color w:val="595959"/>
                                <w:kern w:val="24"/>
                                <w:sz w:val="22"/>
                              </w:rPr>
                              <w:t xml:space="preserve">NOF- (A) and CAF- (B) DM were treated with the inhibitors Scriptaid and Batimastat in the presence or absence of </w:t>
                            </w:r>
                            <w:r w:rsidRPr="00944EBD">
                              <w:rPr>
                                <w:rFonts w:ascii="Arial Narrow" w:eastAsia="SimSun" w:hAnsi="Arial Narrow" w:cs="Arial"/>
                                <w:color w:val="595959"/>
                                <w:kern w:val="24"/>
                                <w:sz w:val="22"/>
                              </w:rPr>
                              <w:t xml:space="preserve">TGFβ-1 </w:t>
                            </w:r>
                            <w:r>
                              <w:rPr>
                                <w:rFonts w:ascii="Arial Narrow" w:eastAsia="SimSun" w:hAnsi="Arial Narrow" w:cs="Arial"/>
                                <w:color w:val="595959"/>
                                <w:kern w:val="24"/>
                                <w:sz w:val="22"/>
                              </w:rPr>
                              <w:t xml:space="preserve">for 7 days and the gene expression for </w:t>
                            </w:r>
                            <w:r w:rsidRPr="00944EBD">
                              <w:rPr>
                                <w:rFonts w:ascii="Arial Narrow" w:eastAsia="SimSun" w:hAnsi="Arial Narrow" w:cs="Arial"/>
                                <w:color w:val="595959"/>
                                <w:kern w:val="24"/>
                                <w:sz w:val="22"/>
                              </w:rPr>
                              <w:t>aSMA</w:t>
                            </w:r>
                            <w:r>
                              <w:rPr>
                                <w:rFonts w:ascii="Arial Narrow" w:eastAsia="SimSun" w:hAnsi="Arial Narrow" w:cs="Arial"/>
                                <w:color w:val="595959"/>
                                <w:kern w:val="24"/>
                                <w:sz w:val="22"/>
                              </w:rPr>
                              <w:t xml:space="preserve"> determined by qPCR. Data is expressed as fold change relative to housekeeping gene U6, with mean ± SD, N=3, n=2, *** denotes p &lt;0.001 and ****p &lt;0.0001 analysed by students T-test. </w:t>
                            </w:r>
                          </w:p>
                          <w:p w14:paraId="4082C92A" w14:textId="77777777" w:rsidR="008A47AC" w:rsidRDefault="008A47AC" w:rsidP="00BA253D">
                            <w:pPr>
                              <w:pStyle w:val="NormalWeb"/>
                              <w:spacing w:after="200" w:line="276" w:lineRule="auto"/>
                              <w:jc w:val="both"/>
                              <w:rPr>
                                <w:rFonts w:ascii="Arial Narrow" w:eastAsia="SimSun" w:hAnsi="Arial Narrow" w:cs="Arial"/>
                                <w:color w:val="595959"/>
                                <w:kern w:val="24"/>
                              </w:rPr>
                            </w:pPr>
                          </w:p>
                          <w:p w14:paraId="746C30FD" w14:textId="77777777" w:rsidR="008A47AC" w:rsidRDefault="008A47AC" w:rsidP="00BA253D">
                            <w:pPr>
                              <w:pStyle w:val="NormalWeb"/>
                              <w:spacing w:after="200" w:line="276" w:lineRule="auto"/>
                              <w:jc w:val="both"/>
                              <w:rPr>
                                <w:rFonts w:ascii="Arial Narrow" w:eastAsia="SimSun" w:hAnsi="Arial Narrow" w:cs="Arial"/>
                                <w:color w:val="595959"/>
                                <w:kern w:val="24"/>
                              </w:rPr>
                            </w:pPr>
                          </w:p>
                          <w:p w14:paraId="75A046DA" w14:textId="77777777" w:rsidR="008A47AC" w:rsidRPr="00AE10F9" w:rsidRDefault="008A47AC" w:rsidP="00BA253D">
                            <w:pPr>
                              <w:pStyle w:val="NormalWeb"/>
                              <w:spacing w:after="200" w:line="276" w:lineRule="auto"/>
                              <w:jc w:val="both"/>
                              <w:rPr>
                                <w:rFonts w:ascii="Arial Narrow" w:eastAsia="SimSun" w:hAnsi="Arial Narrow" w:cs="Arial"/>
                                <w:color w:val="595959"/>
                                <w:kern w:val="24"/>
                              </w:rPr>
                            </w:pPr>
                          </w:p>
                          <w:p w14:paraId="20CB1D99" w14:textId="77777777" w:rsidR="008A47AC" w:rsidRDefault="008A47AC" w:rsidP="00BA253D">
                            <w:pPr>
                              <w:pStyle w:val="NormalWeb"/>
                              <w:spacing w:after="200" w:line="276" w:lineRule="auto"/>
                              <w:jc w:val="both"/>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065FD8" id="_x0000_s1168" type="#_x0000_t202" style="position:absolute;left:0;text-align:left;margin-left:0;margin-top:11.6pt;width:450.75pt;height:108pt;z-index:2516584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" stroked="f">
                <v:textbox>
                  <w:txbxContent>
                    <w:p w14:paraId="356F353B" w14:textId="3951171F" w:rsidR="008A47AC" w:rsidRDefault="008A47AC" w:rsidP="00BA253D">
                      <w:pPr>
                        <w:pStyle w:val="NormalWeb"/>
                        <w:spacing w:after="200"/>
                        <w:jc w:val="both"/>
                        <w:rPr>
                          <w:rFonts w:ascii="Arial Narrow" w:eastAsia="SimSun" w:hAnsi="Arial Narrow" w:cs="Arial"/>
                          <w:b/>
                          <w:bCs/>
                          <w:color w:val="595959"/>
                          <w:kern w:val="24"/>
                          <w:sz w:val="22"/>
                          <w:szCs w:val="22"/>
                        </w:rPr>
                      </w:pPr>
                      <w:r>
                        <w:rPr>
                          <w:rFonts w:ascii="Arial Narrow" w:eastAsia="SimSun" w:hAnsi="Arial Narrow" w:cs="Arial"/>
                          <w:b/>
                          <w:bCs/>
                          <w:color w:val="595959"/>
                          <w:kern w:val="24"/>
                          <w:sz w:val="22"/>
                          <w:szCs w:val="22"/>
                        </w:rPr>
                        <w:t xml:space="preserve">Figure 4.15 αSMA gene expression in NOF- and CAF-DM in response to Scriptaid and Batimastat treatment with and without TGFβ-1 stimulation </w:t>
                      </w:r>
                    </w:p>
                    <w:p w14:paraId="0659DD13" w14:textId="4F188368" w:rsidR="008A47AC" w:rsidRPr="00944EBD" w:rsidRDefault="008A47AC" w:rsidP="00BA253D">
                      <w:pPr>
                        <w:pStyle w:val="NormalWeb"/>
                        <w:spacing w:after="200" w:line="276" w:lineRule="auto"/>
                        <w:jc w:val="both"/>
                        <w:rPr>
                          <w:rFonts w:ascii="Arial Narrow" w:eastAsia="SimSun" w:hAnsi="Arial Narrow" w:cs="Arial"/>
                          <w:color w:val="595959"/>
                          <w:kern w:val="24"/>
                          <w:sz w:val="22"/>
                        </w:rPr>
                      </w:pPr>
                      <w:r>
                        <w:rPr>
                          <w:rFonts w:ascii="Arial Narrow" w:eastAsia="SimSun" w:hAnsi="Arial Narrow" w:cs="Arial"/>
                          <w:color w:val="595959"/>
                          <w:kern w:val="24"/>
                          <w:sz w:val="22"/>
                        </w:rPr>
                        <w:t xml:space="preserve">NOF- (A) and CAF- (B) DM were treated with the inhibitors Scriptaid and Batimastat in the presence or absence of </w:t>
                      </w:r>
                      <w:r w:rsidRPr="00944EBD">
                        <w:rPr>
                          <w:rFonts w:ascii="Arial Narrow" w:eastAsia="SimSun" w:hAnsi="Arial Narrow" w:cs="Arial"/>
                          <w:color w:val="595959"/>
                          <w:kern w:val="24"/>
                          <w:sz w:val="22"/>
                        </w:rPr>
                        <w:t xml:space="preserve">TGFβ-1 </w:t>
                      </w:r>
                      <w:r>
                        <w:rPr>
                          <w:rFonts w:ascii="Arial Narrow" w:eastAsia="SimSun" w:hAnsi="Arial Narrow" w:cs="Arial"/>
                          <w:color w:val="595959"/>
                          <w:kern w:val="24"/>
                          <w:sz w:val="22"/>
                        </w:rPr>
                        <w:t xml:space="preserve">for 7 days and the gene expression for </w:t>
                      </w:r>
                      <w:proofErr w:type="spellStart"/>
                      <w:r w:rsidRPr="00944EBD">
                        <w:rPr>
                          <w:rFonts w:ascii="Arial Narrow" w:eastAsia="SimSun" w:hAnsi="Arial Narrow" w:cs="Arial"/>
                          <w:color w:val="595959"/>
                          <w:kern w:val="24"/>
                          <w:sz w:val="22"/>
                        </w:rPr>
                        <w:t>aSMA</w:t>
                      </w:r>
                      <w:proofErr w:type="spellEnd"/>
                      <w:r>
                        <w:rPr>
                          <w:rFonts w:ascii="Arial Narrow" w:eastAsia="SimSun" w:hAnsi="Arial Narrow" w:cs="Arial"/>
                          <w:color w:val="595959"/>
                          <w:kern w:val="24"/>
                          <w:sz w:val="22"/>
                        </w:rPr>
                        <w:t xml:space="preserve"> determined by qPCR. Data is expressed as fold change relative to housekeeping gene U6, with mean ± SD, N=3, n=2, *** denotes p &lt;0.001 and ****p &lt;0.0001 analysed by students T-test. </w:t>
                      </w:r>
                    </w:p>
                    <w:p w14:paraId="4082C92A" w14:textId="77777777" w:rsidR="008A47AC" w:rsidRDefault="008A47AC" w:rsidP="00BA253D">
                      <w:pPr>
                        <w:pStyle w:val="NormalWeb"/>
                        <w:spacing w:after="200" w:line="276" w:lineRule="auto"/>
                        <w:jc w:val="both"/>
                        <w:rPr>
                          <w:rFonts w:ascii="Arial Narrow" w:eastAsia="SimSun" w:hAnsi="Arial Narrow" w:cs="Arial"/>
                          <w:color w:val="595959"/>
                          <w:kern w:val="24"/>
                        </w:rPr>
                      </w:pPr>
                    </w:p>
                    <w:p w14:paraId="746C30FD" w14:textId="77777777" w:rsidR="008A47AC" w:rsidRDefault="008A47AC" w:rsidP="00BA253D">
                      <w:pPr>
                        <w:pStyle w:val="NormalWeb"/>
                        <w:spacing w:after="200" w:line="276" w:lineRule="auto"/>
                        <w:jc w:val="both"/>
                        <w:rPr>
                          <w:rFonts w:ascii="Arial Narrow" w:eastAsia="SimSun" w:hAnsi="Arial Narrow" w:cs="Arial"/>
                          <w:color w:val="595959"/>
                          <w:kern w:val="24"/>
                        </w:rPr>
                      </w:pPr>
                    </w:p>
                    <w:p w14:paraId="75A046DA" w14:textId="77777777" w:rsidR="008A47AC" w:rsidRPr="00AE10F9" w:rsidRDefault="008A47AC" w:rsidP="00BA253D">
                      <w:pPr>
                        <w:pStyle w:val="NormalWeb"/>
                        <w:spacing w:after="200" w:line="276" w:lineRule="auto"/>
                        <w:jc w:val="both"/>
                        <w:rPr>
                          <w:rFonts w:ascii="Arial Narrow" w:eastAsia="SimSun" w:hAnsi="Arial Narrow" w:cs="Arial"/>
                          <w:color w:val="595959"/>
                          <w:kern w:val="24"/>
                        </w:rPr>
                      </w:pPr>
                    </w:p>
                    <w:p w14:paraId="20CB1D99" w14:textId="77777777" w:rsidR="008A47AC" w:rsidRDefault="008A47AC" w:rsidP="00BA253D">
                      <w:pPr>
                        <w:pStyle w:val="NormalWeb"/>
                        <w:spacing w:after="200" w:line="276" w:lineRule="auto"/>
                        <w:jc w:val="both"/>
                      </w:pPr>
                    </w:p>
                  </w:txbxContent>
                </v:textbox>
                <w10:wrap anchorx="margin"/>
              </v:shape>
            </w:pict>
          </mc:Fallback>
        </mc:AlternateContent>
      </w:r>
    </w:p>
    <w:p w14:paraId="38F51D9F" w14:textId="7D014464" w:rsidR="00CE467F" w:rsidRDefault="00CE467F" w:rsidP="008C21BF">
      <w:pPr>
        <w:tabs>
          <w:tab w:val="left" w:pos="1350"/>
        </w:tabs>
        <w:spacing w:line="480" w:lineRule="auto"/>
        <w:jc w:val="both"/>
        <w:rPr>
          <w:rFonts w:ascii="Arial" w:hAnsi="Arial" w:cs="Arial"/>
          <w:color w:val="595959" w:themeColor="text1" w:themeTint="A6"/>
        </w:rPr>
      </w:pPr>
    </w:p>
    <w:p w14:paraId="76869C17" w14:textId="3C2DCFB3" w:rsidR="00CE467F" w:rsidRDefault="00CE467F" w:rsidP="008C21BF">
      <w:pPr>
        <w:tabs>
          <w:tab w:val="left" w:pos="1350"/>
        </w:tabs>
        <w:spacing w:line="480" w:lineRule="auto"/>
        <w:jc w:val="both"/>
        <w:rPr>
          <w:rFonts w:ascii="Arial" w:hAnsi="Arial" w:cs="Arial"/>
          <w:color w:val="595959" w:themeColor="text1" w:themeTint="A6"/>
        </w:rPr>
      </w:pPr>
    </w:p>
    <w:p w14:paraId="57715629" w14:textId="5A2B2448" w:rsidR="00F8112F" w:rsidRDefault="00F8112F" w:rsidP="0019510B">
      <w:pPr>
        <w:pStyle w:val="Heading5"/>
        <w:rPr>
          <w:rFonts w:ascii="Arial" w:hAnsi="Arial" w:cs="Arial"/>
          <w:color w:val="595959" w:themeColor="text1" w:themeTint="A6"/>
        </w:rPr>
      </w:pPr>
    </w:p>
    <w:p w14:paraId="441BCCD3" w14:textId="798D9F5A" w:rsidR="00F04F93" w:rsidRDefault="00F04F93" w:rsidP="00F04F93"/>
    <w:p w14:paraId="492744B1" w14:textId="77777777" w:rsidR="00F04F93" w:rsidRPr="00F04F93" w:rsidRDefault="00F04F93" w:rsidP="00F04F93"/>
    <w:p w14:paraId="453D1BEE" w14:textId="77777777" w:rsidR="00F8112F" w:rsidRDefault="00F8112F" w:rsidP="0019510B">
      <w:pPr>
        <w:pStyle w:val="Heading5"/>
        <w:rPr>
          <w:rFonts w:ascii="Arial" w:hAnsi="Arial" w:cs="Arial"/>
          <w:color w:val="595959" w:themeColor="text1" w:themeTint="A6"/>
        </w:rPr>
      </w:pPr>
    </w:p>
    <w:p w14:paraId="32A056B2" w14:textId="77777777" w:rsidR="002E76C0" w:rsidRDefault="002E76C0" w:rsidP="0019510B">
      <w:pPr>
        <w:pStyle w:val="Heading5"/>
        <w:rPr>
          <w:rFonts w:ascii="Arial" w:hAnsi="Arial" w:cs="Arial"/>
          <w:color w:val="595959" w:themeColor="text1" w:themeTint="A6"/>
        </w:rPr>
      </w:pPr>
    </w:p>
    <w:p w14:paraId="5E9B873B" w14:textId="36BE03B0" w:rsidR="008C21BF" w:rsidRDefault="008C21BF" w:rsidP="0019510B">
      <w:pPr>
        <w:pStyle w:val="Heading5"/>
        <w:rPr>
          <w:rFonts w:ascii="Arial" w:hAnsi="Arial" w:cs="Arial"/>
          <w:color w:val="595959" w:themeColor="text1" w:themeTint="A6"/>
        </w:rPr>
      </w:pPr>
      <w:bookmarkStart w:id="432" w:name="_Toc34208436"/>
      <w:r w:rsidRPr="008C21BF">
        <w:rPr>
          <w:rFonts w:ascii="Arial" w:hAnsi="Arial" w:cs="Arial"/>
          <w:color w:val="595959" w:themeColor="text1" w:themeTint="A6"/>
        </w:rPr>
        <w:t>4.3.2.5</w:t>
      </w:r>
      <w:r w:rsidR="0019510B">
        <w:rPr>
          <w:rFonts w:ascii="Arial" w:hAnsi="Arial" w:cs="Arial"/>
          <w:color w:val="595959" w:themeColor="text1" w:themeTint="A6"/>
        </w:rPr>
        <w:t xml:space="preserve">.2 </w:t>
      </w:r>
      <w:r w:rsidRPr="008C21BF">
        <w:rPr>
          <w:rFonts w:ascii="Arial" w:hAnsi="Arial" w:cs="Arial"/>
          <w:color w:val="595959" w:themeColor="text1" w:themeTint="A6"/>
        </w:rPr>
        <w:t xml:space="preserve">The effect of Scriptaid and Batimastat on αSMA abundance </w:t>
      </w:r>
      <w:r w:rsidR="00FC5416">
        <w:rPr>
          <w:rFonts w:ascii="Arial" w:hAnsi="Arial" w:cs="Arial"/>
          <w:color w:val="595959" w:themeColor="text1" w:themeTint="A6"/>
        </w:rPr>
        <w:t>on NOF- and</w:t>
      </w:r>
      <w:r w:rsidRPr="008C21BF">
        <w:rPr>
          <w:rFonts w:ascii="Arial" w:hAnsi="Arial" w:cs="Arial"/>
          <w:color w:val="595959" w:themeColor="text1" w:themeTint="A6"/>
        </w:rPr>
        <w:t xml:space="preserve"> CAF-DM</w:t>
      </w:r>
      <w:bookmarkEnd w:id="432"/>
    </w:p>
    <w:p w14:paraId="0BD8DBDE" w14:textId="77777777" w:rsidR="0019510B" w:rsidRPr="0019510B" w:rsidRDefault="0019510B" w:rsidP="0019510B"/>
    <w:p w14:paraId="593F7029" w14:textId="7F48AB22" w:rsidR="00162E3C" w:rsidRDefault="008B3C44" w:rsidP="00E523A4">
      <w:pPr>
        <w:tabs>
          <w:tab w:val="left" w:pos="1350"/>
        </w:tabs>
        <w:spacing w:line="480" w:lineRule="auto"/>
        <w:jc w:val="both"/>
        <w:rPr>
          <w:rFonts w:ascii="Arial" w:hAnsi="Arial" w:cs="Arial"/>
          <w:color w:val="595959" w:themeColor="text1" w:themeTint="A6"/>
        </w:rPr>
      </w:pPr>
      <w:r>
        <w:rPr>
          <w:rFonts w:ascii="Arial" w:hAnsi="Arial" w:cs="Arial"/>
          <w:color w:val="595959" w:themeColor="text1" w:themeTint="A6"/>
        </w:rPr>
        <w:t>N</w:t>
      </w:r>
      <w:r w:rsidR="00630D54">
        <w:rPr>
          <w:rFonts w:ascii="Arial" w:hAnsi="Arial" w:cs="Arial"/>
          <w:color w:val="595959" w:themeColor="text1" w:themeTint="A6"/>
        </w:rPr>
        <w:t xml:space="preserve">o significant difference in </w:t>
      </w:r>
      <w:r w:rsidR="00630D54" w:rsidRPr="008C21BF">
        <w:rPr>
          <w:rFonts w:ascii="Arial" w:hAnsi="Arial" w:cs="Arial"/>
          <w:color w:val="595959" w:themeColor="text1" w:themeTint="A6"/>
        </w:rPr>
        <w:t xml:space="preserve">αSMA </w:t>
      </w:r>
      <w:r w:rsidR="00630D54">
        <w:rPr>
          <w:rFonts w:ascii="Arial" w:hAnsi="Arial" w:cs="Arial"/>
          <w:color w:val="595959" w:themeColor="text1" w:themeTint="A6"/>
        </w:rPr>
        <w:t>protein</w:t>
      </w:r>
      <w:r w:rsidR="00673976">
        <w:rPr>
          <w:rFonts w:ascii="Arial" w:hAnsi="Arial" w:cs="Arial"/>
          <w:color w:val="595959" w:themeColor="text1" w:themeTint="A6"/>
        </w:rPr>
        <w:t xml:space="preserve"> </w:t>
      </w:r>
      <w:r w:rsidR="00630D54" w:rsidRPr="008C21BF">
        <w:rPr>
          <w:rFonts w:ascii="Arial" w:hAnsi="Arial" w:cs="Arial"/>
          <w:color w:val="595959" w:themeColor="text1" w:themeTint="A6"/>
        </w:rPr>
        <w:t>abundance</w:t>
      </w:r>
      <w:r w:rsidR="00630D54">
        <w:rPr>
          <w:rFonts w:ascii="Arial" w:hAnsi="Arial" w:cs="Arial"/>
          <w:color w:val="595959" w:themeColor="text1" w:themeTint="A6"/>
        </w:rPr>
        <w:t xml:space="preserve"> </w:t>
      </w:r>
      <w:r>
        <w:rPr>
          <w:rFonts w:ascii="Arial" w:hAnsi="Arial" w:cs="Arial"/>
          <w:color w:val="595959" w:themeColor="text1" w:themeTint="A6"/>
        </w:rPr>
        <w:t>was observed with the addition of Scriptaid</w:t>
      </w:r>
      <w:r w:rsidR="000C23FD">
        <w:rPr>
          <w:rFonts w:ascii="Arial" w:hAnsi="Arial" w:cs="Arial"/>
          <w:color w:val="595959" w:themeColor="text1" w:themeTint="A6"/>
        </w:rPr>
        <w:t xml:space="preserve"> or Batimastat </w:t>
      </w:r>
      <w:r w:rsidR="00D1351A">
        <w:rPr>
          <w:rFonts w:ascii="Arial" w:hAnsi="Arial" w:cs="Arial"/>
          <w:color w:val="595959" w:themeColor="text1" w:themeTint="A6"/>
        </w:rPr>
        <w:t xml:space="preserve">alone </w:t>
      </w:r>
      <w:r w:rsidR="002040E7">
        <w:rPr>
          <w:rFonts w:ascii="Arial" w:hAnsi="Arial" w:cs="Arial"/>
          <w:color w:val="595959" w:themeColor="text1" w:themeTint="A6"/>
        </w:rPr>
        <w:t xml:space="preserve">compared to </w:t>
      </w:r>
      <w:r>
        <w:rPr>
          <w:rFonts w:ascii="Arial" w:hAnsi="Arial" w:cs="Arial"/>
          <w:color w:val="595959" w:themeColor="text1" w:themeTint="A6"/>
        </w:rPr>
        <w:t xml:space="preserve">vehicle </w:t>
      </w:r>
      <w:r w:rsidR="00B87941">
        <w:rPr>
          <w:rFonts w:ascii="Arial" w:hAnsi="Arial" w:cs="Arial"/>
          <w:color w:val="595959" w:themeColor="text1" w:themeTint="A6"/>
        </w:rPr>
        <w:t>control</w:t>
      </w:r>
      <w:r>
        <w:rPr>
          <w:rFonts w:ascii="Arial" w:hAnsi="Arial" w:cs="Arial"/>
          <w:color w:val="595959" w:themeColor="text1" w:themeTint="A6"/>
        </w:rPr>
        <w:t xml:space="preserve"> t</w:t>
      </w:r>
      <w:r w:rsidR="0046223B">
        <w:rPr>
          <w:rFonts w:ascii="Arial" w:hAnsi="Arial" w:cs="Arial"/>
          <w:color w:val="595959" w:themeColor="text1" w:themeTint="A6"/>
        </w:rPr>
        <w:t>r</w:t>
      </w:r>
      <w:r>
        <w:rPr>
          <w:rFonts w:ascii="Arial" w:hAnsi="Arial" w:cs="Arial"/>
          <w:color w:val="595959" w:themeColor="text1" w:themeTint="A6"/>
        </w:rPr>
        <w:t>eated NOF-DM</w:t>
      </w:r>
      <w:r w:rsidR="00EA521D">
        <w:rPr>
          <w:rFonts w:ascii="Arial" w:hAnsi="Arial" w:cs="Arial"/>
          <w:color w:val="595959" w:themeColor="text1" w:themeTint="A6"/>
        </w:rPr>
        <w:t xml:space="preserve"> (Figure 4.1</w:t>
      </w:r>
      <w:r w:rsidR="00B65331">
        <w:rPr>
          <w:rFonts w:ascii="Arial" w:hAnsi="Arial" w:cs="Arial"/>
          <w:color w:val="595959" w:themeColor="text1" w:themeTint="A6"/>
        </w:rPr>
        <w:t xml:space="preserve">6 </w:t>
      </w:r>
      <w:r w:rsidR="00EA521D">
        <w:rPr>
          <w:rFonts w:ascii="Arial" w:hAnsi="Arial" w:cs="Arial"/>
          <w:color w:val="595959" w:themeColor="text1" w:themeTint="A6"/>
        </w:rPr>
        <w:t xml:space="preserve">A </w:t>
      </w:r>
      <w:r w:rsidR="00BC4FC6">
        <w:rPr>
          <w:rFonts w:ascii="Arial" w:hAnsi="Arial" w:cs="Arial"/>
          <w:color w:val="595959" w:themeColor="text1" w:themeTint="A6"/>
        </w:rPr>
        <w:t>i+</w:t>
      </w:r>
      <w:r w:rsidR="00EA521D">
        <w:rPr>
          <w:rFonts w:ascii="Arial" w:hAnsi="Arial" w:cs="Arial"/>
          <w:color w:val="595959" w:themeColor="text1" w:themeTint="A6"/>
        </w:rPr>
        <w:t>ii)</w:t>
      </w:r>
      <w:r w:rsidR="00BE4FC1">
        <w:rPr>
          <w:rFonts w:ascii="Arial" w:hAnsi="Arial" w:cs="Arial"/>
          <w:color w:val="595959" w:themeColor="text1" w:themeTint="A6"/>
        </w:rPr>
        <w:t xml:space="preserve">. </w:t>
      </w:r>
      <w:r w:rsidR="00BC4FC6">
        <w:rPr>
          <w:rFonts w:ascii="Arial" w:hAnsi="Arial" w:cs="Arial"/>
          <w:color w:val="595959" w:themeColor="text1" w:themeTint="A6"/>
        </w:rPr>
        <w:t xml:space="preserve">The </w:t>
      </w:r>
      <w:r w:rsidR="002769E1">
        <w:rPr>
          <w:rFonts w:ascii="Arial" w:hAnsi="Arial" w:cs="Arial"/>
          <w:color w:val="595959" w:themeColor="text1" w:themeTint="A6"/>
        </w:rPr>
        <w:t>addition of Scriptaid in combination</w:t>
      </w:r>
      <w:r w:rsidR="00DE0397">
        <w:rPr>
          <w:rFonts w:ascii="Arial" w:hAnsi="Arial" w:cs="Arial"/>
          <w:color w:val="595959" w:themeColor="text1" w:themeTint="A6"/>
        </w:rPr>
        <w:t xml:space="preserve"> with TGFβ-1</w:t>
      </w:r>
      <w:r w:rsidR="005F2A32">
        <w:rPr>
          <w:rFonts w:ascii="Arial" w:hAnsi="Arial" w:cs="Arial"/>
          <w:color w:val="595959" w:themeColor="text1" w:themeTint="A6"/>
        </w:rPr>
        <w:t xml:space="preserve">, </w:t>
      </w:r>
      <w:r w:rsidR="003223BC">
        <w:rPr>
          <w:rFonts w:ascii="Arial" w:hAnsi="Arial" w:cs="Arial"/>
          <w:color w:val="595959" w:themeColor="text1" w:themeTint="A6"/>
        </w:rPr>
        <w:t>significant</w:t>
      </w:r>
      <w:r w:rsidR="00BC3C78">
        <w:rPr>
          <w:rFonts w:ascii="Arial" w:hAnsi="Arial" w:cs="Arial"/>
          <w:color w:val="595959" w:themeColor="text1" w:themeTint="A6"/>
        </w:rPr>
        <w:t xml:space="preserve">ly reduced </w:t>
      </w:r>
      <w:r w:rsidR="003223BC" w:rsidRPr="008C21BF">
        <w:rPr>
          <w:rFonts w:ascii="Arial" w:hAnsi="Arial" w:cs="Arial"/>
          <w:color w:val="595959" w:themeColor="text1" w:themeTint="A6"/>
        </w:rPr>
        <w:t xml:space="preserve">αSMA </w:t>
      </w:r>
      <w:r w:rsidR="003223BC">
        <w:rPr>
          <w:rFonts w:ascii="Arial" w:hAnsi="Arial" w:cs="Arial"/>
          <w:color w:val="595959" w:themeColor="text1" w:themeTint="A6"/>
        </w:rPr>
        <w:t xml:space="preserve">protein </w:t>
      </w:r>
      <w:r w:rsidR="00BC3C78">
        <w:rPr>
          <w:rFonts w:ascii="Arial" w:hAnsi="Arial" w:cs="Arial"/>
          <w:color w:val="595959" w:themeColor="text1" w:themeTint="A6"/>
        </w:rPr>
        <w:t xml:space="preserve">by </w:t>
      </w:r>
      <w:r w:rsidR="0091534A">
        <w:rPr>
          <w:rFonts w:ascii="Arial" w:hAnsi="Arial" w:cs="Arial"/>
          <w:color w:val="595959" w:themeColor="text1" w:themeTint="A6"/>
        </w:rPr>
        <w:t xml:space="preserve">~18-fold </w:t>
      </w:r>
      <w:r w:rsidR="00A40C8A">
        <w:rPr>
          <w:rFonts w:ascii="Arial" w:hAnsi="Arial" w:cs="Arial"/>
          <w:color w:val="595959" w:themeColor="text1" w:themeTint="A6"/>
        </w:rPr>
        <w:t xml:space="preserve">(0.54 ± 0.70) </w:t>
      </w:r>
      <w:r w:rsidR="003223BC">
        <w:rPr>
          <w:rFonts w:ascii="Arial" w:hAnsi="Arial" w:cs="Arial"/>
          <w:color w:val="595959" w:themeColor="text1" w:themeTint="A6"/>
        </w:rPr>
        <w:t>compared to TGFβ-1 alone</w:t>
      </w:r>
      <w:r w:rsidR="008C6131">
        <w:rPr>
          <w:rFonts w:ascii="Arial" w:hAnsi="Arial" w:cs="Arial"/>
          <w:color w:val="595959" w:themeColor="text1" w:themeTint="A6"/>
        </w:rPr>
        <w:t xml:space="preserve"> </w:t>
      </w:r>
      <w:r w:rsidR="00B87941">
        <w:rPr>
          <w:rFonts w:ascii="Arial" w:hAnsi="Arial" w:cs="Arial"/>
          <w:color w:val="595959" w:themeColor="text1" w:themeTint="A6"/>
        </w:rPr>
        <w:t>(9.75 ± 4.78),</w:t>
      </w:r>
      <w:r w:rsidR="00AF0943">
        <w:rPr>
          <w:rFonts w:ascii="Arial" w:hAnsi="Arial" w:cs="Arial"/>
          <w:color w:val="595959" w:themeColor="text1" w:themeTint="A6"/>
        </w:rPr>
        <w:t xml:space="preserve"> p=0.0296</w:t>
      </w:r>
      <w:r w:rsidR="00B87941">
        <w:rPr>
          <w:rFonts w:ascii="Arial" w:hAnsi="Arial" w:cs="Arial"/>
          <w:color w:val="595959" w:themeColor="text1" w:themeTint="A6"/>
        </w:rPr>
        <w:t xml:space="preserve"> </w:t>
      </w:r>
      <w:r w:rsidR="008C6131">
        <w:rPr>
          <w:rFonts w:ascii="Arial" w:hAnsi="Arial" w:cs="Arial"/>
          <w:color w:val="595959" w:themeColor="text1" w:themeTint="A6"/>
        </w:rPr>
        <w:t>(Figure 4.1</w:t>
      </w:r>
      <w:r w:rsidR="00B65331">
        <w:rPr>
          <w:rFonts w:ascii="Arial" w:hAnsi="Arial" w:cs="Arial"/>
          <w:color w:val="595959" w:themeColor="text1" w:themeTint="A6"/>
        </w:rPr>
        <w:t>6</w:t>
      </w:r>
      <w:r w:rsidR="008C6131">
        <w:rPr>
          <w:rFonts w:ascii="Arial" w:hAnsi="Arial" w:cs="Arial"/>
          <w:color w:val="595959" w:themeColor="text1" w:themeTint="A6"/>
        </w:rPr>
        <w:t xml:space="preserve"> A i)</w:t>
      </w:r>
      <w:r w:rsidR="00D1351A">
        <w:rPr>
          <w:rFonts w:ascii="Arial" w:hAnsi="Arial" w:cs="Arial"/>
          <w:color w:val="595959" w:themeColor="text1" w:themeTint="A6"/>
        </w:rPr>
        <w:t xml:space="preserve">. This trend was also observed for </w:t>
      </w:r>
      <w:r w:rsidR="00B52A29">
        <w:rPr>
          <w:rFonts w:ascii="Arial" w:hAnsi="Arial" w:cs="Arial"/>
          <w:color w:val="595959" w:themeColor="text1" w:themeTint="A6"/>
        </w:rPr>
        <w:t>NOF-DM treated with Batimastat</w:t>
      </w:r>
      <w:r w:rsidR="00A63042">
        <w:rPr>
          <w:rFonts w:ascii="Arial" w:hAnsi="Arial" w:cs="Arial"/>
          <w:color w:val="595959" w:themeColor="text1" w:themeTint="A6"/>
        </w:rPr>
        <w:t xml:space="preserve"> in combination therapy with TGFβ-1</w:t>
      </w:r>
      <w:r w:rsidR="00B52A29">
        <w:rPr>
          <w:rFonts w:ascii="Arial" w:hAnsi="Arial" w:cs="Arial"/>
          <w:color w:val="595959" w:themeColor="text1" w:themeTint="A6"/>
        </w:rPr>
        <w:t>.</w:t>
      </w:r>
      <w:r w:rsidR="00A63042">
        <w:rPr>
          <w:rFonts w:ascii="Arial" w:hAnsi="Arial" w:cs="Arial"/>
          <w:color w:val="595959" w:themeColor="text1" w:themeTint="A6"/>
        </w:rPr>
        <w:t xml:space="preserve"> </w:t>
      </w:r>
      <w:r w:rsidR="00B52A29">
        <w:rPr>
          <w:rFonts w:ascii="Arial" w:hAnsi="Arial" w:cs="Arial"/>
          <w:color w:val="595959" w:themeColor="text1" w:themeTint="A6"/>
        </w:rPr>
        <w:t>A</w:t>
      </w:r>
      <w:r w:rsidR="00A63042">
        <w:rPr>
          <w:rFonts w:ascii="Arial" w:hAnsi="Arial" w:cs="Arial"/>
          <w:color w:val="595959" w:themeColor="text1" w:themeTint="A6"/>
        </w:rPr>
        <w:t xml:space="preserve"> significant </w:t>
      </w:r>
      <w:r w:rsidR="00F60BBB">
        <w:rPr>
          <w:rFonts w:ascii="Arial" w:hAnsi="Arial" w:cs="Arial"/>
          <w:color w:val="595959" w:themeColor="text1" w:themeTint="A6"/>
        </w:rPr>
        <w:t xml:space="preserve">~19-fold </w:t>
      </w:r>
      <w:r w:rsidR="00A63042">
        <w:rPr>
          <w:rFonts w:ascii="Arial" w:hAnsi="Arial" w:cs="Arial"/>
          <w:color w:val="595959" w:themeColor="text1" w:themeTint="A6"/>
        </w:rPr>
        <w:t>reduction</w:t>
      </w:r>
      <w:r w:rsidR="00F60BBB">
        <w:rPr>
          <w:rFonts w:ascii="Arial" w:hAnsi="Arial" w:cs="Arial"/>
          <w:color w:val="595959" w:themeColor="text1" w:themeTint="A6"/>
        </w:rPr>
        <w:t xml:space="preserve"> in </w:t>
      </w:r>
      <w:r w:rsidR="00F60BBB" w:rsidRPr="008C21BF">
        <w:rPr>
          <w:rFonts w:ascii="Arial" w:hAnsi="Arial" w:cs="Arial"/>
          <w:color w:val="595959" w:themeColor="text1" w:themeTint="A6"/>
        </w:rPr>
        <w:t>αSMA abundance</w:t>
      </w:r>
      <w:r w:rsidR="00B52A29">
        <w:rPr>
          <w:rFonts w:ascii="Arial" w:hAnsi="Arial" w:cs="Arial"/>
          <w:color w:val="595959" w:themeColor="text1" w:themeTint="A6"/>
        </w:rPr>
        <w:t xml:space="preserve"> was detectable</w:t>
      </w:r>
      <w:r w:rsidR="00162E3C">
        <w:rPr>
          <w:rFonts w:ascii="Arial" w:hAnsi="Arial" w:cs="Arial"/>
          <w:color w:val="595959" w:themeColor="text1" w:themeTint="A6"/>
        </w:rPr>
        <w:t>, compared to TGFβ-1</w:t>
      </w:r>
      <w:r w:rsidR="00D92F86">
        <w:rPr>
          <w:rFonts w:ascii="Arial" w:hAnsi="Arial" w:cs="Arial"/>
          <w:color w:val="595959" w:themeColor="text1" w:themeTint="A6"/>
        </w:rPr>
        <w:t xml:space="preserve"> alone, p=0.02</w:t>
      </w:r>
      <w:r w:rsidR="004851FB">
        <w:rPr>
          <w:rFonts w:ascii="Arial" w:hAnsi="Arial" w:cs="Arial"/>
          <w:color w:val="595959" w:themeColor="text1" w:themeTint="A6"/>
        </w:rPr>
        <w:t>91</w:t>
      </w:r>
      <w:r w:rsidR="00B52A29">
        <w:rPr>
          <w:rFonts w:ascii="Arial" w:hAnsi="Arial" w:cs="Arial"/>
          <w:color w:val="595959" w:themeColor="text1" w:themeTint="A6"/>
        </w:rPr>
        <w:t xml:space="preserve">. </w:t>
      </w:r>
    </w:p>
    <w:p w14:paraId="185DDC72" w14:textId="06B0C3B1" w:rsidR="00B24B3F" w:rsidRPr="008C21BF" w:rsidRDefault="00741889" w:rsidP="00E523A4">
      <w:pPr>
        <w:tabs>
          <w:tab w:val="left" w:pos="1350"/>
        </w:tabs>
        <w:spacing w:line="480" w:lineRule="auto"/>
        <w:jc w:val="both"/>
        <w:rPr>
          <w:rFonts w:ascii="Arial" w:hAnsi="Arial" w:cs="Arial"/>
          <w:color w:val="595959" w:themeColor="text1" w:themeTint="A6"/>
        </w:rPr>
      </w:pPr>
      <w:r>
        <w:rPr>
          <w:rFonts w:ascii="Arial" w:hAnsi="Arial" w:cs="Arial"/>
          <w:color w:val="595959" w:themeColor="text1" w:themeTint="A6"/>
        </w:rPr>
        <w:t>In co</w:t>
      </w:r>
      <w:r w:rsidR="00D304CE">
        <w:rPr>
          <w:rFonts w:ascii="Arial" w:hAnsi="Arial" w:cs="Arial"/>
          <w:color w:val="595959" w:themeColor="text1" w:themeTint="A6"/>
        </w:rPr>
        <w:t>ntrast</w:t>
      </w:r>
      <w:r>
        <w:rPr>
          <w:rFonts w:ascii="Arial" w:hAnsi="Arial" w:cs="Arial"/>
          <w:color w:val="595959" w:themeColor="text1" w:themeTint="A6"/>
        </w:rPr>
        <w:t xml:space="preserve">, for CAF-DM, </w:t>
      </w:r>
      <w:r w:rsidR="00B24B3F" w:rsidRPr="008C21BF">
        <w:rPr>
          <w:rFonts w:ascii="Arial" w:hAnsi="Arial" w:cs="Arial"/>
          <w:color w:val="595959" w:themeColor="text1" w:themeTint="A6"/>
        </w:rPr>
        <w:t xml:space="preserve">αSMA protein was visibly reduced with the addition of Scriptaid </w:t>
      </w:r>
      <w:r w:rsidR="001579F6">
        <w:rPr>
          <w:rFonts w:ascii="Arial" w:hAnsi="Arial" w:cs="Arial"/>
          <w:color w:val="595959" w:themeColor="text1" w:themeTint="A6"/>
        </w:rPr>
        <w:t>(0.89 ±</w:t>
      </w:r>
      <w:r w:rsidR="001579F6" w:rsidRPr="008C21BF">
        <w:rPr>
          <w:rFonts w:ascii="Arial" w:hAnsi="Arial" w:cs="Arial"/>
          <w:color w:val="595959" w:themeColor="text1" w:themeTint="A6"/>
        </w:rPr>
        <w:t xml:space="preserve"> </w:t>
      </w:r>
      <w:r w:rsidR="001579F6">
        <w:rPr>
          <w:rFonts w:ascii="Arial" w:hAnsi="Arial" w:cs="Arial"/>
          <w:color w:val="595959" w:themeColor="text1" w:themeTint="A6"/>
        </w:rPr>
        <w:t xml:space="preserve">0.05) </w:t>
      </w:r>
      <w:r w:rsidR="00B501E0">
        <w:rPr>
          <w:rFonts w:ascii="Arial" w:hAnsi="Arial" w:cs="Arial"/>
          <w:color w:val="595959" w:themeColor="text1" w:themeTint="A6"/>
        </w:rPr>
        <w:t xml:space="preserve">compared to vehicle control treated </w:t>
      </w:r>
      <w:r w:rsidR="00D512E8">
        <w:rPr>
          <w:rFonts w:ascii="Arial" w:hAnsi="Arial" w:cs="Arial"/>
          <w:color w:val="595959" w:themeColor="text1" w:themeTint="A6"/>
        </w:rPr>
        <w:t xml:space="preserve">CAF-DM, </w:t>
      </w:r>
      <w:r w:rsidR="00B501E0">
        <w:rPr>
          <w:rFonts w:ascii="Arial" w:hAnsi="Arial" w:cs="Arial"/>
          <w:color w:val="595959" w:themeColor="text1" w:themeTint="A6"/>
        </w:rPr>
        <w:t>p=0.0228</w:t>
      </w:r>
      <w:r w:rsidR="00D512E8">
        <w:rPr>
          <w:rFonts w:ascii="Arial" w:hAnsi="Arial" w:cs="Arial"/>
          <w:color w:val="595959" w:themeColor="text1" w:themeTint="A6"/>
        </w:rPr>
        <w:t xml:space="preserve"> (Figure 4.1</w:t>
      </w:r>
      <w:r w:rsidR="001C0F99">
        <w:rPr>
          <w:rFonts w:ascii="Arial" w:hAnsi="Arial" w:cs="Arial"/>
          <w:color w:val="595959" w:themeColor="text1" w:themeTint="A6"/>
        </w:rPr>
        <w:t>6</w:t>
      </w:r>
      <w:r w:rsidR="00D512E8">
        <w:rPr>
          <w:rFonts w:ascii="Arial" w:hAnsi="Arial" w:cs="Arial"/>
          <w:color w:val="595959" w:themeColor="text1" w:themeTint="A6"/>
        </w:rPr>
        <w:t xml:space="preserve"> B i+ii). </w:t>
      </w:r>
      <w:r w:rsidR="00BC1692">
        <w:rPr>
          <w:rFonts w:ascii="Arial" w:hAnsi="Arial" w:cs="Arial"/>
          <w:color w:val="595959" w:themeColor="text1" w:themeTint="A6"/>
        </w:rPr>
        <w:t>Similarly</w:t>
      </w:r>
      <w:r w:rsidR="000F5A62">
        <w:rPr>
          <w:rFonts w:ascii="Arial" w:hAnsi="Arial" w:cs="Arial"/>
          <w:color w:val="595959" w:themeColor="text1" w:themeTint="A6"/>
        </w:rPr>
        <w:t>,</w:t>
      </w:r>
      <w:r w:rsidR="00BC1692">
        <w:rPr>
          <w:rFonts w:ascii="Arial" w:hAnsi="Arial" w:cs="Arial"/>
          <w:color w:val="595959" w:themeColor="text1" w:themeTint="A6"/>
        </w:rPr>
        <w:t xml:space="preserve"> </w:t>
      </w:r>
      <w:r w:rsidR="00B24B3F" w:rsidRPr="008C21BF">
        <w:rPr>
          <w:rFonts w:ascii="Arial" w:hAnsi="Arial" w:cs="Arial"/>
          <w:color w:val="595959" w:themeColor="text1" w:themeTint="A6"/>
        </w:rPr>
        <w:t xml:space="preserve">treatment with Batimastat </w:t>
      </w:r>
      <w:r w:rsidR="00BC1692">
        <w:rPr>
          <w:rFonts w:ascii="Arial" w:hAnsi="Arial" w:cs="Arial"/>
          <w:color w:val="595959" w:themeColor="text1" w:themeTint="A6"/>
        </w:rPr>
        <w:t xml:space="preserve">alone </w:t>
      </w:r>
      <w:r w:rsidR="003F188C">
        <w:rPr>
          <w:rFonts w:ascii="Arial" w:hAnsi="Arial" w:cs="Arial"/>
          <w:color w:val="595959" w:themeColor="text1" w:themeTint="A6"/>
        </w:rPr>
        <w:t xml:space="preserve">(0.83 ± </w:t>
      </w:r>
      <w:r w:rsidR="0053526E">
        <w:rPr>
          <w:rFonts w:ascii="Arial" w:hAnsi="Arial" w:cs="Arial"/>
          <w:color w:val="595959" w:themeColor="text1" w:themeTint="A6"/>
        </w:rPr>
        <w:t xml:space="preserve">0.05) </w:t>
      </w:r>
      <w:r w:rsidR="00202979">
        <w:rPr>
          <w:rFonts w:ascii="Arial" w:hAnsi="Arial" w:cs="Arial"/>
          <w:color w:val="595959" w:themeColor="text1" w:themeTint="A6"/>
        </w:rPr>
        <w:t xml:space="preserve">also reduced </w:t>
      </w:r>
      <w:r w:rsidR="00B24B3F" w:rsidRPr="008C21BF">
        <w:rPr>
          <w:rFonts w:ascii="Arial" w:hAnsi="Arial" w:cs="Arial"/>
          <w:color w:val="595959" w:themeColor="text1" w:themeTint="A6"/>
        </w:rPr>
        <w:t xml:space="preserve">αSMA </w:t>
      </w:r>
      <w:r w:rsidR="003F188C">
        <w:rPr>
          <w:rFonts w:ascii="Arial" w:hAnsi="Arial" w:cs="Arial"/>
          <w:color w:val="595959" w:themeColor="text1" w:themeTint="A6"/>
        </w:rPr>
        <w:t xml:space="preserve">abundance </w:t>
      </w:r>
      <w:r w:rsidR="00516412">
        <w:rPr>
          <w:rFonts w:ascii="Arial" w:hAnsi="Arial" w:cs="Arial"/>
          <w:color w:val="595959" w:themeColor="text1" w:themeTint="A6"/>
        </w:rPr>
        <w:t xml:space="preserve">by ~4-fold </w:t>
      </w:r>
      <w:r w:rsidR="00131754">
        <w:rPr>
          <w:rFonts w:ascii="Arial" w:hAnsi="Arial" w:cs="Arial"/>
          <w:color w:val="595959" w:themeColor="text1" w:themeTint="A6"/>
        </w:rPr>
        <w:t xml:space="preserve">compared to controls, </w:t>
      </w:r>
      <w:r w:rsidR="0053526E">
        <w:rPr>
          <w:rFonts w:ascii="Arial" w:hAnsi="Arial" w:cs="Arial"/>
          <w:color w:val="595959" w:themeColor="text1" w:themeTint="A6"/>
        </w:rPr>
        <w:t xml:space="preserve">p=0.0189. </w:t>
      </w:r>
      <w:r w:rsidR="00B24B3F" w:rsidRPr="008C21BF">
        <w:rPr>
          <w:rFonts w:ascii="Arial" w:hAnsi="Arial" w:cs="Arial"/>
          <w:color w:val="595959" w:themeColor="text1" w:themeTint="A6"/>
        </w:rPr>
        <w:t>Batimastat in combination with TGFβ-1 significantly reduced αSMA protein with an intensity of 0.37 ± 0.54 compared to TGFβ-1 alone</w:t>
      </w:r>
      <w:r w:rsidR="00EC2D23">
        <w:rPr>
          <w:rFonts w:ascii="Arial" w:hAnsi="Arial" w:cs="Arial"/>
          <w:color w:val="595959" w:themeColor="text1" w:themeTint="A6"/>
        </w:rPr>
        <w:t xml:space="preserve"> (1.78 ± </w:t>
      </w:r>
      <w:r w:rsidR="002656CD">
        <w:rPr>
          <w:rFonts w:ascii="Arial" w:hAnsi="Arial" w:cs="Arial"/>
          <w:color w:val="595959" w:themeColor="text1" w:themeTint="A6"/>
        </w:rPr>
        <w:t>0.58</w:t>
      </w:r>
      <w:r w:rsidR="00BA4732">
        <w:rPr>
          <w:rFonts w:ascii="Arial" w:hAnsi="Arial" w:cs="Arial"/>
          <w:color w:val="595959" w:themeColor="text1" w:themeTint="A6"/>
        </w:rPr>
        <w:t xml:space="preserve">, </w:t>
      </w:r>
      <w:r w:rsidR="00B24B3F" w:rsidRPr="008C21BF">
        <w:rPr>
          <w:rFonts w:ascii="Arial" w:hAnsi="Arial" w:cs="Arial"/>
          <w:color w:val="595959" w:themeColor="text1" w:themeTint="A6"/>
        </w:rPr>
        <w:t>p=0.</w:t>
      </w:r>
      <w:r w:rsidR="006305B0">
        <w:rPr>
          <w:rFonts w:ascii="Arial" w:hAnsi="Arial" w:cs="Arial"/>
          <w:color w:val="595959" w:themeColor="text1" w:themeTint="A6"/>
        </w:rPr>
        <w:t>0</w:t>
      </w:r>
      <w:r w:rsidR="002656CD">
        <w:rPr>
          <w:rFonts w:ascii="Arial" w:hAnsi="Arial" w:cs="Arial"/>
          <w:color w:val="595959" w:themeColor="text1" w:themeTint="A6"/>
        </w:rPr>
        <w:t>368</w:t>
      </w:r>
      <w:r w:rsidR="00BA4732">
        <w:rPr>
          <w:rFonts w:ascii="Arial" w:hAnsi="Arial" w:cs="Arial"/>
          <w:color w:val="595959" w:themeColor="text1" w:themeTint="A6"/>
        </w:rPr>
        <w:t>)</w:t>
      </w:r>
      <w:r w:rsidR="002656CD">
        <w:rPr>
          <w:rFonts w:ascii="Arial" w:hAnsi="Arial" w:cs="Arial"/>
          <w:color w:val="595959" w:themeColor="text1" w:themeTint="A6"/>
        </w:rPr>
        <w:t xml:space="preserve"> </w:t>
      </w:r>
      <w:r w:rsidR="00B24B3F" w:rsidRPr="008C21BF">
        <w:rPr>
          <w:rFonts w:ascii="Arial" w:hAnsi="Arial" w:cs="Arial"/>
          <w:color w:val="595959" w:themeColor="text1" w:themeTint="A6"/>
        </w:rPr>
        <w:t>(Figure 4.1</w:t>
      </w:r>
      <w:r w:rsidR="001C0F99">
        <w:rPr>
          <w:rFonts w:ascii="Arial" w:hAnsi="Arial" w:cs="Arial"/>
          <w:color w:val="595959" w:themeColor="text1" w:themeTint="A6"/>
        </w:rPr>
        <w:t>6</w:t>
      </w:r>
      <w:r w:rsidR="00B24B3F" w:rsidRPr="008C21BF">
        <w:rPr>
          <w:rFonts w:ascii="Arial" w:hAnsi="Arial" w:cs="Arial"/>
          <w:color w:val="595959" w:themeColor="text1" w:themeTint="A6"/>
        </w:rPr>
        <w:t xml:space="preserve"> B ii).</w:t>
      </w:r>
      <w:r w:rsidR="00BA4732">
        <w:rPr>
          <w:rFonts w:ascii="Arial" w:hAnsi="Arial" w:cs="Arial"/>
          <w:color w:val="595959" w:themeColor="text1" w:themeTint="A6"/>
        </w:rPr>
        <w:t xml:space="preserve"> Scriptaid in combination therapy </w:t>
      </w:r>
      <w:r w:rsidR="001C36A5">
        <w:rPr>
          <w:rFonts w:ascii="Arial" w:hAnsi="Arial" w:cs="Arial"/>
          <w:color w:val="595959" w:themeColor="text1" w:themeTint="A6"/>
        </w:rPr>
        <w:t xml:space="preserve">with TGFβ-1 showed no significant changes in </w:t>
      </w:r>
      <w:r w:rsidR="001C36A5" w:rsidRPr="008C21BF">
        <w:rPr>
          <w:rFonts w:ascii="Arial" w:hAnsi="Arial" w:cs="Arial"/>
          <w:color w:val="595959" w:themeColor="text1" w:themeTint="A6"/>
        </w:rPr>
        <w:t xml:space="preserve">αSMA </w:t>
      </w:r>
      <w:r w:rsidR="001C36A5">
        <w:rPr>
          <w:rFonts w:ascii="Arial" w:hAnsi="Arial" w:cs="Arial"/>
          <w:color w:val="595959" w:themeColor="text1" w:themeTint="A6"/>
        </w:rPr>
        <w:t xml:space="preserve">protein </w:t>
      </w:r>
      <w:r w:rsidR="001C36A5" w:rsidRPr="008C21BF">
        <w:rPr>
          <w:rFonts w:ascii="Arial" w:hAnsi="Arial" w:cs="Arial"/>
          <w:color w:val="595959" w:themeColor="text1" w:themeTint="A6"/>
        </w:rPr>
        <w:t>abundance</w:t>
      </w:r>
      <w:r w:rsidR="001C36A5">
        <w:rPr>
          <w:rFonts w:ascii="Arial" w:hAnsi="Arial" w:cs="Arial"/>
          <w:color w:val="595959" w:themeColor="text1" w:themeTint="A6"/>
        </w:rPr>
        <w:t xml:space="preserve">, compared to TGFβ-1 treated CAF-DM. </w:t>
      </w:r>
    </w:p>
    <w:p w14:paraId="04A002A8" w14:textId="620652E7" w:rsidR="00E523A4" w:rsidRDefault="00E523A4" w:rsidP="008C21BF">
      <w:pPr>
        <w:tabs>
          <w:tab w:val="left" w:pos="1350"/>
        </w:tabs>
        <w:spacing w:line="480" w:lineRule="auto"/>
        <w:jc w:val="both"/>
        <w:rPr>
          <w:rFonts w:ascii="Arial" w:hAnsi="Arial" w:cs="Arial"/>
          <w:color w:val="595959" w:themeColor="text1" w:themeTint="A6"/>
        </w:rPr>
      </w:pPr>
    </w:p>
    <w:p w14:paraId="697F15C8" w14:textId="3019036D" w:rsidR="001579F6" w:rsidRPr="008C21BF" w:rsidRDefault="001579F6" w:rsidP="008C21BF">
      <w:pPr>
        <w:tabs>
          <w:tab w:val="left" w:pos="1350"/>
        </w:tabs>
        <w:spacing w:line="480" w:lineRule="auto"/>
        <w:jc w:val="both"/>
        <w:rPr>
          <w:rFonts w:ascii="Arial" w:hAnsi="Arial" w:cs="Arial"/>
          <w:color w:val="595959" w:themeColor="text1" w:themeTint="A6"/>
        </w:rPr>
      </w:pPr>
    </w:p>
    <w:p w14:paraId="02FD21F2" w14:textId="650A6419" w:rsidR="008C21BF" w:rsidRDefault="008C21BF" w:rsidP="008C21BF">
      <w:pPr>
        <w:tabs>
          <w:tab w:val="left" w:pos="1350"/>
        </w:tabs>
        <w:spacing w:line="480" w:lineRule="auto"/>
        <w:jc w:val="both"/>
        <w:rPr>
          <w:rFonts w:ascii="Arial" w:hAnsi="Arial" w:cs="Arial"/>
          <w:color w:val="595959" w:themeColor="text1" w:themeTint="A6"/>
        </w:rPr>
      </w:pPr>
    </w:p>
    <w:p w14:paraId="5AAEFC35" w14:textId="52D80DA2" w:rsidR="00B2751F" w:rsidRDefault="00B2751F" w:rsidP="008C21BF">
      <w:pPr>
        <w:tabs>
          <w:tab w:val="left" w:pos="1350"/>
        </w:tabs>
        <w:spacing w:line="480" w:lineRule="auto"/>
        <w:jc w:val="both"/>
        <w:rPr>
          <w:rFonts w:ascii="Arial" w:hAnsi="Arial" w:cs="Arial"/>
          <w:color w:val="595959" w:themeColor="text1" w:themeTint="A6"/>
        </w:rPr>
      </w:pPr>
    </w:p>
    <w:p w14:paraId="458FD6EB" w14:textId="77777777" w:rsidR="00EC4AC2" w:rsidRPr="008C21BF" w:rsidRDefault="00EC4AC2" w:rsidP="008C21BF">
      <w:pPr>
        <w:tabs>
          <w:tab w:val="left" w:pos="1350"/>
        </w:tabs>
        <w:spacing w:line="480" w:lineRule="auto"/>
        <w:jc w:val="both"/>
        <w:rPr>
          <w:rFonts w:ascii="Arial" w:hAnsi="Arial" w:cs="Arial"/>
          <w:color w:val="595959" w:themeColor="text1" w:themeTint="A6"/>
        </w:rPr>
      </w:pPr>
    </w:p>
    <w:p w14:paraId="440BE182" w14:textId="06147884" w:rsidR="008C21BF" w:rsidRDefault="008C21BF" w:rsidP="008C21BF">
      <w:pPr>
        <w:tabs>
          <w:tab w:val="left" w:pos="1350"/>
        </w:tabs>
        <w:spacing w:line="480" w:lineRule="auto"/>
        <w:jc w:val="both"/>
        <w:rPr>
          <w:rFonts w:ascii="Arial" w:hAnsi="Arial" w:cs="Arial"/>
          <w:color w:val="595959" w:themeColor="text1" w:themeTint="A6"/>
        </w:rPr>
      </w:pPr>
    </w:p>
    <w:p w14:paraId="5A600F28" w14:textId="77777777" w:rsidR="00D1351A" w:rsidRDefault="00D1351A" w:rsidP="008C21BF">
      <w:pPr>
        <w:tabs>
          <w:tab w:val="left" w:pos="1350"/>
        </w:tabs>
        <w:spacing w:line="480" w:lineRule="auto"/>
        <w:jc w:val="both"/>
        <w:rPr>
          <w:rFonts w:ascii="Arial" w:hAnsi="Arial" w:cs="Arial"/>
          <w:color w:val="595959" w:themeColor="text1" w:themeTint="A6"/>
        </w:rPr>
      </w:pPr>
    </w:p>
    <w:p w14:paraId="558DC0A1" w14:textId="3A23CD96" w:rsidR="00B417D9" w:rsidRDefault="00B417D9" w:rsidP="008C21BF">
      <w:pPr>
        <w:tabs>
          <w:tab w:val="left" w:pos="1350"/>
        </w:tabs>
        <w:spacing w:line="480" w:lineRule="auto"/>
        <w:jc w:val="both"/>
        <w:rPr>
          <w:rFonts w:ascii="Arial" w:hAnsi="Arial" w:cs="Arial"/>
          <w:color w:val="595959" w:themeColor="text1" w:themeTint="A6"/>
        </w:rPr>
      </w:pPr>
    </w:p>
    <w:p w14:paraId="0A92B8F4" w14:textId="40D94568" w:rsidR="00B417D9" w:rsidRDefault="006E5182" w:rsidP="008C21BF">
      <w:pPr>
        <w:tabs>
          <w:tab w:val="left" w:pos="1350"/>
        </w:tabs>
        <w:spacing w:line="480" w:lineRule="auto"/>
        <w:jc w:val="both"/>
        <w:rPr>
          <w:rFonts w:ascii="Arial" w:hAnsi="Arial" w:cs="Arial"/>
          <w:color w:val="595959" w:themeColor="text1" w:themeTint="A6"/>
        </w:rPr>
      </w:pPr>
      <w:r>
        <w:rPr>
          <w:rFonts w:ascii="Arial" w:hAnsi="Arial" w:cs="Arial"/>
          <w:noProof/>
          <w:color w:val="595959" w:themeColor="text1" w:themeTint="A6"/>
        </w:rPr>
        <w:lastRenderedPageBreak/>
        <w:drawing>
          <wp:anchor distT="0" distB="0" distL="114300" distR="114300" simplePos="0" relativeHeight="251680011" behindDoc="0" locked="0" layoutInCell="1" allowOverlap="1" wp14:anchorId="3D84AEA3" wp14:editId="10CD4D87">
            <wp:simplePos x="0" y="0"/>
            <wp:positionH relativeFrom="column">
              <wp:posOffset>0</wp:posOffset>
            </wp:positionH>
            <wp:positionV relativeFrom="paragraph">
              <wp:posOffset>0</wp:posOffset>
            </wp:positionV>
            <wp:extent cx="7431405" cy="4785995"/>
            <wp:effectExtent l="0" t="0" r="0" b="0"/>
            <wp:wrapNone/>
            <wp:docPr id="5593" name="Picture 5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7431405" cy="4785995"/>
                    </a:xfrm>
                    <a:prstGeom prst="rect">
                      <a:avLst/>
                    </a:prstGeom>
                    <a:noFill/>
                  </pic:spPr>
                </pic:pic>
              </a:graphicData>
            </a:graphic>
          </wp:anchor>
        </w:drawing>
      </w:r>
    </w:p>
    <w:p w14:paraId="53F11DF2" w14:textId="263B1FCD" w:rsidR="008C21BF" w:rsidRDefault="008C21BF" w:rsidP="008C21BF">
      <w:pPr>
        <w:tabs>
          <w:tab w:val="left" w:pos="1350"/>
        </w:tabs>
        <w:spacing w:line="480" w:lineRule="auto"/>
        <w:jc w:val="both"/>
        <w:rPr>
          <w:rFonts w:ascii="Arial" w:hAnsi="Arial" w:cs="Arial"/>
          <w:color w:val="595959" w:themeColor="text1" w:themeTint="A6"/>
        </w:rPr>
      </w:pPr>
    </w:p>
    <w:p w14:paraId="653FA353" w14:textId="1FDECF73" w:rsidR="00460F63" w:rsidRPr="008C21BF" w:rsidRDefault="00460F63" w:rsidP="008C21BF">
      <w:pPr>
        <w:tabs>
          <w:tab w:val="left" w:pos="1350"/>
        </w:tabs>
        <w:spacing w:line="480" w:lineRule="auto"/>
        <w:jc w:val="both"/>
        <w:rPr>
          <w:rFonts w:ascii="Arial" w:hAnsi="Arial" w:cs="Arial"/>
          <w:color w:val="595959" w:themeColor="text1" w:themeTint="A6"/>
        </w:rPr>
      </w:pPr>
    </w:p>
    <w:p w14:paraId="54080BC9" w14:textId="0C022E9E" w:rsidR="008C21BF" w:rsidRPr="008C21BF" w:rsidRDefault="00205FAB" w:rsidP="008C21BF">
      <w:pPr>
        <w:tabs>
          <w:tab w:val="left" w:pos="1350"/>
        </w:tabs>
        <w:spacing w:line="480" w:lineRule="auto"/>
        <w:jc w:val="both"/>
        <w:rPr>
          <w:rFonts w:ascii="Arial" w:hAnsi="Arial" w:cs="Arial"/>
          <w:color w:val="595959" w:themeColor="text1" w:themeTint="A6"/>
        </w:rPr>
      </w:pPr>
      <w:r>
        <w:rPr>
          <w:rFonts w:ascii="Arial" w:hAnsi="Arial" w:cs="Arial"/>
          <w:noProof/>
          <w:color w:val="595959" w:themeColor="text1" w:themeTint="A6"/>
        </w:rPr>
        <w:t>,</w:t>
      </w:r>
      <w:r w:rsidR="005468B8" w:rsidRPr="005468B8">
        <w:rPr>
          <w:noProof/>
        </w:rPr>
        <w:t xml:space="preserve"> </w:t>
      </w:r>
    </w:p>
    <w:p w14:paraId="53B8F768" w14:textId="77777777" w:rsidR="008C21BF" w:rsidRPr="008C21BF" w:rsidRDefault="008C21BF" w:rsidP="008C21BF">
      <w:pPr>
        <w:tabs>
          <w:tab w:val="left" w:pos="1350"/>
        </w:tabs>
        <w:spacing w:line="480" w:lineRule="auto"/>
        <w:jc w:val="both"/>
        <w:rPr>
          <w:rFonts w:ascii="Arial" w:hAnsi="Arial" w:cs="Arial"/>
          <w:color w:val="595959" w:themeColor="text1" w:themeTint="A6"/>
        </w:rPr>
      </w:pPr>
    </w:p>
    <w:p w14:paraId="79F8455E" w14:textId="76A85A08" w:rsidR="008C21BF" w:rsidRPr="008C21BF" w:rsidRDefault="008C21BF" w:rsidP="008C21BF">
      <w:pPr>
        <w:tabs>
          <w:tab w:val="left" w:pos="1350"/>
        </w:tabs>
        <w:spacing w:line="480" w:lineRule="auto"/>
        <w:jc w:val="both"/>
        <w:rPr>
          <w:rFonts w:ascii="Arial" w:hAnsi="Arial" w:cs="Arial"/>
          <w:color w:val="595959" w:themeColor="text1" w:themeTint="A6"/>
        </w:rPr>
      </w:pPr>
    </w:p>
    <w:p w14:paraId="448A1944" w14:textId="71553938" w:rsidR="008C21BF" w:rsidRPr="008C21BF" w:rsidRDefault="008C21BF" w:rsidP="008C21BF">
      <w:pPr>
        <w:tabs>
          <w:tab w:val="left" w:pos="1350"/>
        </w:tabs>
        <w:spacing w:line="480" w:lineRule="auto"/>
        <w:jc w:val="both"/>
        <w:rPr>
          <w:rFonts w:ascii="Arial" w:hAnsi="Arial" w:cs="Arial"/>
          <w:color w:val="595959" w:themeColor="text1" w:themeTint="A6"/>
        </w:rPr>
      </w:pPr>
    </w:p>
    <w:p w14:paraId="00F811C2" w14:textId="77777777" w:rsidR="008C21BF" w:rsidRPr="008C21BF" w:rsidRDefault="008C21BF" w:rsidP="008C21BF">
      <w:pPr>
        <w:tabs>
          <w:tab w:val="left" w:pos="1350"/>
        </w:tabs>
        <w:spacing w:line="480" w:lineRule="auto"/>
        <w:jc w:val="both"/>
        <w:rPr>
          <w:rFonts w:ascii="Arial" w:hAnsi="Arial" w:cs="Arial"/>
          <w:color w:val="595959" w:themeColor="text1" w:themeTint="A6"/>
        </w:rPr>
      </w:pPr>
    </w:p>
    <w:p w14:paraId="47CE00F7" w14:textId="77777777" w:rsidR="008C21BF" w:rsidRPr="008C21BF" w:rsidRDefault="008C21BF" w:rsidP="008C21BF">
      <w:pPr>
        <w:tabs>
          <w:tab w:val="left" w:pos="1350"/>
        </w:tabs>
        <w:spacing w:line="480" w:lineRule="auto"/>
        <w:jc w:val="both"/>
        <w:rPr>
          <w:rFonts w:ascii="Arial" w:hAnsi="Arial" w:cs="Arial"/>
          <w:color w:val="595959" w:themeColor="text1" w:themeTint="A6"/>
        </w:rPr>
      </w:pPr>
    </w:p>
    <w:p w14:paraId="4507D421" w14:textId="77777777" w:rsidR="008C21BF" w:rsidRPr="008C21BF" w:rsidRDefault="008C21BF" w:rsidP="008C21BF">
      <w:pPr>
        <w:tabs>
          <w:tab w:val="left" w:pos="1350"/>
        </w:tabs>
        <w:spacing w:line="480" w:lineRule="auto"/>
        <w:jc w:val="both"/>
        <w:rPr>
          <w:rFonts w:ascii="Arial" w:hAnsi="Arial" w:cs="Arial"/>
          <w:color w:val="595959" w:themeColor="text1" w:themeTint="A6"/>
        </w:rPr>
      </w:pPr>
    </w:p>
    <w:p w14:paraId="5861D778" w14:textId="77777777" w:rsidR="008C21BF" w:rsidRPr="008C21BF" w:rsidRDefault="008C21BF" w:rsidP="008C21BF">
      <w:pPr>
        <w:tabs>
          <w:tab w:val="left" w:pos="1350"/>
        </w:tabs>
        <w:spacing w:line="480" w:lineRule="auto"/>
        <w:jc w:val="both"/>
        <w:rPr>
          <w:rFonts w:ascii="Arial" w:hAnsi="Arial" w:cs="Arial"/>
          <w:color w:val="595959" w:themeColor="text1" w:themeTint="A6"/>
        </w:rPr>
      </w:pPr>
    </w:p>
    <w:p w14:paraId="0697DF6D" w14:textId="77777777" w:rsidR="008C21BF" w:rsidRPr="008C21BF" w:rsidRDefault="008C21BF" w:rsidP="008C21BF">
      <w:pPr>
        <w:tabs>
          <w:tab w:val="left" w:pos="1350"/>
        </w:tabs>
        <w:spacing w:line="480" w:lineRule="auto"/>
        <w:jc w:val="both"/>
        <w:rPr>
          <w:rFonts w:ascii="Arial" w:hAnsi="Arial" w:cs="Arial"/>
          <w:color w:val="595959" w:themeColor="text1" w:themeTint="A6"/>
        </w:rPr>
      </w:pPr>
    </w:p>
    <w:p w14:paraId="0B63166B" w14:textId="18253928" w:rsidR="008C21BF" w:rsidRPr="008C21BF" w:rsidRDefault="00C675B2" w:rsidP="008C21BF">
      <w:pPr>
        <w:tabs>
          <w:tab w:val="left" w:pos="1350"/>
        </w:tabs>
        <w:spacing w:line="480" w:lineRule="auto"/>
        <w:jc w:val="both"/>
        <w:rPr>
          <w:rFonts w:ascii="Arial" w:hAnsi="Arial" w:cs="Arial"/>
          <w:color w:val="595959" w:themeColor="text1" w:themeTint="A6"/>
        </w:rPr>
      </w:pPr>
      <w:r w:rsidRPr="008C21BF">
        <w:rPr>
          <w:rFonts w:ascii="Arial" w:hAnsi="Arial" w:cs="Arial"/>
          <w:noProof/>
          <w:color w:val="595959" w:themeColor="text1" w:themeTint="A6"/>
          <w:sz w:val="24"/>
          <w:szCs w:val="24"/>
          <w:lang w:eastAsia="zh-CN"/>
        </w:rPr>
        <mc:AlternateContent>
          <mc:Choice Requires="wps">
            <w:drawing>
              <wp:anchor distT="0" distB="0" distL="114300" distR="114300" simplePos="0" relativeHeight="251658367" behindDoc="0" locked="0" layoutInCell="1" allowOverlap="1" wp14:anchorId="42ED099C" wp14:editId="270CCF17">
                <wp:simplePos x="0" y="0"/>
                <wp:positionH relativeFrom="margin">
                  <wp:align>left</wp:align>
                </wp:positionH>
                <wp:positionV relativeFrom="paragraph">
                  <wp:posOffset>387466</wp:posOffset>
                </wp:positionV>
                <wp:extent cx="5732890" cy="1778000"/>
                <wp:effectExtent l="0" t="0" r="1270" b="0"/>
                <wp:wrapNone/>
                <wp:docPr id="21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2890" cy="1778000"/>
                        </a:xfrm>
                        <a:prstGeom prst="rect">
                          <a:avLst/>
                        </a:prstGeom>
                        <a:solidFill>
                          <a:srgbClr val="FFFFFF"/>
                        </a:solidFill>
                        <a:ln w="9525">
                          <a:noFill/>
                          <a:miter lim="800000"/>
                          <a:headEnd/>
                          <a:tailEnd/>
                        </a:ln>
                      </wps:spPr>
                      <wps:txbx>
                        <w:txbxContent>
                          <w:p w14:paraId="77F68AFD" w14:textId="0D0F159C" w:rsidR="008A47AC" w:rsidRDefault="008A47AC" w:rsidP="008C21BF">
                            <w:pPr>
                              <w:pStyle w:val="Caption"/>
                              <w:keepNext/>
                              <w:jc w:val="both"/>
                              <w:rPr>
                                <w:rFonts w:ascii="Arial Narrow" w:hAnsi="Arial Narrow"/>
                                <w:b/>
                                <w:i w:val="0"/>
                                <w:color w:val="595959" w:themeColor="text1" w:themeTint="A6"/>
                                <w:sz w:val="24"/>
                                <w:szCs w:val="24"/>
                              </w:rPr>
                            </w:pPr>
                            <w:r w:rsidRPr="006B7937">
                              <w:rPr>
                                <w:rFonts w:ascii="Arial Narrow" w:hAnsi="Arial Narrow"/>
                                <w:b/>
                                <w:i w:val="0"/>
                                <w:color w:val="595959" w:themeColor="text1" w:themeTint="A6"/>
                                <w:sz w:val="24"/>
                                <w:szCs w:val="24"/>
                              </w:rPr>
                              <w:t xml:space="preserve">Figure </w:t>
                            </w:r>
                            <w:r>
                              <w:rPr>
                                <w:rFonts w:ascii="Arial Narrow" w:hAnsi="Arial Narrow"/>
                                <w:b/>
                                <w:i w:val="0"/>
                                <w:color w:val="595959" w:themeColor="text1" w:themeTint="A6"/>
                                <w:sz w:val="24"/>
                                <w:szCs w:val="24"/>
                              </w:rPr>
                              <w:t xml:space="preserve">4.16 Immunoblotting for αSMA abundance in NOF- and CAF-DM </w:t>
                            </w:r>
                            <w:r w:rsidRPr="00874532">
                              <w:rPr>
                                <w:rFonts w:ascii="Arial Narrow" w:hAnsi="Arial Narrow"/>
                                <w:b/>
                                <w:bCs/>
                                <w:i w:val="0"/>
                                <w:color w:val="595959" w:themeColor="text1" w:themeTint="A6"/>
                                <w:sz w:val="24"/>
                                <w:szCs w:val="24"/>
                                <w:lang w:val="en-GB"/>
                              </w:rPr>
                              <w:t xml:space="preserve">in response to Scriptaid and Batimastat treatment with and without TGFβ-1 stimulation </w:t>
                            </w:r>
                          </w:p>
                          <w:p w14:paraId="483F0CC9" w14:textId="624F5F7E" w:rsidR="008A47AC" w:rsidRPr="00DF77AE" w:rsidRDefault="008A47AC" w:rsidP="008C21BF">
                            <w:pPr>
                              <w:pStyle w:val="NormalWeb"/>
                              <w:spacing w:after="200" w:line="276" w:lineRule="auto"/>
                              <w:jc w:val="both"/>
                              <w:rPr>
                                <w:rFonts w:ascii="Arial Narrow" w:eastAsia="SimSun" w:hAnsi="Arial Narrow" w:cs="Arial"/>
                                <w:color w:val="595959"/>
                                <w:kern w:val="24"/>
                                <w:sz w:val="22"/>
                              </w:rPr>
                            </w:pPr>
                            <w:r>
                              <w:rPr>
                                <w:rFonts w:ascii="Arial Narrow" w:eastAsia="SimSun" w:hAnsi="Arial Narrow" w:cs="Arial"/>
                                <w:color w:val="595959"/>
                                <w:kern w:val="24"/>
                                <w:sz w:val="22"/>
                              </w:rPr>
                              <w:t xml:space="preserve">NOF- (A) and CAF-DM (B) were treated with the inhibitors Scriptaid and Batimastat in the presence or absence of </w:t>
                            </w:r>
                            <w:r w:rsidRPr="00944EBD">
                              <w:rPr>
                                <w:rFonts w:ascii="Arial Narrow" w:eastAsia="SimSun" w:hAnsi="Arial Narrow" w:cs="Arial"/>
                                <w:color w:val="595959"/>
                                <w:kern w:val="24"/>
                                <w:sz w:val="22"/>
                              </w:rPr>
                              <w:t xml:space="preserve">TGFβ-1 </w:t>
                            </w:r>
                            <w:r>
                              <w:rPr>
                                <w:rFonts w:ascii="Arial Narrow" w:eastAsia="SimSun" w:hAnsi="Arial Narrow" w:cs="Arial"/>
                                <w:color w:val="595959"/>
                                <w:kern w:val="24"/>
                                <w:sz w:val="22"/>
                              </w:rPr>
                              <w:t>for 7 days with αSMA protein levels determined using immunoblotting. Densitometry of the resultant bands were measured using ImageJ and the intensity measured relative to GAPDH controls (A ii and B ii).  Data is expressed as relative fold change, with mean ± SD, N=3, n=2, * denotes p &lt;0.05 analysed by student’s T-test.</w:t>
                            </w:r>
                          </w:p>
                          <w:p w14:paraId="35DA650B" w14:textId="77777777" w:rsidR="008A47AC" w:rsidRPr="00944EBD" w:rsidRDefault="008A47AC" w:rsidP="008C21BF">
                            <w:pPr>
                              <w:pStyle w:val="NormalWeb"/>
                              <w:spacing w:after="200" w:line="276" w:lineRule="auto"/>
                              <w:jc w:val="both"/>
                              <w:rPr>
                                <w:rFonts w:ascii="Arial Narrow" w:eastAsia="SimSun" w:hAnsi="Arial Narrow" w:cs="Arial"/>
                                <w:color w:val="595959"/>
                                <w:kern w:val="24"/>
                                <w:sz w:val="22"/>
                              </w:rPr>
                            </w:pPr>
                          </w:p>
                          <w:p w14:paraId="166331AA" w14:textId="77777777" w:rsidR="008A47AC" w:rsidRPr="00C934F6" w:rsidRDefault="008A47AC" w:rsidP="008C21BF"/>
                          <w:p w14:paraId="7674F1FD" w14:textId="77777777" w:rsidR="008A47AC" w:rsidRPr="00805597" w:rsidRDefault="008A47AC" w:rsidP="008C21BF">
                            <w:pPr>
                              <w:pStyle w:val="Caption"/>
                              <w:keepNext/>
                              <w:spacing w:line="276" w:lineRule="auto"/>
                              <w:jc w:val="both"/>
                              <w:rPr>
                                <w:rFonts w:ascii="Arial Narrow" w:hAnsi="Arial Narrow"/>
                                <w:b/>
                                <w:i w:val="0"/>
                                <w:iCs w:val="0"/>
                                <w:color w:val="595959" w:themeColor="text1" w:themeTint="A6"/>
                                <w:sz w:val="36"/>
                                <w:szCs w:val="3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ED099C" id="_x0000_s1169" type="#_x0000_t202" style="position:absolute;left:0;text-align:left;margin-left:0;margin-top:30.5pt;width:451.4pt;height:140pt;z-index:251658367;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" stroked="f">
                <v:textbox>
                  <w:txbxContent>
                    <w:p w14:paraId="77F68AFD" w14:textId="0D0F159C" w:rsidR="008A47AC" w:rsidRDefault="008A47AC" w:rsidP="008C21BF">
                      <w:pPr>
                        <w:pStyle w:val="Caption"/>
                        <w:keepNext/>
                        <w:jc w:val="both"/>
                        <w:rPr>
                          <w:rFonts w:ascii="Arial Narrow" w:hAnsi="Arial Narrow"/>
                          <w:b/>
                          <w:i w:val="0"/>
                          <w:color w:val="595959" w:themeColor="text1" w:themeTint="A6"/>
                          <w:sz w:val="24"/>
                          <w:szCs w:val="24"/>
                        </w:rPr>
                      </w:pPr>
                      <w:r w:rsidRPr="006B7937">
                        <w:rPr>
                          <w:rFonts w:ascii="Arial Narrow" w:hAnsi="Arial Narrow"/>
                          <w:b/>
                          <w:i w:val="0"/>
                          <w:color w:val="595959" w:themeColor="text1" w:themeTint="A6"/>
                          <w:sz w:val="24"/>
                          <w:szCs w:val="24"/>
                        </w:rPr>
                        <w:t xml:space="preserve">Figure </w:t>
                      </w:r>
                      <w:r>
                        <w:rPr>
                          <w:rFonts w:ascii="Arial Narrow" w:hAnsi="Arial Narrow"/>
                          <w:b/>
                          <w:i w:val="0"/>
                          <w:color w:val="595959" w:themeColor="text1" w:themeTint="A6"/>
                          <w:sz w:val="24"/>
                          <w:szCs w:val="24"/>
                        </w:rPr>
                        <w:t xml:space="preserve">4.16 Immunoblotting for αSMA abundance in NOF- and CAF-DM </w:t>
                      </w:r>
                      <w:r w:rsidRPr="00874532">
                        <w:rPr>
                          <w:rFonts w:ascii="Arial Narrow" w:hAnsi="Arial Narrow"/>
                          <w:b/>
                          <w:bCs/>
                          <w:i w:val="0"/>
                          <w:color w:val="595959" w:themeColor="text1" w:themeTint="A6"/>
                          <w:sz w:val="24"/>
                          <w:szCs w:val="24"/>
                          <w:lang w:val="en-GB"/>
                        </w:rPr>
                        <w:t xml:space="preserve">in response to Scriptaid and Batimastat treatment with and without TGFβ-1 stimulation </w:t>
                      </w:r>
                    </w:p>
                    <w:p w14:paraId="483F0CC9" w14:textId="624F5F7E" w:rsidR="008A47AC" w:rsidRPr="00DF77AE" w:rsidRDefault="008A47AC" w:rsidP="008C21BF">
                      <w:pPr>
                        <w:pStyle w:val="NormalWeb"/>
                        <w:spacing w:after="200" w:line="276" w:lineRule="auto"/>
                        <w:jc w:val="both"/>
                        <w:rPr>
                          <w:rFonts w:ascii="Arial Narrow" w:eastAsia="SimSun" w:hAnsi="Arial Narrow" w:cs="Arial"/>
                          <w:color w:val="595959"/>
                          <w:kern w:val="24"/>
                          <w:sz w:val="22"/>
                        </w:rPr>
                      </w:pPr>
                      <w:r>
                        <w:rPr>
                          <w:rFonts w:ascii="Arial Narrow" w:eastAsia="SimSun" w:hAnsi="Arial Narrow" w:cs="Arial"/>
                          <w:color w:val="595959"/>
                          <w:kern w:val="24"/>
                          <w:sz w:val="22"/>
                        </w:rPr>
                        <w:t xml:space="preserve">NOF- (A) and CAF-DM (B) were treated with the inhibitors Scriptaid and Batimastat in the presence or absence of </w:t>
                      </w:r>
                      <w:r w:rsidRPr="00944EBD">
                        <w:rPr>
                          <w:rFonts w:ascii="Arial Narrow" w:eastAsia="SimSun" w:hAnsi="Arial Narrow" w:cs="Arial"/>
                          <w:color w:val="595959"/>
                          <w:kern w:val="24"/>
                          <w:sz w:val="22"/>
                        </w:rPr>
                        <w:t xml:space="preserve">TGFβ-1 </w:t>
                      </w:r>
                      <w:r>
                        <w:rPr>
                          <w:rFonts w:ascii="Arial Narrow" w:eastAsia="SimSun" w:hAnsi="Arial Narrow" w:cs="Arial"/>
                          <w:color w:val="595959"/>
                          <w:kern w:val="24"/>
                          <w:sz w:val="22"/>
                        </w:rPr>
                        <w:t>for 7 days with αSMA protein levels determined using immunoblotting. Densitometry of the resultant bands were measured using ImageJ and the intensity measured relative to GAPDH controls (A ii and B ii).  Data is expressed as relative fold change, with mean ± SD, N=3, n=2, * denotes p &lt;0.05 analysed by student’s T-test.</w:t>
                      </w:r>
                    </w:p>
                    <w:p w14:paraId="35DA650B" w14:textId="77777777" w:rsidR="008A47AC" w:rsidRPr="00944EBD" w:rsidRDefault="008A47AC" w:rsidP="008C21BF">
                      <w:pPr>
                        <w:pStyle w:val="NormalWeb"/>
                        <w:spacing w:after="200" w:line="276" w:lineRule="auto"/>
                        <w:jc w:val="both"/>
                        <w:rPr>
                          <w:rFonts w:ascii="Arial Narrow" w:eastAsia="SimSun" w:hAnsi="Arial Narrow" w:cs="Arial"/>
                          <w:color w:val="595959"/>
                          <w:kern w:val="24"/>
                          <w:sz w:val="22"/>
                        </w:rPr>
                      </w:pPr>
                    </w:p>
                    <w:p w14:paraId="166331AA" w14:textId="77777777" w:rsidR="008A47AC" w:rsidRPr="00C934F6" w:rsidRDefault="008A47AC" w:rsidP="008C21BF"/>
                    <w:p w14:paraId="7674F1FD" w14:textId="77777777" w:rsidR="008A47AC" w:rsidRPr="00805597" w:rsidRDefault="008A47AC" w:rsidP="008C21BF">
                      <w:pPr>
                        <w:pStyle w:val="Caption"/>
                        <w:keepNext/>
                        <w:spacing w:line="276" w:lineRule="auto"/>
                        <w:jc w:val="both"/>
                        <w:rPr>
                          <w:rFonts w:ascii="Arial Narrow" w:hAnsi="Arial Narrow"/>
                          <w:b/>
                          <w:i w:val="0"/>
                          <w:iCs w:val="0"/>
                          <w:color w:val="595959" w:themeColor="text1" w:themeTint="A6"/>
                          <w:sz w:val="36"/>
                          <w:szCs w:val="36"/>
                        </w:rPr>
                      </w:pPr>
                    </w:p>
                  </w:txbxContent>
                </v:textbox>
                <w10:wrap anchorx="margin"/>
              </v:shape>
            </w:pict>
          </mc:Fallback>
        </mc:AlternateContent>
      </w:r>
    </w:p>
    <w:p w14:paraId="735FB4B9" w14:textId="5D3704BF" w:rsidR="008C21BF" w:rsidRPr="008C21BF" w:rsidRDefault="008C21BF" w:rsidP="008C21BF">
      <w:pPr>
        <w:tabs>
          <w:tab w:val="left" w:pos="1350"/>
        </w:tabs>
        <w:spacing w:line="480" w:lineRule="auto"/>
        <w:jc w:val="both"/>
        <w:rPr>
          <w:rFonts w:ascii="Arial" w:hAnsi="Arial" w:cs="Arial"/>
          <w:color w:val="595959" w:themeColor="text1" w:themeTint="A6"/>
        </w:rPr>
      </w:pPr>
    </w:p>
    <w:p w14:paraId="39A523B4" w14:textId="198B82CA" w:rsidR="008C21BF" w:rsidRPr="008C21BF" w:rsidRDefault="008C21BF" w:rsidP="008C21BF">
      <w:pPr>
        <w:tabs>
          <w:tab w:val="left" w:pos="1350"/>
        </w:tabs>
        <w:spacing w:line="480" w:lineRule="auto"/>
        <w:jc w:val="both"/>
        <w:rPr>
          <w:rFonts w:ascii="Arial" w:hAnsi="Arial" w:cs="Arial"/>
          <w:color w:val="595959" w:themeColor="text1" w:themeTint="A6"/>
        </w:rPr>
      </w:pPr>
    </w:p>
    <w:p w14:paraId="0F578C08" w14:textId="77777777" w:rsidR="008C21BF" w:rsidRPr="008C21BF" w:rsidRDefault="008C21BF" w:rsidP="008C21BF">
      <w:pPr>
        <w:tabs>
          <w:tab w:val="left" w:pos="1350"/>
        </w:tabs>
        <w:spacing w:line="480" w:lineRule="auto"/>
        <w:jc w:val="both"/>
        <w:rPr>
          <w:rFonts w:ascii="Arial" w:hAnsi="Arial" w:cs="Arial"/>
          <w:color w:val="595959" w:themeColor="text1" w:themeTint="A6"/>
        </w:rPr>
      </w:pPr>
    </w:p>
    <w:p w14:paraId="2CA3C801" w14:textId="24561C41" w:rsidR="008C21BF" w:rsidRPr="008C21BF" w:rsidRDefault="008C21BF" w:rsidP="008C21BF">
      <w:pPr>
        <w:tabs>
          <w:tab w:val="left" w:pos="1350"/>
        </w:tabs>
        <w:spacing w:line="480" w:lineRule="auto"/>
        <w:jc w:val="both"/>
        <w:rPr>
          <w:rFonts w:ascii="Arial" w:hAnsi="Arial" w:cs="Arial"/>
          <w:color w:val="595959" w:themeColor="text1" w:themeTint="A6"/>
        </w:rPr>
      </w:pPr>
    </w:p>
    <w:p w14:paraId="223C9193" w14:textId="3D46DBCB" w:rsidR="008C21BF" w:rsidRPr="008C21BF" w:rsidRDefault="008C21BF" w:rsidP="008C21BF">
      <w:pPr>
        <w:tabs>
          <w:tab w:val="left" w:pos="1350"/>
        </w:tabs>
        <w:spacing w:line="480" w:lineRule="auto"/>
        <w:jc w:val="both"/>
        <w:rPr>
          <w:rFonts w:ascii="Arial" w:hAnsi="Arial" w:cs="Arial"/>
          <w:color w:val="595959" w:themeColor="text1" w:themeTint="A6"/>
        </w:rPr>
      </w:pPr>
    </w:p>
    <w:p w14:paraId="08A98B9F" w14:textId="0A3CD777" w:rsidR="008C21BF" w:rsidRDefault="008C21BF" w:rsidP="008C21BF">
      <w:pPr>
        <w:tabs>
          <w:tab w:val="left" w:pos="1350"/>
        </w:tabs>
        <w:spacing w:line="480" w:lineRule="auto"/>
        <w:jc w:val="both"/>
        <w:rPr>
          <w:rFonts w:ascii="Arial" w:hAnsi="Arial" w:cs="Arial"/>
          <w:color w:val="595959" w:themeColor="text1" w:themeTint="A6"/>
        </w:rPr>
      </w:pPr>
    </w:p>
    <w:p w14:paraId="5B22AA00" w14:textId="77777777" w:rsidR="00394F3D" w:rsidRPr="008C21BF" w:rsidRDefault="00394F3D" w:rsidP="008C21BF">
      <w:pPr>
        <w:tabs>
          <w:tab w:val="left" w:pos="1350"/>
        </w:tabs>
        <w:spacing w:line="480" w:lineRule="auto"/>
        <w:jc w:val="both"/>
        <w:rPr>
          <w:rFonts w:ascii="Arial" w:hAnsi="Arial" w:cs="Arial"/>
          <w:color w:val="595959" w:themeColor="text1" w:themeTint="A6"/>
        </w:rPr>
      </w:pPr>
    </w:p>
    <w:p w14:paraId="0A2AB896" w14:textId="77777777" w:rsidR="001B0458" w:rsidRDefault="001B0458" w:rsidP="008C21BF">
      <w:pPr>
        <w:tabs>
          <w:tab w:val="left" w:pos="1350"/>
        </w:tabs>
        <w:spacing w:line="480" w:lineRule="auto"/>
        <w:jc w:val="both"/>
        <w:rPr>
          <w:rFonts w:ascii="Arial" w:hAnsi="Arial" w:cs="Arial"/>
          <w:color w:val="595959" w:themeColor="text1" w:themeTint="A6"/>
        </w:rPr>
      </w:pPr>
    </w:p>
    <w:p w14:paraId="3592C756" w14:textId="17F0BF2D" w:rsidR="001B2D51" w:rsidRDefault="008C21BF" w:rsidP="0019510B">
      <w:pPr>
        <w:pStyle w:val="Heading5"/>
        <w:spacing w:line="480" w:lineRule="auto"/>
        <w:jc w:val="both"/>
        <w:rPr>
          <w:rFonts w:ascii="Arial" w:hAnsi="Arial" w:cs="Arial"/>
          <w:color w:val="595959" w:themeColor="text1" w:themeTint="A6"/>
        </w:rPr>
      </w:pPr>
      <w:bookmarkStart w:id="433" w:name="_Toc34208437"/>
      <w:r w:rsidRPr="008C21BF">
        <w:rPr>
          <w:rFonts w:ascii="Arial" w:hAnsi="Arial" w:cs="Arial"/>
          <w:color w:val="595959" w:themeColor="text1" w:themeTint="A6"/>
        </w:rPr>
        <w:lastRenderedPageBreak/>
        <w:t>4.3.2.5.</w:t>
      </w:r>
      <w:r w:rsidR="0019510B">
        <w:rPr>
          <w:rFonts w:ascii="Arial" w:hAnsi="Arial" w:cs="Arial"/>
          <w:color w:val="595959" w:themeColor="text1" w:themeTint="A6"/>
        </w:rPr>
        <w:t>3</w:t>
      </w:r>
      <w:r w:rsidRPr="008C21BF">
        <w:rPr>
          <w:rFonts w:ascii="Arial" w:hAnsi="Arial" w:cs="Arial"/>
          <w:color w:val="595959" w:themeColor="text1" w:themeTint="A6"/>
        </w:rPr>
        <w:t xml:space="preserve"> </w:t>
      </w:r>
      <w:r w:rsidR="006C3B76">
        <w:rPr>
          <w:rFonts w:ascii="Arial" w:hAnsi="Arial" w:cs="Arial"/>
          <w:color w:val="595959" w:themeColor="text1" w:themeTint="A6"/>
        </w:rPr>
        <w:t xml:space="preserve">The effect of Scriptaid and Batimastat </w:t>
      </w:r>
      <w:r w:rsidR="00FC5416">
        <w:rPr>
          <w:rFonts w:ascii="Arial" w:hAnsi="Arial" w:cs="Arial"/>
          <w:color w:val="595959" w:themeColor="text1" w:themeTint="A6"/>
        </w:rPr>
        <w:t xml:space="preserve">on </w:t>
      </w:r>
      <w:r w:rsidRPr="008C21BF">
        <w:rPr>
          <w:rFonts w:ascii="Arial" w:hAnsi="Arial" w:cs="Arial"/>
          <w:color w:val="595959" w:themeColor="text1" w:themeTint="A6"/>
        </w:rPr>
        <w:t xml:space="preserve">FN1-EDA expression </w:t>
      </w:r>
      <w:r w:rsidR="001B0458">
        <w:rPr>
          <w:rFonts w:ascii="Arial" w:hAnsi="Arial" w:cs="Arial"/>
          <w:color w:val="595959" w:themeColor="text1" w:themeTint="A6"/>
        </w:rPr>
        <w:t>in NOF- and CAF-DM</w:t>
      </w:r>
      <w:bookmarkEnd w:id="433"/>
    </w:p>
    <w:p w14:paraId="09E2D653" w14:textId="77777777" w:rsidR="0019510B" w:rsidRPr="0019510B" w:rsidRDefault="0019510B" w:rsidP="0019510B"/>
    <w:p w14:paraId="20056790" w14:textId="1CA8F50F" w:rsidR="00974A06" w:rsidRDefault="00430C05" w:rsidP="00974A06">
      <w:pPr>
        <w:tabs>
          <w:tab w:val="left" w:pos="1350"/>
        </w:tabs>
        <w:spacing w:line="480" w:lineRule="auto"/>
        <w:jc w:val="both"/>
        <w:rPr>
          <w:rFonts w:ascii="Arial" w:hAnsi="Arial" w:cs="Arial"/>
          <w:color w:val="595959" w:themeColor="text1" w:themeTint="A6"/>
        </w:rPr>
      </w:pPr>
      <w:r>
        <w:rPr>
          <w:rFonts w:ascii="Arial" w:hAnsi="Arial" w:cs="Arial"/>
          <w:color w:val="595959" w:themeColor="text1" w:themeTint="A6"/>
        </w:rPr>
        <w:t xml:space="preserve">No significant changes in FN1-EDA expression were observed for NOF-DM treated with Scriptaid or Batimastat alone </w:t>
      </w:r>
      <w:r w:rsidR="00F468A4">
        <w:rPr>
          <w:rFonts w:ascii="Arial" w:hAnsi="Arial" w:cs="Arial"/>
          <w:color w:val="595959" w:themeColor="text1" w:themeTint="A6"/>
        </w:rPr>
        <w:t>compared</w:t>
      </w:r>
      <w:r w:rsidR="006A1353">
        <w:rPr>
          <w:rFonts w:ascii="Arial" w:hAnsi="Arial" w:cs="Arial"/>
          <w:color w:val="595959" w:themeColor="text1" w:themeTint="A6"/>
        </w:rPr>
        <w:t xml:space="preserve"> to vehicle control treated </w:t>
      </w:r>
      <w:r w:rsidR="00F468A4">
        <w:rPr>
          <w:rFonts w:ascii="Arial" w:hAnsi="Arial" w:cs="Arial"/>
          <w:color w:val="595959" w:themeColor="text1" w:themeTint="A6"/>
        </w:rPr>
        <w:t xml:space="preserve">samples </w:t>
      </w:r>
      <w:r>
        <w:rPr>
          <w:rFonts w:ascii="Arial" w:hAnsi="Arial" w:cs="Arial"/>
          <w:color w:val="595959" w:themeColor="text1" w:themeTint="A6"/>
        </w:rPr>
        <w:t>(Figure 4.1</w:t>
      </w:r>
      <w:r w:rsidR="00F468A4">
        <w:rPr>
          <w:rFonts w:ascii="Arial" w:hAnsi="Arial" w:cs="Arial"/>
          <w:color w:val="595959" w:themeColor="text1" w:themeTint="A6"/>
        </w:rPr>
        <w:t>7</w:t>
      </w:r>
      <w:r>
        <w:rPr>
          <w:rFonts w:ascii="Arial" w:hAnsi="Arial" w:cs="Arial"/>
          <w:color w:val="595959" w:themeColor="text1" w:themeTint="A6"/>
        </w:rPr>
        <w:t xml:space="preserve"> A). </w:t>
      </w:r>
      <w:r w:rsidR="00D3459E">
        <w:rPr>
          <w:rFonts w:ascii="Arial" w:hAnsi="Arial" w:cs="Arial"/>
          <w:color w:val="595959" w:themeColor="text1" w:themeTint="A6"/>
        </w:rPr>
        <w:t xml:space="preserve">Treatment of </w:t>
      </w:r>
      <w:r w:rsidR="008C21BF" w:rsidRPr="008C21BF">
        <w:rPr>
          <w:rFonts w:ascii="Arial" w:hAnsi="Arial" w:cs="Arial"/>
          <w:color w:val="595959" w:themeColor="text1" w:themeTint="A6"/>
        </w:rPr>
        <w:t>Scriptaid in combination with TGFβ-1</w:t>
      </w:r>
      <w:r w:rsidR="00D3459E">
        <w:rPr>
          <w:rFonts w:ascii="Arial" w:hAnsi="Arial" w:cs="Arial"/>
          <w:color w:val="595959" w:themeColor="text1" w:themeTint="A6"/>
        </w:rPr>
        <w:t xml:space="preserve"> </w:t>
      </w:r>
      <w:r w:rsidR="005C2850">
        <w:rPr>
          <w:rFonts w:ascii="Arial" w:hAnsi="Arial" w:cs="Arial"/>
          <w:color w:val="595959" w:themeColor="text1" w:themeTint="A6"/>
        </w:rPr>
        <w:t>(</w:t>
      </w:r>
      <w:r w:rsidR="005C2850" w:rsidRPr="008C21BF">
        <w:rPr>
          <w:rFonts w:ascii="Arial" w:hAnsi="Arial" w:cs="Arial"/>
          <w:color w:val="595959" w:themeColor="text1" w:themeTint="A6"/>
        </w:rPr>
        <w:t>1.07 ± 0.21</w:t>
      </w:r>
      <w:r w:rsidR="005C2850">
        <w:rPr>
          <w:rFonts w:ascii="Arial" w:hAnsi="Arial" w:cs="Arial"/>
          <w:color w:val="595959" w:themeColor="text1" w:themeTint="A6"/>
        </w:rPr>
        <w:t xml:space="preserve">) </w:t>
      </w:r>
      <w:r w:rsidR="00D3459E">
        <w:rPr>
          <w:rFonts w:ascii="Arial" w:hAnsi="Arial" w:cs="Arial"/>
          <w:color w:val="595959" w:themeColor="text1" w:themeTint="A6"/>
        </w:rPr>
        <w:t>significantly reduced FN1-EDA expression</w:t>
      </w:r>
      <w:r w:rsidR="005C2850">
        <w:rPr>
          <w:rFonts w:ascii="Arial" w:hAnsi="Arial" w:cs="Arial"/>
          <w:color w:val="595959" w:themeColor="text1" w:themeTint="A6"/>
        </w:rPr>
        <w:t xml:space="preserve"> </w:t>
      </w:r>
      <w:r w:rsidR="00D3459E">
        <w:rPr>
          <w:rFonts w:ascii="Arial" w:hAnsi="Arial" w:cs="Arial"/>
          <w:color w:val="595959" w:themeColor="text1" w:themeTint="A6"/>
        </w:rPr>
        <w:t xml:space="preserve">by </w:t>
      </w:r>
      <w:r w:rsidR="005C2850">
        <w:rPr>
          <w:rFonts w:ascii="Arial" w:hAnsi="Arial" w:cs="Arial"/>
          <w:color w:val="595959" w:themeColor="text1" w:themeTint="A6"/>
        </w:rPr>
        <w:t>~3-fold, compared to TGFβ-1 treatment of NOF-DM (</w:t>
      </w:r>
      <w:r w:rsidR="006841FE">
        <w:rPr>
          <w:rFonts w:ascii="Arial" w:hAnsi="Arial" w:cs="Arial"/>
          <w:color w:val="595959" w:themeColor="text1" w:themeTint="A6"/>
        </w:rPr>
        <w:t>4.14 ± 1.92), p=</w:t>
      </w:r>
      <w:r w:rsidR="008A12D3">
        <w:rPr>
          <w:rFonts w:ascii="Arial" w:hAnsi="Arial" w:cs="Arial"/>
          <w:color w:val="595959" w:themeColor="text1" w:themeTint="A6"/>
        </w:rPr>
        <w:t xml:space="preserve">0.0073. </w:t>
      </w:r>
      <w:r w:rsidR="00EC0301">
        <w:rPr>
          <w:rFonts w:ascii="Arial" w:hAnsi="Arial" w:cs="Arial"/>
          <w:color w:val="595959" w:themeColor="text1" w:themeTint="A6"/>
        </w:rPr>
        <w:t>No significant changes in FN1-EDA expression were observed for NOF-DM treated with Batimastat in combination with TGFβ-1</w:t>
      </w:r>
      <w:r w:rsidR="001308B5">
        <w:rPr>
          <w:rFonts w:ascii="Arial" w:hAnsi="Arial" w:cs="Arial"/>
          <w:color w:val="595959" w:themeColor="text1" w:themeTint="A6"/>
        </w:rPr>
        <w:t xml:space="preserve">, compared to TGFβ-1 treatment alone. </w:t>
      </w:r>
    </w:p>
    <w:p w14:paraId="3C3B4424" w14:textId="2D990E76" w:rsidR="001308B5" w:rsidRDefault="001308B5" w:rsidP="00974A06">
      <w:pPr>
        <w:tabs>
          <w:tab w:val="left" w:pos="1350"/>
        </w:tabs>
        <w:spacing w:line="480" w:lineRule="auto"/>
        <w:jc w:val="both"/>
        <w:rPr>
          <w:rFonts w:ascii="Arial" w:hAnsi="Arial" w:cs="Arial"/>
          <w:color w:val="595959" w:themeColor="text1" w:themeTint="A6"/>
        </w:rPr>
      </w:pPr>
      <w:r>
        <w:rPr>
          <w:rFonts w:ascii="Arial" w:hAnsi="Arial" w:cs="Arial"/>
          <w:color w:val="595959" w:themeColor="text1" w:themeTint="A6"/>
        </w:rPr>
        <w:t xml:space="preserve">CAF-DM treated with Batimastat, </w:t>
      </w:r>
      <w:r w:rsidR="008F2FAC">
        <w:rPr>
          <w:rFonts w:ascii="Arial" w:hAnsi="Arial" w:cs="Arial"/>
          <w:color w:val="595959" w:themeColor="text1" w:themeTint="A6"/>
        </w:rPr>
        <w:t xml:space="preserve">significantly reduced FN1-EDA transcript </w:t>
      </w:r>
      <w:r w:rsidR="00410273">
        <w:rPr>
          <w:rFonts w:ascii="Arial" w:hAnsi="Arial" w:cs="Arial"/>
          <w:color w:val="595959" w:themeColor="text1" w:themeTint="A6"/>
        </w:rPr>
        <w:t>(0.</w:t>
      </w:r>
      <w:r w:rsidR="0030027F">
        <w:rPr>
          <w:rFonts w:ascii="Arial" w:hAnsi="Arial" w:cs="Arial"/>
          <w:color w:val="595959" w:themeColor="text1" w:themeTint="A6"/>
        </w:rPr>
        <w:t>59 ± 0.44)</w:t>
      </w:r>
      <w:r w:rsidR="00255EA2">
        <w:rPr>
          <w:rFonts w:ascii="Arial" w:hAnsi="Arial" w:cs="Arial"/>
          <w:color w:val="595959" w:themeColor="text1" w:themeTint="A6"/>
        </w:rPr>
        <w:t xml:space="preserve"> compared to vehicle control treated CAF-DM</w:t>
      </w:r>
      <w:r w:rsidR="003E2669">
        <w:rPr>
          <w:rFonts w:ascii="Arial" w:hAnsi="Arial" w:cs="Arial"/>
          <w:color w:val="595959" w:themeColor="text1" w:themeTint="A6"/>
        </w:rPr>
        <w:t>, p</w:t>
      </w:r>
      <w:r w:rsidR="005249A1">
        <w:rPr>
          <w:rFonts w:ascii="Arial" w:hAnsi="Arial" w:cs="Arial"/>
          <w:color w:val="595959" w:themeColor="text1" w:themeTint="A6"/>
        </w:rPr>
        <w:t xml:space="preserve"> &lt;0.0001</w:t>
      </w:r>
      <w:r w:rsidR="00255EA2">
        <w:rPr>
          <w:rFonts w:ascii="Arial" w:hAnsi="Arial" w:cs="Arial"/>
          <w:color w:val="595959" w:themeColor="text1" w:themeTint="A6"/>
        </w:rPr>
        <w:t xml:space="preserve"> (Figure 4.1</w:t>
      </w:r>
      <w:r w:rsidR="006D23D2">
        <w:rPr>
          <w:rFonts w:ascii="Arial" w:hAnsi="Arial" w:cs="Arial"/>
          <w:color w:val="595959" w:themeColor="text1" w:themeTint="A6"/>
        </w:rPr>
        <w:t>7</w:t>
      </w:r>
      <w:r w:rsidR="00255EA2">
        <w:rPr>
          <w:rFonts w:ascii="Arial" w:hAnsi="Arial" w:cs="Arial"/>
          <w:color w:val="595959" w:themeColor="text1" w:themeTint="A6"/>
        </w:rPr>
        <w:t xml:space="preserve"> B)</w:t>
      </w:r>
      <w:r w:rsidR="006D23D2">
        <w:rPr>
          <w:rFonts w:ascii="Arial" w:hAnsi="Arial" w:cs="Arial"/>
          <w:color w:val="595959" w:themeColor="text1" w:themeTint="A6"/>
        </w:rPr>
        <w:t>, b</w:t>
      </w:r>
      <w:r w:rsidR="00090287">
        <w:rPr>
          <w:rFonts w:ascii="Arial" w:hAnsi="Arial" w:cs="Arial"/>
          <w:color w:val="595959" w:themeColor="text1" w:themeTint="A6"/>
        </w:rPr>
        <w:t>ut in combination with TGFβ-1</w:t>
      </w:r>
      <w:r w:rsidR="0035737B">
        <w:rPr>
          <w:rFonts w:ascii="Arial" w:hAnsi="Arial" w:cs="Arial"/>
          <w:color w:val="595959" w:themeColor="text1" w:themeTint="A6"/>
        </w:rPr>
        <w:t xml:space="preserve"> (</w:t>
      </w:r>
      <w:r w:rsidR="002B3D4E">
        <w:rPr>
          <w:rFonts w:ascii="Arial" w:hAnsi="Arial" w:cs="Arial"/>
          <w:color w:val="595959" w:themeColor="text1" w:themeTint="A6"/>
        </w:rPr>
        <w:t>19.82 ±</w:t>
      </w:r>
      <w:r w:rsidR="00090287">
        <w:rPr>
          <w:rFonts w:ascii="Arial" w:hAnsi="Arial" w:cs="Arial"/>
          <w:color w:val="595959" w:themeColor="text1" w:themeTint="A6"/>
        </w:rPr>
        <w:t xml:space="preserve"> </w:t>
      </w:r>
      <w:r w:rsidR="002B3D4E">
        <w:rPr>
          <w:rFonts w:ascii="Arial" w:hAnsi="Arial" w:cs="Arial"/>
          <w:color w:val="595959" w:themeColor="text1" w:themeTint="A6"/>
        </w:rPr>
        <w:t xml:space="preserve">17.01) </w:t>
      </w:r>
      <w:r w:rsidR="00090287">
        <w:rPr>
          <w:rFonts w:ascii="Arial" w:hAnsi="Arial" w:cs="Arial"/>
          <w:color w:val="595959" w:themeColor="text1" w:themeTint="A6"/>
        </w:rPr>
        <w:t>a</w:t>
      </w:r>
      <w:r w:rsidR="002B1F80">
        <w:rPr>
          <w:rFonts w:ascii="Arial" w:hAnsi="Arial" w:cs="Arial"/>
          <w:color w:val="595959" w:themeColor="text1" w:themeTint="A6"/>
        </w:rPr>
        <w:t xml:space="preserve"> </w:t>
      </w:r>
      <w:r w:rsidR="00315DEA">
        <w:rPr>
          <w:rFonts w:ascii="Arial" w:hAnsi="Arial" w:cs="Arial"/>
          <w:color w:val="595959" w:themeColor="text1" w:themeTint="A6"/>
        </w:rPr>
        <w:t xml:space="preserve">significant </w:t>
      </w:r>
      <w:r w:rsidR="004E26E0">
        <w:rPr>
          <w:rFonts w:ascii="Arial" w:hAnsi="Arial" w:cs="Arial"/>
          <w:color w:val="595959" w:themeColor="text1" w:themeTint="A6"/>
        </w:rPr>
        <w:t xml:space="preserve">increase </w:t>
      </w:r>
      <w:r w:rsidR="00090287">
        <w:rPr>
          <w:rFonts w:ascii="Arial" w:hAnsi="Arial" w:cs="Arial"/>
          <w:color w:val="595959" w:themeColor="text1" w:themeTint="A6"/>
        </w:rPr>
        <w:t>in FN1-EDA expression</w:t>
      </w:r>
      <w:r w:rsidR="00322BDC">
        <w:rPr>
          <w:rFonts w:ascii="Arial" w:hAnsi="Arial" w:cs="Arial"/>
          <w:color w:val="595959" w:themeColor="text1" w:themeTint="A6"/>
        </w:rPr>
        <w:t xml:space="preserve"> was observed</w:t>
      </w:r>
      <w:r w:rsidR="006908C5">
        <w:rPr>
          <w:rFonts w:ascii="Arial" w:hAnsi="Arial" w:cs="Arial"/>
          <w:color w:val="595959" w:themeColor="text1" w:themeTint="A6"/>
        </w:rPr>
        <w:t xml:space="preserve">, compared to CAF-DM treated </w:t>
      </w:r>
      <w:r w:rsidR="004E26E0">
        <w:rPr>
          <w:rFonts w:ascii="Arial" w:hAnsi="Arial" w:cs="Arial"/>
          <w:color w:val="595959" w:themeColor="text1" w:themeTint="A6"/>
        </w:rPr>
        <w:t xml:space="preserve">with </w:t>
      </w:r>
      <w:r w:rsidR="006908C5">
        <w:rPr>
          <w:rFonts w:ascii="Arial" w:hAnsi="Arial" w:cs="Arial"/>
          <w:color w:val="595959" w:themeColor="text1" w:themeTint="A6"/>
        </w:rPr>
        <w:t>TGFβ-1 alone</w:t>
      </w:r>
      <w:r w:rsidR="004E26E0">
        <w:rPr>
          <w:rFonts w:ascii="Arial" w:hAnsi="Arial" w:cs="Arial"/>
          <w:color w:val="595959" w:themeColor="text1" w:themeTint="A6"/>
        </w:rPr>
        <w:t xml:space="preserve"> </w:t>
      </w:r>
      <w:r w:rsidR="00322BDC">
        <w:rPr>
          <w:rFonts w:ascii="Arial" w:hAnsi="Arial" w:cs="Arial"/>
          <w:color w:val="595959" w:themeColor="text1" w:themeTint="A6"/>
        </w:rPr>
        <w:t xml:space="preserve">(2.61 ± </w:t>
      </w:r>
      <w:r w:rsidR="00AD1F2F">
        <w:rPr>
          <w:rFonts w:ascii="Arial" w:hAnsi="Arial" w:cs="Arial"/>
          <w:color w:val="595959" w:themeColor="text1" w:themeTint="A6"/>
        </w:rPr>
        <w:t>2.33</w:t>
      </w:r>
      <w:r w:rsidR="00322BDC">
        <w:rPr>
          <w:rFonts w:ascii="Arial" w:hAnsi="Arial" w:cs="Arial"/>
          <w:color w:val="595959" w:themeColor="text1" w:themeTint="A6"/>
        </w:rPr>
        <w:t>)</w:t>
      </w:r>
      <w:r w:rsidR="00AD1F2F">
        <w:rPr>
          <w:rFonts w:ascii="Arial" w:hAnsi="Arial" w:cs="Arial"/>
          <w:color w:val="595959" w:themeColor="text1" w:themeTint="A6"/>
        </w:rPr>
        <w:t xml:space="preserve">, p=0.0339. </w:t>
      </w:r>
      <w:r w:rsidR="006908C5">
        <w:rPr>
          <w:rFonts w:ascii="Arial" w:hAnsi="Arial" w:cs="Arial"/>
          <w:color w:val="595959" w:themeColor="text1" w:themeTint="A6"/>
        </w:rPr>
        <w:t xml:space="preserve"> </w:t>
      </w:r>
      <w:r w:rsidR="00250C35">
        <w:rPr>
          <w:rFonts w:ascii="Arial" w:hAnsi="Arial" w:cs="Arial"/>
          <w:color w:val="595959" w:themeColor="text1" w:themeTint="A6"/>
        </w:rPr>
        <w:t>Scriptaid</w:t>
      </w:r>
      <w:r w:rsidR="00C52C87">
        <w:rPr>
          <w:rFonts w:ascii="Arial" w:hAnsi="Arial" w:cs="Arial"/>
          <w:color w:val="595959" w:themeColor="text1" w:themeTint="A6"/>
        </w:rPr>
        <w:t xml:space="preserve"> treatment</w:t>
      </w:r>
      <w:r w:rsidR="00250C35">
        <w:rPr>
          <w:rFonts w:ascii="Arial" w:hAnsi="Arial" w:cs="Arial"/>
          <w:color w:val="595959" w:themeColor="text1" w:themeTint="A6"/>
        </w:rPr>
        <w:t xml:space="preserve"> with or without TGFβ-1 </w:t>
      </w:r>
      <w:r w:rsidR="00D5434F">
        <w:rPr>
          <w:rFonts w:ascii="Arial" w:hAnsi="Arial" w:cs="Arial"/>
          <w:color w:val="595959" w:themeColor="text1" w:themeTint="A6"/>
        </w:rPr>
        <w:t xml:space="preserve">caused no significant difference to FN1-EDA levels, compared to </w:t>
      </w:r>
      <w:r w:rsidR="00121ED8">
        <w:rPr>
          <w:rFonts w:ascii="Arial" w:hAnsi="Arial" w:cs="Arial"/>
          <w:color w:val="595959" w:themeColor="text1" w:themeTint="A6"/>
        </w:rPr>
        <w:t>their relative controls (Figure 4.1</w:t>
      </w:r>
      <w:r w:rsidR="001F38B5">
        <w:rPr>
          <w:rFonts w:ascii="Arial" w:hAnsi="Arial" w:cs="Arial"/>
          <w:color w:val="595959" w:themeColor="text1" w:themeTint="A6"/>
        </w:rPr>
        <w:t>7</w:t>
      </w:r>
      <w:r w:rsidR="00121ED8">
        <w:rPr>
          <w:rFonts w:ascii="Arial" w:hAnsi="Arial" w:cs="Arial"/>
          <w:color w:val="595959" w:themeColor="text1" w:themeTint="A6"/>
        </w:rPr>
        <w:t xml:space="preserve"> B). </w:t>
      </w:r>
    </w:p>
    <w:p w14:paraId="018A05BE" w14:textId="270AF87B" w:rsidR="00021B95" w:rsidRDefault="00021B95" w:rsidP="00974A06">
      <w:pPr>
        <w:tabs>
          <w:tab w:val="left" w:pos="1350"/>
        </w:tabs>
        <w:spacing w:line="480" w:lineRule="auto"/>
        <w:jc w:val="both"/>
        <w:rPr>
          <w:rFonts w:ascii="Arial" w:hAnsi="Arial" w:cs="Arial"/>
          <w:color w:val="595959" w:themeColor="text1" w:themeTint="A6"/>
        </w:rPr>
      </w:pPr>
    </w:p>
    <w:p w14:paraId="6AEB51D6" w14:textId="47B8FADC" w:rsidR="00021B95" w:rsidRDefault="00021B95" w:rsidP="00974A06">
      <w:pPr>
        <w:tabs>
          <w:tab w:val="left" w:pos="1350"/>
        </w:tabs>
        <w:spacing w:line="480" w:lineRule="auto"/>
        <w:jc w:val="both"/>
        <w:rPr>
          <w:rFonts w:ascii="Arial" w:hAnsi="Arial" w:cs="Arial"/>
          <w:color w:val="595959" w:themeColor="text1" w:themeTint="A6"/>
        </w:rPr>
      </w:pPr>
    </w:p>
    <w:p w14:paraId="084D2A2D" w14:textId="195B57B9" w:rsidR="0088763C" w:rsidRDefault="0088763C" w:rsidP="00974A06">
      <w:pPr>
        <w:tabs>
          <w:tab w:val="left" w:pos="1350"/>
        </w:tabs>
        <w:spacing w:line="480" w:lineRule="auto"/>
        <w:jc w:val="both"/>
        <w:rPr>
          <w:rFonts w:ascii="Arial" w:hAnsi="Arial" w:cs="Arial"/>
          <w:color w:val="595959" w:themeColor="text1" w:themeTint="A6"/>
        </w:rPr>
      </w:pPr>
    </w:p>
    <w:p w14:paraId="60411398" w14:textId="18CE04B6" w:rsidR="00A52BC5" w:rsidRDefault="00A52BC5" w:rsidP="00974A06">
      <w:pPr>
        <w:tabs>
          <w:tab w:val="left" w:pos="1350"/>
        </w:tabs>
        <w:spacing w:line="480" w:lineRule="auto"/>
        <w:jc w:val="both"/>
        <w:rPr>
          <w:rFonts w:ascii="Arial" w:hAnsi="Arial" w:cs="Arial"/>
          <w:color w:val="595959" w:themeColor="text1" w:themeTint="A6"/>
        </w:rPr>
      </w:pPr>
    </w:p>
    <w:p w14:paraId="32977FCD" w14:textId="77777777" w:rsidR="006D23D2" w:rsidRDefault="006D23D2" w:rsidP="00974A06">
      <w:pPr>
        <w:tabs>
          <w:tab w:val="left" w:pos="1350"/>
        </w:tabs>
        <w:spacing w:line="480" w:lineRule="auto"/>
        <w:jc w:val="both"/>
        <w:rPr>
          <w:rFonts w:ascii="Arial" w:hAnsi="Arial" w:cs="Arial"/>
          <w:color w:val="595959" w:themeColor="text1" w:themeTint="A6"/>
        </w:rPr>
      </w:pPr>
    </w:p>
    <w:p w14:paraId="246430CE" w14:textId="77777777" w:rsidR="0088763C" w:rsidRPr="008C21BF" w:rsidRDefault="0088763C" w:rsidP="00974A06">
      <w:pPr>
        <w:tabs>
          <w:tab w:val="left" w:pos="1350"/>
        </w:tabs>
        <w:spacing w:line="480" w:lineRule="auto"/>
        <w:jc w:val="both"/>
        <w:rPr>
          <w:rFonts w:ascii="Arial" w:hAnsi="Arial" w:cs="Arial"/>
          <w:color w:val="595959" w:themeColor="text1" w:themeTint="A6"/>
        </w:rPr>
      </w:pPr>
    </w:p>
    <w:p w14:paraId="499D662B" w14:textId="02832407" w:rsidR="008C21BF" w:rsidRDefault="008C21BF" w:rsidP="008C21BF">
      <w:pPr>
        <w:tabs>
          <w:tab w:val="left" w:pos="1350"/>
        </w:tabs>
        <w:spacing w:line="480" w:lineRule="auto"/>
        <w:jc w:val="both"/>
        <w:rPr>
          <w:rFonts w:ascii="Arial" w:hAnsi="Arial" w:cs="Arial"/>
          <w:color w:val="595959" w:themeColor="text1" w:themeTint="A6"/>
        </w:rPr>
      </w:pPr>
    </w:p>
    <w:p w14:paraId="7C09DF54" w14:textId="21C9A1F7" w:rsidR="00F04F93" w:rsidRDefault="00F04F93" w:rsidP="008C21BF">
      <w:pPr>
        <w:tabs>
          <w:tab w:val="left" w:pos="1350"/>
        </w:tabs>
        <w:spacing w:line="480" w:lineRule="auto"/>
        <w:jc w:val="both"/>
        <w:rPr>
          <w:rFonts w:ascii="Arial" w:hAnsi="Arial" w:cs="Arial"/>
          <w:color w:val="595959" w:themeColor="text1" w:themeTint="A6"/>
        </w:rPr>
      </w:pPr>
    </w:p>
    <w:p w14:paraId="4B39D9BE" w14:textId="6D819686" w:rsidR="001B2D51" w:rsidRDefault="00345962" w:rsidP="008C21BF">
      <w:pPr>
        <w:tabs>
          <w:tab w:val="left" w:pos="1350"/>
        </w:tabs>
        <w:spacing w:line="480" w:lineRule="auto"/>
        <w:jc w:val="both"/>
        <w:rPr>
          <w:rFonts w:ascii="Arial" w:hAnsi="Arial" w:cs="Arial"/>
          <w:color w:val="595959" w:themeColor="text1" w:themeTint="A6"/>
        </w:rPr>
      </w:pPr>
      <w:r>
        <w:rPr>
          <w:rFonts w:ascii="Arial" w:hAnsi="Arial" w:cs="Arial"/>
          <w:color w:val="595959" w:themeColor="text1" w:themeTint="A6"/>
        </w:rPr>
        <w:t>,</w:t>
      </w:r>
    </w:p>
    <w:p w14:paraId="65A854F4" w14:textId="335FC437" w:rsidR="00974A06" w:rsidRDefault="00685B34" w:rsidP="008C21BF">
      <w:pPr>
        <w:tabs>
          <w:tab w:val="left" w:pos="1350"/>
        </w:tabs>
        <w:spacing w:line="480" w:lineRule="auto"/>
        <w:jc w:val="both"/>
        <w:rPr>
          <w:rFonts w:ascii="Arial" w:hAnsi="Arial" w:cs="Arial"/>
          <w:color w:val="595959" w:themeColor="text1" w:themeTint="A6"/>
        </w:rPr>
      </w:pPr>
      <w:r>
        <w:rPr>
          <w:rFonts w:ascii="Arial" w:hAnsi="Arial" w:cs="Arial"/>
          <w:noProof/>
          <w:color w:val="595959" w:themeColor="text1" w:themeTint="A6"/>
        </w:rPr>
        <w:lastRenderedPageBreak/>
        <w:drawing>
          <wp:anchor distT="0" distB="0" distL="114300" distR="114300" simplePos="0" relativeHeight="251658503" behindDoc="0" locked="0" layoutInCell="1" allowOverlap="1" wp14:anchorId="56426862" wp14:editId="59176EB6">
            <wp:simplePos x="0" y="0"/>
            <wp:positionH relativeFrom="margin">
              <wp:posOffset>939800</wp:posOffset>
            </wp:positionH>
            <wp:positionV relativeFrom="paragraph">
              <wp:posOffset>0</wp:posOffset>
            </wp:positionV>
            <wp:extent cx="3733800" cy="6846327"/>
            <wp:effectExtent l="0" t="0" r="0" b="0"/>
            <wp:wrapNone/>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735425" cy="6849306"/>
                    </a:xfrm>
                    <a:prstGeom prst="rect">
                      <a:avLst/>
                    </a:prstGeom>
                    <a:noFill/>
                  </pic:spPr>
                </pic:pic>
              </a:graphicData>
            </a:graphic>
            <wp14:sizeRelH relativeFrom="margin">
              <wp14:pctWidth>0</wp14:pctWidth>
            </wp14:sizeRelH>
            <wp14:sizeRelV relativeFrom="margin">
              <wp14:pctHeight>0</wp14:pctHeight>
            </wp14:sizeRelV>
          </wp:anchor>
        </w:drawing>
      </w:r>
    </w:p>
    <w:p w14:paraId="37B73947" w14:textId="63EC7FCD" w:rsidR="008C21BF" w:rsidRPr="008C21BF" w:rsidRDefault="008C21BF" w:rsidP="008C21BF">
      <w:pPr>
        <w:tabs>
          <w:tab w:val="left" w:pos="1350"/>
        </w:tabs>
        <w:spacing w:line="480" w:lineRule="auto"/>
        <w:jc w:val="both"/>
        <w:rPr>
          <w:rFonts w:ascii="Arial" w:hAnsi="Arial" w:cs="Arial"/>
          <w:color w:val="595959" w:themeColor="text1" w:themeTint="A6"/>
        </w:rPr>
      </w:pPr>
    </w:p>
    <w:p w14:paraId="0B1D1C9B" w14:textId="3F081022" w:rsidR="008C21BF" w:rsidRPr="008C21BF" w:rsidRDefault="008C21BF" w:rsidP="008C21BF">
      <w:pPr>
        <w:tabs>
          <w:tab w:val="left" w:pos="1350"/>
        </w:tabs>
        <w:spacing w:line="480" w:lineRule="auto"/>
        <w:jc w:val="both"/>
        <w:rPr>
          <w:rFonts w:ascii="Arial" w:hAnsi="Arial" w:cs="Arial"/>
          <w:color w:val="595959" w:themeColor="text1" w:themeTint="A6"/>
        </w:rPr>
      </w:pPr>
    </w:p>
    <w:p w14:paraId="76DF288B" w14:textId="43327671" w:rsidR="008C21BF" w:rsidRPr="008C21BF" w:rsidRDefault="008C21BF" w:rsidP="008C21BF">
      <w:pPr>
        <w:tabs>
          <w:tab w:val="left" w:pos="1350"/>
        </w:tabs>
        <w:spacing w:line="480" w:lineRule="auto"/>
        <w:jc w:val="both"/>
        <w:rPr>
          <w:rFonts w:ascii="Arial" w:hAnsi="Arial" w:cs="Arial"/>
          <w:color w:val="595959" w:themeColor="text1" w:themeTint="A6"/>
        </w:rPr>
      </w:pPr>
    </w:p>
    <w:p w14:paraId="6A234C36" w14:textId="6612EA33" w:rsidR="008C21BF" w:rsidRDefault="008C21BF" w:rsidP="008C21BF">
      <w:pPr>
        <w:tabs>
          <w:tab w:val="left" w:pos="1350"/>
        </w:tabs>
        <w:spacing w:line="480" w:lineRule="auto"/>
        <w:jc w:val="both"/>
        <w:rPr>
          <w:rFonts w:ascii="Arial" w:hAnsi="Arial" w:cs="Arial"/>
          <w:color w:val="595959" w:themeColor="text1" w:themeTint="A6"/>
        </w:rPr>
      </w:pPr>
    </w:p>
    <w:p w14:paraId="7EAFA65A" w14:textId="4C03C3C6" w:rsidR="005F5AB4" w:rsidRDefault="005F5AB4" w:rsidP="008C21BF">
      <w:pPr>
        <w:tabs>
          <w:tab w:val="left" w:pos="1350"/>
        </w:tabs>
        <w:spacing w:line="480" w:lineRule="auto"/>
        <w:jc w:val="both"/>
        <w:rPr>
          <w:rFonts w:ascii="Arial" w:hAnsi="Arial" w:cs="Arial"/>
          <w:color w:val="595959" w:themeColor="text1" w:themeTint="A6"/>
        </w:rPr>
      </w:pPr>
    </w:p>
    <w:p w14:paraId="477A5B6B" w14:textId="3C120591" w:rsidR="005F5AB4" w:rsidRDefault="005F5AB4" w:rsidP="008C21BF">
      <w:pPr>
        <w:tabs>
          <w:tab w:val="left" w:pos="1350"/>
        </w:tabs>
        <w:spacing w:line="480" w:lineRule="auto"/>
        <w:jc w:val="both"/>
        <w:rPr>
          <w:rFonts w:ascii="Arial" w:hAnsi="Arial" w:cs="Arial"/>
          <w:color w:val="595959" w:themeColor="text1" w:themeTint="A6"/>
        </w:rPr>
      </w:pPr>
    </w:p>
    <w:p w14:paraId="1A6C6285" w14:textId="4B0C4FCC" w:rsidR="005F5AB4" w:rsidRDefault="005F5AB4" w:rsidP="008C21BF">
      <w:pPr>
        <w:tabs>
          <w:tab w:val="left" w:pos="1350"/>
        </w:tabs>
        <w:spacing w:line="480" w:lineRule="auto"/>
        <w:jc w:val="both"/>
        <w:rPr>
          <w:rFonts w:ascii="Arial" w:hAnsi="Arial" w:cs="Arial"/>
          <w:color w:val="595959" w:themeColor="text1" w:themeTint="A6"/>
        </w:rPr>
      </w:pPr>
    </w:p>
    <w:p w14:paraId="325E29E4" w14:textId="6179CF11" w:rsidR="005F5AB4" w:rsidRDefault="005F5AB4" w:rsidP="008C21BF">
      <w:pPr>
        <w:tabs>
          <w:tab w:val="left" w:pos="1350"/>
        </w:tabs>
        <w:spacing w:line="480" w:lineRule="auto"/>
        <w:jc w:val="both"/>
        <w:rPr>
          <w:rFonts w:ascii="Arial" w:hAnsi="Arial" w:cs="Arial"/>
          <w:color w:val="595959" w:themeColor="text1" w:themeTint="A6"/>
        </w:rPr>
      </w:pPr>
    </w:p>
    <w:p w14:paraId="1909A4B5" w14:textId="22006BF4" w:rsidR="005F5AB4" w:rsidRDefault="005F5AB4" w:rsidP="008C21BF">
      <w:pPr>
        <w:tabs>
          <w:tab w:val="left" w:pos="1350"/>
        </w:tabs>
        <w:spacing w:line="480" w:lineRule="auto"/>
        <w:jc w:val="both"/>
        <w:rPr>
          <w:rFonts w:ascii="Arial" w:hAnsi="Arial" w:cs="Arial"/>
          <w:color w:val="595959" w:themeColor="text1" w:themeTint="A6"/>
        </w:rPr>
      </w:pPr>
    </w:p>
    <w:p w14:paraId="053A2BF6" w14:textId="23B53850" w:rsidR="005F5AB4" w:rsidRDefault="005F5AB4" w:rsidP="008C21BF">
      <w:pPr>
        <w:tabs>
          <w:tab w:val="left" w:pos="1350"/>
        </w:tabs>
        <w:spacing w:line="480" w:lineRule="auto"/>
        <w:jc w:val="both"/>
        <w:rPr>
          <w:rFonts w:ascii="Arial" w:hAnsi="Arial" w:cs="Arial"/>
          <w:color w:val="595959" w:themeColor="text1" w:themeTint="A6"/>
        </w:rPr>
      </w:pPr>
    </w:p>
    <w:p w14:paraId="7A3E1486" w14:textId="3AA6531D" w:rsidR="005F5AB4" w:rsidRDefault="005F5AB4" w:rsidP="008C21BF">
      <w:pPr>
        <w:tabs>
          <w:tab w:val="left" w:pos="1350"/>
        </w:tabs>
        <w:spacing w:line="480" w:lineRule="auto"/>
        <w:jc w:val="both"/>
        <w:rPr>
          <w:rFonts w:ascii="Arial" w:hAnsi="Arial" w:cs="Arial"/>
          <w:color w:val="595959" w:themeColor="text1" w:themeTint="A6"/>
        </w:rPr>
      </w:pPr>
    </w:p>
    <w:p w14:paraId="19CF51E2" w14:textId="4185167B" w:rsidR="005F5AB4" w:rsidRDefault="005F5AB4" w:rsidP="008C21BF">
      <w:pPr>
        <w:tabs>
          <w:tab w:val="left" w:pos="1350"/>
        </w:tabs>
        <w:spacing w:line="480" w:lineRule="auto"/>
        <w:jc w:val="both"/>
        <w:rPr>
          <w:rFonts w:ascii="Arial" w:hAnsi="Arial" w:cs="Arial"/>
          <w:color w:val="595959" w:themeColor="text1" w:themeTint="A6"/>
        </w:rPr>
      </w:pPr>
    </w:p>
    <w:p w14:paraId="29BC3C2F" w14:textId="355DA633" w:rsidR="005F5AB4" w:rsidRDefault="005F5AB4" w:rsidP="008C21BF">
      <w:pPr>
        <w:tabs>
          <w:tab w:val="left" w:pos="1350"/>
        </w:tabs>
        <w:spacing w:line="480" w:lineRule="auto"/>
        <w:jc w:val="both"/>
        <w:rPr>
          <w:rFonts w:ascii="Arial" w:hAnsi="Arial" w:cs="Arial"/>
          <w:color w:val="595959" w:themeColor="text1" w:themeTint="A6"/>
        </w:rPr>
      </w:pPr>
    </w:p>
    <w:p w14:paraId="64BDC52C" w14:textId="5F42103C" w:rsidR="005F5AB4" w:rsidRDefault="005F5AB4" w:rsidP="008C21BF">
      <w:pPr>
        <w:tabs>
          <w:tab w:val="left" w:pos="1350"/>
        </w:tabs>
        <w:spacing w:line="480" w:lineRule="auto"/>
        <w:jc w:val="both"/>
        <w:rPr>
          <w:rFonts w:ascii="Arial" w:hAnsi="Arial" w:cs="Arial"/>
          <w:color w:val="595959" w:themeColor="text1" w:themeTint="A6"/>
        </w:rPr>
      </w:pPr>
    </w:p>
    <w:p w14:paraId="0475B32E" w14:textId="326795F9" w:rsidR="005F5AB4" w:rsidRDefault="005F5AB4" w:rsidP="008C21BF">
      <w:pPr>
        <w:tabs>
          <w:tab w:val="left" w:pos="1350"/>
        </w:tabs>
        <w:spacing w:line="480" w:lineRule="auto"/>
        <w:jc w:val="both"/>
        <w:rPr>
          <w:rFonts w:ascii="Arial" w:hAnsi="Arial" w:cs="Arial"/>
          <w:color w:val="595959" w:themeColor="text1" w:themeTint="A6"/>
        </w:rPr>
      </w:pPr>
    </w:p>
    <w:p w14:paraId="39AF6EF3" w14:textId="7E7F636F" w:rsidR="005F5AB4" w:rsidRDefault="006D1B88" w:rsidP="008C21BF">
      <w:pPr>
        <w:tabs>
          <w:tab w:val="left" w:pos="1350"/>
        </w:tabs>
        <w:spacing w:line="480" w:lineRule="auto"/>
        <w:jc w:val="both"/>
        <w:rPr>
          <w:rFonts w:ascii="Arial" w:hAnsi="Arial" w:cs="Arial"/>
          <w:color w:val="595959" w:themeColor="text1" w:themeTint="A6"/>
        </w:rPr>
      </w:pPr>
      <w:r w:rsidRPr="0054039C">
        <w:rPr>
          <w:rFonts w:ascii="Arial" w:hAnsi="Arial" w:cs="Arial"/>
          <w:noProof/>
          <w:color w:val="595959" w:themeColor="text1" w:themeTint="A6"/>
          <w:sz w:val="24"/>
          <w:szCs w:val="24"/>
          <w:lang w:eastAsia="zh-CN"/>
        </w:rPr>
        <mc:AlternateContent>
          <mc:Choice Requires="wps">
            <w:drawing>
              <wp:anchor distT="0" distB="0" distL="114300" distR="114300" simplePos="0" relativeHeight="251658469" behindDoc="0" locked="0" layoutInCell="1" allowOverlap="1" wp14:anchorId="765BF348" wp14:editId="6A2C52B4">
                <wp:simplePos x="0" y="0"/>
                <wp:positionH relativeFrom="margin">
                  <wp:align>right</wp:align>
                </wp:positionH>
                <wp:positionV relativeFrom="paragraph">
                  <wp:posOffset>170411</wp:posOffset>
                </wp:positionV>
                <wp:extent cx="5724525" cy="1600200"/>
                <wp:effectExtent l="0" t="0" r="9525" b="0"/>
                <wp:wrapNone/>
                <wp:docPr id="21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1600200"/>
                        </a:xfrm>
                        <a:prstGeom prst="rect">
                          <a:avLst/>
                        </a:prstGeom>
                        <a:solidFill>
                          <a:srgbClr val="FFFFFF"/>
                        </a:solidFill>
                        <a:ln w="9525">
                          <a:noFill/>
                          <a:miter lim="800000"/>
                          <a:headEnd/>
                          <a:tailEnd/>
                        </a:ln>
                      </wps:spPr>
                      <wps:txbx>
                        <w:txbxContent>
                          <w:p w14:paraId="756C8083" w14:textId="602DC819" w:rsidR="008A47AC" w:rsidRDefault="008A47AC" w:rsidP="00537566">
                            <w:pPr>
                              <w:pStyle w:val="NormalWeb"/>
                              <w:spacing w:after="200"/>
                              <w:jc w:val="both"/>
                              <w:rPr>
                                <w:rFonts w:ascii="Arial Narrow" w:eastAsia="SimSun" w:hAnsi="Arial Narrow" w:cs="Arial"/>
                                <w:b/>
                                <w:bCs/>
                                <w:color w:val="595959"/>
                                <w:kern w:val="24"/>
                                <w:sz w:val="22"/>
                                <w:szCs w:val="22"/>
                              </w:rPr>
                            </w:pPr>
                            <w:r>
                              <w:rPr>
                                <w:rFonts w:ascii="Arial Narrow" w:eastAsia="SimSun" w:hAnsi="Arial Narrow" w:cs="Arial"/>
                                <w:b/>
                                <w:bCs/>
                                <w:color w:val="595959"/>
                                <w:kern w:val="24"/>
                                <w:sz w:val="22"/>
                                <w:szCs w:val="22"/>
                              </w:rPr>
                              <w:t xml:space="preserve">Figure 4.17 FN1-EDA gene expression in NOF- and CAF-DM in response to Scriptaid and Batimastat treatment with and without TGFβ-1 stimulation </w:t>
                            </w:r>
                          </w:p>
                          <w:p w14:paraId="5E8B131B" w14:textId="45F4E5C8" w:rsidR="008A47AC" w:rsidRPr="00944EBD" w:rsidRDefault="008A47AC" w:rsidP="00537566">
                            <w:pPr>
                              <w:pStyle w:val="NormalWeb"/>
                              <w:spacing w:after="200" w:line="276" w:lineRule="auto"/>
                              <w:jc w:val="both"/>
                              <w:rPr>
                                <w:rFonts w:ascii="Arial Narrow" w:eastAsia="SimSun" w:hAnsi="Arial Narrow" w:cs="Arial"/>
                                <w:color w:val="595959"/>
                                <w:kern w:val="24"/>
                                <w:sz w:val="22"/>
                              </w:rPr>
                            </w:pPr>
                            <w:r>
                              <w:rPr>
                                <w:rFonts w:ascii="Arial Narrow" w:eastAsia="SimSun" w:hAnsi="Arial Narrow" w:cs="Arial"/>
                                <w:color w:val="595959"/>
                                <w:kern w:val="24"/>
                                <w:sz w:val="22"/>
                              </w:rPr>
                              <w:t xml:space="preserve">NOF- (A) and CAF- (B) DM were treated with the inhibitors Scriptaid and Batimastat in the presence or absence of </w:t>
                            </w:r>
                            <w:r w:rsidRPr="00944EBD">
                              <w:rPr>
                                <w:rFonts w:ascii="Arial Narrow" w:eastAsia="SimSun" w:hAnsi="Arial Narrow" w:cs="Arial"/>
                                <w:color w:val="595959"/>
                                <w:kern w:val="24"/>
                                <w:sz w:val="22"/>
                              </w:rPr>
                              <w:t xml:space="preserve">TGFβ-1 </w:t>
                            </w:r>
                            <w:r>
                              <w:rPr>
                                <w:rFonts w:ascii="Arial Narrow" w:eastAsia="SimSun" w:hAnsi="Arial Narrow" w:cs="Arial"/>
                                <w:color w:val="595959"/>
                                <w:kern w:val="24"/>
                                <w:sz w:val="22"/>
                              </w:rPr>
                              <w:t xml:space="preserve">for 7 days and the gene expression for FN1-EDA determined by qPCR. Data is expressed as fold change relative to housekeeping gene U6, with mean ± SD, N=3, n=2, * denotes p &lt;0.05, **p &lt;0.001 and ****p &lt;0.0001 analysed by student’s T-test. </w:t>
                            </w:r>
                          </w:p>
                          <w:p w14:paraId="1868D3D8" w14:textId="77777777" w:rsidR="008A47AC" w:rsidRDefault="008A47AC" w:rsidP="00537566">
                            <w:pPr>
                              <w:pStyle w:val="NormalWeb"/>
                              <w:spacing w:after="200" w:line="276" w:lineRule="auto"/>
                              <w:jc w:val="both"/>
                              <w:rPr>
                                <w:rFonts w:ascii="Arial Narrow" w:eastAsia="SimSun" w:hAnsi="Arial Narrow" w:cs="Arial"/>
                                <w:color w:val="595959"/>
                                <w:kern w:val="24"/>
                              </w:rPr>
                            </w:pPr>
                          </w:p>
                          <w:p w14:paraId="0893C191" w14:textId="77777777" w:rsidR="008A47AC" w:rsidRDefault="008A47AC" w:rsidP="00537566">
                            <w:pPr>
                              <w:pStyle w:val="NormalWeb"/>
                              <w:spacing w:after="200" w:line="276" w:lineRule="auto"/>
                              <w:jc w:val="both"/>
                              <w:rPr>
                                <w:rFonts w:ascii="Arial Narrow" w:eastAsia="SimSun" w:hAnsi="Arial Narrow" w:cs="Arial"/>
                                <w:color w:val="595959"/>
                                <w:kern w:val="24"/>
                              </w:rPr>
                            </w:pPr>
                          </w:p>
                          <w:p w14:paraId="27757EB7" w14:textId="77777777" w:rsidR="008A47AC" w:rsidRPr="00AE10F9" w:rsidRDefault="008A47AC" w:rsidP="00537566">
                            <w:pPr>
                              <w:pStyle w:val="NormalWeb"/>
                              <w:spacing w:after="200" w:line="276" w:lineRule="auto"/>
                              <w:jc w:val="both"/>
                              <w:rPr>
                                <w:rFonts w:ascii="Arial Narrow" w:eastAsia="SimSun" w:hAnsi="Arial Narrow" w:cs="Arial"/>
                                <w:color w:val="595959"/>
                                <w:kern w:val="24"/>
                              </w:rPr>
                            </w:pPr>
                          </w:p>
                          <w:p w14:paraId="618AFE4E" w14:textId="77777777" w:rsidR="008A47AC" w:rsidRDefault="008A47AC" w:rsidP="00537566">
                            <w:pPr>
                              <w:pStyle w:val="NormalWeb"/>
                              <w:spacing w:after="200" w:line="276" w:lineRule="auto"/>
                              <w:jc w:val="both"/>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5BF348" id="_x0000_s1170" type="#_x0000_t202" style="position:absolute;left:0;text-align:left;margin-left:399.55pt;margin-top:13.4pt;width:450.75pt;height:126pt;z-index:251658469;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" stroked="f">
                <v:textbox>
                  <w:txbxContent>
                    <w:p w14:paraId="756C8083" w14:textId="602DC819" w:rsidR="008A47AC" w:rsidRDefault="008A47AC" w:rsidP="00537566">
                      <w:pPr>
                        <w:pStyle w:val="NormalWeb"/>
                        <w:spacing w:after="200"/>
                        <w:jc w:val="both"/>
                        <w:rPr>
                          <w:rFonts w:ascii="Arial Narrow" w:eastAsia="SimSun" w:hAnsi="Arial Narrow" w:cs="Arial"/>
                          <w:b/>
                          <w:bCs/>
                          <w:color w:val="595959"/>
                          <w:kern w:val="24"/>
                          <w:sz w:val="22"/>
                          <w:szCs w:val="22"/>
                        </w:rPr>
                      </w:pPr>
                      <w:r>
                        <w:rPr>
                          <w:rFonts w:ascii="Arial Narrow" w:eastAsia="SimSun" w:hAnsi="Arial Narrow" w:cs="Arial"/>
                          <w:b/>
                          <w:bCs/>
                          <w:color w:val="595959"/>
                          <w:kern w:val="24"/>
                          <w:sz w:val="22"/>
                          <w:szCs w:val="22"/>
                        </w:rPr>
                        <w:t xml:space="preserve">Figure 4.17 FN1-EDA gene expression in NOF- and CAF-DM in response to Scriptaid and Batimastat treatment with and without TGFβ-1 stimulation </w:t>
                      </w:r>
                    </w:p>
                    <w:p w14:paraId="5E8B131B" w14:textId="45F4E5C8" w:rsidR="008A47AC" w:rsidRPr="00944EBD" w:rsidRDefault="008A47AC" w:rsidP="00537566">
                      <w:pPr>
                        <w:pStyle w:val="NormalWeb"/>
                        <w:spacing w:after="200" w:line="276" w:lineRule="auto"/>
                        <w:jc w:val="both"/>
                        <w:rPr>
                          <w:rFonts w:ascii="Arial Narrow" w:eastAsia="SimSun" w:hAnsi="Arial Narrow" w:cs="Arial"/>
                          <w:color w:val="595959"/>
                          <w:kern w:val="24"/>
                          <w:sz w:val="22"/>
                        </w:rPr>
                      </w:pPr>
                      <w:r>
                        <w:rPr>
                          <w:rFonts w:ascii="Arial Narrow" w:eastAsia="SimSun" w:hAnsi="Arial Narrow" w:cs="Arial"/>
                          <w:color w:val="595959"/>
                          <w:kern w:val="24"/>
                          <w:sz w:val="22"/>
                        </w:rPr>
                        <w:t xml:space="preserve">NOF- (A) and CAF- (B) DM were treated with the inhibitors Scriptaid and Batimastat in the presence or absence of </w:t>
                      </w:r>
                      <w:r w:rsidRPr="00944EBD">
                        <w:rPr>
                          <w:rFonts w:ascii="Arial Narrow" w:eastAsia="SimSun" w:hAnsi="Arial Narrow" w:cs="Arial"/>
                          <w:color w:val="595959"/>
                          <w:kern w:val="24"/>
                          <w:sz w:val="22"/>
                        </w:rPr>
                        <w:t xml:space="preserve">TGFβ-1 </w:t>
                      </w:r>
                      <w:r>
                        <w:rPr>
                          <w:rFonts w:ascii="Arial Narrow" w:eastAsia="SimSun" w:hAnsi="Arial Narrow" w:cs="Arial"/>
                          <w:color w:val="595959"/>
                          <w:kern w:val="24"/>
                          <w:sz w:val="22"/>
                        </w:rPr>
                        <w:t xml:space="preserve">for 7 days and the gene expression for FN1-EDA determined by qPCR. Data is expressed as fold change relative to housekeeping gene U6, with mean ± SD, N=3, n=2, * denotes p &lt;0.05, **p &lt;0.001 and ****p &lt;0.0001 analysed by student’s T-test. </w:t>
                      </w:r>
                    </w:p>
                    <w:p w14:paraId="1868D3D8" w14:textId="77777777" w:rsidR="008A47AC" w:rsidRDefault="008A47AC" w:rsidP="00537566">
                      <w:pPr>
                        <w:pStyle w:val="NormalWeb"/>
                        <w:spacing w:after="200" w:line="276" w:lineRule="auto"/>
                        <w:jc w:val="both"/>
                        <w:rPr>
                          <w:rFonts w:ascii="Arial Narrow" w:eastAsia="SimSun" w:hAnsi="Arial Narrow" w:cs="Arial"/>
                          <w:color w:val="595959"/>
                          <w:kern w:val="24"/>
                        </w:rPr>
                      </w:pPr>
                    </w:p>
                    <w:p w14:paraId="0893C191" w14:textId="77777777" w:rsidR="008A47AC" w:rsidRDefault="008A47AC" w:rsidP="00537566">
                      <w:pPr>
                        <w:pStyle w:val="NormalWeb"/>
                        <w:spacing w:after="200" w:line="276" w:lineRule="auto"/>
                        <w:jc w:val="both"/>
                        <w:rPr>
                          <w:rFonts w:ascii="Arial Narrow" w:eastAsia="SimSun" w:hAnsi="Arial Narrow" w:cs="Arial"/>
                          <w:color w:val="595959"/>
                          <w:kern w:val="24"/>
                        </w:rPr>
                      </w:pPr>
                    </w:p>
                    <w:p w14:paraId="27757EB7" w14:textId="77777777" w:rsidR="008A47AC" w:rsidRPr="00AE10F9" w:rsidRDefault="008A47AC" w:rsidP="00537566">
                      <w:pPr>
                        <w:pStyle w:val="NormalWeb"/>
                        <w:spacing w:after="200" w:line="276" w:lineRule="auto"/>
                        <w:jc w:val="both"/>
                        <w:rPr>
                          <w:rFonts w:ascii="Arial Narrow" w:eastAsia="SimSun" w:hAnsi="Arial Narrow" w:cs="Arial"/>
                          <w:color w:val="595959"/>
                          <w:kern w:val="24"/>
                        </w:rPr>
                      </w:pPr>
                    </w:p>
                    <w:p w14:paraId="618AFE4E" w14:textId="77777777" w:rsidR="008A47AC" w:rsidRDefault="008A47AC" w:rsidP="00537566">
                      <w:pPr>
                        <w:pStyle w:val="NormalWeb"/>
                        <w:spacing w:after="200" w:line="276" w:lineRule="auto"/>
                        <w:jc w:val="both"/>
                      </w:pPr>
                    </w:p>
                  </w:txbxContent>
                </v:textbox>
                <w10:wrap anchorx="margin"/>
              </v:shape>
            </w:pict>
          </mc:Fallback>
        </mc:AlternateContent>
      </w:r>
    </w:p>
    <w:p w14:paraId="1EC80651" w14:textId="68B3A1D5" w:rsidR="005C462D" w:rsidRDefault="005C462D" w:rsidP="008C21BF">
      <w:pPr>
        <w:tabs>
          <w:tab w:val="left" w:pos="1350"/>
        </w:tabs>
        <w:spacing w:line="480" w:lineRule="auto"/>
        <w:jc w:val="both"/>
        <w:rPr>
          <w:rFonts w:ascii="Arial" w:hAnsi="Arial" w:cs="Arial"/>
          <w:color w:val="595959" w:themeColor="text1" w:themeTint="A6"/>
        </w:rPr>
      </w:pPr>
    </w:p>
    <w:p w14:paraId="60FB7351" w14:textId="325B9567" w:rsidR="005F5AB4" w:rsidRDefault="005F5AB4" w:rsidP="008C21BF">
      <w:pPr>
        <w:tabs>
          <w:tab w:val="left" w:pos="1350"/>
        </w:tabs>
        <w:spacing w:line="480" w:lineRule="auto"/>
        <w:jc w:val="both"/>
        <w:rPr>
          <w:rFonts w:ascii="Arial" w:hAnsi="Arial" w:cs="Arial"/>
          <w:color w:val="595959" w:themeColor="text1" w:themeTint="A6"/>
        </w:rPr>
      </w:pPr>
    </w:p>
    <w:p w14:paraId="43D2DF69" w14:textId="048D4C56" w:rsidR="005F5AB4" w:rsidRDefault="005F5AB4" w:rsidP="008C21BF">
      <w:pPr>
        <w:tabs>
          <w:tab w:val="left" w:pos="1350"/>
        </w:tabs>
        <w:spacing w:line="480" w:lineRule="auto"/>
        <w:jc w:val="both"/>
        <w:rPr>
          <w:rFonts w:ascii="Arial" w:hAnsi="Arial" w:cs="Arial"/>
          <w:color w:val="595959" w:themeColor="text1" w:themeTint="A6"/>
        </w:rPr>
      </w:pPr>
    </w:p>
    <w:p w14:paraId="04D2571C" w14:textId="46953816" w:rsidR="005F5AB4" w:rsidRDefault="005F5AB4" w:rsidP="008C21BF">
      <w:pPr>
        <w:tabs>
          <w:tab w:val="left" w:pos="1350"/>
        </w:tabs>
        <w:spacing w:line="480" w:lineRule="auto"/>
        <w:jc w:val="both"/>
        <w:rPr>
          <w:rFonts w:ascii="Arial" w:hAnsi="Arial" w:cs="Arial"/>
          <w:color w:val="595959" w:themeColor="text1" w:themeTint="A6"/>
        </w:rPr>
      </w:pPr>
    </w:p>
    <w:p w14:paraId="1DC6CAFC" w14:textId="1893A2A7" w:rsidR="008C21BF" w:rsidRDefault="008C21BF" w:rsidP="0019510B">
      <w:pPr>
        <w:pStyle w:val="Heading5"/>
        <w:spacing w:line="480" w:lineRule="auto"/>
        <w:rPr>
          <w:rFonts w:ascii="Arial" w:hAnsi="Arial" w:cs="Arial"/>
          <w:color w:val="595959" w:themeColor="text1" w:themeTint="A6"/>
        </w:rPr>
      </w:pPr>
      <w:bookmarkStart w:id="434" w:name="_Toc34208438"/>
      <w:r w:rsidRPr="008C21BF">
        <w:rPr>
          <w:rFonts w:ascii="Arial" w:hAnsi="Arial" w:cs="Arial"/>
          <w:color w:val="595959" w:themeColor="text1" w:themeTint="A6"/>
        </w:rPr>
        <w:lastRenderedPageBreak/>
        <w:t>4.3.2.5.</w:t>
      </w:r>
      <w:r w:rsidR="0019510B">
        <w:rPr>
          <w:rFonts w:ascii="Arial" w:hAnsi="Arial" w:cs="Arial"/>
          <w:color w:val="595959" w:themeColor="text1" w:themeTint="A6"/>
        </w:rPr>
        <w:t>4</w:t>
      </w:r>
      <w:r w:rsidRPr="008C21BF">
        <w:rPr>
          <w:rFonts w:ascii="Arial" w:hAnsi="Arial" w:cs="Arial"/>
          <w:color w:val="595959" w:themeColor="text1" w:themeTint="A6"/>
        </w:rPr>
        <w:t xml:space="preserve"> </w:t>
      </w:r>
      <w:r w:rsidR="0087123A">
        <w:rPr>
          <w:rFonts w:ascii="Arial" w:hAnsi="Arial" w:cs="Arial"/>
          <w:color w:val="595959" w:themeColor="text1" w:themeTint="A6"/>
        </w:rPr>
        <w:t xml:space="preserve">The effect of Scriptaid and Batimastat on </w:t>
      </w:r>
      <w:r w:rsidRPr="008C21BF">
        <w:rPr>
          <w:rFonts w:ascii="Arial" w:hAnsi="Arial" w:cs="Arial"/>
          <w:color w:val="595959" w:themeColor="text1" w:themeTint="A6"/>
        </w:rPr>
        <w:t>FN1-EDA</w:t>
      </w:r>
      <w:r w:rsidR="0087123A">
        <w:rPr>
          <w:rFonts w:ascii="Arial" w:hAnsi="Arial" w:cs="Arial"/>
          <w:color w:val="595959" w:themeColor="text1" w:themeTint="A6"/>
        </w:rPr>
        <w:t xml:space="preserve"> </w:t>
      </w:r>
      <w:r w:rsidRPr="008C21BF">
        <w:rPr>
          <w:rFonts w:ascii="Arial" w:hAnsi="Arial" w:cs="Arial"/>
          <w:color w:val="595959" w:themeColor="text1" w:themeTint="A6"/>
        </w:rPr>
        <w:t xml:space="preserve">abundance in </w:t>
      </w:r>
      <w:r w:rsidR="0087123A">
        <w:rPr>
          <w:rFonts w:ascii="Arial" w:hAnsi="Arial" w:cs="Arial"/>
          <w:color w:val="595959" w:themeColor="text1" w:themeTint="A6"/>
        </w:rPr>
        <w:t>NOF- and CAF-DM</w:t>
      </w:r>
      <w:bookmarkEnd w:id="434"/>
    </w:p>
    <w:p w14:paraId="72D396C3" w14:textId="2E0E346D" w:rsidR="0019510B" w:rsidRPr="0019510B" w:rsidRDefault="0019510B" w:rsidP="0019510B"/>
    <w:p w14:paraId="4BCF9D2E" w14:textId="210BEBD1" w:rsidR="008C21BF" w:rsidRDefault="002754BF" w:rsidP="008C21BF">
      <w:pPr>
        <w:tabs>
          <w:tab w:val="left" w:pos="1350"/>
        </w:tabs>
        <w:spacing w:line="480" w:lineRule="auto"/>
        <w:jc w:val="both"/>
        <w:rPr>
          <w:rFonts w:ascii="Arial" w:hAnsi="Arial" w:cs="Arial"/>
          <w:color w:val="595959" w:themeColor="text1" w:themeTint="A6"/>
        </w:rPr>
      </w:pPr>
      <w:r>
        <w:rPr>
          <w:rFonts w:ascii="Arial" w:hAnsi="Arial" w:cs="Arial"/>
          <w:color w:val="595959" w:themeColor="text1" w:themeTint="A6"/>
        </w:rPr>
        <w:t>No significant difference in FN1-EDA protein abundance was observed in NOF-DM tr</w:t>
      </w:r>
      <w:r w:rsidR="005A641C">
        <w:rPr>
          <w:rFonts w:ascii="Arial" w:hAnsi="Arial" w:cs="Arial"/>
          <w:color w:val="595959" w:themeColor="text1" w:themeTint="A6"/>
        </w:rPr>
        <w:t xml:space="preserve">eated with either </w:t>
      </w:r>
      <w:r w:rsidR="00DC64E0">
        <w:rPr>
          <w:rFonts w:ascii="Arial" w:hAnsi="Arial" w:cs="Arial"/>
          <w:color w:val="595959" w:themeColor="text1" w:themeTint="A6"/>
        </w:rPr>
        <w:t xml:space="preserve">Scriptaid </w:t>
      </w:r>
      <w:r w:rsidR="00F5798B">
        <w:rPr>
          <w:rFonts w:ascii="Arial" w:hAnsi="Arial" w:cs="Arial"/>
          <w:color w:val="595959" w:themeColor="text1" w:themeTint="A6"/>
        </w:rPr>
        <w:t>or</w:t>
      </w:r>
      <w:r w:rsidR="00DC64E0">
        <w:rPr>
          <w:rFonts w:ascii="Arial" w:hAnsi="Arial" w:cs="Arial"/>
          <w:color w:val="595959" w:themeColor="text1" w:themeTint="A6"/>
        </w:rPr>
        <w:t xml:space="preserve"> Batimastat compared to </w:t>
      </w:r>
      <w:r w:rsidR="007E45F0">
        <w:rPr>
          <w:rFonts w:ascii="Arial" w:hAnsi="Arial" w:cs="Arial"/>
          <w:color w:val="595959" w:themeColor="text1" w:themeTint="A6"/>
        </w:rPr>
        <w:t>vehicle</w:t>
      </w:r>
      <w:r w:rsidR="00DC64E0">
        <w:rPr>
          <w:rFonts w:ascii="Arial" w:hAnsi="Arial" w:cs="Arial"/>
          <w:color w:val="595959" w:themeColor="text1" w:themeTint="A6"/>
        </w:rPr>
        <w:t xml:space="preserve"> control treated </w:t>
      </w:r>
      <w:r w:rsidR="007E45F0">
        <w:rPr>
          <w:rFonts w:ascii="Arial" w:hAnsi="Arial" w:cs="Arial"/>
          <w:color w:val="595959" w:themeColor="text1" w:themeTint="A6"/>
        </w:rPr>
        <w:t>NOF-DM (Figure</w:t>
      </w:r>
      <w:r w:rsidR="009667DD">
        <w:rPr>
          <w:rFonts w:ascii="Arial" w:hAnsi="Arial" w:cs="Arial"/>
          <w:color w:val="595959" w:themeColor="text1" w:themeTint="A6"/>
        </w:rPr>
        <w:t xml:space="preserve"> 4.1</w:t>
      </w:r>
      <w:r>
        <w:rPr>
          <w:rFonts w:ascii="Arial" w:hAnsi="Arial" w:cs="Arial"/>
          <w:color w:val="595959" w:themeColor="text1" w:themeTint="A6"/>
        </w:rPr>
        <w:t>8</w:t>
      </w:r>
      <w:r w:rsidR="009667DD">
        <w:rPr>
          <w:rFonts w:ascii="Arial" w:hAnsi="Arial" w:cs="Arial"/>
          <w:color w:val="595959" w:themeColor="text1" w:themeTint="A6"/>
        </w:rPr>
        <w:t xml:space="preserve"> A i+ii). </w:t>
      </w:r>
      <w:r w:rsidR="00347D3E">
        <w:rPr>
          <w:rFonts w:ascii="Arial" w:hAnsi="Arial" w:cs="Arial"/>
          <w:color w:val="595959" w:themeColor="text1" w:themeTint="A6"/>
        </w:rPr>
        <w:t xml:space="preserve">However, </w:t>
      </w:r>
      <w:r w:rsidR="004A0ADB">
        <w:rPr>
          <w:rFonts w:ascii="Arial" w:hAnsi="Arial" w:cs="Arial"/>
          <w:color w:val="595959" w:themeColor="text1" w:themeTint="A6"/>
        </w:rPr>
        <w:t>Scriptaid and Batimastat</w:t>
      </w:r>
      <w:r w:rsidR="00347D3E">
        <w:rPr>
          <w:rFonts w:ascii="Arial" w:hAnsi="Arial" w:cs="Arial"/>
          <w:color w:val="595959" w:themeColor="text1" w:themeTint="A6"/>
        </w:rPr>
        <w:t xml:space="preserve"> in combination with TGFβ-1 treatment, significantly reduced FN1-EDA protein abundance, with</w:t>
      </w:r>
      <w:r w:rsidR="00FD5E29">
        <w:rPr>
          <w:rFonts w:ascii="Arial" w:hAnsi="Arial" w:cs="Arial"/>
          <w:color w:val="595959" w:themeColor="text1" w:themeTint="A6"/>
        </w:rPr>
        <w:t xml:space="preserve"> a ~22-fold</w:t>
      </w:r>
      <w:r w:rsidR="004A0ADB">
        <w:rPr>
          <w:rFonts w:ascii="Arial" w:hAnsi="Arial" w:cs="Arial"/>
          <w:color w:val="595959" w:themeColor="text1" w:themeTint="A6"/>
        </w:rPr>
        <w:t>, (</w:t>
      </w:r>
      <w:r w:rsidR="00D26938">
        <w:rPr>
          <w:rFonts w:ascii="Arial" w:hAnsi="Arial" w:cs="Arial"/>
          <w:color w:val="595959" w:themeColor="text1" w:themeTint="A6"/>
        </w:rPr>
        <w:t>0.36 ± 0.42) and ~</w:t>
      </w:r>
      <w:r w:rsidR="00740259">
        <w:rPr>
          <w:rFonts w:ascii="Arial" w:hAnsi="Arial" w:cs="Arial"/>
          <w:color w:val="595959" w:themeColor="text1" w:themeTint="A6"/>
        </w:rPr>
        <w:t>8-fold</w:t>
      </w:r>
      <w:r w:rsidR="007310F6">
        <w:rPr>
          <w:rFonts w:ascii="Arial" w:hAnsi="Arial" w:cs="Arial"/>
          <w:color w:val="595959" w:themeColor="text1" w:themeTint="A6"/>
        </w:rPr>
        <w:t xml:space="preserve">, (0.95 ± 0.35), </w:t>
      </w:r>
      <w:r w:rsidR="007148BB">
        <w:rPr>
          <w:rFonts w:ascii="Arial" w:hAnsi="Arial" w:cs="Arial"/>
          <w:color w:val="595959" w:themeColor="text1" w:themeTint="A6"/>
        </w:rPr>
        <w:t xml:space="preserve">respectively, </w:t>
      </w:r>
      <w:r w:rsidR="007310F6">
        <w:rPr>
          <w:rFonts w:ascii="Arial" w:hAnsi="Arial" w:cs="Arial"/>
          <w:color w:val="595959" w:themeColor="text1" w:themeTint="A6"/>
        </w:rPr>
        <w:t>compared to TGFβ-1 treatment alone (</w:t>
      </w:r>
      <w:r w:rsidR="00752EB1">
        <w:rPr>
          <w:rFonts w:ascii="Arial" w:hAnsi="Arial" w:cs="Arial"/>
          <w:color w:val="595959" w:themeColor="text1" w:themeTint="A6"/>
        </w:rPr>
        <w:t>8.16 ± 2.23), p=0.0040, and p=</w:t>
      </w:r>
      <w:r w:rsidR="002E1076">
        <w:rPr>
          <w:rFonts w:ascii="Arial" w:hAnsi="Arial" w:cs="Arial"/>
          <w:color w:val="595959" w:themeColor="text1" w:themeTint="A6"/>
        </w:rPr>
        <w:t>0.0052</w:t>
      </w:r>
      <w:r w:rsidR="00BA036D">
        <w:rPr>
          <w:rFonts w:ascii="Arial" w:hAnsi="Arial" w:cs="Arial"/>
          <w:color w:val="595959" w:themeColor="text1" w:themeTint="A6"/>
        </w:rPr>
        <w:t>.</w:t>
      </w:r>
    </w:p>
    <w:p w14:paraId="290AC8A3" w14:textId="1982A367" w:rsidR="002E1076" w:rsidRPr="008C21BF" w:rsidRDefault="00641DAD" w:rsidP="008C21BF">
      <w:pPr>
        <w:tabs>
          <w:tab w:val="left" w:pos="1350"/>
        </w:tabs>
        <w:spacing w:line="480" w:lineRule="auto"/>
        <w:jc w:val="both"/>
        <w:rPr>
          <w:rFonts w:ascii="Arial" w:hAnsi="Arial" w:cs="Arial"/>
          <w:color w:val="595959" w:themeColor="text1" w:themeTint="A6"/>
        </w:rPr>
      </w:pPr>
      <w:r>
        <w:rPr>
          <w:rFonts w:ascii="Arial" w:hAnsi="Arial" w:cs="Arial"/>
          <w:color w:val="595959" w:themeColor="text1" w:themeTint="A6"/>
        </w:rPr>
        <w:t xml:space="preserve">No significant differences were </w:t>
      </w:r>
      <w:r w:rsidR="009405B9">
        <w:rPr>
          <w:rFonts w:ascii="Arial" w:hAnsi="Arial" w:cs="Arial"/>
          <w:color w:val="595959" w:themeColor="text1" w:themeTint="A6"/>
        </w:rPr>
        <w:t>observed</w:t>
      </w:r>
      <w:r>
        <w:rPr>
          <w:rFonts w:ascii="Arial" w:hAnsi="Arial" w:cs="Arial"/>
          <w:color w:val="595959" w:themeColor="text1" w:themeTint="A6"/>
        </w:rPr>
        <w:t xml:space="preserve"> in FN1-EDA protein abundance i</w:t>
      </w:r>
      <w:r w:rsidR="002E1076">
        <w:rPr>
          <w:rFonts w:ascii="Arial" w:hAnsi="Arial" w:cs="Arial"/>
          <w:color w:val="595959" w:themeColor="text1" w:themeTint="A6"/>
        </w:rPr>
        <w:t xml:space="preserve">n CAF-DM, </w:t>
      </w:r>
      <w:r>
        <w:rPr>
          <w:rFonts w:ascii="Arial" w:hAnsi="Arial" w:cs="Arial"/>
          <w:color w:val="595959" w:themeColor="text1" w:themeTint="A6"/>
        </w:rPr>
        <w:t xml:space="preserve">treated </w:t>
      </w:r>
      <w:r w:rsidR="009405B9">
        <w:rPr>
          <w:rFonts w:ascii="Arial" w:hAnsi="Arial" w:cs="Arial"/>
          <w:color w:val="595959" w:themeColor="text1" w:themeTint="A6"/>
        </w:rPr>
        <w:t xml:space="preserve">with </w:t>
      </w:r>
      <w:r w:rsidR="002060C6">
        <w:rPr>
          <w:rFonts w:ascii="Arial" w:hAnsi="Arial" w:cs="Arial"/>
          <w:color w:val="595959" w:themeColor="text1" w:themeTint="A6"/>
        </w:rPr>
        <w:t xml:space="preserve">Scriptaid </w:t>
      </w:r>
      <w:r w:rsidR="009405B9">
        <w:rPr>
          <w:rFonts w:ascii="Arial" w:hAnsi="Arial" w:cs="Arial"/>
          <w:color w:val="595959" w:themeColor="text1" w:themeTint="A6"/>
        </w:rPr>
        <w:t xml:space="preserve">in the presence and absence of </w:t>
      </w:r>
      <w:r w:rsidR="002060C6">
        <w:rPr>
          <w:rFonts w:ascii="Arial" w:hAnsi="Arial" w:cs="Arial"/>
          <w:color w:val="595959" w:themeColor="text1" w:themeTint="A6"/>
        </w:rPr>
        <w:t>TGFβ-1</w:t>
      </w:r>
      <w:r w:rsidR="009405B9">
        <w:rPr>
          <w:rFonts w:ascii="Arial" w:hAnsi="Arial" w:cs="Arial"/>
          <w:color w:val="595959" w:themeColor="text1" w:themeTint="A6"/>
        </w:rPr>
        <w:t xml:space="preserve"> (Figure 4.1</w:t>
      </w:r>
      <w:r w:rsidR="000830F6">
        <w:rPr>
          <w:rFonts w:ascii="Arial" w:hAnsi="Arial" w:cs="Arial"/>
          <w:color w:val="595959" w:themeColor="text1" w:themeTint="A6"/>
        </w:rPr>
        <w:t>8</w:t>
      </w:r>
      <w:r w:rsidR="009405B9">
        <w:rPr>
          <w:rFonts w:ascii="Arial" w:hAnsi="Arial" w:cs="Arial"/>
          <w:color w:val="595959" w:themeColor="text1" w:themeTint="A6"/>
        </w:rPr>
        <w:t xml:space="preserve"> B i+ii). </w:t>
      </w:r>
      <w:r w:rsidR="008A00F8">
        <w:rPr>
          <w:rFonts w:ascii="Arial" w:hAnsi="Arial" w:cs="Arial"/>
          <w:color w:val="595959" w:themeColor="text1" w:themeTint="A6"/>
        </w:rPr>
        <w:t>Batimastat significant reduced FN1-EDA protein (0.</w:t>
      </w:r>
      <w:r w:rsidR="0004448F">
        <w:rPr>
          <w:rFonts w:ascii="Arial" w:hAnsi="Arial" w:cs="Arial"/>
          <w:color w:val="595959" w:themeColor="text1" w:themeTint="A6"/>
        </w:rPr>
        <w:t>56</w:t>
      </w:r>
      <w:r w:rsidR="008A00F8">
        <w:rPr>
          <w:rFonts w:ascii="Arial" w:hAnsi="Arial" w:cs="Arial"/>
          <w:color w:val="595959" w:themeColor="text1" w:themeTint="A6"/>
        </w:rPr>
        <w:t xml:space="preserve"> ± </w:t>
      </w:r>
      <w:r w:rsidR="00206501">
        <w:rPr>
          <w:rFonts w:ascii="Arial" w:hAnsi="Arial" w:cs="Arial"/>
          <w:color w:val="595959" w:themeColor="text1" w:themeTint="A6"/>
        </w:rPr>
        <w:t>0.</w:t>
      </w:r>
      <w:r w:rsidR="0004448F">
        <w:rPr>
          <w:rFonts w:ascii="Arial" w:hAnsi="Arial" w:cs="Arial"/>
          <w:color w:val="595959" w:themeColor="text1" w:themeTint="A6"/>
        </w:rPr>
        <w:t>25</w:t>
      </w:r>
      <w:r w:rsidR="00206501">
        <w:rPr>
          <w:rFonts w:ascii="Arial" w:hAnsi="Arial" w:cs="Arial"/>
          <w:color w:val="595959" w:themeColor="text1" w:themeTint="A6"/>
        </w:rPr>
        <w:t>) compared to vehicle control treated CAF-DM, p=</w:t>
      </w:r>
      <w:r w:rsidR="0004448F">
        <w:rPr>
          <w:rFonts w:ascii="Arial" w:hAnsi="Arial" w:cs="Arial"/>
          <w:color w:val="595959" w:themeColor="text1" w:themeTint="A6"/>
        </w:rPr>
        <w:t>0.0391</w:t>
      </w:r>
      <w:r w:rsidR="00DE3FFF">
        <w:rPr>
          <w:rFonts w:ascii="Arial" w:hAnsi="Arial" w:cs="Arial"/>
          <w:color w:val="595959" w:themeColor="text1" w:themeTint="A6"/>
        </w:rPr>
        <w:t xml:space="preserve">. Batimastat and TGFβ-1 </w:t>
      </w:r>
      <w:r w:rsidR="007C2B4B">
        <w:rPr>
          <w:rFonts w:ascii="Arial" w:hAnsi="Arial" w:cs="Arial"/>
          <w:color w:val="595959" w:themeColor="text1" w:themeTint="A6"/>
        </w:rPr>
        <w:t xml:space="preserve">in </w:t>
      </w:r>
      <w:r w:rsidR="00DE3FFF">
        <w:rPr>
          <w:rFonts w:ascii="Arial" w:hAnsi="Arial" w:cs="Arial"/>
          <w:color w:val="595959" w:themeColor="text1" w:themeTint="A6"/>
        </w:rPr>
        <w:t xml:space="preserve">combination therapy, showed </w:t>
      </w:r>
      <w:r w:rsidR="007F7B4D">
        <w:rPr>
          <w:rFonts w:ascii="Arial" w:hAnsi="Arial" w:cs="Arial"/>
          <w:color w:val="595959" w:themeColor="text1" w:themeTint="A6"/>
        </w:rPr>
        <w:t xml:space="preserve">no significant difference </w:t>
      </w:r>
      <w:r w:rsidR="003E0695">
        <w:rPr>
          <w:rFonts w:ascii="Arial" w:hAnsi="Arial" w:cs="Arial"/>
          <w:color w:val="595959" w:themeColor="text1" w:themeTint="A6"/>
        </w:rPr>
        <w:t xml:space="preserve">in </w:t>
      </w:r>
      <w:r w:rsidR="007C2B4B">
        <w:rPr>
          <w:rFonts w:ascii="Arial" w:hAnsi="Arial" w:cs="Arial"/>
          <w:color w:val="595959" w:themeColor="text1" w:themeTint="A6"/>
        </w:rPr>
        <w:t xml:space="preserve">detectable </w:t>
      </w:r>
      <w:r w:rsidR="007F7B4D">
        <w:rPr>
          <w:rFonts w:ascii="Arial" w:hAnsi="Arial" w:cs="Arial"/>
          <w:color w:val="595959" w:themeColor="text1" w:themeTint="A6"/>
        </w:rPr>
        <w:t xml:space="preserve">FN1-EDA protein (1.29 ± </w:t>
      </w:r>
      <w:r w:rsidR="00251E22">
        <w:rPr>
          <w:rFonts w:ascii="Arial" w:hAnsi="Arial" w:cs="Arial"/>
          <w:color w:val="595959" w:themeColor="text1" w:themeTint="A6"/>
        </w:rPr>
        <w:t>0.60) compared to TGFβ-1 treatment alone (</w:t>
      </w:r>
      <w:r w:rsidR="005811D9">
        <w:rPr>
          <w:rFonts w:ascii="Arial" w:hAnsi="Arial" w:cs="Arial"/>
          <w:color w:val="595959" w:themeColor="text1" w:themeTint="A6"/>
        </w:rPr>
        <w:t xml:space="preserve">1.61 ± 0.41). </w:t>
      </w:r>
    </w:p>
    <w:p w14:paraId="76CDDB8E" w14:textId="77777777" w:rsidR="008C21BF" w:rsidRPr="008C21BF" w:rsidRDefault="008C21BF" w:rsidP="008C21BF">
      <w:pPr>
        <w:tabs>
          <w:tab w:val="left" w:pos="1350"/>
        </w:tabs>
        <w:spacing w:line="480" w:lineRule="auto"/>
        <w:jc w:val="both"/>
        <w:rPr>
          <w:rFonts w:ascii="Arial" w:hAnsi="Arial" w:cs="Arial"/>
          <w:color w:val="595959" w:themeColor="text1" w:themeTint="A6"/>
        </w:rPr>
      </w:pPr>
    </w:p>
    <w:p w14:paraId="526CBB5D" w14:textId="2C34E3C4" w:rsidR="008C21BF" w:rsidRDefault="00C242C0" w:rsidP="008C21BF">
      <w:pPr>
        <w:tabs>
          <w:tab w:val="left" w:pos="1350"/>
        </w:tabs>
        <w:spacing w:line="480" w:lineRule="auto"/>
        <w:jc w:val="both"/>
        <w:rPr>
          <w:rFonts w:ascii="Arial" w:hAnsi="Arial" w:cs="Arial"/>
          <w:color w:val="595959" w:themeColor="text1" w:themeTint="A6"/>
        </w:rPr>
      </w:pPr>
      <w:r>
        <w:rPr>
          <w:rFonts w:ascii="Arial" w:hAnsi="Arial" w:cs="Arial"/>
          <w:color w:val="595959" w:themeColor="text1" w:themeTint="A6"/>
        </w:rPr>
        <w:t xml:space="preserve"> </w:t>
      </w:r>
    </w:p>
    <w:p w14:paraId="03E80E7D" w14:textId="592D92FA" w:rsidR="003E0695" w:rsidRDefault="003E0695" w:rsidP="008C21BF">
      <w:pPr>
        <w:tabs>
          <w:tab w:val="left" w:pos="1350"/>
        </w:tabs>
        <w:spacing w:line="480" w:lineRule="auto"/>
        <w:jc w:val="both"/>
        <w:rPr>
          <w:rFonts w:ascii="Arial" w:hAnsi="Arial" w:cs="Arial"/>
          <w:color w:val="595959" w:themeColor="text1" w:themeTint="A6"/>
        </w:rPr>
      </w:pPr>
    </w:p>
    <w:p w14:paraId="446C788E" w14:textId="77777777" w:rsidR="007148BB" w:rsidRDefault="007148BB" w:rsidP="008C21BF">
      <w:pPr>
        <w:tabs>
          <w:tab w:val="left" w:pos="1350"/>
        </w:tabs>
        <w:spacing w:line="480" w:lineRule="auto"/>
        <w:jc w:val="both"/>
        <w:rPr>
          <w:rFonts w:ascii="Arial" w:hAnsi="Arial" w:cs="Arial"/>
          <w:color w:val="595959" w:themeColor="text1" w:themeTint="A6"/>
        </w:rPr>
      </w:pPr>
    </w:p>
    <w:p w14:paraId="74D5D160" w14:textId="616263F3" w:rsidR="003E0695" w:rsidRDefault="003E0695" w:rsidP="008C21BF">
      <w:pPr>
        <w:tabs>
          <w:tab w:val="left" w:pos="1350"/>
        </w:tabs>
        <w:spacing w:line="480" w:lineRule="auto"/>
        <w:jc w:val="both"/>
        <w:rPr>
          <w:rFonts w:ascii="Arial" w:hAnsi="Arial" w:cs="Arial"/>
          <w:color w:val="595959" w:themeColor="text1" w:themeTint="A6"/>
        </w:rPr>
      </w:pPr>
    </w:p>
    <w:p w14:paraId="16A155DE" w14:textId="77777777" w:rsidR="00BA036D" w:rsidRDefault="00BA036D" w:rsidP="008C21BF">
      <w:pPr>
        <w:tabs>
          <w:tab w:val="left" w:pos="1350"/>
        </w:tabs>
        <w:spacing w:line="480" w:lineRule="auto"/>
        <w:jc w:val="both"/>
        <w:rPr>
          <w:rFonts w:ascii="Arial" w:hAnsi="Arial" w:cs="Arial"/>
          <w:color w:val="595959" w:themeColor="text1" w:themeTint="A6"/>
        </w:rPr>
      </w:pPr>
    </w:p>
    <w:p w14:paraId="0AEE6080" w14:textId="75F8B802" w:rsidR="003E0695" w:rsidRDefault="003E0695" w:rsidP="008C21BF">
      <w:pPr>
        <w:tabs>
          <w:tab w:val="left" w:pos="1350"/>
        </w:tabs>
        <w:spacing w:line="480" w:lineRule="auto"/>
        <w:jc w:val="both"/>
        <w:rPr>
          <w:rFonts w:ascii="Arial" w:hAnsi="Arial" w:cs="Arial"/>
          <w:color w:val="595959" w:themeColor="text1" w:themeTint="A6"/>
        </w:rPr>
      </w:pPr>
    </w:p>
    <w:p w14:paraId="61B816B1" w14:textId="6E4B68C7" w:rsidR="003E0695" w:rsidRDefault="003E0695" w:rsidP="008C21BF">
      <w:pPr>
        <w:tabs>
          <w:tab w:val="left" w:pos="1350"/>
        </w:tabs>
        <w:spacing w:line="480" w:lineRule="auto"/>
        <w:jc w:val="both"/>
        <w:rPr>
          <w:rFonts w:ascii="Arial" w:hAnsi="Arial" w:cs="Arial"/>
          <w:color w:val="595959" w:themeColor="text1" w:themeTint="A6"/>
        </w:rPr>
      </w:pPr>
    </w:p>
    <w:p w14:paraId="5DFF8A62" w14:textId="77777777" w:rsidR="003E0695" w:rsidRPr="008C21BF" w:rsidRDefault="003E0695" w:rsidP="008C21BF">
      <w:pPr>
        <w:tabs>
          <w:tab w:val="left" w:pos="1350"/>
        </w:tabs>
        <w:spacing w:line="480" w:lineRule="auto"/>
        <w:jc w:val="both"/>
        <w:rPr>
          <w:rFonts w:ascii="Arial" w:hAnsi="Arial" w:cs="Arial"/>
          <w:color w:val="595959" w:themeColor="text1" w:themeTint="A6"/>
        </w:rPr>
      </w:pPr>
    </w:p>
    <w:p w14:paraId="305CC477" w14:textId="77777777" w:rsidR="008C21BF" w:rsidRPr="008C21BF" w:rsidRDefault="008C21BF" w:rsidP="008C21BF">
      <w:pPr>
        <w:tabs>
          <w:tab w:val="left" w:pos="1350"/>
        </w:tabs>
        <w:spacing w:line="480" w:lineRule="auto"/>
        <w:jc w:val="both"/>
        <w:rPr>
          <w:rFonts w:ascii="Arial" w:hAnsi="Arial" w:cs="Arial"/>
          <w:color w:val="595959" w:themeColor="text1" w:themeTint="A6"/>
        </w:rPr>
      </w:pPr>
    </w:p>
    <w:p w14:paraId="4A1E05DF" w14:textId="27170DBE" w:rsidR="00B626A8" w:rsidRPr="008C21BF" w:rsidRDefault="00E079DE" w:rsidP="008C21BF">
      <w:pPr>
        <w:tabs>
          <w:tab w:val="left" w:pos="1350"/>
        </w:tabs>
        <w:spacing w:line="480" w:lineRule="auto"/>
        <w:jc w:val="both"/>
        <w:rPr>
          <w:rFonts w:ascii="Arial" w:hAnsi="Arial" w:cs="Arial"/>
          <w:color w:val="595959" w:themeColor="text1" w:themeTint="A6"/>
        </w:rPr>
      </w:pPr>
      <w:r>
        <w:rPr>
          <w:rFonts w:ascii="Arial" w:hAnsi="Arial" w:cs="Arial"/>
          <w:noProof/>
          <w:color w:val="595959" w:themeColor="text1" w:themeTint="A6"/>
        </w:rPr>
        <w:lastRenderedPageBreak/>
        <w:drawing>
          <wp:anchor distT="0" distB="0" distL="114300" distR="114300" simplePos="0" relativeHeight="251681035" behindDoc="0" locked="0" layoutInCell="1" allowOverlap="1" wp14:anchorId="69BB8998" wp14:editId="3680491D">
            <wp:simplePos x="0" y="0"/>
            <wp:positionH relativeFrom="column">
              <wp:posOffset>0</wp:posOffset>
            </wp:positionH>
            <wp:positionV relativeFrom="paragraph">
              <wp:posOffset>0</wp:posOffset>
            </wp:positionV>
            <wp:extent cx="7187565" cy="4596765"/>
            <wp:effectExtent l="0" t="0" r="0" b="0"/>
            <wp:wrapNone/>
            <wp:docPr id="5594" name="Picture 5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7187565" cy="4596765"/>
                    </a:xfrm>
                    <a:prstGeom prst="rect">
                      <a:avLst/>
                    </a:prstGeom>
                    <a:noFill/>
                  </pic:spPr>
                </pic:pic>
              </a:graphicData>
            </a:graphic>
          </wp:anchor>
        </w:drawing>
      </w:r>
    </w:p>
    <w:p w14:paraId="155F17AF" w14:textId="2C72B836" w:rsidR="008C21BF" w:rsidRPr="008C21BF" w:rsidRDefault="008C21BF" w:rsidP="008C21BF">
      <w:pPr>
        <w:tabs>
          <w:tab w:val="left" w:pos="1350"/>
        </w:tabs>
        <w:spacing w:line="480" w:lineRule="auto"/>
        <w:jc w:val="both"/>
        <w:rPr>
          <w:rFonts w:ascii="Arial" w:hAnsi="Arial" w:cs="Arial"/>
          <w:color w:val="595959" w:themeColor="text1" w:themeTint="A6"/>
        </w:rPr>
      </w:pPr>
    </w:p>
    <w:p w14:paraId="7C1C5828" w14:textId="33779A5A" w:rsidR="008C21BF" w:rsidRDefault="008C21BF" w:rsidP="008C21BF">
      <w:pPr>
        <w:tabs>
          <w:tab w:val="left" w:pos="1350"/>
        </w:tabs>
        <w:spacing w:line="480" w:lineRule="auto"/>
        <w:jc w:val="both"/>
        <w:rPr>
          <w:rFonts w:ascii="Arial" w:hAnsi="Arial" w:cs="Arial"/>
          <w:color w:val="595959" w:themeColor="text1" w:themeTint="A6"/>
        </w:rPr>
      </w:pPr>
    </w:p>
    <w:p w14:paraId="4F321A31" w14:textId="50239CE5" w:rsidR="00702C2D" w:rsidRDefault="00702C2D" w:rsidP="008C21BF">
      <w:pPr>
        <w:tabs>
          <w:tab w:val="left" w:pos="1350"/>
        </w:tabs>
        <w:spacing w:line="480" w:lineRule="auto"/>
        <w:jc w:val="both"/>
        <w:rPr>
          <w:rFonts w:ascii="Arial" w:hAnsi="Arial" w:cs="Arial"/>
          <w:color w:val="595959" w:themeColor="text1" w:themeTint="A6"/>
        </w:rPr>
      </w:pPr>
    </w:p>
    <w:p w14:paraId="0146E7E5" w14:textId="183AE27C" w:rsidR="00702C2D" w:rsidRDefault="00702C2D" w:rsidP="008C21BF">
      <w:pPr>
        <w:tabs>
          <w:tab w:val="left" w:pos="1350"/>
        </w:tabs>
        <w:spacing w:line="480" w:lineRule="auto"/>
        <w:jc w:val="both"/>
        <w:rPr>
          <w:rFonts w:ascii="Arial" w:hAnsi="Arial" w:cs="Arial"/>
          <w:color w:val="595959" w:themeColor="text1" w:themeTint="A6"/>
        </w:rPr>
      </w:pPr>
    </w:p>
    <w:p w14:paraId="260F5B8F" w14:textId="363837E2" w:rsidR="00702C2D" w:rsidRDefault="00702C2D" w:rsidP="008C21BF">
      <w:pPr>
        <w:tabs>
          <w:tab w:val="left" w:pos="1350"/>
        </w:tabs>
        <w:spacing w:line="480" w:lineRule="auto"/>
        <w:jc w:val="both"/>
        <w:rPr>
          <w:rFonts w:ascii="Arial" w:hAnsi="Arial" w:cs="Arial"/>
          <w:color w:val="595959" w:themeColor="text1" w:themeTint="A6"/>
        </w:rPr>
      </w:pPr>
    </w:p>
    <w:p w14:paraId="25C49A67" w14:textId="0264338B" w:rsidR="00702C2D" w:rsidRDefault="00702C2D" w:rsidP="008C21BF">
      <w:pPr>
        <w:tabs>
          <w:tab w:val="left" w:pos="1350"/>
        </w:tabs>
        <w:spacing w:line="480" w:lineRule="auto"/>
        <w:jc w:val="both"/>
        <w:rPr>
          <w:rFonts w:ascii="Arial" w:hAnsi="Arial" w:cs="Arial"/>
          <w:color w:val="595959" w:themeColor="text1" w:themeTint="A6"/>
        </w:rPr>
      </w:pPr>
    </w:p>
    <w:p w14:paraId="591A11F8" w14:textId="583032F5" w:rsidR="00702C2D" w:rsidRDefault="00702C2D" w:rsidP="008C21BF">
      <w:pPr>
        <w:tabs>
          <w:tab w:val="left" w:pos="1350"/>
        </w:tabs>
        <w:spacing w:line="480" w:lineRule="auto"/>
        <w:jc w:val="both"/>
        <w:rPr>
          <w:rFonts w:ascii="Arial" w:hAnsi="Arial" w:cs="Arial"/>
          <w:color w:val="595959" w:themeColor="text1" w:themeTint="A6"/>
        </w:rPr>
      </w:pPr>
    </w:p>
    <w:p w14:paraId="4C1FC602" w14:textId="79FC0EDE" w:rsidR="00702C2D" w:rsidRDefault="00702C2D" w:rsidP="008C21BF">
      <w:pPr>
        <w:tabs>
          <w:tab w:val="left" w:pos="1350"/>
        </w:tabs>
        <w:spacing w:line="480" w:lineRule="auto"/>
        <w:jc w:val="both"/>
        <w:rPr>
          <w:rFonts w:ascii="Arial" w:hAnsi="Arial" w:cs="Arial"/>
          <w:color w:val="595959" w:themeColor="text1" w:themeTint="A6"/>
        </w:rPr>
      </w:pPr>
    </w:p>
    <w:p w14:paraId="55D35A2D" w14:textId="2837502F" w:rsidR="00702C2D" w:rsidRDefault="00702C2D" w:rsidP="008C21BF">
      <w:pPr>
        <w:tabs>
          <w:tab w:val="left" w:pos="1350"/>
        </w:tabs>
        <w:spacing w:line="480" w:lineRule="auto"/>
        <w:jc w:val="both"/>
        <w:rPr>
          <w:rFonts w:ascii="Arial" w:hAnsi="Arial" w:cs="Arial"/>
          <w:color w:val="595959" w:themeColor="text1" w:themeTint="A6"/>
        </w:rPr>
      </w:pPr>
    </w:p>
    <w:p w14:paraId="6D0BDAC3" w14:textId="7AD453D0" w:rsidR="00702C2D" w:rsidRDefault="00702C2D" w:rsidP="008C21BF">
      <w:pPr>
        <w:tabs>
          <w:tab w:val="left" w:pos="1350"/>
        </w:tabs>
        <w:spacing w:line="480" w:lineRule="auto"/>
        <w:jc w:val="both"/>
        <w:rPr>
          <w:rFonts w:ascii="Arial" w:hAnsi="Arial" w:cs="Arial"/>
          <w:color w:val="595959" w:themeColor="text1" w:themeTint="A6"/>
        </w:rPr>
      </w:pPr>
    </w:p>
    <w:p w14:paraId="3EA03ED6" w14:textId="24975D5A" w:rsidR="00702C2D" w:rsidRDefault="00702C2D" w:rsidP="008C21BF">
      <w:pPr>
        <w:tabs>
          <w:tab w:val="left" w:pos="1350"/>
        </w:tabs>
        <w:spacing w:line="480" w:lineRule="auto"/>
        <w:jc w:val="both"/>
        <w:rPr>
          <w:rFonts w:ascii="Arial" w:hAnsi="Arial" w:cs="Arial"/>
          <w:color w:val="595959" w:themeColor="text1" w:themeTint="A6"/>
        </w:rPr>
      </w:pPr>
    </w:p>
    <w:p w14:paraId="5DE515B8" w14:textId="387F0D62" w:rsidR="00702C2D" w:rsidRDefault="00702C2D" w:rsidP="008C21BF">
      <w:pPr>
        <w:tabs>
          <w:tab w:val="left" w:pos="1350"/>
        </w:tabs>
        <w:spacing w:line="480" w:lineRule="auto"/>
        <w:jc w:val="both"/>
        <w:rPr>
          <w:rFonts w:ascii="Arial" w:hAnsi="Arial" w:cs="Arial"/>
          <w:color w:val="595959" w:themeColor="text1" w:themeTint="A6"/>
        </w:rPr>
      </w:pPr>
    </w:p>
    <w:p w14:paraId="7D3144C3" w14:textId="6627D6B6" w:rsidR="00702C2D" w:rsidRDefault="00702C2D" w:rsidP="008C21BF">
      <w:pPr>
        <w:tabs>
          <w:tab w:val="left" w:pos="1350"/>
        </w:tabs>
        <w:spacing w:line="480" w:lineRule="auto"/>
        <w:jc w:val="both"/>
        <w:rPr>
          <w:rFonts w:ascii="Arial" w:hAnsi="Arial" w:cs="Arial"/>
          <w:color w:val="595959" w:themeColor="text1" w:themeTint="A6"/>
        </w:rPr>
      </w:pPr>
    </w:p>
    <w:p w14:paraId="2164F749" w14:textId="396F65F7" w:rsidR="00702C2D" w:rsidRDefault="00702C2D" w:rsidP="008C21BF">
      <w:pPr>
        <w:tabs>
          <w:tab w:val="left" w:pos="1350"/>
        </w:tabs>
        <w:spacing w:line="480" w:lineRule="auto"/>
        <w:jc w:val="both"/>
        <w:rPr>
          <w:rFonts w:ascii="Arial" w:hAnsi="Arial" w:cs="Arial"/>
          <w:color w:val="595959" w:themeColor="text1" w:themeTint="A6"/>
        </w:rPr>
      </w:pPr>
    </w:p>
    <w:p w14:paraId="01A78249" w14:textId="7E660E1F" w:rsidR="00702C2D" w:rsidRDefault="00EC47E7" w:rsidP="008C21BF">
      <w:pPr>
        <w:tabs>
          <w:tab w:val="left" w:pos="1350"/>
        </w:tabs>
        <w:spacing w:line="480" w:lineRule="auto"/>
        <w:jc w:val="both"/>
        <w:rPr>
          <w:rFonts w:ascii="Arial" w:hAnsi="Arial" w:cs="Arial"/>
          <w:color w:val="595959" w:themeColor="text1" w:themeTint="A6"/>
        </w:rPr>
      </w:pPr>
      <w:r w:rsidRPr="008C21BF">
        <w:rPr>
          <w:rFonts w:ascii="Arial" w:hAnsi="Arial" w:cs="Arial"/>
          <w:noProof/>
          <w:color w:val="595959" w:themeColor="text1" w:themeTint="A6"/>
          <w:sz w:val="24"/>
          <w:szCs w:val="24"/>
          <w:lang w:eastAsia="zh-CN"/>
        </w:rPr>
        <mc:AlternateContent>
          <mc:Choice Requires="wps">
            <w:drawing>
              <wp:anchor distT="0" distB="0" distL="114300" distR="114300" simplePos="0" relativeHeight="251658470" behindDoc="0" locked="0" layoutInCell="1" allowOverlap="1" wp14:anchorId="2C38C834" wp14:editId="2A4617C8">
                <wp:simplePos x="0" y="0"/>
                <wp:positionH relativeFrom="margin">
                  <wp:posOffset>0</wp:posOffset>
                </wp:positionH>
                <wp:positionV relativeFrom="paragraph">
                  <wp:posOffset>0</wp:posOffset>
                </wp:positionV>
                <wp:extent cx="5732890" cy="1778000"/>
                <wp:effectExtent l="0" t="0" r="1270" b="0"/>
                <wp:wrapNone/>
                <wp:docPr id="3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2890" cy="1778000"/>
                        </a:xfrm>
                        <a:prstGeom prst="rect">
                          <a:avLst/>
                        </a:prstGeom>
                        <a:solidFill>
                          <a:srgbClr val="FFFFFF"/>
                        </a:solidFill>
                        <a:ln w="9525">
                          <a:noFill/>
                          <a:miter lim="800000"/>
                          <a:headEnd/>
                          <a:tailEnd/>
                        </a:ln>
                      </wps:spPr>
                      <wps:txbx>
                        <w:txbxContent>
                          <w:p w14:paraId="772E25ED" w14:textId="6F5BAFAA" w:rsidR="008A47AC" w:rsidRDefault="008A47AC" w:rsidP="00EC47E7">
                            <w:pPr>
                              <w:pStyle w:val="Caption"/>
                              <w:keepNext/>
                              <w:jc w:val="both"/>
                              <w:rPr>
                                <w:rFonts w:ascii="Arial Narrow" w:hAnsi="Arial Narrow"/>
                                <w:b/>
                                <w:i w:val="0"/>
                                <w:color w:val="595959" w:themeColor="text1" w:themeTint="A6"/>
                                <w:sz w:val="24"/>
                                <w:szCs w:val="24"/>
                              </w:rPr>
                            </w:pPr>
                            <w:r w:rsidRPr="006B7937">
                              <w:rPr>
                                <w:rFonts w:ascii="Arial Narrow" w:hAnsi="Arial Narrow"/>
                                <w:b/>
                                <w:i w:val="0"/>
                                <w:color w:val="595959" w:themeColor="text1" w:themeTint="A6"/>
                                <w:sz w:val="24"/>
                                <w:szCs w:val="24"/>
                              </w:rPr>
                              <w:t xml:space="preserve">Figure </w:t>
                            </w:r>
                            <w:r>
                              <w:rPr>
                                <w:rFonts w:ascii="Arial Narrow" w:hAnsi="Arial Narrow"/>
                                <w:b/>
                                <w:i w:val="0"/>
                                <w:color w:val="595959" w:themeColor="text1" w:themeTint="A6"/>
                                <w:sz w:val="24"/>
                                <w:szCs w:val="24"/>
                              </w:rPr>
                              <w:t xml:space="preserve">4.18 Immunoblotting for FN1-EDA abundance in NOF- and CAF-DM </w:t>
                            </w:r>
                            <w:r w:rsidRPr="00874532">
                              <w:rPr>
                                <w:rFonts w:ascii="Arial Narrow" w:hAnsi="Arial Narrow"/>
                                <w:b/>
                                <w:bCs/>
                                <w:i w:val="0"/>
                                <w:color w:val="595959" w:themeColor="text1" w:themeTint="A6"/>
                                <w:sz w:val="24"/>
                                <w:szCs w:val="24"/>
                                <w:lang w:val="en-GB"/>
                              </w:rPr>
                              <w:t xml:space="preserve">in response to Scriptaid and Batimastat treatment with and without TGFβ-1 stimulation </w:t>
                            </w:r>
                          </w:p>
                          <w:p w14:paraId="4071EDA8" w14:textId="4DE91168" w:rsidR="008A47AC" w:rsidRPr="00DF77AE" w:rsidRDefault="008A47AC" w:rsidP="00EC47E7">
                            <w:pPr>
                              <w:pStyle w:val="NormalWeb"/>
                              <w:spacing w:after="200" w:line="276" w:lineRule="auto"/>
                              <w:jc w:val="both"/>
                              <w:rPr>
                                <w:rFonts w:ascii="Arial Narrow" w:eastAsia="SimSun" w:hAnsi="Arial Narrow" w:cs="Arial"/>
                                <w:color w:val="595959"/>
                                <w:kern w:val="24"/>
                                <w:sz w:val="22"/>
                              </w:rPr>
                            </w:pPr>
                            <w:r>
                              <w:rPr>
                                <w:rFonts w:ascii="Arial Narrow" w:eastAsia="SimSun" w:hAnsi="Arial Narrow" w:cs="Arial"/>
                                <w:color w:val="595959"/>
                                <w:kern w:val="24"/>
                                <w:sz w:val="22"/>
                              </w:rPr>
                              <w:t xml:space="preserve">NOF- (A) and CAF-DM (B) were treated with the inhibitors Scriptaid and Batimastat in the presence or absence of </w:t>
                            </w:r>
                            <w:r w:rsidRPr="00944EBD">
                              <w:rPr>
                                <w:rFonts w:ascii="Arial Narrow" w:eastAsia="SimSun" w:hAnsi="Arial Narrow" w:cs="Arial"/>
                                <w:color w:val="595959"/>
                                <w:kern w:val="24"/>
                                <w:sz w:val="22"/>
                              </w:rPr>
                              <w:t xml:space="preserve">TGFβ-1 </w:t>
                            </w:r>
                            <w:r>
                              <w:rPr>
                                <w:rFonts w:ascii="Arial Narrow" w:eastAsia="SimSun" w:hAnsi="Arial Narrow" w:cs="Arial"/>
                                <w:color w:val="595959"/>
                                <w:kern w:val="24"/>
                                <w:sz w:val="22"/>
                              </w:rPr>
                              <w:t xml:space="preserve">for 7 days with FN1-EDA protein levels determined using immunoblotting. Densitometry of the resultant bands were measured using ImageJ and the intensity measured relative to GAPDH controls (A ii and B ii).  Data is expressed as relative fold change, with mean ± SD, N=3, n=2, * denotes p &lt;0.05 and **p &lt;0.01 analysed by unpaired student’s T-test. </w:t>
                            </w:r>
                          </w:p>
                          <w:p w14:paraId="6DB729E8" w14:textId="77777777" w:rsidR="008A47AC" w:rsidRPr="00944EBD" w:rsidRDefault="008A47AC" w:rsidP="00EC47E7">
                            <w:pPr>
                              <w:pStyle w:val="NormalWeb"/>
                              <w:spacing w:after="200" w:line="276" w:lineRule="auto"/>
                              <w:jc w:val="both"/>
                              <w:rPr>
                                <w:rFonts w:ascii="Arial Narrow" w:eastAsia="SimSun" w:hAnsi="Arial Narrow" w:cs="Arial"/>
                                <w:color w:val="595959"/>
                                <w:kern w:val="24"/>
                                <w:sz w:val="22"/>
                              </w:rPr>
                            </w:pPr>
                          </w:p>
                          <w:p w14:paraId="26CFAE5B" w14:textId="77777777" w:rsidR="008A47AC" w:rsidRPr="00C934F6" w:rsidRDefault="008A47AC" w:rsidP="00EC47E7"/>
                          <w:p w14:paraId="0860A351" w14:textId="77777777" w:rsidR="008A47AC" w:rsidRPr="00805597" w:rsidRDefault="008A47AC" w:rsidP="00EC47E7">
                            <w:pPr>
                              <w:pStyle w:val="Caption"/>
                              <w:keepNext/>
                              <w:spacing w:line="276" w:lineRule="auto"/>
                              <w:jc w:val="both"/>
                              <w:rPr>
                                <w:rFonts w:ascii="Arial Narrow" w:hAnsi="Arial Narrow"/>
                                <w:b/>
                                <w:i w:val="0"/>
                                <w:iCs w:val="0"/>
                                <w:color w:val="595959" w:themeColor="text1" w:themeTint="A6"/>
                                <w:sz w:val="36"/>
                                <w:szCs w:val="3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38C834" id="_x0000_s1171" type="#_x0000_t202" style="position:absolute;left:0;text-align:left;margin-left:0;margin-top:0;width:451.4pt;height:140pt;z-index:25165847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" stroked="f">
                <v:textbox>
                  <w:txbxContent>
                    <w:p w14:paraId="772E25ED" w14:textId="6F5BAFAA" w:rsidR="008A47AC" w:rsidRDefault="008A47AC" w:rsidP="00EC47E7">
                      <w:pPr>
                        <w:pStyle w:val="Caption"/>
                        <w:keepNext/>
                        <w:jc w:val="both"/>
                        <w:rPr>
                          <w:rFonts w:ascii="Arial Narrow" w:hAnsi="Arial Narrow"/>
                          <w:b/>
                          <w:i w:val="0"/>
                          <w:color w:val="595959" w:themeColor="text1" w:themeTint="A6"/>
                          <w:sz w:val="24"/>
                          <w:szCs w:val="24"/>
                        </w:rPr>
                      </w:pPr>
                      <w:r w:rsidRPr="006B7937">
                        <w:rPr>
                          <w:rFonts w:ascii="Arial Narrow" w:hAnsi="Arial Narrow"/>
                          <w:b/>
                          <w:i w:val="0"/>
                          <w:color w:val="595959" w:themeColor="text1" w:themeTint="A6"/>
                          <w:sz w:val="24"/>
                          <w:szCs w:val="24"/>
                        </w:rPr>
                        <w:t xml:space="preserve">Figure </w:t>
                      </w:r>
                      <w:r>
                        <w:rPr>
                          <w:rFonts w:ascii="Arial Narrow" w:hAnsi="Arial Narrow"/>
                          <w:b/>
                          <w:i w:val="0"/>
                          <w:color w:val="595959" w:themeColor="text1" w:themeTint="A6"/>
                          <w:sz w:val="24"/>
                          <w:szCs w:val="24"/>
                        </w:rPr>
                        <w:t xml:space="preserve">4.18 Immunoblotting for FN1-EDA abundance in NOF- and CAF-DM </w:t>
                      </w:r>
                      <w:r w:rsidRPr="00874532">
                        <w:rPr>
                          <w:rFonts w:ascii="Arial Narrow" w:hAnsi="Arial Narrow"/>
                          <w:b/>
                          <w:bCs/>
                          <w:i w:val="0"/>
                          <w:color w:val="595959" w:themeColor="text1" w:themeTint="A6"/>
                          <w:sz w:val="24"/>
                          <w:szCs w:val="24"/>
                          <w:lang w:val="en-GB"/>
                        </w:rPr>
                        <w:t xml:space="preserve">in response to Scriptaid and Batimastat treatment with and without TGFβ-1 stimulation </w:t>
                      </w:r>
                    </w:p>
                    <w:p w14:paraId="4071EDA8" w14:textId="4DE91168" w:rsidR="008A47AC" w:rsidRPr="00DF77AE" w:rsidRDefault="008A47AC" w:rsidP="00EC47E7">
                      <w:pPr>
                        <w:pStyle w:val="NormalWeb"/>
                        <w:spacing w:after="200" w:line="276" w:lineRule="auto"/>
                        <w:jc w:val="both"/>
                        <w:rPr>
                          <w:rFonts w:ascii="Arial Narrow" w:eastAsia="SimSun" w:hAnsi="Arial Narrow" w:cs="Arial"/>
                          <w:color w:val="595959"/>
                          <w:kern w:val="24"/>
                          <w:sz w:val="22"/>
                        </w:rPr>
                      </w:pPr>
                      <w:r>
                        <w:rPr>
                          <w:rFonts w:ascii="Arial Narrow" w:eastAsia="SimSun" w:hAnsi="Arial Narrow" w:cs="Arial"/>
                          <w:color w:val="595959"/>
                          <w:kern w:val="24"/>
                          <w:sz w:val="22"/>
                        </w:rPr>
                        <w:t xml:space="preserve">NOF- (A) and CAF-DM (B) were treated with the inhibitors Scriptaid and Batimastat in the presence or absence of </w:t>
                      </w:r>
                      <w:r w:rsidRPr="00944EBD">
                        <w:rPr>
                          <w:rFonts w:ascii="Arial Narrow" w:eastAsia="SimSun" w:hAnsi="Arial Narrow" w:cs="Arial"/>
                          <w:color w:val="595959"/>
                          <w:kern w:val="24"/>
                          <w:sz w:val="22"/>
                        </w:rPr>
                        <w:t xml:space="preserve">TGFβ-1 </w:t>
                      </w:r>
                      <w:r>
                        <w:rPr>
                          <w:rFonts w:ascii="Arial Narrow" w:eastAsia="SimSun" w:hAnsi="Arial Narrow" w:cs="Arial"/>
                          <w:color w:val="595959"/>
                          <w:kern w:val="24"/>
                          <w:sz w:val="22"/>
                        </w:rPr>
                        <w:t xml:space="preserve">for 7 days with FN1-EDA protein levels determined using immunoblotting. Densitometry of the resultant bands were measured using ImageJ and the intensity measured relative to GAPDH controls (A ii and B ii).  Data is expressed as relative fold change, with mean ± SD, N=3, n=2, * denotes p &lt;0.05 and **p &lt;0.01 analysed by unpaired student’s T-test. </w:t>
                      </w:r>
                    </w:p>
                    <w:p w14:paraId="6DB729E8" w14:textId="77777777" w:rsidR="008A47AC" w:rsidRPr="00944EBD" w:rsidRDefault="008A47AC" w:rsidP="00EC47E7">
                      <w:pPr>
                        <w:pStyle w:val="NormalWeb"/>
                        <w:spacing w:after="200" w:line="276" w:lineRule="auto"/>
                        <w:jc w:val="both"/>
                        <w:rPr>
                          <w:rFonts w:ascii="Arial Narrow" w:eastAsia="SimSun" w:hAnsi="Arial Narrow" w:cs="Arial"/>
                          <w:color w:val="595959"/>
                          <w:kern w:val="24"/>
                          <w:sz w:val="22"/>
                        </w:rPr>
                      </w:pPr>
                    </w:p>
                    <w:p w14:paraId="26CFAE5B" w14:textId="77777777" w:rsidR="008A47AC" w:rsidRPr="00C934F6" w:rsidRDefault="008A47AC" w:rsidP="00EC47E7"/>
                    <w:p w14:paraId="0860A351" w14:textId="77777777" w:rsidR="008A47AC" w:rsidRPr="00805597" w:rsidRDefault="008A47AC" w:rsidP="00EC47E7">
                      <w:pPr>
                        <w:pStyle w:val="Caption"/>
                        <w:keepNext/>
                        <w:spacing w:line="276" w:lineRule="auto"/>
                        <w:jc w:val="both"/>
                        <w:rPr>
                          <w:rFonts w:ascii="Arial Narrow" w:hAnsi="Arial Narrow"/>
                          <w:b/>
                          <w:i w:val="0"/>
                          <w:iCs w:val="0"/>
                          <w:color w:val="595959" w:themeColor="text1" w:themeTint="A6"/>
                          <w:sz w:val="36"/>
                          <w:szCs w:val="36"/>
                        </w:rPr>
                      </w:pPr>
                    </w:p>
                  </w:txbxContent>
                </v:textbox>
                <w10:wrap anchorx="margin"/>
              </v:shape>
            </w:pict>
          </mc:Fallback>
        </mc:AlternateContent>
      </w:r>
    </w:p>
    <w:p w14:paraId="6A777170" w14:textId="0347BEB4" w:rsidR="00702C2D" w:rsidRDefault="00702C2D" w:rsidP="008C21BF">
      <w:pPr>
        <w:tabs>
          <w:tab w:val="left" w:pos="1350"/>
        </w:tabs>
        <w:spacing w:line="480" w:lineRule="auto"/>
        <w:jc w:val="both"/>
        <w:rPr>
          <w:rFonts w:ascii="Arial" w:hAnsi="Arial" w:cs="Arial"/>
          <w:color w:val="595959" w:themeColor="text1" w:themeTint="A6"/>
        </w:rPr>
      </w:pPr>
    </w:p>
    <w:p w14:paraId="726BB57C" w14:textId="291E5BCC" w:rsidR="00702C2D" w:rsidRDefault="00702C2D" w:rsidP="008C21BF">
      <w:pPr>
        <w:tabs>
          <w:tab w:val="left" w:pos="1350"/>
        </w:tabs>
        <w:spacing w:line="480" w:lineRule="auto"/>
        <w:jc w:val="both"/>
        <w:rPr>
          <w:rFonts w:ascii="Arial" w:hAnsi="Arial" w:cs="Arial"/>
          <w:color w:val="595959" w:themeColor="text1" w:themeTint="A6"/>
        </w:rPr>
      </w:pPr>
    </w:p>
    <w:p w14:paraId="28E81BAD" w14:textId="77777777" w:rsidR="008C21BF" w:rsidRPr="008C21BF" w:rsidRDefault="008C21BF" w:rsidP="008C21BF">
      <w:pPr>
        <w:tabs>
          <w:tab w:val="left" w:pos="1350"/>
        </w:tabs>
        <w:spacing w:line="480" w:lineRule="auto"/>
        <w:jc w:val="both"/>
        <w:rPr>
          <w:rFonts w:ascii="Arial" w:hAnsi="Arial" w:cs="Arial"/>
          <w:color w:val="595959" w:themeColor="text1" w:themeTint="A6"/>
        </w:rPr>
      </w:pPr>
    </w:p>
    <w:p w14:paraId="6B7A72D8" w14:textId="77777777" w:rsidR="008C21BF" w:rsidRPr="008C21BF" w:rsidRDefault="008C21BF" w:rsidP="008C21BF">
      <w:pPr>
        <w:tabs>
          <w:tab w:val="left" w:pos="1350"/>
        </w:tabs>
        <w:spacing w:line="480" w:lineRule="auto"/>
        <w:jc w:val="both"/>
        <w:rPr>
          <w:rFonts w:ascii="Arial" w:hAnsi="Arial" w:cs="Arial"/>
          <w:color w:val="595959" w:themeColor="text1" w:themeTint="A6"/>
        </w:rPr>
      </w:pPr>
    </w:p>
    <w:p w14:paraId="5394AEBF" w14:textId="77777777" w:rsidR="008C21BF" w:rsidRPr="008C21BF" w:rsidRDefault="008C21BF" w:rsidP="008C21BF">
      <w:pPr>
        <w:tabs>
          <w:tab w:val="left" w:pos="1350"/>
        </w:tabs>
        <w:spacing w:line="480" w:lineRule="auto"/>
        <w:jc w:val="both"/>
        <w:rPr>
          <w:rFonts w:ascii="Arial" w:hAnsi="Arial" w:cs="Arial"/>
          <w:color w:val="595959" w:themeColor="text1" w:themeTint="A6"/>
        </w:rPr>
      </w:pPr>
    </w:p>
    <w:p w14:paraId="0A00ACFB" w14:textId="77777777" w:rsidR="008C21BF" w:rsidRPr="008C21BF" w:rsidRDefault="008C21BF" w:rsidP="008C21BF">
      <w:pPr>
        <w:tabs>
          <w:tab w:val="left" w:pos="1350"/>
        </w:tabs>
        <w:spacing w:line="480" w:lineRule="auto"/>
        <w:jc w:val="both"/>
        <w:rPr>
          <w:rFonts w:ascii="Arial" w:hAnsi="Arial" w:cs="Arial"/>
          <w:color w:val="595959" w:themeColor="text1" w:themeTint="A6"/>
        </w:rPr>
      </w:pPr>
    </w:p>
    <w:p w14:paraId="05BB25FF" w14:textId="6B092221" w:rsidR="00E71278" w:rsidRDefault="008C21BF" w:rsidP="0019510B">
      <w:pPr>
        <w:pStyle w:val="Heading5"/>
        <w:spacing w:line="480" w:lineRule="auto"/>
        <w:jc w:val="both"/>
        <w:rPr>
          <w:rFonts w:ascii="Arial" w:hAnsi="Arial" w:cs="Arial"/>
          <w:color w:val="595959" w:themeColor="text1" w:themeTint="A6"/>
        </w:rPr>
      </w:pPr>
      <w:bookmarkStart w:id="435" w:name="_Toc34208439"/>
      <w:r w:rsidRPr="008C21BF">
        <w:rPr>
          <w:rFonts w:ascii="Arial" w:hAnsi="Arial" w:cs="Arial"/>
          <w:color w:val="595959" w:themeColor="text1" w:themeTint="A6"/>
        </w:rPr>
        <w:t>4.3.2.5.</w:t>
      </w:r>
      <w:r w:rsidR="0019510B">
        <w:rPr>
          <w:rFonts w:ascii="Arial" w:hAnsi="Arial" w:cs="Arial"/>
          <w:color w:val="595959" w:themeColor="text1" w:themeTint="A6"/>
        </w:rPr>
        <w:t>4</w:t>
      </w:r>
      <w:r w:rsidRPr="008C21BF">
        <w:rPr>
          <w:rFonts w:ascii="Arial" w:hAnsi="Arial" w:cs="Arial"/>
          <w:color w:val="595959" w:themeColor="text1" w:themeTint="A6"/>
        </w:rPr>
        <w:t xml:space="preserve"> </w:t>
      </w:r>
      <w:r w:rsidR="00E71278" w:rsidRPr="008C21BF">
        <w:rPr>
          <w:rFonts w:ascii="Arial" w:hAnsi="Arial" w:cs="Arial"/>
          <w:color w:val="595959" w:themeColor="text1" w:themeTint="A6"/>
        </w:rPr>
        <w:t xml:space="preserve">The effect of Scriptaid and Batimastat on </w:t>
      </w:r>
      <w:r w:rsidR="00E71278">
        <w:rPr>
          <w:rFonts w:ascii="Arial" w:hAnsi="Arial" w:cs="Arial"/>
          <w:color w:val="595959" w:themeColor="text1" w:themeTint="A6"/>
        </w:rPr>
        <w:t>COL1A1</w:t>
      </w:r>
      <w:r w:rsidR="00E71278" w:rsidRPr="008C21BF">
        <w:rPr>
          <w:rFonts w:ascii="Arial" w:hAnsi="Arial" w:cs="Arial"/>
          <w:color w:val="595959" w:themeColor="text1" w:themeTint="A6"/>
        </w:rPr>
        <w:t xml:space="preserve"> expression </w:t>
      </w:r>
      <w:r w:rsidR="00E71278">
        <w:rPr>
          <w:rFonts w:ascii="Arial" w:hAnsi="Arial" w:cs="Arial"/>
          <w:color w:val="595959" w:themeColor="text1" w:themeTint="A6"/>
        </w:rPr>
        <w:t xml:space="preserve">in </w:t>
      </w:r>
      <w:r w:rsidR="00E71278" w:rsidRPr="008C21BF">
        <w:rPr>
          <w:rFonts w:ascii="Arial" w:hAnsi="Arial" w:cs="Arial"/>
          <w:color w:val="595959" w:themeColor="text1" w:themeTint="A6"/>
        </w:rPr>
        <w:t>NOF-</w:t>
      </w:r>
      <w:r w:rsidR="00E71278">
        <w:rPr>
          <w:rFonts w:ascii="Arial" w:hAnsi="Arial" w:cs="Arial"/>
          <w:color w:val="595959" w:themeColor="text1" w:themeTint="A6"/>
        </w:rPr>
        <w:t>and CAF-</w:t>
      </w:r>
      <w:r w:rsidR="00E71278" w:rsidRPr="008C21BF">
        <w:rPr>
          <w:rFonts w:ascii="Arial" w:hAnsi="Arial" w:cs="Arial"/>
          <w:color w:val="595959" w:themeColor="text1" w:themeTint="A6"/>
        </w:rPr>
        <w:t>DM</w:t>
      </w:r>
      <w:bookmarkEnd w:id="435"/>
    </w:p>
    <w:p w14:paraId="586F2E4B" w14:textId="77777777" w:rsidR="0019510B" w:rsidRPr="0019510B" w:rsidRDefault="0019510B" w:rsidP="0019510B"/>
    <w:p w14:paraId="5BB79B50" w14:textId="330F2811" w:rsidR="00C41E5D" w:rsidRDefault="007364F9" w:rsidP="008C21BF">
      <w:pPr>
        <w:tabs>
          <w:tab w:val="left" w:pos="1350"/>
        </w:tabs>
        <w:spacing w:line="480" w:lineRule="auto"/>
        <w:jc w:val="both"/>
        <w:rPr>
          <w:rFonts w:ascii="Arial" w:hAnsi="Arial" w:cs="Arial"/>
          <w:color w:val="595959" w:themeColor="text1" w:themeTint="A6"/>
        </w:rPr>
      </w:pPr>
      <w:r>
        <w:rPr>
          <w:rFonts w:ascii="Arial" w:hAnsi="Arial" w:cs="Arial"/>
          <w:color w:val="595959" w:themeColor="text1" w:themeTint="A6"/>
        </w:rPr>
        <w:t xml:space="preserve">Scriptaid and Batimastat treatment in the absence of TGFβ-1 </w:t>
      </w:r>
      <w:r w:rsidR="008E60E5">
        <w:rPr>
          <w:rFonts w:ascii="Arial" w:hAnsi="Arial" w:cs="Arial"/>
          <w:color w:val="595959" w:themeColor="text1" w:themeTint="A6"/>
        </w:rPr>
        <w:t>caused</w:t>
      </w:r>
      <w:r>
        <w:rPr>
          <w:rFonts w:ascii="Arial" w:hAnsi="Arial" w:cs="Arial"/>
          <w:color w:val="595959" w:themeColor="text1" w:themeTint="A6"/>
        </w:rPr>
        <w:t xml:space="preserve"> no significant difference in COL1A1 transcript expression compared to vehicle control treated NOF-DM (Figure 4.1</w:t>
      </w:r>
      <w:r w:rsidR="00C31BF8">
        <w:rPr>
          <w:rFonts w:ascii="Arial" w:hAnsi="Arial" w:cs="Arial"/>
          <w:color w:val="595959" w:themeColor="text1" w:themeTint="A6"/>
        </w:rPr>
        <w:t>9</w:t>
      </w:r>
      <w:r>
        <w:rPr>
          <w:rFonts w:ascii="Arial" w:hAnsi="Arial" w:cs="Arial"/>
          <w:color w:val="595959" w:themeColor="text1" w:themeTint="A6"/>
        </w:rPr>
        <w:t xml:space="preserve"> A).</w:t>
      </w:r>
      <w:r w:rsidR="00843E85">
        <w:rPr>
          <w:rFonts w:ascii="Arial" w:hAnsi="Arial" w:cs="Arial"/>
          <w:color w:val="595959" w:themeColor="text1" w:themeTint="A6"/>
        </w:rPr>
        <w:t xml:space="preserve"> These inhibitors</w:t>
      </w:r>
      <w:r w:rsidR="00CF1D5D">
        <w:rPr>
          <w:rFonts w:ascii="Arial" w:hAnsi="Arial" w:cs="Arial"/>
          <w:color w:val="595959" w:themeColor="text1" w:themeTint="A6"/>
        </w:rPr>
        <w:t xml:space="preserve"> </w:t>
      </w:r>
      <w:r w:rsidR="005F1DBA">
        <w:rPr>
          <w:rFonts w:ascii="Arial" w:hAnsi="Arial" w:cs="Arial"/>
          <w:color w:val="595959" w:themeColor="text1" w:themeTint="A6"/>
        </w:rPr>
        <w:t>i</w:t>
      </w:r>
      <w:r w:rsidR="00CF1D5D">
        <w:rPr>
          <w:rFonts w:ascii="Arial" w:hAnsi="Arial" w:cs="Arial"/>
          <w:color w:val="595959" w:themeColor="text1" w:themeTint="A6"/>
        </w:rPr>
        <w:t xml:space="preserve">n combination </w:t>
      </w:r>
      <w:r w:rsidR="005F1DBA">
        <w:rPr>
          <w:rFonts w:ascii="Arial" w:hAnsi="Arial" w:cs="Arial"/>
          <w:color w:val="595959" w:themeColor="text1" w:themeTint="A6"/>
        </w:rPr>
        <w:t>w</w:t>
      </w:r>
      <w:r w:rsidR="00CF1D5D">
        <w:rPr>
          <w:rFonts w:ascii="Arial" w:hAnsi="Arial" w:cs="Arial"/>
          <w:color w:val="595959" w:themeColor="text1" w:themeTint="A6"/>
        </w:rPr>
        <w:t xml:space="preserve">ith </w:t>
      </w:r>
      <w:r w:rsidR="00843E85">
        <w:rPr>
          <w:rFonts w:ascii="Arial" w:hAnsi="Arial" w:cs="Arial"/>
          <w:color w:val="595959" w:themeColor="text1" w:themeTint="A6"/>
        </w:rPr>
        <w:t>TGFβ-1, significant</w:t>
      </w:r>
      <w:r w:rsidR="00864D1F">
        <w:rPr>
          <w:rFonts w:ascii="Arial" w:hAnsi="Arial" w:cs="Arial"/>
          <w:color w:val="595959" w:themeColor="text1" w:themeTint="A6"/>
        </w:rPr>
        <w:t xml:space="preserve">ly </w:t>
      </w:r>
      <w:r w:rsidR="00843E85">
        <w:rPr>
          <w:rFonts w:ascii="Arial" w:hAnsi="Arial" w:cs="Arial"/>
          <w:color w:val="595959" w:themeColor="text1" w:themeTint="A6"/>
        </w:rPr>
        <w:t>reduc</w:t>
      </w:r>
      <w:r w:rsidR="005F1DBA">
        <w:rPr>
          <w:rFonts w:ascii="Arial" w:hAnsi="Arial" w:cs="Arial"/>
          <w:color w:val="595959" w:themeColor="text1" w:themeTint="A6"/>
        </w:rPr>
        <w:t>ed COL1A1 expression</w:t>
      </w:r>
      <w:r w:rsidR="000B6033">
        <w:rPr>
          <w:rFonts w:ascii="Arial" w:hAnsi="Arial" w:cs="Arial"/>
          <w:color w:val="595959" w:themeColor="text1" w:themeTint="A6"/>
        </w:rPr>
        <w:t xml:space="preserve"> compared to TGFβ-1 treated NOF-DM</w:t>
      </w:r>
      <w:r w:rsidR="00843E85">
        <w:rPr>
          <w:rFonts w:ascii="Arial" w:hAnsi="Arial" w:cs="Arial"/>
          <w:color w:val="595959" w:themeColor="text1" w:themeTint="A6"/>
        </w:rPr>
        <w:t xml:space="preserve">. </w:t>
      </w:r>
      <w:r w:rsidR="00864D1F">
        <w:rPr>
          <w:rFonts w:ascii="Arial" w:hAnsi="Arial" w:cs="Arial"/>
          <w:color w:val="595959" w:themeColor="text1" w:themeTint="A6"/>
        </w:rPr>
        <w:t xml:space="preserve">Scriptaid </w:t>
      </w:r>
      <w:r w:rsidR="00C33179">
        <w:rPr>
          <w:rFonts w:ascii="Arial" w:hAnsi="Arial" w:cs="Arial"/>
          <w:color w:val="595959" w:themeColor="text1" w:themeTint="A6"/>
        </w:rPr>
        <w:t xml:space="preserve">in combination with </w:t>
      </w:r>
      <w:r w:rsidR="00864D1F">
        <w:rPr>
          <w:rFonts w:ascii="Arial" w:hAnsi="Arial" w:cs="Arial"/>
          <w:color w:val="595959" w:themeColor="text1" w:themeTint="A6"/>
        </w:rPr>
        <w:t xml:space="preserve">TGFβ-1 showed a </w:t>
      </w:r>
      <w:r w:rsidR="0083516D">
        <w:rPr>
          <w:rFonts w:ascii="Arial" w:hAnsi="Arial" w:cs="Arial"/>
          <w:color w:val="595959" w:themeColor="text1" w:themeTint="A6"/>
        </w:rPr>
        <w:t xml:space="preserve">~4-fold reduction </w:t>
      </w:r>
      <w:r w:rsidR="00F71FD7">
        <w:rPr>
          <w:rFonts w:ascii="Arial" w:hAnsi="Arial" w:cs="Arial"/>
          <w:color w:val="595959" w:themeColor="text1" w:themeTint="A6"/>
        </w:rPr>
        <w:t xml:space="preserve">(3.23 ± </w:t>
      </w:r>
      <w:r w:rsidR="004E4907">
        <w:rPr>
          <w:rFonts w:ascii="Arial" w:hAnsi="Arial" w:cs="Arial"/>
          <w:color w:val="595959" w:themeColor="text1" w:themeTint="A6"/>
        </w:rPr>
        <w:t>2.41</w:t>
      </w:r>
      <w:r w:rsidR="00777243">
        <w:rPr>
          <w:rFonts w:ascii="Arial" w:hAnsi="Arial" w:cs="Arial"/>
          <w:color w:val="595959" w:themeColor="text1" w:themeTint="A6"/>
        </w:rPr>
        <w:t xml:space="preserve">, p=0.0371) </w:t>
      </w:r>
      <w:r w:rsidR="00C33179">
        <w:rPr>
          <w:rFonts w:ascii="Arial" w:hAnsi="Arial" w:cs="Arial"/>
          <w:color w:val="595959" w:themeColor="text1" w:themeTint="A6"/>
        </w:rPr>
        <w:t xml:space="preserve">in COL1A1 expression </w:t>
      </w:r>
      <w:r w:rsidR="00777243">
        <w:rPr>
          <w:rFonts w:ascii="Arial" w:hAnsi="Arial" w:cs="Arial"/>
          <w:color w:val="595959" w:themeColor="text1" w:themeTint="A6"/>
        </w:rPr>
        <w:t xml:space="preserve">and </w:t>
      </w:r>
      <w:r w:rsidR="00337BA9">
        <w:rPr>
          <w:rFonts w:ascii="Arial" w:hAnsi="Arial" w:cs="Arial"/>
          <w:color w:val="595959" w:themeColor="text1" w:themeTint="A6"/>
        </w:rPr>
        <w:t xml:space="preserve">Batimastat in combination with TGFβ-1 caused a </w:t>
      </w:r>
      <w:r w:rsidR="0087407F">
        <w:rPr>
          <w:rFonts w:ascii="Arial" w:hAnsi="Arial" w:cs="Arial"/>
          <w:color w:val="595959" w:themeColor="text1" w:themeTint="A6"/>
        </w:rPr>
        <w:t>~2-fold decrease compared to TGFβ-1 alone (</w:t>
      </w:r>
      <w:r w:rsidR="002A4F52">
        <w:rPr>
          <w:rFonts w:ascii="Arial" w:hAnsi="Arial" w:cs="Arial"/>
          <w:color w:val="595959" w:themeColor="text1" w:themeTint="A6"/>
        </w:rPr>
        <w:t>13.72 ± 10.41</w:t>
      </w:r>
      <w:r w:rsidR="00191432">
        <w:rPr>
          <w:rFonts w:ascii="Arial" w:hAnsi="Arial" w:cs="Arial"/>
          <w:color w:val="595959" w:themeColor="text1" w:themeTint="A6"/>
        </w:rPr>
        <w:t>, p=0.0471</w:t>
      </w:r>
      <w:r w:rsidR="002A4F52">
        <w:rPr>
          <w:rFonts w:ascii="Arial" w:hAnsi="Arial" w:cs="Arial"/>
          <w:color w:val="595959" w:themeColor="text1" w:themeTint="A6"/>
        </w:rPr>
        <w:t xml:space="preserve">). </w:t>
      </w:r>
    </w:p>
    <w:p w14:paraId="612C9C55" w14:textId="5729AD48" w:rsidR="00606BBD" w:rsidRDefault="001600FD" w:rsidP="008C21BF">
      <w:pPr>
        <w:tabs>
          <w:tab w:val="left" w:pos="1350"/>
        </w:tabs>
        <w:spacing w:line="480" w:lineRule="auto"/>
        <w:jc w:val="both"/>
        <w:rPr>
          <w:rFonts w:ascii="Arial" w:hAnsi="Arial" w:cs="Arial"/>
          <w:color w:val="595959" w:themeColor="text1" w:themeTint="A6"/>
        </w:rPr>
      </w:pPr>
      <w:r>
        <w:rPr>
          <w:rFonts w:ascii="Arial" w:hAnsi="Arial" w:cs="Arial"/>
          <w:color w:val="595959" w:themeColor="text1" w:themeTint="A6"/>
        </w:rPr>
        <w:t>No significant differences in COL1A</w:t>
      </w:r>
      <w:r w:rsidR="005065CE">
        <w:rPr>
          <w:rFonts w:ascii="Arial" w:hAnsi="Arial" w:cs="Arial"/>
          <w:color w:val="595959" w:themeColor="text1" w:themeTint="A6"/>
        </w:rPr>
        <w:t>1 expression were observed</w:t>
      </w:r>
      <w:r w:rsidR="00F148FE">
        <w:rPr>
          <w:rFonts w:ascii="Arial" w:hAnsi="Arial" w:cs="Arial"/>
          <w:color w:val="595959" w:themeColor="text1" w:themeTint="A6"/>
        </w:rPr>
        <w:t xml:space="preserve"> in CAF-DM</w:t>
      </w:r>
      <w:r w:rsidR="005065CE">
        <w:rPr>
          <w:rFonts w:ascii="Arial" w:hAnsi="Arial" w:cs="Arial"/>
          <w:color w:val="595959" w:themeColor="text1" w:themeTint="A6"/>
        </w:rPr>
        <w:t xml:space="preserve"> with </w:t>
      </w:r>
      <w:r w:rsidR="003C7467">
        <w:rPr>
          <w:rFonts w:ascii="Arial" w:hAnsi="Arial" w:cs="Arial"/>
          <w:color w:val="595959" w:themeColor="text1" w:themeTint="A6"/>
        </w:rPr>
        <w:t xml:space="preserve">the addition of </w:t>
      </w:r>
      <w:r w:rsidR="0011668F">
        <w:rPr>
          <w:rFonts w:ascii="Arial" w:hAnsi="Arial" w:cs="Arial"/>
          <w:color w:val="595959" w:themeColor="text1" w:themeTint="A6"/>
        </w:rPr>
        <w:t>Scriptaid</w:t>
      </w:r>
      <w:r w:rsidR="001179E0">
        <w:rPr>
          <w:rFonts w:ascii="Arial" w:hAnsi="Arial" w:cs="Arial"/>
          <w:color w:val="595959" w:themeColor="text1" w:themeTint="A6"/>
        </w:rPr>
        <w:t xml:space="preserve"> </w:t>
      </w:r>
      <w:r w:rsidR="00F148FE">
        <w:rPr>
          <w:rFonts w:ascii="Arial" w:hAnsi="Arial" w:cs="Arial"/>
          <w:color w:val="595959" w:themeColor="text1" w:themeTint="A6"/>
        </w:rPr>
        <w:t xml:space="preserve">in presence or absence of </w:t>
      </w:r>
      <w:r w:rsidR="003C7467" w:rsidRPr="008C21BF">
        <w:rPr>
          <w:rFonts w:ascii="Arial" w:hAnsi="Arial" w:cs="Arial"/>
          <w:color w:val="595959" w:themeColor="text1" w:themeTint="A6"/>
        </w:rPr>
        <w:t>TGFβ-</w:t>
      </w:r>
      <w:r w:rsidR="009B31C0">
        <w:rPr>
          <w:rFonts w:ascii="Arial" w:hAnsi="Arial" w:cs="Arial"/>
          <w:color w:val="595959" w:themeColor="text1" w:themeTint="A6"/>
        </w:rPr>
        <w:t>1</w:t>
      </w:r>
      <w:r w:rsidR="00606BBD">
        <w:rPr>
          <w:rFonts w:ascii="Arial" w:hAnsi="Arial" w:cs="Arial"/>
          <w:color w:val="595959" w:themeColor="text1" w:themeTint="A6"/>
        </w:rPr>
        <w:t xml:space="preserve"> compared to </w:t>
      </w:r>
      <w:r w:rsidR="00F4467C">
        <w:rPr>
          <w:rFonts w:ascii="Arial" w:hAnsi="Arial" w:cs="Arial"/>
          <w:color w:val="595959" w:themeColor="text1" w:themeTint="A6"/>
        </w:rPr>
        <w:t xml:space="preserve">their </w:t>
      </w:r>
      <w:r w:rsidR="00412B0D">
        <w:rPr>
          <w:rFonts w:ascii="Arial" w:hAnsi="Arial" w:cs="Arial"/>
          <w:color w:val="595959" w:themeColor="text1" w:themeTint="A6"/>
        </w:rPr>
        <w:t xml:space="preserve">comparative controls </w:t>
      </w:r>
      <w:r w:rsidR="00606BBD">
        <w:rPr>
          <w:rFonts w:ascii="Arial" w:hAnsi="Arial" w:cs="Arial"/>
          <w:color w:val="595959" w:themeColor="text1" w:themeTint="A6"/>
        </w:rPr>
        <w:t>(Figure 4.1</w:t>
      </w:r>
      <w:r w:rsidR="00C31BF8">
        <w:rPr>
          <w:rFonts w:ascii="Arial" w:hAnsi="Arial" w:cs="Arial"/>
          <w:color w:val="595959" w:themeColor="text1" w:themeTint="A6"/>
        </w:rPr>
        <w:t>9</w:t>
      </w:r>
      <w:r w:rsidR="00606BBD">
        <w:rPr>
          <w:rFonts w:ascii="Arial" w:hAnsi="Arial" w:cs="Arial"/>
          <w:color w:val="595959" w:themeColor="text1" w:themeTint="A6"/>
        </w:rPr>
        <w:t xml:space="preserve"> B). </w:t>
      </w:r>
      <w:r w:rsidR="007743C3">
        <w:rPr>
          <w:rFonts w:ascii="Arial" w:hAnsi="Arial" w:cs="Arial"/>
          <w:color w:val="595959" w:themeColor="text1" w:themeTint="A6"/>
        </w:rPr>
        <w:t xml:space="preserve">Batimastat </w:t>
      </w:r>
      <w:r w:rsidR="00731A49">
        <w:rPr>
          <w:rFonts w:ascii="Arial" w:hAnsi="Arial" w:cs="Arial"/>
          <w:color w:val="595959" w:themeColor="text1" w:themeTint="A6"/>
        </w:rPr>
        <w:t xml:space="preserve">treatment </w:t>
      </w:r>
      <w:r w:rsidR="0023364E">
        <w:rPr>
          <w:rFonts w:ascii="Arial" w:hAnsi="Arial" w:cs="Arial"/>
          <w:color w:val="595959" w:themeColor="text1" w:themeTint="A6"/>
        </w:rPr>
        <w:t xml:space="preserve">caused </w:t>
      </w:r>
      <w:r w:rsidR="00731A49">
        <w:rPr>
          <w:rFonts w:ascii="Arial" w:hAnsi="Arial" w:cs="Arial"/>
          <w:color w:val="595959" w:themeColor="text1" w:themeTint="A6"/>
        </w:rPr>
        <w:t xml:space="preserve">a ~3-fold </w:t>
      </w:r>
      <w:r w:rsidR="007743C3">
        <w:rPr>
          <w:rFonts w:ascii="Arial" w:hAnsi="Arial" w:cs="Arial"/>
          <w:color w:val="595959" w:themeColor="text1" w:themeTint="A6"/>
        </w:rPr>
        <w:t>reduc</w:t>
      </w:r>
      <w:r w:rsidR="00731A49">
        <w:rPr>
          <w:rFonts w:ascii="Arial" w:hAnsi="Arial" w:cs="Arial"/>
          <w:color w:val="595959" w:themeColor="text1" w:themeTint="A6"/>
        </w:rPr>
        <w:t xml:space="preserve">tion </w:t>
      </w:r>
      <w:r w:rsidR="0023364E">
        <w:rPr>
          <w:rFonts w:ascii="Arial" w:hAnsi="Arial" w:cs="Arial"/>
          <w:color w:val="595959" w:themeColor="text1" w:themeTint="A6"/>
        </w:rPr>
        <w:t xml:space="preserve">in </w:t>
      </w:r>
      <w:r w:rsidR="007743C3">
        <w:rPr>
          <w:rFonts w:ascii="Arial" w:hAnsi="Arial" w:cs="Arial"/>
          <w:color w:val="595959" w:themeColor="text1" w:themeTint="A6"/>
        </w:rPr>
        <w:t>COL1A1 expression</w:t>
      </w:r>
      <w:r w:rsidR="0023364E">
        <w:rPr>
          <w:rFonts w:ascii="Arial" w:hAnsi="Arial" w:cs="Arial"/>
          <w:color w:val="595959" w:themeColor="text1" w:themeTint="A6"/>
        </w:rPr>
        <w:t xml:space="preserve"> (</w:t>
      </w:r>
      <w:r w:rsidR="00CB365C">
        <w:rPr>
          <w:rFonts w:ascii="Arial" w:hAnsi="Arial" w:cs="Arial"/>
          <w:color w:val="595959" w:themeColor="text1" w:themeTint="A6"/>
        </w:rPr>
        <w:t>0.30 ± 0.44) compared to vehicle control treated CAF-DM, p=</w:t>
      </w:r>
      <w:r w:rsidR="0071352E">
        <w:rPr>
          <w:rFonts w:ascii="Arial" w:hAnsi="Arial" w:cs="Arial"/>
          <w:color w:val="595959" w:themeColor="text1" w:themeTint="A6"/>
        </w:rPr>
        <w:t>0.0030.</w:t>
      </w:r>
      <w:r w:rsidR="007743C3">
        <w:rPr>
          <w:rFonts w:ascii="Arial" w:hAnsi="Arial" w:cs="Arial"/>
          <w:color w:val="595959" w:themeColor="text1" w:themeTint="A6"/>
        </w:rPr>
        <w:t xml:space="preserve"> </w:t>
      </w:r>
      <w:r w:rsidR="0071352E">
        <w:rPr>
          <w:rFonts w:ascii="Arial" w:hAnsi="Arial" w:cs="Arial"/>
          <w:color w:val="595959" w:themeColor="text1" w:themeTint="A6"/>
        </w:rPr>
        <w:t xml:space="preserve">No significant differences were observed when CAF-DM </w:t>
      </w:r>
      <w:r w:rsidR="0093733B">
        <w:rPr>
          <w:rFonts w:ascii="Arial" w:hAnsi="Arial" w:cs="Arial"/>
          <w:color w:val="595959" w:themeColor="text1" w:themeTint="A6"/>
        </w:rPr>
        <w:t>were treated with Batimastat in combination with TGFβ-1 (Figure 4.1</w:t>
      </w:r>
      <w:r w:rsidR="00137301">
        <w:rPr>
          <w:rFonts w:ascii="Arial" w:hAnsi="Arial" w:cs="Arial"/>
          <w:color w:val="595959" w:themeColor="text1" w:themeTint="A6"/>
        </w:rPr>
        <w:t>9</w:t>
      </w:r>
      <w:r w:rsidR="0093733B">
        <w:rPr>
          <w:rFonts w:ascii="Arial" w:hAnsi="Arial" w:cs="Arial"/>
          <w:color w:val="595959" w:themeColor="text1" w:themeTint="A6"/>
        </w:rPr>
        <w:t xml:space="preserve"> B). </w:t>
      </w:r>
    </w:p>
    <w:p w14:paraId="687DBE75" w14:textId="3B007468" w:rsidR="002C7A6B" w:rsidRDefault="002C7A6B" w:rsidP="008C21BF">
      <w:pPr>
        <w:tabs>
          <w:tab w:val="left" w:pos="1350"/>
        </w:tabs>
        <w:spacing w:line="480" w:lineRule="auto"/>
        <w:jc w:val="both"/>
        <w:rPr>
          <w:rFonts w:ascii="Arial" w:hAnsi="Arial" w:cs="Arial"/>
          <w:color w:val="595959" w:themeColor="text1" w:themeTint="A6"/>
        </w:rPr>
      </w:pPr>
    </w:p>
    <w:p w14:paraId="1B7E94D2" w14:textId="62200A5D" w:rsidR="002C7A6B" w:rsidRDefault="002C7A6B" w:rsidP="008C21BF">
      <w:pPr>
        <w:tabs>
          <w:tab w:val="left" w:pos="1350"/>
        </w:tabs>
        <w:spacing w:line="480" w:lineRule="auto"/>
        <w:jc w:val="both"/>
        <w:rPr>
          <w:rFonts w:ascii="Arial" w:hAnsi="Arial" w:cs="Arial"/>
          <w:color w:val="595959" w:themeColor="text1" w:themeTint="A6"/>
        </w:rPr>
      </w:pPr>
    </w:p>
    <w:p w14:paraId="023A75F8" w14:textId="17CC58F4" w:rsidR="002C7A6B" w:rsidRDefault="002C7A6B" w:rsidP="008C21BF">
      <w:pPr>
        <w:tabs>
          <w:tab w:val="left" w:pos="1350"/>
        </w:tabs>
        <w:spacing w:line="480" w:lineRule="auto"/>
        <w:jc w:val="both"/>
        <w:rPr>
          <w:rFonts w:ascii="Arial" w:hAnsi="Arial" w:cs="Arial"/>
          <w:color w:val="595959" w:themeColor="text1" w:themeTint="A6"/>
        </w:rPr>
      </w:pPr>
    </w:p>
    <w:p w14:paraId="157D426A" w14:textId="0169A8B7" w:rsidR="002C7A6B" w:rsidRDefault="002C7A6B" w:rsidP="008C21BF">
      <w:pPr>
        <w:tabs>
          <w:tab w:val="left" w:pos="1350"/>
        </w:tabs>
        <w:spacing w:line="480" w:lineRule="auto"/>
        <w:jc w:val="both"/>
        <w:rPr>
          <w:rFonts w:ascii="Arial" w:hAnsi="Arial" w:cs="Arial"/>
          <w:color w:val="595959" w:themeColor="text1" w:themeTint="A6"/>
        </w:rPr>
      </w:pPr>
    </w:p>
    <w:p w14:paraId="4D7A1D8A" w14:textId="60CC25A7" w:rsidR="002C7A6B" w:rsidRDefault="002C7A6B" w:rsidP="008C21BF">
      <w:pPr>
        <w:tabs>
          <w:tab w:val="left" w:pos="1350"/>
        </w:tabs>
        <w:spacing w:line="480" w:lineRule="auto"/>
        <w:jc w:val="both"/>
        <w:rPr>
          <w:rFonts w:ascii="Arial" w:hAnsi="Arial" w:cs="Arial"/>
          <w:color w:val="595959" w:themeColor="text1" w:themeTint="A6"/>
        </w:rPr>
      </w:pPr>
    </w:p>
    <w:p w14:paraId="12CD59E7" w14:textId="6AFEAB69" w:rsidR="002C7A6B" w:rsidRDefault="002C7A6B" w:rsidP="008C21BF">
      <w:pPr>
        <w:tabs>
          <w:tab w:val="left" w:pos="1350"/>
        </w:tabs>
        <w:spacing w:line="480" w:lineRule="auto"/>
        <w:jc w:val="both"/>
        <w:rPr>
          <w:rFonts w:ascii="Arial" w:hAnsi="Arial" w:cs="Arial"/>
          <w:color w:val="595959" w:themeColor="text1" w:themeTint="A6"/>
        </w:rPr>
      </w:pPr>
    </w:p>
    <w:p w14:paraId="4702D9B3" w14:textId="536679EC" w:rsidR="002C7A6B" w:rsidRDefault="002C7A6B" w:rsidP="008C21BF">
      <w:pPr>
        <w:tabs>
          <w:tab w:val="left" w:pos="1350"/>
        </w:tabs>
        <w:spacing w:line="480" w:lineRule="auto"/>
        <w:jc w:val="both"/>
        <w:rPr>
          <w:rFonts w:ascii="Arial" w:hAnsi="Arial" w:cs="Arial"/>
          <w:color w:val="595959" w:themeColor="text1" w:themeTint="A6"/>
        </w:rPr>
      </w:pPr>
    </w:p>
    <w:p w14:paraId="2103FF72" w14:textId="316B79D4" w:rsidR="002C7A6B" w:rsidRDefault="002C7A6B" w:rsidP="008C21BF">
      <w:pPr>
        <w:tabs>
          <w:tab w:val="left" w:pos="1350"/>
        </w:tabs>
        <w:spacing w:line="480" w:lineRule="auto"/>
        <w:jc w:val="both"/>
        <w:rPr>
          <w:rFonts w:ascii="Arial" w:hAnsi="Arial" w:cs="Arial"/>
          <w:color w:val="595959" w:themeColor="text1" w:themeTint="A6"/>
        </w:rPr>
      </w:pPr>
    </w:p>
    <w:p w14:paraId="1B64455F" w14:textId="77777777" w:rsidR="0062723F" w:rsidRDefault="0062723F" w:rsidP="008C21BF">
      <w:pPr>
        <w:tabs>
          <w:tab w:val="left" w:pos="1350"/>
        </w:tabs>
        <w:spacing w:line="480" w:lineRule="auto"/>
        <w:jc w:val="both"/>
        <w:rPr>
          <w:rFonts w:ascii="Arial" w:hAnsi="Arial" w:cs="Arial"/>
          <w:color w:val="595959" w:themeColor="text1" w:themeTint="A6"/>
        </w:rPr>
      </w:pPr>
    </w:p>
    <w:p w14:paraId="2FD14B97" w14:textId="321E2A84" w:rsidR="008C21BF" w:rsidRDefault="006A40A9" w:rsidP="008C21BF">
      <w:pPr>
        <w:tabs>
          <w:tab w:val="left" w:pos="1350"/>
        </w:tabs>
        <w:spacing w:line="480" w:lineRule="auto"/>
        <w:jc w:val="both"/>
        <w:rPr>
          <w:rFonts w:ascii="Arial" w:hAnsi="Arial" w:cs="Arial"/>
          <w:color w:val="595959" w:themeColor="text1" w:themeTint="A6"/>
        </w:rPr>
      </w:pPr>
      <w:r>
        <w:rPr>
          <w:rFonts w:ascii="Arial" w:hAnsi="Arial" w:cs="Arial"/>
          <w:noProof/>
          <w:color w:val="595959" w:themeColor="text1" w:themeTint="A6"/>
        </w:rPr>
        <w:drawing>
          <wp:anchor distT="0" distB="0" distL="114300" distR="114300" simplePos="0" relativeHeight="251658504" behindDoc="0" locked="0" layoutInCell="1" allowOverlap="1" wp14:anchorId="4903DD50" wp14:editId="2F863391">
            <wp:simplePos x="0" y="0"/>
            <wp:positionH relativeFrom="margin">
              <wp:posOffset>1016000</wp:posOffset>
            </wp:positionH>
            <wp:positionV relativeFrom="paragraph">
              <wp:posOffset>-12701</wp:posOffset>
            </wp:positionV>
            <wp:extent cx="3530600" cy="6811997"/>
            <wp:effectExtent l="0" t="0" r="0" b="0"/>
            <wp:wrapNone/>
            <wp:docPr id="2048" name="Picture 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536310" cy="6823015"/>
                    </a:xfrm>
                    <a:prstGeom prst="rect">
                      <a:avLst/>
                    </a:prstGeom>
                    <a:noFill/>
                  </pic:spPr>
                </pic:pic>
              </a:graphicData>
            </a:graphic>
            <wp14:sizeRelH relativeFrom="margin">
              <wp14:pctWidth>0</wp14:pctWidth>
            </wp14:sizeRelH>
            <wp14:sizeRelV relativeFrom="margin">
              <wp14:pctHeight>0</wp14:pctHeight>
            </wp14:sizeRelV>
          </wp:anchor>
        </w:drawing>
      </w:r>
    </w:p>
    <w:p w14:paraId="3456FEBA" w14:textId="6BDDAC0C" w:rsidR="00E71278" w:rsidRDefault="00E71278" w:rsidP="008C21BF">
      <w:pPr>
        <w:tabs>
          <w:tab w:val="left" w:pos="1350"/>
        </w:tabs>
        <w:spacing w:line="480" w:lineRule="auto"/>
        <w:jc w:val="both"/>
        <w:rPr>
          <w:rFonts w:ascii="Arial" w:hAnsi="Arial" w:cs="Arial"/>
          <w:color w:val="595959" w:themeColor="text1" w:themeTint="A6"/>
        </w:rPr>
      </w:pPr>
    </w:p>
    <w:p w14:paraId="541DBFC3" w14:textId="14527502" w:rsidR="00E71278" w:rsidRDefault="00E71278" w:rsidP="008C21BF">
      <w:pPr>
        <w:tabs>
          <w:tab w:val="left" w:pos="1350"/>
        </w:tabs>
        <w:spacing w:line="480" w:lineRule="auto"/>
        <w:jc w:val="both"/>
        <w:rPr>
          <w:rFonts w:ascii="Arial" w:hAnsi="Arial" w:cs="Arial"/>
          <w:color w:val="595959" w:themeColor="text1" w:themeTint="A6"/>
        </w:rPr>
      </w:pPr>
    </w:p>
    <w:p w14:paraId="3A5F870C" w14:textId="7DCCAF79" w:rsidR="00E71278" w:rsidRDefault="00E71278" w:rsidP="008C21BF">
      <w:pPr>
        <w:tabs>
          <w:tab w:val="left" w:pos="1350"/>
        </w:tabs>
        <w:spacing w:line="480" w:lineRule="auto"/>
        <w:jc w:val="both"/>
        <w:rPr>
          <w:rFonts w:ascii="Arial" w:hAnsi="Arial" w:cs="Arial"/>
          <w:color w:val="595959" w:themeColor="text1" w:themeTint="A6"/>
        </w:rPr>
      </w:pPr>
    </w:p>
    <w:p w14:paraId="3074A62D" w14:textId="77777777" w:rsidR="00E71278" w:rsidRPr="008C21BF" w:rsidRDefault="00E71278" w:rsidP="008C21BF">
      <w:pPr>
        <w:tabs>
          <w:tab w:val="left" w:pos="1350"/>
        </w:tabs>
        <w:spacing w:line="480" w:lineRule="auto"/>
        <w:jc w:val="both"/>
        <w:rPr>
          <w:rFonts w:ascii="Arial" w:hAnsi="Arial" w:cs="Arial"/>
          <w:color w:val="595959" w:themeColor="text1" w:themeTint="A6"/>
        </w:rPr>
      </w:pPr>
    </w:p>
    <w:p w14:paraId="0B4DA697" w14:textId="0FE3FF3E" w:rsidR="008C21BF" w:rsidRPr="008C21BF" w:rsidRDefault="008C21BF" w:rsidP="008C21BF">
      <w:pPr>
        <w:tabs>
          <w:tab w:val="left" w:pos="1350"/>
        </w:tabs>
        <w:spacing w:line="480" w:lineRule="auto"/>
        <w:jc w:val="both"/>
        <w:rPr>
          <w:rFonts w:ascii="Arial" w:hAnsi="Arial" w:cs="Arial"/>
          <w:color w:val="595959" w:themeColor="text1" w:themeTint="A6"/>
        </w:rPr>
      </w:pPr>
    </w:p>
    <w:p w14:paraId="3CFCB451" w14:textId="77777777" w:rsidR="008C21BF" w:rsidRPr="008C21BF" w:rsidRDefault="008C21BF" w:rsidP="008C21BF">
      <w:pPr>
        <w:tabs>
          <w:tab w:val="left" w:pos="1350"/>
        </w:tabs>
        <w:spacing w:line="480" w:lineRule="auto"/>
        <w:jc w:val="both"/>
        <w:rPr>
          <w:rFonts w:ascii="Arial" w:hAnsi="Arial" w:cs="Arial"/>
          <w:color w:val="595959" w:themeColor="text1" w:themeTint="A6"/>
        </w:rPr>
      </w:pPr>
    </w:p>
    <w:p w14:paraId="459E4983" w14:textId="154DD076" w:rsidR="008C21BF" w:rsidRPr="008C21BF" w:rsidRDefault="008C21BF" w:rsidP="008C21BF">
      <w:pPr>
        <w:tabs>
          <w:tab w:val="left" w:pos="1350"/>
        </w:tabs>
        <w:spacing w:line="480" w:lineRule="auto"/>
        <w:jc w:val="both"/>
        <w:rPr>
          <w:rFonts w:ascii="Arial" w:hAnsi="Arial" w:cs="Arial"/>
          <w:color w:val="595959" w:themeColor="text1" w:themeTint="A6"/>
        </w:rPr>
      </w:pPr>
    </w:p>
    <w:p w14:paraId="6477085F" w14:textId="77777777" w:rsidR="008C21BF" w:rsidRPr="008C21BF" w:rsidRDefault="008C21BF" w:rsidP="008C21BF">
      <w:pPr>
        <w:tabs>
          <w:tab w:val="left" w:pos="1350"/>
        </w:tabs>
        <w:spacing w:line="480" w:lineRule="auto"/>
        <w:jc w:val="both"/>
        <w:rPr>
          <w:rFonts w:ascii="Arial" w:hAnsi="Arial" w:cs="Arial"/>
          <w:color w:val="595959" w:themeColor="text1" w:themeTint="A6"/>
        </w:rPr>
      </w:pPr>
    </w:p>
    <w:p w14:paraId="4588FFED" w14:textId="77777777" w:rsidR="008C21BF" w:rsidRPr="008C21BF" w:rsidRDefault="008C21BF" w:rsidP="008C21BF">
      <w:pPr>
        <w:tabs>
          <w:tab w:val="left" w:pos="1350"/>
        </w:tabs>
        <w:spacing w:line="480" w:lineRule="auto"/>
        <w:jc w:val="both"/>
        <w:rPr>
          <w:rFonts w:ascii="Arial" w:hAnsi="Arial" w:cs="Arial"/>
          <w:color w:val="595959" w:themeColor="text1" w:themeTint="A6"/>
        </w:rPr>
      </w:pPr>
    </w:p>
    <w:p w14:paraId="33CEF1A7" w14:textId="77777777" w:rsidR="008C21BF" w:rsidRPr="008C21BF" w:rsidRDefault="008C21BF" w:rsidP="008C21BF">
      <w:pPr>
        <w:tabs>
          <w:tab w:val="left" w:pos="1350"/>
        </w:tabs>
        <w:spacing w:line="480" w:lineRule="auto"/>
        <w:jc w:val="both"/>
        <w:rPr>
          <w:rFonts w:ascii="Arial" w:hAnsi="Arial" w:cs="Arial"/>
          <w:color w:val="595959" w:themeColor="text1" w:themeTint="A6"/>
        </w:rPr>
      </w:pPr>
    </w:p>
    <w:p w14:paraId="2519633E" w14:textId="77777777" w:rsidR="008C21BF" w:rsidRPr="008C21BF" w:rsidRDefault="008C21BF" w:rsidP="008C21BF">
      <w:pPr>
        <w:tabs>
          <w:tab w:val="left" w:pos="1350"/>
        </w:tabs>
        <w:spacing w:line="480" w:lineRule="auto"/>
        <w:jc w:val="both"/>
        <w:rPr>
          <w:rFonts w:ascii="Arial" w:hAnsi="Arial" w:cs="Arial"/>
          <w:color w:val="595959" w:themeColor="text1" w:themeTint="A6"/>
        </w:rPr>
      </w:pPr>
    </w:p>
    <w:p w14:paraId="5A01179D" w14:textId="5B25F657" w:rsidR="008C21BF" w:rsidRDefault="008C21BF" w:rsidP="008C21BF">
      <w:pPr>
        <w:tabs>
          <w:tab w:val="left" w:pos="1350"/>
        </w:tabs>
        <w:spacing w:line="480" w:lineRule="auto"/>
        <w:jc w:val="both"/>
        <w:rPr>
          <w:rFonts w:ascii="Arial" w:hAnsi="Arial" w:cs="Arial"/>
          <w:color w:val="595959" w:themeColor="text1" w:themeTint="A6"/>
        </w:rPr>
      </w:pPr>
    </w:p>
    <w:p w14:paraId="5A68469D" w14:textId="2035EA74" w:rsidR="00BB4286" w:rsidRDefault="00BB4286" w:rsidP="008C21BF">
      <w:pPr>
        <w:tabs>
          <w:tab w:val="left" w:pos="1350"/>
        </w:tabs>
        <w:spacing w:line="480" w:lineRule="auto"/>
        <w:jc w:val="both"/>
        <w:rPr>
          <w:rFonts w:ascii="Arial" w:hAnsi="Arial" w:cs="Arial"/>
          <w:color w:val="595959" w:themeColor="text1" w:themeTint="A6"/>
        </w:rPr>
      </w:pPr>
    </w:p>
    <w:p w14:paraId="426666F8" w14:textId="6D891FDE" w:rsidR="00BB4286" w:rsidRDefault="00BB4286" w:rsidP="008C21BF">
      <w:pPr>
        <w:tabs>
          <w:tab w:val="left" w:pos="1350"/>
        </w:tabs>
        <w:spacing w:line="480" w:lineRule="auto"/>
        <w:jc w:val="both"/>
        <w:rPr>
          <w:rFonts w:ascii="Arial" w:hAnsi="Arial" w:cs="Arial"/>
          <w:color w:val="595959" w:themeColor="text1" w:themeTint="A6"/>
        </w:rPr>
      </w:pPr>
    </w:p>
    <w:p w14:paraId="714C92FB" w14:textId="64D8DCAD" w:rsidR="00BB4286" w:rsidRDefault="00BB4286" w:rsidP="008C21BF">
      <w:pPr>
        <w:tabs>
          <w:tab w:val="left" w:pos="1350"/>
        </w:tabs>
        <w:spacing w:line="480" w:lineRule="auto"/>
        <w:jc w:val="both"/>
        <w:rPr>
          <w:rFonts w:ascii="Arial" w:hAnsi="Arial" w:cs="Arial"/>
          <w:color w:val="595959" w:themeColor="text1" w:themeTint="A6"/>
        </w:rPr>
      </w:pPr>
    </w:p>
    <w:p w14:paraId="4AA98F51" w14:textId="6E96BBAD" w:rsidR="006A40A9" w:rsidRDefault="001746FF" w:rsidP="008C21BF">
      <w:pPr>
        <w:tabs>
          <w:tab w:val="left" w:pos="1350"/>
        </w:tabs>
        <w:spacing w:line="480" w:lineRule="auto"/>
        <w:jc w:val="both"/>
        <w:rPr>
          <w:rFonts w:ascii="Arial" w:hAnsi="Arial" w:cs="Arial"/>
          <w:color w:val="595959" w:themeColor="text1" w:themeTint="A6"/>
        </w:rPr>
      </w:pPr>
      <w:r w:rsidRPr="0054039C">
        <w:rPr>
          <w:rFonts w:ascii="Arial" w:hAnsi="Arial" w:cs="Arial"/>
          <w:noProof/>
          <w:color w:val="595959" w:themeColor="text1" w:themeTint="A6"/>
          <w:sz w:val="24"/>
          <w:szCs w:val="24"/>
          <w:lang w:eastAsia="zh-CN"/>
        </w:rPr>
        <mc:AlternateContent>
          <mc:Choice Requires="wps">
            <w:drawing>
              <wp:anchor distT="0" distB="0" distL="114300" distR="114300" simplePos="0" relativeHeight="251658471" behindDoc="0" locked="0" layoutInCell="1" allowOverlap="1" wp14:anchorId="42E3BD9B" wp14:editId="04409F20">
                <wp:simplePos x="0" y="0"/>
                <wp:positionH relativeFrom="margin">
                  <wp:posOffset>0</wp:posOffset>
                </wp:positionH>
                <wp:positionV relativeFrom="paragraph">
                  <wp:posOffset>11166</wp:posOffset>
                </wp:positionV>
                <wp:extent cx="5724525" cy="1345565"/>
                <wp:effectExtent l="0" t="0" r="9525" b="6985"/>
                <wp:wrapNone/>
                <wp:docPr id="52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1345565"/>
                        </a:xfrm>
                        <a:prstGeom prst="rect">
                          <a:avLst/>
                        </a:prstGeom>
                        <a:solidFill>
                          <a:srgbClr val="FFFFFF"/>
                        </a:solidFill>
                        <a:ln w="9525">
                          <a:noFill/>
                          <a:miter lim="800000"/>
                          <a:headEnd/>
                          <a:tailEnd/>
                        </a:ln>
                      </wps:spPr>
                      <wps:txbx>
                        <w:txbxContent>
                          <w:p w14:paraId="319BFF5B" w14:textId="59BC3FE1" w:rsidR="008A47AC" w:rsidRDefault="008A47AC" w:rsidP="0062723F">
                            <w:pPr>
                              <w:pStyle w:val="NormalWeb"/>
                              <w:spacing w:after="200"/>
                              <w:jc w:val="both"/>
                              <w:rPr>
                                <w:rFonts w:ascii="Arial Narrow" w:eastAsia="SimSun" w:hAnsi="Arial Narrow" w:cs="Arial"/>
                                <w:b/>
                                <w:bCs/>
                                <w:color w:val="595959"/>
                                <w:kern w:val="24"/>
                                <w:sz w:val="22"/>
                                <w:szCs w:val="22"/>
                              </w:rPr>
                            </w:pPr>
                            <w:r>
                              <w:rPr>
                                <w:rFonts w:ascii="Arial Narrow" w:eastAsia="SimSun" w:hAnsi="Arial Narrow" w:cs="Arial"/>
                                <w:b/>
                                <w:bCs/>
                                <w:color w:val="595959"/>
                                <w:kern w:val="24"/>
                                <w:sz w:val="22"/>
                                <w:szCs w:val="22"/>
                              </w:rPr>
                              <w:t xml:space="preserve">Figure 4.19 COL1A1 gene expression in NOF- and CAF-DM in response to Scriptaid and Batimastat treatment with and without TGFβ-1 stimulation </w:t>
                            </w:r>
                          </w:p>
                          <w:p w14:paraId="48A01602" w14:textId="02D9F888" w:rsidR="008A47AC" w:rsidRPr="00944EBD" w:rsidRDefault="008A47AC" w:rsidP="0062723F">
                            <w:pPr>
                              <w:pStyle w:val="NormalWeb"/>
                              <w:spacing w:after="200" w:line="276" w:lineRule="auto"/>
                              <w:jc w:val="both"/>
                              <w:rPr>
                                <w:rFonts w:ascii="Arial Narrow" w:eastAsia="SimSun" w:hAnsi="Arial Narrow" w:cs="Arial"/>
                                <w:color w:val="595959"/>
                                <w:kern w:val="24"/>
                                <w:sz w:val="22"/>
                              </w:rPr>
                            </w:pPr>
                            <w:r>
                              <w:rPr>
                                <w:rFonts w:ascii="Arial Narrow" w:eastAsia="SimSun" w:hAnsi="Arial Narrow" w:cs="Arial"/>
                                <w:color w:val="595959"/>
                                <w:kern w:val="24"/>
                                <w:sz w:val="22"/>
                              </w:rPr>
                              <w:t xml:space="preserve">NOF- (A) and CAF- (B) DM were treated with the inhibitors Scriptaid and Batimastat in the presence or absence of </w:t>
                            </w:r>
                            <w:r w:rsidRPr="00944EBD">
                              <w:rPr>
                                <w:rFonts w:ascii="Arial Narrow" w:eastAsia="SimSun" w:hAnsi="Arial Narrow" w:cs="Arial"/>
                                <w:color w:val="595959"/>
                                <w:kern w:val="24"/>
                                <w:sz w:val="22"/>
                              </w:rPr>
                              <w:t xml:space="preserve">TGFβ-1 </w:t>
                            </w:r>
                            <w:r>
                              <w:rPr>
                                <w:rFonts w:ascii="Arial Narrow" w:eastAsia="SimSun" w:hAnsi="Arial Narrow" w:cs="Arial"/>
                                <w:color w:val="595959"/>
                                <w:kern w:val="24"/>
                                <w:sz w:val="22"/>
                              </w:rPr>
                              <w:t xml:space="preserve">for 7 days and the gene expression for COL1A1 determined by qPCR. Data is expressed as fold change relative to housekeeping gene U6, with mean ± SD, N=3, n=2, * denotes p &lt;0.05 and **p &lt;0.01 by Kruskal-Wallis test with Dunn’s multiple comparison test. </w:t>
                            </w:r>
                            <w:r w:rsidRPr="00944EBD">
                              <w:rPr>
                                <w:rFonts w:ascii="Arial Narrow" w:eastAsia="SimSun" w:hAnsi="Arial Narrow" w:cs="Arial"/>
                                <w:color w:val="595959"/>
                                <w:kern w:val="24"/>
                                <w:sz w:val="22"/>
                              </w:rPr>
                              <w:t xml:space="preserve"> </w:t>
                            </w:r>
                          </w:p>
                          <w:p w14:paraId="40791D4C" w14:textId="77777777" w:rsidR="008A47AC" w:rsidRDefault="008A47AC" w:rsidP="0062723F">
                            <w:pPr>
                              <w:pStyle w:val="NormalWeb"/>
                              <w:spacing w:after="200" w:line="276" w:lineRule="auto"/>
                              <w:jc w:val="both"/>
                              <w:rPr>
                                <w:rFonts w:ascii="Arial Narrow" w:eastAsia="SimSun" w:hAnsi="Arial Narrow" w:cs="Arial"/>
                                <w:color w:val="595959"/>
                                <w:kern w:val="24"/>
                              </w:rPr>
                            </w:pPr>
                          </w:p>
                          <w:p w14:paraId="0165CCE5" w14:textId="77777777" w:rsidR="008A47AC" w:rsidRDefault="008A47AC" w:rsidP="0062723F">
                            <w:pPr>
                              <w:pStyle w:val="NormalWeb"/>
                              <w:spacing w:after="200" w:line="276" w:lineRule="auto"/>
                              <w:jc w:val="both"/>
                              <w:rPr>
                                <w:rFonts w:ascii="Arial Narrow" w:eastAsia="SimSun" w:hAnsi="Arial Narrow" w:cs="Arial"/>
                                <w:color w:val="595959"/>
                                <w:kern w:val="24"/>
                              </w:rPr>
                            </w:pPr>
                          </w:p>
                          <w:p w14:paraId="39723054" w14:textId="77777777" w:rsidR="008A47AC" w:rsidRPr="00AE10F9" w:rsidRDefault="008A47AC" w:rsidP="0062723F">
                            <w:pPr>
                              <w:pStyle w:val="NormalWeb"/>
                              <w:spacing w:after="200" w:line="276" w:lineRule="auto"/>
                              <w:jc w:val="both"/>
                              <w:rPr>
                                <w:rFonts w:ascii="Arial Narrow" w:eastAsia="SimSun" w:hAnsi="Arial Narrow" w:cs="Arial"/>
                                <w:color w:val="595959"/>
                                <w:kern w:val="24"/>
                              </w:rPr>
                            </w:pPr>
                          </w:p>
                          <w:p w14:paraId="6CB4D6C3" w14:textId="77777777" w:rsidR="008A47AC" w:rsidRDefault="008A47AC" w:rsidP="0062723F">
                            <w:pPr>
                              <w:pStyle w:val="NormalWeb"/>
                              <w:spacing w:after="200" w:line="276" w:lineRule="auto"/>
                              <w:jc w:val="both"/>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E3BD9B" id="_x0000_s1172" type="#_x0000_t202" style="position:absolute;left:0;text-align:left;margin-left:0;margin-top:.9pt;width:450.75pt;height:105.95pt;z-index:25165847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" stroked="f">
                <v:textbox>
                  <w:txbxContent>
                    <w:p w14:paraId="319BFF5B" w14:textId="59BC3FE1" w:rsidR="008A47AC" w:rsidRDefault="008A47AC" w:rsidP="0062723F">
                      <w:pPr>
                        <w:pStyle w:val="NormalWeb"/>
                        <w:spacing w:after="200"/>
                        <w:jc w:val="both"/>
                        <w:rPr>
                          <w:rFonts w:ascii="Arial Narrow" w:eastAsia="SimSun" w:hAnsi="Arial Narrow" w:cs="Arial"/>
                          <w:b/>
                          <w:bCs/>
                          <w:color w:val="595959"/>
                          <w:kern w:val="24"/>
                          <w:sz w:val="22"/>
                          <w:szCs w:val="22"/>
                        </w:rPr>
                      </w:pPr>
                      <w:r>
                        <w:rPr>
                          <w:rFonts w:ascii="Arial Narrow" w:eastAsia="SimSun" w:hAnsi="Arial Narrow" w:cs="Arial"/>
                          <w:b/>
                          <w:bCs/>
                          <w:color w:val="595959"/>
                          <w:kern w:val="24"/>
                          <w:sz w:val="22"/>
                          <w:szCs w:val="22"/>
                        </w:rPr>
                        <w:t xml:space="preserve">Figure 4.19 COL1A1 gene expression in NOF- and CAF-DM in response to Scriptaid and Batimastat treatment with and without TGFβ-1 stimulation </w:t>
                      </w:r>
                    </w:p>
                    <w:p w14:paraId="48A01602" w14:textId="02D9F888" w:rsidR="008A47AC" w:rsidRPr="00944EBD" w:rsidRDefault="008A47AC" w:rsidP="0062723F">
                      <w:pPr>
                        <w:pStyle w:val="NormalWeb"/>
                        <w:spacing w:after="200" w:line="276" w:lineRule="auto"/>
                        <w:jc w:val="both"/>
                        <w:rPr>
                          <w:rFonts w:ascii="Arial Narrow" w:eastAsia="SimSun" w:hAnsi="Arial Narrow" w:cs="Arial"/>
                          <w:color w:val="595959"/>
                          <w:kern w:val="24"/>
                          <w:sz w:val="22"/>
                        </w:rPr>
                      </w:pPr>
                      <w:r>
                        <w:rPr>
                          <w:rFonts w:ascii="Arial Narrow" w:eastAsia="SimSun" w:hAnsi="Arial Narrow" w:cs="Arial"/>
                          <w:color w:val="595959"/>
                          <w:kern w:val="24"/>
                          <w:sz w:val="22"/>
                        </w:rPr>
                        <w:t xml:space="preserve">NOF- (A) and CAF- (B) DM were treated with the inhibitors Scriptaid and Batimastat in the presence or absence of </w:t>
                      </w:r>
                      <w:r w:rsidRPr="00944EBD">
                        <w:rPr>
                          <w:rFonts w:ascii="Arial Narrow" w:eastAsia="SimSun" w:hAnsi="Arial Narrow" w:cs="Arial"/>
                          <w:color w:val="595959"/>
                          <w:kern w:val="24"/>
                          <w:sz w:val="22"/>
                        </w:rPr>
                        <w:t xml:space="preserve">TGFβ-1 </w:t>
                      </w:r>
                      <w:r>
                        <w:rPr>
                          <w:rFonts w:ascii="Arial Narrow" w:eastAsia="SimSun" w:hAnsi="Arial Narrow" w:cs="Arial"/>
                          <w:color w:val="595959"/>
                          <w:kern w:val="24"/>
                          <w:sz w:val="22"/>
                        </w:rPr>
                        <w:t xml:space="preserve">for 7 days and the gene expression for COL1A1 determined by qPCR. Data is expressed as fold change relative to housekeeping gene U6, with mean ± SD, N=3, n=2, * denotes p &lt;0.05 and **p &lt;0.01 by Kruskal-Wallis test with Dunn’s multiple comparison test. </w:t>
                      </w:r>
                      <w:r w:rsidRPr="00944EBD">
                        <w:rPr>
                          <w:rFonts w:ascii="Arial Narrow" w:eastAsia="SimSun" w:hAnsi="Arial Narrow" w:cs="Arial"/>
                          <w:color w:val="595959"/>
                          <w:kern w:val="24"/>
                          <w:sz w:val="22"/>
                        </w:rPr>
                        <w:t xml:space="preserve"> </w:t>
                      </w:r>
                    </w:p>
                    <w:p w14:paraId="40791D4C" w14:textId="77777777" w:rsidR="008A47AC" w:rsidRDefault="008A47AC" w:rsidP="0062723F">
                      <w:pPr>
                        <w:pStyle w:val="NormalWeb"/>
                        <w:spacing w:after="200" w:line="276" w:lineRule="auto"/>
                        <w:jc w:val="both"/>
                        <w:rPr>
                          <w:rFonts w:ascii="Arial Narrow" w:eastAsia="SimSun" w:hAnsi="Arial Narrow" w:cs="Arial"/>
                          <w:color w:val="595959"/>
                          <w:kern w:val="24"/>
                        </w:rPr>
                      </w:pPr>
                    </w:p>
                    <w:p w14:paraId="0165CCE5" w14:textId="77777777" w:rsidR="008A47AC" w:rsidRDefault="008A47AC" w:rsidP="0062723F">
                      <w:pPr>
                        <w:pStyle w:val="NormalWeb"/>
                        <w:spacing w:after="200" w:line="276" w:lineRule="auto"/>
                        <w:jc w:val="both"/>
                        <w:rPr>
                          <w:rFonts w:ascii="Arial Narrow" w:eastAsia="SimSun" w:hAnsi="Arial Narrow" w:cs="Arial"/>
                          <w:color w:val="595959"/>
                          <w:kern w:val="24"/>
                        </w:rPr>
                      </w:pPr>
                    </w:p>
                    <w:p w14:paraId="39723054" w14:textId="77777777" w:rsidR="008A47AC" w:rsidRPr="00AE10F9" w:rsidRDefault="008A47AC" w:rsidP="0062723F">
                      <w:pPr>
                        <w:pStyle w:val="NormalWeb"/>
                        <w:spacing w:after="200" w:line="276" w:lineRule="auto"/>
                        <w:jc w:val="both"/>
                        <w:rPr>
                          <w:rFonts w:ascii="Arial Narrow" w:eastAsia="SimSun" w:hAnsi="Arial Narrow" w:cs="Arial"/>
                          <w:color w:val="595959"/>
                          <w:kern w:val="24"/>
                        </w:rPr>
                      </w:pPr>
                    </w:p>
                    <w:p w14:paraId="6CB4D6C3" w14:textId="77777777" w:rsidR="008A47AC" w:rsidRDefault="008A47AC" w:rsidP="0062723F">
                      <w:pPr>
                        <w:pStyle w:val="NormalWeb"/>
                        <w:spacing w:after="200" w:line="276" w:lineRule="auto"/>
                        <w:jc w:val="both"/>
                      </w:pPr>
                    </w:p>
                  </w:txbxContent>
                </v:textbox>
                <w10:wrap anchorx="margin"/>
              </v:shape>
            </w:pict>
          </mc:Fallback>
        </mc:AlternateContent>
      </w:r>
    </w:p>
    <w:p w14:paraId="7D4E0E8B" w14:textId="009F3FCB" w:rsidR="00193B17" w:rsidRDefault="00193B17" w:rsidP="008C21BF">
      <w:pPr>
        <w:tabs>
          <w:tab w:val="left" w:pos="1350"/>
        </w:tabs>
        <w:spacing w:line="480" w:lineRule="auto"/>
        <w:jc w:val="both"/>
        <w:rPr>
          <w:rFonts w:ascii="Arial" w:hAnsi="Arial" w:cs="Arial"/>
          <w:color w:val="595959" w:themeColor="text1" w:themeTint="A6"/>
        </w:rPr>
      </w:pPr>
    </w:p>
    <w:p w14:paraId="108D460B" w14:textId="7F2CC1A3" w:rsidR="00BB4286" w:rsidRDefault="00BB4286" w:rsidP="008C21BF">
      <w:pPr>
        <w:tabs>
          <w:tab w:val="left" w:pos="1350"/>
        </w:tabs>
        <w:spacing w:line="480" w:lineRule="auto"/>
        <w:jc w:val="both"/>
        <w:rPr>
          <w:rFonts w:ascii="Arial" w:hAnsi="Arial" w:cs="Arial"/>
          <w:color w:val="595959" w:themeColor="text1" w:themeTint="A6"/>
        </w:rPr>
      </w:pPr>
    </w:p>
    <w:p w14:paraId="23BD7C40" w14:textId="77777777" w:rsidR="0062723F" w:rsidRDefault="0062723F" w:rsidP="008C21BF">
      <w:pPr>
        <w:tabs>
          <w:tab w:val="left" w:pos="1350"/>
        </w:tabs>
        <w:spacing w:line="480" w:lineRule="auto"/>
        <w:jc w:val="both"/>
        <w:rPr>
          <w:rFonts w:ascii="Arial" w:hAnsi="Arial" w:cs="Arial"/>
          <w:color w:val="595959" w:themeColor="text1" w:themeTint="A6"/>
        </w:rPr>
      </w:pPr>
    </w:p>
    <w:p w14:paraId="76F3D6EC" w14:textId="03CA69C6" w:rsidR="008C21BF" w:rsidRDefault="00E637E2" w:rsidP="007026FC">
      <w:pPr>
        <w:pStyle w:val="Heading5"/>
        <w:spacing w:line="480" w:lineRule="auto"/>
        <w:jc w:val="both"/>
        <w:rPr>
          <w:rFonts w:ascii="Arial" w:hAnsi="Arial" w:cs="Arial"/>
          <w:color w:val="595959" w:themeColor="text1" w:themeTint="A6"/>
        </w:rPr>
      </w:pPr>
      <w:bookmarkStart w:id="436" w:name="_Toc34208440"/>
      <w:r>
        <w:rPr>
          <w:rFonts w:ascii="Arial" w:hAnsi="Arial" w:cs="Arial"/>
          <w:color w:val="595959" w:themeColor="text1" w:themeTint="A6"/>
        </w:rPr>
        <w:lastRenderedPageBreak/>
        <w:t>4</w:t>
      </w:r>
      <w:r w:rsidR="008C21BF" w:rsidRPr="008C21BF">
        <w:rPr>
          <w:rFonts w:ascii="Arial" w:hAnsi="Arial" w:cs="Arial"/>
          <w:color w:val="595959" w:themeColor="text1" w:themeTint="A6"/>
        </w:rPr>
        <w:t>.3.2.5.</w:t>
      </w:r>
      <w:r w:rsidR="007026FC">
        <w:rPr>
          <w:rFonts w:ascii="Arial" w:hAnsi="Arial" w:cs="Arial"/>
          <w:color w:val="595959" w:themeColor="text1" w:themeTint="A6"/>
        </w:rPr>
        <w:t>5</w:t>
      </w:r>
      <w:r w:rsidR="008C21BF" w:rsidRPr="008C21BF">
        <w:rPr>
          <w:rFonts w:ascii="Arial" w:hAnsi="Arial" w:cs="Arial"/>
          <w:color w:val="595959" w:themeColor="text1" w:themeTint="A6"/>
        </w:rPr>
        <w:t xml:space="preserve"> </w:t>
      </w:r>
      <w:r w:rsidR="00F67285">
        <w:rPr>
          <w:rFonts w:ascii="Arial" w:hAnsi="Arial" w:cs="Arial"/>
          <w:color w:val="595959" w:themeColor="text1" w:themeTint="A6"/>
        </w:rPr>
        <w:t xml:space="preserve">The effect of Scriptaid and Batimastat on </w:t>
      </w:r>
      <w:r w:rsidR="008C21BF" w:rsidRPr="008C21BF">
        <w:rPr>
          <w:rFonts w:ascii="Arial" w:hAnsi="Arial" w:cs="Arial"/>
          <w:color w:val="595959" w:themeColor="text1" w:themeTint="A6"/>
        </w:rPr>
        <w:t xml:space="preserve">COL1A1 abundance </w:t>
      </w:r>
      <w:r w:rsidR="00F67285">
        <w:rPr>
          <w:rFonts w:ascii="Arial" w:hAnsi="Arial" w:cs="Arial"/>
          <w:color w:val="595959" w:themeColor="text1" w:themeTint="A6"/>
        </w:rPr>
        <w:t>on NOF- and CAF-DM</w:t>
      </w:r>
      <w:bookmarkEnd w:id="436"/>
      <w:r w:rsidR="008C21BF" w:rsidRPr="008C21BF">
        <w:rPr>
          <w:rFonts w:ascii="Arial" w:hAnsi="Arial" w:cs="Arial"/>
          <w:color w:val="595959" w:themeColor="text1" w:themeTint="A6"/>
        </w:rPr>
        <w:t xml:space="preserve"> </w:t>
      </w:r>
    </w:p>
    <w:p w14:paraId="07489199" w14:textId="77777777" w:rsidR="007026FC" w:rsidRPr="007026FC" w:rsidRDefault="007026FC" w:rsidP="007026FC"/>
    <w:p w14:paraId="2C86F59F" w14:textId="4B1BCEB4" w:rsidR="008C21BF" w:rsidRPr="008C21BF" w:rsidRDefault="00DA08BA" w:rsidP="008C21BF">
      <w:pPr>
        <w:tabs>
          <w:tab w:val="left" w:pos="1350"/>
        </w:tabs>
        <w:spacing w:line="480" w:lineRule="auto"/>
        <w:jc w:val="both"/>
        <w:rPr>
          <w:rFonts w:ascii="Arial" w:hAnsi="Arial" w:cs="Arial"/>
          <w:color w:val="595959" w:themeColor="text1" w:themeTint="A6"/>
        </w:rPr>
      </w:pPr>
      <w:r>
        <w:rPr>
          <w:rFonts w:ascii="Arial" w:hAnsi="Arial" w:cs="Arial"/>
          <w:color w:val="595959" w:themeColor="text1" w:themeTint="A6"/>
        </w:rPr>
        <w:t xml:space="preserve">In NOF-DM cultures treated with Scriptaid and Batimastat alone, no significant </w:t>
      </w:r>
      <w:r w:rsidR="006C35C7">
        <w:rPr>
          <w:rFonts w:ascii="Arial" w:hAnsi="Arial" w:cs="Arial"/>
          <w:color w:val="595959" w:themeColor="text1" w:themeTint="A6"/>
        </w:rPr>
        <w:t>differences in COL1A1 protein was detected, compared to the levels of COL1A1 protein found in vehicle control treated NOF-DM</w:t>
      </w:r>
      <w:r w:rsidR="00AD218B">
        <w:rPr>
          <w:rFonts w:ascii="Arial" w:hAnsi="Arial" w:cs="Arial"/>
          <w:color w:val="595959" w:themeColor="text1" w:themeTint="A6"/>
        </w:rPr>
        <w:t xml:space="preserve"> (Figure 4.</w:t>
      </w:r>
      <w:r w:rsidR="00574622">
        <w:rPr>
          <w:rFonts w:ascii="Arial" w:hAnsi="Arial" w:cs="Arial"/>
          <w:color w:val="595959" w:themeColor="text1" w:themeTint="A6"/>
        </w:rPr>
        <w:t>20</w:t>
      </w:r>
      <w:r w:rsidR="00AD218B">
        <w:rPr>
          <w:rFonts w:ascii="Arial" w:hAnsi="Arial" w:cs="Arial"/>
          <w:color w:val="595959" w:themeColor="text1" w:themeTint="A6"/>
        </w:rPr>
        <w:t xml:space="preserve"> A i+ii). Scriptaid in combination with TGFβ-1</w:t>
      </w:r>
      <w:r w:rsidR="00361052">
        <w:rPr>
          <w:rFonts w:ascii="Arial" w:hAnsi="Arial" w:cs="Arial"/>
          <w:color w:val="595959" w:themeColor="text1" w:themeTint="A6"/>
        </w:rPr>
        <w:t xml:space="preserve"> (</w:t>
      </w:r>
      <w:r w:rsidR="00B76624">
        <w:rPr>
          <w:rFonts w:ascii="Arial" w:hAnsi="Arial" w:cs="Arial"/>
          <w:color w:val="595959" w:themeColor="text1" w:themeTint="A6"/>
        </w:rPr>
        <w:t>16.20 ± 3.26)</w:t>
      </w:r>
      <w:r w:rsidR="00361052">
        <w:rPr>
          <w:rFonts w:ascii="Arial" w:hAnsi="Arial" w:cs="Arial"/>
          <w:color w:val="595959" w:themeColor="text1" w:themeTint="A6"/>
        </w:rPr>
        <w:t xml:space="preserve">, significantly reduced COL1A1 protein </w:t>
      </w:r>
      <w:r w:rsidR="00B76624">
        <w:rPr>
          <w:rFonts w:ascii="Arial" w:hAnsi="Arial" w:cs="Arial"/>
          <w:color w:val="595959" w:themeColor="text1" w:themeTint="A6"/>
        </w:rPr>
        <w:t>compared to TGFβ-1 treated NOF-DM (</w:t>
      </w:r>
      <w:r w:rsidR="007B78AE">
        <w:rPr>
          <w:rFonts w:ascii="Arial" w:hAnsi="Arial" w:cs="Arial"/>
          <w:color w:val="595959" w:themeColor="text1" w:themeTint="A6"/>
        </w:rPr>
        <w:t>42.44 ± 9.53</w:t>
      </w:r>
      <w:r w:rsidR="004122F0">
        <w:rPr>
          <w:rFonts w:ascii="Arial" w:hAnsi="Arial" w:cs="Arial"/>
          <w:color w:val="595959" w:themeColor="text1" w:themeTint="A6"/>
        </w:rPr>
        <w:t xml:space="preserve">) </w:t>
      </w:r>
      <w:r w:rsidR="007B78AE">
        <w:rPr>
          <w:rFonts w:ascii="Arial" w:hAnsi="Arial" w:cs="Arial"/>
          <w:color w:val="595959" w:themeColor="text1" w:themeTint="A6"/>
        </w:rPr>
        <w:t xml:space="preserve">p=0.0107. </w:t>
      </w:r>
      <w:r w:rsidR="004449D9">
        <w:rPr>
          <w:rFonts w:ascii="Arial" w:hAnsi="Arial" w:cs="Arial"/>
          <w:color w:val="595959" w:themeColor="text1" w:themeTint="A6"/>
        </w:rPr>
        <w:t>Batimastat treatment in combination with TGFβ-1</w:t>
      </w:r>
      <w:r w:rsidR="00CA3EC9">
        <w:rPr>
          <w:rFonts w:ascii="Arial" w:hAnsi="Arial" w:cs="Arial"/>
          <w:color w:val="595959" w:themeColor="text1" w:themeTint="A6"/>
        </w:rPr>
        <w:t xml:space="preserve"> (8.80 ± </w:t>
      </w:r>
      <w:r w:rsidR="003C4AA6">
        <w:rPr>
          <w:rFonts w:ascii="Arial" w:hAnsi="Arial" w:cs="Arial"/>
          <w:color w:val="595959" w:themeColor="text1" w:themeTint="A6"/>
        </w:rPr>
        <w:t xml:space="preserve">6.37) </w:t>
      </w:r>
      <w:r w:rsidR="004449D9">
        <w:rPr>
          <w:rFonts w:ascii="Arial" w:hAnsi="Arial" w:cs="Arial"/>
          <w:color w:val="595959" w:themeColor="text1" w:themeTint="A6"/>
        </w:rPr>
        <w:t>also significantly reduce</w:t>
      </w:r>
      <w:r w:rsidR="004122F0">
        <w:rPr>
          <w:rFonts w:ascii="Arial" w:hAnsi="Arial" w:cs="Arial"/>
          <w:color w:val="595959" w:themeColor="text1" w:themeTint="A6"/>
        </w:rPr>
        <w:t>d</w:t>
      </w:r>
      <w:r w:rsidR="004449D9">
        <w:rPr>
          <w:rFonts w:ascii="Arial" w:hAnsi="Arial" w:cs="Arial"/>
          <w:color w:val="595959" w:themeColor="text1" w:themeTint="A6"/>
        </w:rPr>
        <w:t xml:space="preserve"> COL1A1 protein abundance</w:t>
      </w:r>
      <w:r w:rsidR="008F2A2A">
        <w:rPr>
          <w:rFonts w:ascii="Arial" w:hAnsi="Arial" w:cs="Arial"/>
          <w:color w:val="595959" w:themeColor="text1" w:themeTint="A6"/>
        </w:rPr>
        <w:t xml:space="preserve">, </w:t>
      </w:r>
      <w:r w:rsidR="00C30503">
        <w:rPr>
          <w:rFonts w:ascii="Arial" w:hAnsi="Arial" w:cs="Arial"/>
          <w:color w:val="595959" w:themeColor="text1" w:themeTint="A6"/>
        </w:rPr>
        <w:t>compared to</w:t>
      </w:r>
      <w:r w:rsidR="00C30503" w:rsidRPr="00C30503">
        <w:rPr>
          <w:rFonts w:ascii="Arial" w:hAnsi="Arial" w:cs="Arial"/>
          <w:color w:val="595959" w:themeColor="text1" w:themeTint="A6"/>
        </w:rPr>
        <w:t xml:space="preserve"> </w:t>
      </w:r>
      <w:r w:rsidR="00C30503">
        <w:rPr>
          <w:rFonts w:ascii="Arial" w:hAnsi="Arial" w:cs="Arial"/>
          <w:color w:val="595959" w:themeColor="text1" w:themeTint="A6"/>
        </w:rPr>
        <w:t>NOF-DM treated with TGFβ-1</w:t>
      </w:r>
      <w:r w:rsidR="00024952">
        <w:rPr>
          <w:rFonts w:ascii="Arial" w:hAnsi="Arial" w:cs="Arial"/>
          <w:color w:val="595959" w:themeColor="text1" w:themeTint="A6"/>
        </w:rPr>
        <w:t xml:space="preserve"> </w:t>
      </w:r>
      <w:r w:rsidR="00C30503">
        <w:rPr>
          <w:rFonts w:ascii="Arial" w:hAnsi="Arial" w:cs="Arial"/>
          <w:color w:val="595959" w:themeColor="text1" w:themeTint="A6"/>
        </w:rPr>
        <w:t xml:space="preserve">alone, </w:t>
      </w:r>
      <w:r w:rsidR="008F2A2A">
        <w:rPr>
          <w:rFonts w:ascii="Arial" w:hAnsi="Arial" w:cs="Arial"/>
          <w:color w:val="595959" w:themeColor="text1" w:themeTint="A6"/>
        </w:rPr>
        <w:t>p=</w:t>
      </w:r>
      <w:r w:rsidR="00C30503">
        <w:rPr>
          <w:rFonts w:ascii="Arial" w:hAnsi="Arial" w:cs="Arial"/>
          <w:color w:val="595959" w:themeColor="text1" w:themeTint="A6"/>
        </w:rPr>
        <w:t>0.0071.</w:t>
      </w:r>
    </w:p>
    <w:p w14:paraId="368AAAD2" w14:textId="33BED697" w:rsidR="008C21BF" w:rsidRDefault="003730FB" w:rsidP="008C21BF">
      <w:pPr>
        <w:tabs>
          <w:tab w:val="left" w:pos="1350"/>
        </w:tabs>
        <w:spacing w:line="480" w:lineRule="auto"/>
        <w:jc w:val="both"/>
        <w:rPr>
          <w:rFonts w:ascii="Arial" w:hAnsi="Arial" w:cs="Arial"/>
          <w:color w:val="595959" w:themeColor="text1" w:themeTint="A6"/>
        </w:rPr>
      </w:pPr>
      <w:r>
        <w:rPr>
          <w:rFonts w:ascii="Arial" w:hAnsi="Arial" w:cs="Arial"/>
          <w:color w:val="595959" w:themeColor="text1" w:themeTint="A6"/>
        </w:rPr>
        <w:t xml:space="preserve">In CAF-DM, Scriptaid </w:t>
      </w:r>
      <w:r w:rsidR="008D10B9">
        <w:rPr>
          <w:rFonts w:ascii="Arial" w:hAnsi="Arial" w:cs="Arial"/>
          <w:color w:val="595959" w:themeColor="text1" w:themeTint="A6"/>
        </w:rPr>
        <w:t>or Batimastat treatment alone</w:t>
      </w:r>
      <w:r w:rsidR="00FC6D3A">
        <w:rPr>
          <w:rFonts w:ascii="Arial" w:hAnsi="Arial" w:cs="Arial"/>
          <w:color w:val="595959" w:themeColor="text1" w:themeTint="A6"/>
        </w:rPr>
        <w:t xml:space="preserve"> or in combination with TGFβ-1</w:t>
      </w:r>
      <w:r w:rsidR="008D10B9">
        <w:rPr>
          <w:rFonts w:ascii="Arial" w:hAnsi="Arial" w:cs="Arial"/>
          <w:color w:val="595959" w:themeColor="text1" w:themeTint="A6"/>
        </w:rPr>
        <w:t xml:space="preserve">, didn’t </w:t>
      </w:r>
      <w:r w:rsidR="00673221">
        <w:rPr>
          <w:rFonts w:ascii="Arial" w:hAnsi="Arial" w:cs="Arial"/>
          <w:color w:val="595959" w:themeColor="text1" w:themeTint="A6"/>
        </w:rPr>
        <w:t>induce any</w:t>
      </w:r>
      <w:r w:rsidR="000551DA">
        <w:rPr>
          <w:rFonts w:ascii="Arial" w:hAnsi="Arial" w:cs="Arial"/>
          <w:color w:val="595959" w:themeColor="text1" w:themeTint="A6"/>
        </w:rPr>
        <w:t xml:space="preserve"> significant change in COL1A1 abundance compared to vehicle control treated NOF-DM cultures (Figure 4.</w:t>
      </w:r>
      <w:r w:rsidR="00574622">
        <w:rPr>
          <w:rFonts w:ascii="Arial" w:hAnsi="Arial" w:cs="Arial"/>
          <w:color w:val="595959" w:themeColor="text1" w:themeTint="A6"/>
        </w:rPr>
        <w:t>20</w:t>
      </w:r>
      <w:r w:rsidR="000551DA">
        <w:rPr>
          <w:rFonts w:ascii="Arial" w:hAnsi="Arial" w:cs="Arial"/>
          <w:color w:val="595959" w:themeColor="text1" w:themeTint="A6"/>
        </w:rPr>
        <w:t xml:space="preserve"> B i+ii).  </w:t>
      </w:r>
    </w:p>
    <w:p w14:paraId="5856A484" w14:textId="77777777" w:rsidR="000551DA" w:rsidRPr="008C21BF" w:rsidRDefault="000551DA" w:rsidP="008C21BF">
      <w:pPr>
        <w:tabs>
          <w:tab w:val="left" w:pos="1350"/>
        </w:tabs>
        <w:spacing w:line="480" w:lineRule="auto"/>
        <w:jc w:val="both"/>
        <w:rPr>
          <w:rFonts w:ascii="Arial" w:hAnsi="Arial" w:cs="Arial"/>
          <w:color w:val="595959" w:themeColor="text1" w:themeTint="A6"/>
        </w:rPr>
      </w:pPr>
    </w:p>
    <w:p w14:paraId="00C81C39" w14:textId="77777777" w:rsidR="008C21BF" w:rsidRPr="008C21BF" w:rsidRDefault="008C21BF" w:rsidP="008C21BF">
      <w:pPr>
        <w:tabs>
          <w:tab w:val="left" w:pos="1350"/>
        </w:tabs>
        <w:spacing w:line="480" w:lineRule="auto"/>
        <w:jc w:val="both"/>
        <w:rPr>
          <w:rFonts w:ascii="Arial" w:hAnsi="Arial" w:cs="Arial"/>
          <w:color w:val="595959" w:themeColor="text1" w:themeTint="A6"/>
        </w:rPr>
      </w:pPr>
    </w:p>
    <w:p w14:paraId="17EF79B2" w14:textId="77777777" w:rsidR="008C21BF" w:rsidRPr="008C21BF" w:rsidRDefault="008C21BF" w:rsidP="008C21BF">
      <w:pPr>
        <w:tabs>
          <w:tab w:val="left" w:pos="1350"/>
        </w:tabs>
        <w:spacing w:line="480" w:lineRule="auto"/>
        <w:jc w:val="both"/>
        <w:rPr>
          <w:rFonts w:ascii="Arial" w:hAnsi="Arial" w:cs="Arial"/>
          <w:color w:val="595959" w:themeColor="text1" w:themeTint="A6"/>
        </w:rPr>
      </w:pPr>
    </w:p>
    <w:p w14:paraId="591C63FA" w14:textId="77777777" w:rsidR="008C21BF" w:rsidRPr="008C21BF" w:rsidRDefault="008C21BF" w:rsidP="008C21BF">
      <w:pPr>
        <w:tabs>
          <w:tab w:val="left" w:pos="1350"/>
        </w:tabs>
        <w:spacing w:line="480" w:lineRule="auto"/>
        <w:jc w:val="both"/>
        <w:rPr>
          <w:rFonts w:ascii="Arial" w:hAnsi="Arial" w:cs="Arial"/>
          <w:color w:val="595959" w:themeColor="text1" w:themeTint="A6"/>
        </w:rPr>
      </w:pPr>
    </w:p>
    <w:p w14:paraId="00BCC255" w14:textId="4658B13F" w:rsidR="008C21BF" w:rsidRPr="008C21BF" w:rsidRDefault="008C21BF" w:rsidP="008C21BF">
      <w:pPr>
        <w:tabs>
          <w:tab w:val="left" w:pos="1350"/>
        </w:tabs>
        <w:spacing w:line="480" w:lineRule="auto"/>
        <w:jc w:val="both"/>
        <w:rPr>
          <w:rFonts w:ascii="Arial" w:hAnsi="Arial" w:cs="Arial"/>
          <w:color w:val="595959" w:themeColor="text1" w:themeTint="A6"/>
        </w:rPr>
      </w:pPr>
    </w:p>
    <w:p w14:paraId="6477F1D8" w14:textId="196FAB64" w:rsidR="008C21BF" w:rsidRPr="008C21BF" w:rsidRDefault="008C21BF" w:rsidP="008C21BF">
      <w:pPr>
        <w:tabs>
          <w:tab w:val="left" w:pos="1350"/>
        </w:tabs>
        <w:spacing w:line="480" w:lineRule="auto"/>
        <w:jc w:val="both"/>
        <w:rPr>
          <w:rFonts w:ascii="Arial" w:hAnsi="Arial" w:cs="Arial"/>
          <w:color w:val="595959" w:themeColor="text1" w:themeTint="A6"/>
        </w:rPr>
      </w:pPr>
    </w:p>
    <w:p w14:paraId="6885E9CC" w14:textId="77777777" w:rsidR="008C21BF" w:rsidRPr="008C21BF" w:rsidRDefault="008C21BF" w:rsidP="008C21BF">
      <w:pPr>
        <w:tabs>
          <w:tab w:val="left" w:pos="1350"/>
        </w:tabs>
        <w:spacing w:line="480" w:lineRule="auto"/>
        <w:jc w:val="both"/>
        <w:rPr>
          <w:rFonts w:ascii="Arial" w:hAnsi="Arial" w:cs="Arial"/>
          <w:color w:val="595959" w:themeColor="text1" w:themeTint="A6"/>
        </w:rPr>
      </w:pPr>
    </w:p>
    <w:p w14:paraId="746725DA" w14:textId="370681B9" w:rsidR="008C21BF" w:rsidRPr="008C21BF" w:rsidRDefault="008C21BF" w:rsidP="008C21BF">
      <w:pPr>
        <w:tabs>
          <w:tab w:val="left" w:pos="1350"/>
        </w:tabs>
        <w:spacing w:line="480" w:lineRule="auto"/>
        <w:jc w:val="both"/>
        <w:rPr>
          <w:rFonts w:ascii="Arial" w:hAnsi="Arial" w:cs="Arial"/>
          <w:color w:val="595959" w:themeColor="text1" w:themeTint="A6"/>
        </w:rPr>
      </w:pPr>
    </w:p>
    <w:p w14:paraId="342407DE" w14:textId="77777777" w:rsidR="008C21BF" w:rsidRPr="008C21BF" w:rsidRDefault="008C21BF" w:rsidP="008C21BF">
      <w:pPr>
        <w:tabs>
          <w:tab w:val="left" w:pos="1350"/>
        </w:tabs>
        <w:spacing w:line="480" w:lineRule="auto"/>
        <w:jc w:val="both"/>
        <w:rPr>
          <w:rFonts w:ascii="Arial" w:hAnsi="Arial" w:cs="Arial"/>
          <w:color w:val="595959" w:themeColor="text1" w:themeTint="A6"/>
        </w:rPr>
      </w:pPr>
    </w:p>
    <w:p w14:paraId="654EAA3C" w14:textId="77777777" w:rsidR="008C21BF" w:rsidRPr="008C21BF" w:rsidRDefault="008C21BF" w:rsidP="008C21BF">
      <w:pPr>
        <w:tabs>
          <w:tab w:val="left" w:pos="1350"/>
        </w:tabs>
        <w:spacing w:line="480" w:lineRule="auto"/>
        <w:jc w:val="both"/>
        <w:rPr>
          <w:rFonts w:ascii="Arial" w:hAnsi="Arial" w:cs="Arial"/>
          <w:color w:val="595959" w:themeColor="text1" w:themeTint="A6"/>
        </w:rPr>
      </w:pPr>
    </w:p>
    <w:p w14:paraId="15E5B0CB" w14:textId="77777777" w:rsidR="008C21BF" w:rsidRPr="008C21BF" w:rsidRDefault="008C21BF" w:rsidP="008C21BF">
      <w:pPr>
        <w:tabs>
          <w:tab w:val="left" w:pos="1350"/>
        </w:tabs>
        <w:spacing w:line="480" w:lineRule="auto"/>
        <w:jc w:val="both"/>
        <w:rPr>
          <w:rFonts w:ascii="Arial" w:hAnsi="Arial" w:cs="Arial"/>
          <w:color w:val="595959" w:themeColor="text1" w:themeTint="A6"/>
        </w:rPr>
      </w:pPr>
    </w:p>
    <w:p w14:paraId="27BC0BED" w14:textId="77777777" w:rsidR="008C21BF" w:rsidRPr="008C21BF" w:rsidRDefault="008C21BF" w:rsidP="008C21BF">
      <w:pPr>
        <w:rPr>
          <w:rFonts w:ascii="Arial" w:hAnsi="Arial" w:cs="Arial"/>
        </w:rPr>
      </w:pPr>
    </w:p>
    <w:p w14:paraId="74225511" w14:textId="574F03E8" w:rsidR="008C21BF" w:rsidRPr="008C21BF" w:rsidRDefault="00071176" w:rsidP="008C21BF">
      <w:pPr>
        <w:rPr>
          <w:rFonts w:ascii="Arial" w:hAnsi="Arial" w:cs="Arial"/>
        </w:rPr>
      </w:pPr>
      <w:r>
        <w:rPr>
          <w:rFonts w:ascii="Arial" w:hAnsi="Arial" w:cs="Arial"/>
          <w:noProof/>
        </w:rPr>
        <w:drawing>
          <wp:anchor distT="0" distB="0" distL="114300" distR="114300" simplePos="0" relativeHeight="251682059" behindDoc="0" locked="0" layoutInCell="1" allowOverlap="1" wp14:anchorId="2765A37E" wp14:editId="0D55B773">
            <wp:simplePos x="0" y="0"/>
            <wp:positionH relativeFrom="margin">
              <wp:align>left</wp:align>
            </wp:positionH>
            <wp:positionV relativeFrom="paragraph">
              <wp:posOffset>10795</wp:posOffset>
            </wp:positionV>
            <wp:extent cx="7437755" cy="5395595"/>
            <wp:effectExtent l="0" t="0" r="0" b="0"/>
            <wp:wrapNone/>
            <wp:docPr id="5595" name="Picture 5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7437755" cy="5395595"/>
                    </a:xfrm>
                    <a:prstGeom prst="rect">
                      <a:avLst/>
                    </a:prstGeom>
                    <a:noFill/>
                  </pic:spPr>
                </pic:pic>
              </a:graphicData>
            </a:graphic>
          </wp:anchor>
        </w:drawing>
      </w:r>
    </w:p>
    <w:p w14:paraId="64266270" w14:textId="73F69D8B" w:rsidR="008C21BF" w:rsidRPr="008C21BF" w:rsidRDefault="008C21BF" w:rsidP="008C21BF">
      <w:pPr>
        <w:rPr>
          <w:rFonts w:ascii="Arial" w:hAnsi="Arial" w:cs="Arial"/>
        </w:rPr>
      </w:pPr>
    </w:p>
    <w:p w14:paraId="2F9B46DE" w14:textId="695D5132" w:rsidR="008C21BF" w:rsidRPr="008C21BF" w:rsidRDefault="008C21BF" w:rsidP="008C21BF">
      <w:pPr>
        <w:rPr>
          <w:rFonts w:ascii="Arial" w:hAnsi="Arial" w:cs="Arial"/>
        </w:rPr>
      </w:pPr>
    </w:p>
    <w:p w14:paraId="72FA86DD" w14:textId="2AD09631" w:rsidR="008C21BF" w:rsidRPr="008C21BF" w:rsidRDefault="008C21BF" w:rsidP="008C21BF">
      <w:pPr>
        <w:rPr>
          <w:rFonts w:ascii="Arial" w:hAnsi="Arial" w:cs="Arial"/>
        </w:rPr>
      </w:pPr>
    </w:p>
    <w:p w14:paraId="1014D2C9" w14:textId="1E3C7122" w:rsidR="008C21BF" w:rsidRPr="008C21BF" w:rsidRDefault="008C21BF" w:rsidP="008C21BF">
      <w:pPr>
        <w:rPr>
          <w:rFonts w:ascii="Arial" w:hAnsi="Arial" w:cs="Arial"/>
        </w:rPr>
      </w:pPr>
    </w:p>
    <w:p w14:paraId="09E71E4C" w14:textId="0083B1F7" w:rsidR="008C21BF" w:rsidRPr="008C21BF" w:rsidRDefault="008C21BF" w:rsidP="008C21BF">
      <w:pPr>
        <w:rPr>
          <w:rFonts w:ascii="Arial" w:hAnsi="Arial" w:cs="Arial"/>
        </w:rPr>
      </w:pPr>
    </w:p>
    <w:p w14:paraId="028202B5" w14:textId="77777777" w:rsidR="008C21BF" w:rsidRPr="008C21BF" w:rsidRDefault="008C21BF" w:rsidP="008C21BF">
      <w:pPr>
        <w:rPr>
          <w:rFonts w:ascii="Arial" w:hAnsi="Arial" w:cs="Arial"/>
        </w:rPr>
      </w:pPr>
    </w:p>
    <w:p w14:paraId="50AE9CF7" w14:textId="77777777" w:rsidR="008C21BF" w:rsidRPr="008C21BF" w:rsidRDefault="008C21BF" w:rsidP="008C21BF">
      <w:pPr>
        <w:rPr>
          <w:rFonts w:ascii="Arial" w:hAnsi="Arial" w:cs="Arial"/>
        </w:rPr>
      </w:pPr>
    </w:p>
    <w:p w14:paraId="55C886F3" w14:textId="77777777" w:rsidR="008C21BF" w:rsidRPr="008C21BF" w:rsidRDefault="008C21BF" w:rsidP="008C21BF">
      <w:pPr>
        <w:rPr>
          <w:rFonts w:ascii="Arial" w:hAnsi="Arial" w:cs="Arial"/>
        </w:rPr>
      </w:pPr>
    </w:p>
    <w:p w14:paraId="08EDF33E" w14:textId="40BC1939" w:rsidR="008C21BF" w:rsidRPr="008C21BF" w:rsidRDefault="008C21BF" w:rsidP="008C21BF">
      <w:pPr>
        <w:rPr>
          <w:rFonts w:ascii="Arial" w:hAnsi="Arial" w:cs="Arial"/>
        </w:rPr>
      </w:pPr>
    </w:p>
    <w:p w14:paraId="2B9958A2" w14:textId="77777777" w:rsidR="008C21BF" w:rsidRPr="008C21BF" w:rsidRDefault="008C21BF" w:rsidP="008C21BF">
      <w:pPr>
        <w:rPr>
          <w:rFonts w:ascii="Arial" w:hAnsi="Arial" w:cs="Arial"/>
        </w:rPr>
      </w:pPr>
    </w:p>
    <w:p w14:paraId="34EA00CA" w14:textId="47719FFE" w:rsidR="008C21BF" w:rsidRPr="008C21BF" w:rsidRDefault="008C21BF" w:rsidP="008C21BF">
      <w:pPr>
        <w:rPr>
          <w:rFonts w:ascii="Arial" w:hAnsi="Arial" w:cs="Arial"/>
        </w:rPr>
      </w:pPr>
    </w:p>
    <w:p w14:paraId="62E04A3B" w14:textId="0B207654" w:rsidR="008C21BF" w:rsidRDefault="008C21BF" w:rsidP="008C21BF">
      <w:pPr>
        <w:rPr>
          <w:rFonts w:ascii="Arial" w:hAnsi="Arial" w:cs="Arial"/>
        </w:rPr>
      </w:pPr>
    </w:p>
    <w:p w14:paraId="77682717" w14:textId="6F846C09" w:rsidR="00E84309" w:rsidRDefault="00E84309" w:rsidP="008C21BF">
      <w:pPr>
        <w:rPr>
          <w:rFonts w:ascii="Arial" w:hAnsi="Arial" w:cs="Arial"/>
        </w:rPr>
      </w:pPr>
    </w:p>
    <w:p w14:paraId="6039C24A" w14:textId="03A6E0FD" w:rsidR="00E84309" w:rsidRDefault="00E84309" w:rsidP="008C21BF">
      <w:pPr>
        <w:rPr>
          <w:rFonts w:ascii="Arial" w:hAnsi="Arial" w:cs="Arial"/>
        </w:rPr>
      </w:pPr>
    </w:p>
    <w:p w14:paraId="70084D23" w14:textId="6F5CCBEE" w:rsidR="00E84309" w:rsidRDefault="00E84309" w:rsidP="008C21BF">
      <w:pPr>
        <w:rPr>
          <w:rFonts w:ascii="Arial" w:hAnsi="Arial" w:cs="Arial"/>
        </w:rPr>
      </w:pPr>
    </w:p>
    <w:p w14:paraId="2BCD38E2" w14:textId="1A454B3E" w:rsidR="00E84309" w:rsidRDefault="00E84309" w:rsidP="008C21BF">
      <w:pPr>
        <w:rPr>
          <w:rFonts w:ascii="Arial" w:hAnsi="Arial" w:cs="Arial"/>
        </w:rPr>
      </w:pPr>
    </w:p>
    <w:p w14:paraId="18C9825B" w14:textId="059A9449" w:rsidR="00E84309" w:rsidRDefault="00E84309" w:rsidP="008C21BF">
      <w:pPr>
        <w:rPr>
          <w:rFonts w:ascii="Arial" w:hAnsi="Arial" w:cs="Arial"/>
        </w:rPr>
      </w:pPr>
    </w:p>
    <w:p w14:paraId="163762FA" w14:textId="62E8C8FC" w:rsidR="00E84309" w:rsidRDefault="00E84309" w:rsidP="008C21BF">
      <w:pPr>
        <w:rPr>
          <w:rFonts w:ascii="Arial" w:hAnsi="Arial" w:cs="Arial"/>
        </w:rPr>
      </w:pPr>
    </w:p>
    <w:p w14:paraId="64EFC06A" w14:textId="1ECA718E" w:rsidR="00E84309" w:rsidRDefault="00E84309" w:rsidP="008C21BF">
      <w:pPr>
        <w:rPr>
          <w:rFonts w:ascii="Arial" w:hAnsi="Arial" w:cs="Arial"/>
        </w:rPr>
      </w:pPr>
    </w:p>
    <w:p w14:paraId="0BF84C24" w14:textId="3C13C30C" w:rsidR="0000574E" w:rsidRDefault="0000574E" w:rsidP="008C21BF">
      <w:pPr>
        <w:rPr>
          <w:rFonts w:ascii="Arial" w:hAnsi="Arial" w:cs="Arial"/>
        </w:rPr>
      </w:pPr>
    </w:p>
    <w:p w14:paraId="25A41CF0" w14:textId="7FC3AB5D" w:rsidR="0000574E" w:rsidRDefault="0000574E" w:rsidP="008C21BF">
      <w:pPr>
        <w:rPr>
          <w:rFonts w:ascii="Arial" w:hAnsi="Arial" w:cs="Arial"/>
        </w:rPr>
      </w:pPr>
    </w:p>
    <w:p w14:paraId="522B2BAF" w14:textId="32D0F676" w:rsidR="0000574E" w:rsidRDefault="00DB70BC" w:rsidP="008C21BF">
      <w:pPr>
        <w:rPr>
          <w:rFonts w:ascii="Arial" w:hAnsi="Arial" w:cs="Arial"/>
        </w:rPr>
      </w:pPr>
      <w:r w:rsidRPr="008C21BF">
        <w:rPr>
          <w:rFonts w:ascii="Arial" w:hAnsi="Arial" w:cs="Arial"/>
          <w:noProof/>
          <w:color w:val="595959" w:themeColor="text1" w:themeTint="A6"/>
          <w:sz w:val="24"/>
          <w:szCs w:val="24"/>
          <w:lang w:eastAsia="zh-CN"/>
        </w:rPr>
        <mc:AlternateContent>
          <mc:Choice Requires="wps">
            <w:drawing>
              <wp:anchor distT="0" distB="0" distL="114300" distR="114300" simplePos="0" relativeHeight="251658472" behindDoc="0" locked="0" layoutInCell="1" allowOverlap="1" wp14:anchorId="2ABF52EF" wp14:editId="1DC48963">
                <wp:simplePos x="0" y="0"/>
                <wp:positionH relativeFrom="margin">
                  <wp:align>left</wp:align>
                </wp:positionH>
                <wp:positionV relativeFrom="paragraph">
                  <wp:posOffset>199390</wp:posOffset>
                </wp:positionV>
                <wp:extent cx="5732780" cy="1485900"/>
                <wp:effectExtent l="0" t="0" r="1270" b="0"/>
                <wp:wrapNone/>
                <wp:docPr id="52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2780" cy="1485900"/>
                        </a:xfrm>
                        <a:prstGeom prst="rect">
                          <a:avLst/>
                        </a:prstGeom>
                        <a:solidFill>
                          <a:srgbClr val="FFFFFF"/>
                        </a:solidFill>
                        <a:ln w="9525">
                          <a:noFill/>
                          <a:miter lim="800000"/>
                          <a:headEnd/>
                          <a:tailEnd/>
                        </a:ln>
                      </wps:spPr>
                      <wps:txbx>
                        <w:txbxContent>
                          <w:p w14:paraId="2770B58D" w14:textId="0989D24B" w:rsidR="008A47AC" w:rsidRDefault="008A47AC" w:rsidP="00325F09">
                            <w:pPr>
                              <w:pStyle w:val="Caption"/>
                              <w:keepNext/>
                              <w:jc w:val="both"/>
                              <w:rPr>
                                <w:rFonts w:ascii="Arial Narrow" w:hAnsi="Arial Narrow"/>
                                <w:b/>
                                <w:i w:val="0"/>
                                <w:color w:val="595959" w:themeColor="text1" w:themeTint="A6"/>
                                <w:sz w:val="24"/>
                                <w:szCs w:val="24"/>
                              </w:rPr>
                            </w:pPr>
                            <w:r w:rsidRPr="006B7937">
                              <w:rPr>
                                <w:rFonts w:ascii="Arial Narrow" w:hAnsi="Arial Narrow"/>
                                <w:b/>
                                <w:i w:val="0"/>
                                <w:color w:val="595959" w:themeColor="text1" w:themeTint="A6"/>
                                <w:sz w:val="24"/>
                                <w:szCs w:val="24"/>
                              </w:rPr>
                              <w:t xml:space="preserve">Figure </w:t>
                            </w:r>
                            <w:r>
                              <w:rPr>
                                <w:rFonts w:ascii="Arial Narrow" w:hAnsi="Arial Narrow"/>
                                <w:b/>
                                <w:i w:val="0"/>
                                <w:color w:val="595959" w:themeColor="text1" w:themeTint="A6"/>
                                <w:sz w:val="24"/>
                                <w:szCs w:val="24"/>
                              </w:rPr>
                              <w:t xml:space="preserve">4.20 Immunoblotting for COL1A1 abundance in NOF- and CAF-DM </w:t>
                            </w:r>
                            <w:r w:rsidRPr="00874532">
                              <w:rPr>
                                <w:rFonts w:ascii="Arial Narrow" w:hAnsi="Arial Narrow"/>
                                <w:b/>
                                <w:bCs/>
                                <w:i w:val="0"/>
                                <w:color w:val="595959" w:themeColor="text1" w:themeTint="A6"/>
                                <w:sz w:val="24"/>
                                <w:szCs w:val="24"/>
                                <w:lang w:val="en-GB"/>
                              </w:rPr>
                              <w:t xml:space="preserve">in response to Scriptaid and Batimastat treatment with and without TGFβ-1 stimulation </w:t>
                            </w:r>
                          </w:p>
                          <w:p w14:paraId="29F1BA7D" w14:textId="78198588" w:rsidR="008A47AC" w:rsidRPr="00DF77AE" w:rsidRDefault="008A47AC" w:rsidP="00325F09">
                            <w:pPr>
                              <w:pStyle w:val="NormalWeb"/>
                              <w:spacing w:after="200" w:line="276" w:lineRule="auto"/>
                              <w:jc w:val="both"/>
                              <w:rPr>
                                <w:rFonts w:ascii="Arial Narrow" w:eastAsia="SimSun" w:hAnsi="Arial Narrow" w:cs="Arial"/>
                                <w:color w:val="595959"/>
                                <w:kern w:val="24"/>
                                <w:sz w:val="22"/>
                              </w:rPr>
                            </w:pPr>
                            <w:r>
                              <w:rPr>
                                <w:rFonts w:ascii="Arial Narrow" w:eastAsia="SimSun" w:hAnsi="Arial Narrow" w:cs="Arial"/>
                                <w:color w:val="595959"/>
                                <w:kern w:val="24"/>
                                <w:sz w:val="22"/>
                              </w:rPr>
                              <w:t xml:space="preserve">NOF- (A) and CAF-DM (B) were treated with the inhibitors Scriptaid and Batimastat in the presence or absence of </w:t>
                            </w:r>
                            <w:r w:rsidRPr="00944EBD">
                              <w:rPr>
                                <w:rFonts w:ascii="Arial Narrow" w:eastAsia="SimSun" w:hAnsi="Arial Narrow" w:cs="Arial"/>
                                <w:color w:val="595959"/>
                                <w:kern w:val="24"/>
                                <w:sz w:val="22"/>
                              </w:rPr>
                              <w:t xml:space="preserve">TGFβ-1 </w:t>
                            </w:r>
                            <w:r>
                              <w:rPr>
                                <w:rFonts w:ascii="Arial Narrow" w:eastAsia="SimSun" w:hAnsi="Arial Narrow" w:cs="Arial"/>
                                <w:color w:val="595959"/>
                                <w:kern w:val="24"/>
                                <w:sz w:val="22"/>
                              </w:rPr>
                              <w:t xml:space="preserve">for 7 days with COL1A1 protein levels determined using immunoblotting. Densitometry of the resultant bands were measured using ImageJ and the intensity measured relative to GAPDH controls (A ii and B ii).  Data is expressed as relative fold change, with mean ± SD, N=3, n=2, * denotes p &lt;0.05 and **p &lt;0.01 analysed by student’s T-test. </w:t>
                            </w:r>
                          </w:p>
                          <w:p w14:paraId="398C2633" w14:textId="77777777" w:rsidR="008A47AC" w:rsidRPr="00944EBD" w:rsidRDefault="008A47AC" w:rsidP="00325F09">
                            <w:pPr>
                              <w:pStyle w:val="NormalWeb"/>
                              <w:spacing w:after="200" w:line="276" w:lineRule="auto"/>
                              <w:jc w:val="both"/>
                              <w:rPr>
                                <w:rFonts w:ascii="Arial Narrow" w:eastAsia="SimSun" w:hAnsi="Arial Narrow" w:cs="Arial"/>
                                <w:color w:val="595959"/>
                                <w:kern w:val="24"/>
                                <w:sz w:val="22"/>
                              </w:rPr>
                            </w:pPr>
                          </w:p>
                          <w:p w14:paraId="50A255BB" w14:textId="77777777" w:rsidR="008A47AC" w:rsidRPr="00C934F6" w:rsidRDefault="008A47AC" w:rsidP="00325F09"/>
                          <w:p w14:paraId="7EBFD3A7" w14:textId="77777777" w:rsidR="008A47AC" w:rsidRPr="00805597" w:rsidRDefault="008A47AC" w:rsidP="00325F09">
                            <w:pPr>
                              <w:pStyle w:val="Caption"/>
                              <w:keepNext/>
                              <w:spacing w:line="276" w:lineRule="auto"/>
                              <w:jc w:val="both"/>
                              <w:rPr>
                                <w:rFonts w:ascii="Arial Narrow" w:hAnsi="Arial Narrow"/>
                                <w:b/>
                                <w:i w:val="0"/>
                                <w:iCs w:val="0"/>
                                <w:color w:val="595959" w:themeColor="text1" w:themeTint="A6"/>
                                <w:sz w:val="36"/>
                                <w:szCs w:val="3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BF52EF" id="_x0000_s1173" type="#_x0000_t202" style="position:absolute;margin-left:0;margin-top:15.7pt;width:451.4pt;height:117pt;z-index:2516584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" stroked="f">
                <v:textbox>
                  <w:txbxContent>
                    <w:p w14:paraId="2770B58D" w14:textId="0989D24B" w:rsidR="008A47AC" w:rsidRDefault="008A47AC" w:rsidP="00325F09">
                      <w:pPr>
                        <w:pStyle w:val="Caption"/>
                        <w:keepNext/>
                        <w:jc w:val="both"/>
                        <w:rPr>
                          <w:rFonts w:ascii="Arial Narrow" w:hAnsi="Arial Narrow"/>
                          <w:b/>
                          <w:i w:val="0"/>
                          <w:color w:val="595959" w:themeColor="text1" w:themeTint="A6"/>
                          <w:sz w:val="24"/>
                          <w:szCs w:val="24"/>
                        </w:rPr>
                      </w:pPr>
                      <w:r w:rsidRPr="006B7937">
                        <w:rPr>
                          <w:rFonts w:ascii="Arial Narrow" w:hAnsi="Arial Narrow"/>
                          <w:b/>
                          <w:i w:val="0"/>
                          <w:color w:val="595959" w:themeColor="text1" w:themeTint="A6"/>
                          <w:sz w:val="24"/>
                          <w:szCs w:val="24"/>
                        </w:rPr>
                        <w:t xml:space="preserve">Figure </w:t>
                      </w:r>
                      <w:r>
                        <w:rPr>
                          <w:rFonts w:ascii="Arial Narrow" w:hAnsi="Arial Narrow"/>
                          <w:b/>
                          <w:i w:val="0"/>
                          <w:color w:val="595959" w:themeColor="text1" w:themeTint="A6"/>
                          <w:sz w:val="24"/>
                          <w:szCs w:val="24"/>
                        </w:rPr>
                        <w:t xml:space="preserve">4.20 Immunoblotting for COL1A1 abundance in NOF- and CAF-DM </w:t>
                      </w:r>
                      <w:r w:rsidRPr="00874532">
                        <w:rPr>
                          <w:rFonts w:ascii="Arial Narrow" w:hAnsi="Arial Narrow"/>
                          <w:b/>
                          <w:bCs/>
                          <w:i w:val="0"/>
                          <w:color w:val="595959" w:themeColor="text1" w:themeTint="A6"/>
                          <w:sz w:val="24"/>
                          <w:szCs w:val="24"/>
                          <w:lang w:val="en-GB"/>
                        </w:rPr>
                        <w:t xml:space="preserve">in response to Scriptaid and Batimastat treatment with and without TGFβ-1 stimulation </w:t>
                      </w:r>
                    </w:p>
                    <w:p w14:paraId="29F1BA7D" w14:textId="78198588" w:rsidR="008A47AC" w:rsidRPr="00DF77AE" w:rsidRDefault="008A47AC" w:rsidP="00325F09">
                      <w:pPr>
                        <w:pStyle w:val="NormalWeb"/>
                        <w:spacing w:after="200" w:line="276" w:lineRule="auto"/>
                        <w:jc w:val="both"/>
                        <w:rPr>
                          <w:rFonts w:ascii="Arial Narrow" w:eastAsia="SimSun" w:hAnsi="Arial Narrow" w:cs="Arial"/>
                          <w:color w:val="595959"/>
                          <w:kern w:val="24"/>
                          <w:sz w:val="22"/>
                        </w:rPr>
                      </w:pPr>
                      <w:r>
                        <w:rPr>
                          <w:rFonts w:ascii="Arial Narrow" w:eastAsia="SimSun" w:hAnsi="Arial Narrow" w:cs="Arial"/>
                          <w:color w:val="595959"/>
                          <w:kern w:val="24"/>
                          <w:sz w:val="22"/>
                        </w:rPr>
                        <w:t xml:space="preserve">NOF- (A) and CAF-DM (B) were treated with the inhibitors Scriptaid and Batimastat in the presence or absence of </w:t>
                      </w:r>
                      <w:r w:rsidRPr="00944EBD">
                        <w:rPr>
                          <w:rFonts w:ascii="Arial Narrow" w:eastAsia="SimSun" w:hAnsi="Arial Narrow" w:cs="Arial"/>
                          <w:color w:val="595959"/>
                          <w:kern w:val="24"/>
                          <w:sz w:val="22"/>
                        </w:rPr>
                        <w:t xml:space="preserve">TGFβ-1 </w:t>
                      </w:r>
                      <w:r>
                        <w:rPr>
                          <w:rFonts w:ascii="Arial Narrow" w:eastAsia="SimSun" w:hAnsi="Arial Narrow" w:cs="Arial"/>
                          <w:color w:val="595959"/>
                          <w:kern w:val="24"/>
                          <w:sz w:val="22"/>
                        </w:rPr>
                        <w:t xml:space="preserve">for 7 days with COL1A1 protein levels determined using immunoblotting. Densitometry of the resultant bands were measured using ImageJ and the intensity measured relative to GAPDH controls (A ii and B ii).  Data is expressed as relative fold change, with mean ± SD, N=3, n=2, * denotes p &lt;0.05 and **p &lt;0.01 analysed by student’s T-test. </w:t>
                      </w:r>
                    </w:p>
                    <w:p w14:paraId="398C2633" w14:textId="77777777" w:rsidR="008A47AC" w:rsidRPr="00944EBD" w:rsidRDefault="008A47AC" w:rsidP="00325F09">
                      <w:pPr>
                        <w:pStyle w:val="NormalWeb"/>
                        <w:spacing w:after="200" w:line="276" w:lineRule="auto"/>
                        <w:jc w:val="both"/>
                        <w:rPr>
                          <w:rFonts w:ascii="Arial Narrow" w:eastAsia="SimSun" w:hAnsi="Arial Narrow" w:cs="Arial"/>
                          <w:color w:val="595959"/>
                          <w:kern w:val="24"/>
                          <w:sz w:val="22"/>
                        </w:rPr>
                      </w:pPr>
                    </w:p>
                    <w:p w14:paraId="50A255BB" w14:textId="77777777" w:rsidR="008A47AC" w:rsidRPr="00C934F6" w:rsidRDefault="008A47AC" w:rsidP="00325F09"/>
                    <w:p w14:paraId="7EBFD3A7" w14:textId="77777777" w:rsidR="008A47AC" w:rsidRPr="00805597" w:rsidRDefault="008A47AC" w:rsidP="00325F09">
                      <w:pPr>
                        <w:pStyle w:val="Caption"/>
                        <w:keepNext/>
                        <w:spacing w:line="276" w:lineRule="auto"/>
                        <w:jc w:val="both"/>
                        <w:rPr>
                          <w:rFonts w:ascii="Arial Narrow" w:hAnsi="Arial Narrow"/>
                          <w:b/>
                          <w:i w:val="0"/>
                          <w:iCs w:val="0"/>
                          <w:color w:val="595959" w:themeColor="text1" w:themeTint="A6"/>
                          <w:sz w:val="36"/>
                          <w:szCs w:val="36"/>
                        </w:rPr>
                      </w:pPr>
                    </w:p>
                  </w:txbxContent>
                </v:textbox>
                <w10:wrap anchorx="margin"/>
              </v:shape>
            </w:pict>
          </mc:Fallback>
        </mc:AlternateContent>
      </w:r>
    </w:p>
    <w:p w14:paraId="3E624B8F" w14:textId="330688A6" w:rsidR="0000574E" w:rsidRDefault="0000574E" w:rsidP="008C21BF">
      <w:pPr>
        <w:rPr>
          <w:rFonts w:ascii="Arial" w:hAnsi="Arial" w:cs="Arial"/>
        </w:rPr>
      </w:pPr>
    </w:p>
    <w:p w14:paraId="0BF1A4DF" w14:textId="20E798FA" w:rsidR="0000574E" w:rsidRDefault="0000574E" w:rsidP="008C21BF">
      <w:pPr>
        <w:rPr>
          <w:rFonts w:ascii="Arial" w:hAnsi="Arial" w:cs="Arial"/>
        </w:rPr>
      </w:pPr>
    </w:p>
    <w:p w14:paraId="78839BA9" w14:textId="627DB6BA" w:rsidR="0000574E" w:rsidRDefault="0000574E" w:rsidP="008C21BF">
      <w:pPr>
        <w:rPr>
          <w:rFonts w:ascii="Arial" w:hAnsi="Arial" w:cs="Arial"/>
        </w:rPr>
      </w:pPr>
    </w:p>
    <w:p w14:paraId="1761CB1B" w14:textId="29B8D505" w:rsidR="0000574E" w:rsidRDefault="0000574E" w:rsidP="008C21BF">
      <w:pPr>
        <w:rPr>
          <w:rFonts w:ascii="Arial" w:hAnsi="Arial" w:cs="Arial"/>
        </w:rPr>
      </w:pPr>
    </w:p>
    <w:p w14:paraId="7239B0A7" w14:textId="2A3AE14B" w:rsidR="0000574E" w:rsidRDefault="0000574E" w:rsidP="008C21BF">
      <w:pPr>
        <w:rPr>
          <w:rFonts w:ascii="Arial" w:hAnsi="Arial" w:cs="Arial"/>
        </w:rPr>
      </w:pPr>
    </w:p>
    <w:p w14:paraId="2FE1C001" w14:textId="028FC454" w:rsidR="0000574E" w:rsidRDefault="0000574E" w:rsidP="008C21BF">
      <w:pPr>
        <w:rPr>
          <w:rFonts w:ascii="Arial" w:hAnsi="Arial" w:cs="Arial"/>
        </w:rPr>
      </w:pPr>
    </w:p>
    <w:p w14:paraId="39AF7129" w14:textId="1A94FD5A" w:rsidR="00E84309" w:rsidRDefault="00E84309" w:rsidP="008C21BF">
      <w:pPr>
        <w:rPr>
          <w:rFonts w:ascii="Arial" w:hAnsi="Arial" w:cs="Arial"/>
        </w:rPr>
      </w:pPr>
    </w:p>
    <w:p w14:paraId="518CAF72" w14:textId="74106959" w:rsidR="008C21BF" w:rsidRPr="001A197A" w:rsidRDefault="008C21BF" w:rsidP="008C21BF">
      <w:pPr>
        <w:keepNext/>
        <w:keepLines/>
        <w:spacing w:before="40" w:after="0"/>
        <w:outlineLvl w:val="1"/>
        <w:rPr>
          <w:rFonts w:ascii="Arial" w:eastAsiaTheme="majorEastAsia" w:hAnsi="Arial" w:cs="Arial"/>
          <w:color w:val="595959" w:themeColor="text1" w:themeTint="A6"/>
          <w:sz w:val="26"/>
          <w:szCs w:val="26"/>
        </w:rPr>
      </w:pPr>
      <w:bookmarkStart w:id="437" w:name="_Toc34208441"/>
      <w:r w:rsidRPr="008C21BF">
        <w:rPr>
          <w:rFonts w:ascii="Arial" w:eastAsiaTheme="majorEastAsia" w:hAnsi="Arial" w:cs="Arial"/>
          <w:color w:val="595959" w:themeColor="text1" w:themeTint="A6"/>
          <w:sz w:val="26"/>
          <w:szCs w:val="26"/>
        </w:rPr>
        <w:lastRenderedPageBreak/>
        <w:t>4.4 Discussion</w:t>
      </w:r>
      <w:bookmarkEnd w:id="429"/>
      <w:bookmarkEnd w:id="437"/>
      <w:r w:rsidRPr="008C21BF">
        <w:rPr>
          <w:rFonts w:ascii="Arial" w:eastAsiaTheme="majorEastAsia" w:hAnsi="Arial" w:cs="Arial"/>
          <w:color w:val="595959" w:themeColor="text1" w:themeTint="A6"/>
          <w:sz w:val="26"/>
          <w:szCs w:val="26"/>
        </w:rPr>
        <w:t xml:space="preserve"> </w:t>
      </w:r>
    </w:p>
    <w:p w14:paraId="1D33857A" w14:textId="77777777" w:rsidR="008C21BF" w:rsidRPr="008C21BF" w:rsidRDefault="008C21BF" w:rsidP="008C21BF"/>
    <w:p w14:paraId="5C9463B9" w14:textId="36B0CCF5" w:rsidR="008C21BF" w:rsidRPr="008C21BF" w:rsidRDefault="008C21BF" w:rsidP="008C21BF">
      <w:pPr>
        <w:tabs>
          <w:tab w:val="left" w:pos="1350"/>
        </w:tabs>
        <w:spacing w:line="480" w:lineRule="auto"/>
        <w:jc w:val="both"/>
        <w:rPr>
          <w:rFonts w:ascii="Arial" w:hAnsi="Arial" w:cs="Arial"/>
          <w:color w:val="595959" w:themeColor="text1" w:themeTint="A6"/>
        </w:rPr>
      </w:pPr>
      <w:r w:rsidRPr="008C21BF">
        <w:rPr>
          <w:rFonts w:ascii="Arial" w:hAnsi="Arial" w:cs="Arial"/>
          <w:color w:val="595959" w:themeColor="text1" w:themeTint="A6"/>
        </w:rPr>
        <w:t>Stromagenesis is a connective tissue response to cancer cell interaction and is the driving force of the permissive microenvironment that primes tumour progression</w:t>
      </w:r>
      <w:r w:rsidR="00B339CF">
        <w:rPr>
          <w:rFonts w:ascii="Arial" w:hAnsi="Arial" w:cs="Arial"/>
          <w:color w:val="595959" w:themeColor="text1" w:themeTint="A6"/>
        </w:rPr>
        <w:t xml:space="preserve"> (LeBleu and Kalluri, 2018</w:t>
      </w:r>
      <w:r w:rsidR="00345962">
        <w:rPr>
          <w:rFonts w:ascii="Arial" w:hAnsi="Arial" w:cs="Arial"/>
          <w:color w:val="595959" w:themeColor="text1" w:themeTint="A6"/>
        </w:rPr>
        <w:t>, Alexander and Cuk</w:t>
      </w:r>
      <w:r w:rsidR="00EE31D7">
        <w:rPr>
          <w:rFonts w:ascii="Arial" w:hAnsi="Arial" w:cs="Arial"/>
          <w:color w:val="595959" w:themeColor="text1" w:themeTint="A6"/>
        </w:rPr>
        <w:t>i</w:t>
      </w:r>
      <w:r w:rsidR="00345962">
        <w:rPr>
          <w:rFonts w:ascii="Arial" w:hAnsi="Arial" w:cs="Arial"/>
          <w:color w:val="595959" w:themeColor="text1" w:themeTint="A6"/>
        </w:rPr>
        <w:t>erman. 2016</w:t>
      </w:r>
      <w:r w:rsidR="00B339CF">
        <w:rPr>
          <w:rFonts w:ascii="Arial" w:hAnsi="Arial" w:cs="Arial"/>
          <w:color w:val="595959" w:themeColor="text1" w:themeTint="A6"/>
        </w:rPr>
        <w:t>)</w:t>
      </w:r>
      <w:r w:rsidRPr="008C21BF">
        <w:rPr>
          <w:rFonts w:ascii="Arial" w:hAnsi="Arial" w:cs="Arial"/>
          <w:color w:val="595959" w:themeColor="text1" w:themeTint="A6"/>
        </w:rPr>
        <w:t xml:space="preserve">. Mesenchymal fibroblasts are responsible for the production and regulation of </w:t>
      </w:r>
      <w:r w:rsidR="00BE6DF7" w:rsidRPr="008C21BF">
        <w:rPr>
          <w:rFonts w:ascii="Arial" w:hAnsi="Arial" w:cs="Arial"/>
          <w:color w:val="595959" w:themeColor="text1" w:themeTint="A6"/>
        </w:rPr>
        <w:t>most</w:t>
      </w:r>
      <w:r w:rsidRPr="008C21BF">
        <w:rPr>
          <w:rFonts w:ascii="Arial" w:hAnsi="Arial" w:cs="Arial"/>
          <w:color w:val="595959" w:themeColor="text1" w:themeTint="A6"/>
        </w:rPr>
        <w:t xml:space="preserve"> ECM components</w:t>
      </w:r>
      <w:r w:rsidR="00B339CF">
        <w:rPr>
          <w:rFonts w:ascii="Arial" w:hAnsi="Arial" w:cs="Arial"/>
          <w:color w:val="595959" w:themeColor="text1" w:themeTint="A6"/>
        </w:rPr>
        <w:t xml:space="preserve"> (Kalluri, 2016, </w:t>
      </w:r>
      <w:r w:rsidR="000A0E97">
        <w:rPr>
          <w:rFonts w:ascii="Arial" w:hAnsi="Arial" w:cs="Arial"/>
          <w:color w:val="595959" w:themeColor="text1" w:themeTint="A6"/>
        </w:rPr>
        <w:t>Bonnans</w:t>
      </w:r>
      <w:r w:rsidR="000A0E97" w:rsidRPr="000A0E97">
        <w:rPr>
          <w:rFonts w:ascii="Arial" w:hAnsi="Arial" w:cs="Arial"/>
          <w:i/>
          <w:iCs/>
          <w:color w:val="595959" w:themeColor="text1" w:themeTint="A6"/>
        </w:rPr>
        <w:t xml:space="preserve"> et al., </w:t>
      </w:r>
      <w:r w:rsidR="000A0E97">
        <w:rPr>
          <w:rFonts w:ascii="Arial" w:hAnsi="Arial" w:cs="Arial"/>
          <w:color w:val="595959" w:themeColor="text1" w:themeTint="A6"/>
        </w:rPr>
        <w:t>2014)</w:t>
      </w:r>
      <w:r w:rsidRPr="008C21BF">
        <w:rPr>
          <w:rFonts w:ascii="Arial" w:hAnsi="Arial" w:cs="Arial"/>
          <w:color w:val="595959" w:themeColor="text1" w:themeTint="A6"/>
        </w:rPr>
        <w:t xml:space="preserve">. </w:t>
      </w:r>
      <w:r w:rsidR="002A25F5">
        <w:rPr>
          <w:rFonts w:ascii="Arial" w:hAnsi="Arial" w:cs="Arial"/>
          <w:color w:val="595959" w:themeColor="text1" w:themeTint="A6"/>
        </w:rPr>
        <w:t>Currently, t</w:t>
      </w:r>
      <w:r w:rsidR="002034E9">
        <w:rPr>
          <w:rFonts w:ascii="Arial" w:hAnsi="Arial" w:cs="Arial"/>
          <w:color w:val="595959" w:themeColor="text1" w:themeTint="A6"/>
        </w:rPr>
        <w:t xml:space="preserve">here is a </w:t>
      </w:r>
      <w:r w:rsidRPr="008C21BF">
        <w:rPr>
          <w:rFonts w:ascii="Arial" w:hAnsi="Arial" w:cs="Arial"/>
          <w:color w:val="595959" w:themeColor="text1" w:themeTint="A6"/>
        </w:rPr>
        <w:t>lack of suitable, physiologically</w:t>
      </w:r>
      <w:r w:rsidR="00EE31D7">
        <w:rPr>
          <w:rFonts w:ascii="Arial" w:hAnsi="Arial" w:cs="Arial"/>
          <w:color w:val="595959" w:themeColor="text1" w:themeTint="A6"/>
        </w:rPr>
        <w:t xml:space="preserve"> </w:t>
      </w:r>
      <w:r w:rsidRPr="008C21BF">
        <w:rPr>
          <w:rFonts w:ascii="Arial" w:hAnsi="Arial" w:cs="Arial"/>
          <w:color w:val="595959" w:themeColor="text1" w:themeTint="A6"/>
        </w:rPr>
        <w:t>relevant, experimental systems that can examine stromal: tumour interactions and the</w:t>
      </w:r>
      <w:r w:rsidR="00010D5B">
        <w:rPr>
          <w:rFonts w:ascii="Arial" w:hAnsi="Arial" w:cs="Arial"/>
          <w:color w:val="595959" w:themeColor="text1" w:themeTint="A6"/>
        </w:rPr>
        <w:t xml:space="preserve">refore, the </w:t>
      </w:r>
      <w:r w:rsidRPr="008C21BF">
        <w:rPr>
          <w:rFonts w:ascii="Arial" w:hAnsi="Arial" w:cs="Arial"/>
          <w:color w:val="595959" w:themeColor="text1" w:themeTint="A6"/>
        </w:rPr>
        <w:t xml:space="preserve">mechanisms that incite, and support OSCC tumour progression are </w:t>
      </w:r>
      <w:r w:rsidR="00454E4F">
        <w:rPr>
          <w:rFonts w:ascii="Arial" w:hAnsi="Arial" w:cs="Arial"/>
          <w:color w:val="595959" w:themeColor="text1" w:themeTint="A6"/>
        </w:rPr>
        <w:t>poorly understood</w:t>
      </w:r>
      <w:r w:rsidRPr="008C21BF">
        <w:rPr>
          <w:rFonts w:ascii="Arial" w:hAnsi="Arial" w:cs="Arial"/>
          <w:color w:val="595959" w:themeColor="text1" w:themeTint="A6"/>
        </w:rPr>
        <w:t xml:space="preserve"> (Amatangelo </w:t>
      </w:r>
      <w:r w:rsidRPr="008C21BF">
        <w:rPr>
          <w:rFonts w:ascii="Arial" w:hAnsi="Arial" w:cs="Arial"/>
          <w:i/>
          <w:color w:val="595959" w:themeColor="text1" w:themeTint="A6"/>
        </w:rPr>
        <w:t>et al.,</w:t>
      </w:r>
      <w:r w:rsidRPr="008C21BF">
        <w:rPr>
          <w:rFonts w:ascii="Arial" w:hAnsi="Arial" w:cs="Arial"/>
          <w:color w:val="595959" w:themeColor="text1" w:themeTint="A6"/>
        </w:rPr>
        <w:t xml:space="preserve"> 2005, Bregenzer </w:t>
      </w:r>
      <w:r w:rsidRPr="008C21BF">
        <w:rPr>
          <w:rFonts w:ascii="Arial" w:hAnsi="Arial" w:cs="Arial"/>
          <w:i/>
          <w:iCs/>
          <w:color w:val="595959" w:themeColor="text1" w:themeTint="A6"/>
        </w:rPr>
        <w:t>et al.,</w:t>
      </w:r>
      <w:r w:rsidRPr="008C21BF">
        <w:rPr>
          <w:rFonts w:ascii="Arial" w:hAnsi="Arial" w:cs="Arial"/>
          <w:color w:val="595959" w:themeColor="text1" w:themeTint="A6"/>
        </w:rPr>
        <w:t xml:space="preserve"> 2019). Here we introduce a novel tissue-engineering approach to generate an </w:t>
      </w:r>
      <w:r w:rsidRPr="008C21BF">
        <w:rPr>
          <w:rFonts w:ascii="Arial" w:hAnsi="Arial" w:cs="Arial"/>
          <w:i/>
          <w:color w:val="595959" w:themeColor="text1" w:themeTint="A6"/>
        </w:rPr>
        <w:t>in vitro</w:t>
      </w:r>
      <w:r w:rsidRPr="008C21BF">
        <w:rPr>
          <w:rFonts w:ascii="Arial" w:hAnsi="Arial" w:cs="Arial"/>
          <w:color w:val="595959" w:themeColor="text1" w:themeTint="A6"/>
        </w:rPr>
        <w:t xml:space="preserve"> human-ECM scaffold mimetic that is a reproducible methodology for primary fibroblasts isolated from patients and </w:t>
      </w:r>
      <w:r w:rsidR="00DE200F">
        <w:rPr>
          <w:rFonts w:ascii="Arial" w:hAnsi="Arial" w:cs="Arial"/>
          <w:color w:val="595959" w:themeColor="text1" w:themeTint="A6"/>
        </w:rPr>
        <w:t>could be use</w:t>
      </w:r>
      <w:r w:rsidR="00A14141">
        <w:rPr>
          <w:rFonts w:ascii="Arial" w:hAnsi="Arial" w:cs="Arial"/>
          <w:color w:val="595959" w:themeColor="text1" w:themeTint="A6"/>
        </w:rPr>
        <w:t>d</w:t>
      </w:r>
      <w:r w:rsidR="00DE200F">
        <w:rPr>
          <w:rFonts w:ascii="Arial" w:hAnsi="Arial" w:cs="Arial"/>
          <w:color w:val="595959" w:themeColor="text1" w:themeTint="A6"/>
        </w:rPr>
        <w:t xml:space="preserve"> to </w:t>
      </w:r>
      <w:r w:rsidRPr="008C21BF">
        <w:rPr>
          <w:rFonts w:ascii="Arial" w:hAnsi="Arial" w:cs="Arial"/>
          <w:color w:val="595959" w:themeColor="text1" w:themeTint="A6"/>
        </w:rPr>
        <w:t>further investigate the stroma</w:t>
      </w:r>
      <w:r w:rsidR="00375A46">
        <w:rPr>
          <w:rFonts w:ascii="Arial" w:hAnsi="Arial" w:cs="Arial"/>
          <w:color w:val="595959" w:themeColor="text1" w:themeTint="A6"/>
        </w:rPr>
        <w:t>l</w:t>
      </w:r>
      <w:r w:rsidRPr="008C21BF">
        <w:rPr>
          <w:rFonts w:ascii="Arial" w:hAnsi="Arial" w:cs="Arial"/>
          <w:color w:val="595959" w:themeColor="text1" w:themeTint="A6"/>
        </w:rPr>
        <w:t xml:space="preserve"> impact </w:t>
      </w:r>
      <w:r w:rsidR="00375A46">
        <w:rPr>
          <w:rFonts w:ascii="Arial" w:hAnsi="Arial" w:cs="Arial"/>
          <w:color w:val="595959" w:themeColor="text1" w:themeTint="A6"/>
        </w:rPr>
        <w:t>i</w:t>
      </w:r>
      <w:r w:rsidRPr="008C21BF">
        <w:rPr>
          <w:rFonts w:ascii="Arial" w:hAnsi="Arial" w:cs="Arial"/>
          <w:color w:val="595959" w:themeColor="text1" w:themeTint="A6"/>
        </w:rPr>
        <w:t>n</w:t>
      </w:r>
      <w:r w:rsidR="00375A46">
        <w:rPr>
          <w:rFonts w:ascii="Arial" w:hAnsi="Arial" w:cs="Arial"/>
          <w:color w:val="595959" w:themeColor="text1" w:themeTint="A6"/>
        </w:rPr>
        <w:t xml:space="preserve"> contributing to </w:t>
      </w:r>
      <w:r w:rsidRPr="008C21BF">
        <w:rPr>
          <w:rFonts w:ascii="Arial" w:hAnsi="Arial" w:cs="Arial"/>
          <w:color w:val="595959" w:themeColor="text1" w:themeTint="A6"/>
        </w:rPr>
        <w:t xml:space="preserve">OSCC disease progression. </w:t>
      </w:r>
    </w:p>
    <w:p w14:paraId="43C29835" w14:textId="6A4D8380" w:rsidR="008C21BF" w:rsidRPr="008C21BF" w:rsidRDefault="008C21BF" w:rsidP="008C21BF">
      <w:pPr>
        <w:tabs>
          <w:tab w:val="left" w:pos="1350"/>
        </w:tabs>
        <w:spacing w:line="480" w:lineRule="auto"/>
        <w:jc w:val="both"/>
        <w:rPr>
          <w:rFonts w:ascii="Arial" w:hAnsi="Arial" w:cs="Arial"/>
          <w:color w:val="595959" w:themeColor="text1" w:themeTint="A6"/>
        </w:rPr>
      </w:pPr>
      <w:r w:rsidRPr="008C21BF">
        <w:rPr>
          <w:rFonts w:ascii="Arial" w:hAnsi="Arial" w:cs="Arial"/>
          <w:color w:val="595959" w:themeColor="text1" w:themeTint="A6"/>
        </w:rPr>
        <w:t xml:space="preserve">Construction of these FDM have been based on principles that rely on the culturing requirements of these cells for long-term support and nourishment; as well as the ability to remain viable for an extensive culture period. Adequate characterisation ensured that these FDM would be suitable for further downstream applications. Isolated patient-FDM are indicative of normal ECM matrix (NOF-DM without growth factors), myofibroblastic (NOF-DM +GF) matrix, and cancer-associated fibroblast matrix (CAF-DM) that resembles normal, </w:t>
      </w:r>
      <w:r w:rsidR="008E328D">
        <w:rPr>
          <w:rFonts w:ascii="Arial" w:hAnsi="Arial" w:cs="Arial"/>
          <w:color w:val="595959" w:themeColor="text1" w:themeTint="A6"/>
        </w:rPr>
        <w:t>activated</w:t>
      </w:r>
      <w:r w:rsidRPr="008C21BF">
        <w:rPr>
          <w:rFonts w:ascii="Arial" w:hAnsi="Arial" w:cs="Arial"/>
          <w:color w:val="595959" w:themeColor="text1" w:themeTint="A6"/>
        </w:rPr>
        <w:t xml:space="preserve"> and cancer </w:t>
      </w:r>
      <w:r w:rsidR="008E328D">
        <w:rPr>
          <w:rFonts w:ascii="Arial" w:hAnsi="Arial" w:cs="Arial"/>
          <w:color w:val="595959" w:themeColor="text1" w:themeTint="A6"/>
        </w:rPr>
        <w:t>ECM</w:t>
      </w:r>
      <w:r w:rsidRPr="008C21BF">
        <w:rPr>
          <w:rFonts w:ascii="Arial" w:hAnsi="Arial" w:cs="Arial"/>
          <w:color w:val="595959" w:themeColor="text1" w:themeTint="A6"/>
        </w:rPr>
        <w:t xml:space="preserve"> respectively. The generation of these matrices </w:t>
      </w:r>
      <w:r w:rsidR="005468F8">
        <w:rPr>
          <w:rFonts w:ascii="Arial" w:hAnsi="Arial" w:cs="Arial"/>
          <w:color w:val="595959" w:themeColor="text1" w:themeTint="A6"/>
        </w:rPr>
        <w:t>was optimised b</w:t>
      </w:r>
      <w:r w:rsidR="00583977">
        <w:rPr>
          <w:rFonts w:ascii="Arial" w:hAnsi="Arial" w:cs="Arial"/>
          <w:color w:val="595959" w:themeColor="text1" w:themeTint="A6"/>
        </w:rPr>
        <w:t>y culturin</w:t>
      </w:r>
      <w:r w:rsidRPr="008C21BF">
        <w:rPr>
          <w:rFonts w:ascii="Arial" w:hAnsi="Arial" w:cs="Arial"/>
          <w:color w:val="595959" w:themeColor="text1" w:themeTint="A6"/>
        </w:rPr>
        <w:t xml:space="preserve">g primary cells on commercially available tissue culture inserts </w:t>
      </w:r>
      <w:r w:rsidR="00583977">
        <w:rPr>
          <w:rFonts w:ascii="Arial" w:hAnsi="Arial" w:cs="Arial"/>
          <w:color w:val="595959" w:themeColor="text1" w:themeTint="A6"/>
        </w:rPr>
        <w:t xml:space="preserve">in </w:t>
      </w:r>
      <w:r w:rsidRPr="008C21BF">
        <w:rPr>
          <w:rFonts w:ascii="Arial" w:hAnsi="Arial" w:cs="Arial"/>
          <w:color w:val="595959" w:themeColor="text1" w:themeTint="A6"/>
        </w:rPr>
        <w:t xml:space="preserve">deep-well plates. These porous inserts are capable of supporting basolateral nutrient transfer and are commonly used to support 3D, long-term cultures (Berning </w:t>
      </w:r>
      <w:r w:rsidRPr="008C21BF">
        <w:rPr>
          <w:rFonts w:ascii="Arial" w:hAnsi="Arial" w:cs="Arial"/>
          <w:i/>
          <w:color w:val="595959" w:themeColor="text1" w:themeTint="A6"/>
        </w:rPr>
        <w:t>et al.,</w:t>
      </w:r>
      <w:r w:rsidRPr="008C21BF">
        <w:rPr>
          <w:rFonts w:ascii="Arial" w:hAnsi="Arial" w:cs="Arial"/>
          <w:color w:val="595959" w:themeColor="text1" w:themeTint="A6"/>
        </w:rPr>
        <w:t xml:space="preserve"> 2015, Chen </w:t>
      </w:r>
      <w:r w:rsidRPr="008C21BF">
        <w:rPr>
          <w:rFonts w:ascii="Arial" w:hAnsi="Arial" w:cs="Arial"/>
          <w:i/>
          <w:color w:val="595959" w:themeColor="text1" w:themeTint="A6"/>
        </w:rPr>
        <w:t>et al.,</w:t>
      </w:r>
      <w:r w:rsidRPr="008C21BF">
        <w:rPr>
          <w:rFonts w:ascii="Arial" w:hAnsi="Arial" w:cs="Arial"/>
          <w:color w:val="595959" w:themeColor="text1" w:themeTint="A6"/>
        </w:rPr>
        <w:t xml:space="preserve"> 2015). What was apparent from the construction of these FDM, was that oral fibroblast media alone </w:t>
      </w:r>
      <w:r w:rsidR="000739AE">
        <w:rPr>
          <w:rFonts w:ascii="Arial" w:hAnsi="Arial" w:cs="Arial"/>
          <w:color w:val="595959" w:themeColor="text1" w:themeTint="A6"/>
        </w:rPr>
        <w:t>(DMEM, 10 %)</w:t>
      </w:r>
      <w:r w:rsidRPr="008C21BF">
        <w:rPr>
          <w:rFonts w:ascii="Arial" w:hAnsi="Arial" w:cs="Arial"/>
          <w:color w:val="595959" w:themeColor="text1" w:themeTint="A6"/>
        </w:rPr>
        <w:t xml:space="preserve"> with the addition of TGFβ-1 failed to support the long-term development of these matrices. Therefore, choice of media and media supplementation with exogenous growth factors became an important consideration for matrix generation.  Ascorbic acid is an essential cofactor for lysyl hydroxylase, an enzyme vital for collagen </w:t>
      </w:r>
      <w:r w:rsidR="00346539">
        <w:rPr>
          <w:rFonts w:ascii="Arial" w:hAnsi="Arial" w:cs="Arial"/>
          <w:color w:val="595959" w:themeColor="text1" w:themeTint="A6"/>
        </w:rPr>
        <w:t>biosynthesis,</w:t>
      </w:r>
      <w:r w:rsidRPr="008C21BF">
        <w:rPr>
          <w:rFonts w:ascii="Arial" w:hAnsi="Arial" w:cs="Arial"/>
          <w:color w:val="595959" w:themeColor="text1" w:themeTint="A6"/>
        </w:rPr>
        <w:t xml:space="preserve"> has been </w:t>
      </w:r>
      <w:r w:rsidRPr="008C21BF">
        <w:rPr>
          <w:rFonts w:ascii="Arial" w:hAnsi="Arial" w:cs="Arial"/>
          <w:color w:val="595959" w:themeColor="text1" w:themeTint="A6"/>
        </w:rPr>
        <w:lastRenderedPageBreak/>
        <w:t xml:space="preserve">supplemented in media for cell cultures for decades (Pinnell, 1985).  For this reason, </w:t>
      </w:r>
      <w:r w:rsidR="00CE7AF7">
        <w:rPr>
          <w:rFonts w:ascii="Arial" w:hAnsi="Arial" w:cs="Arial"/>
          <w:color w:val="595959" w:themeColor="text1" w:themeTint="A6"/>
        </w:rPr>
        <w:t>p</w:t>
      </w:r>
      <w:r w:rsidRPr="008C21BF">
        <w:rPr>
          <w:rFonts w:ascii="Arial" w:hAnsi="Arial" w:cs="Arial"/>
          <w:color w:val="595959" w:themeColor="text1" w:themeTint="A6"/>
        </w:rPr>
        <w:t xml:space="preserve">hospho-L-ascorbic acid (a more stable salt form of ascorbic acid) was added to aid collagen synthesis in these developing FDM. A more enriched media with/without growth factors was then tested for its ability to promote long-term growth and development of FDM with greater success. These various growth factors and their effects on FDM generation was also assessed, these include TGF, EGF and bFGF.  The ability of TGF to control synthesis of collagen and fibronectin, was first described in 1986 by </w:t>
      </w:r>
      <w:r w:rsidRPr="008C21BF">
        <w:rPr>
          <w:rFonts w:ascii="Arial" w:hAnsi="Arial" w:cs="Arial"/>
          <w:i/>
          <w:color w:val="595959" w:themeColor="text1" w:themeTint="A6"/>
        </w:rPr>
        <w:t>Ignotz</w:t>
      </w:r>
      <w:r w:rsidR="00346539">
        <w:rPr>
          <w:rFonts w:ascii="Arial" w:hAnsi="Arial" w:cs="Arial"/>
          <w:i/>
          <w:color w:val="595959" w:themeColor="text1" w:themeTint="A6"/>
        </w:rPr>
        <w:t>.</w:t>
      </w:r>
      <w:r w:rsidRPr="008C21BF">
        <w:rPr>
          <w:rFonts w:ascii="Arial" w:hAnsi="Arial" w:cs="Arial"/>
          <w:color w:val="595959" w:themeColor="text1" w:themeTint="A6"/>
        </w:rPr>
        <w:t xml:space="preserve"> Mechanistically, TGF and its associated isoforms have been found to increase </w:t>
      </w:r>
      <w:r w:rsidR="00101043">
        <w:rPr>
          <w:rFonts w:ascii="Arial" w:hAnsi="Arial" w:cs="Arial"/>
          <w:color w:val="595959" w:themeColor="text1" w:themeTint="A6"/>
        </w:rPr>
        <w:t xml:space="preserve">the </w:t>
      </w:r>
      <w:r w:rsidRPr="008C21BF">
        <w:rPr>
          <w:rFonts w:ascii="Arial" w:hAnsi="Arial" w:cs="Arial"/>
          <w:color w:val="595959" w:themeColor="text1" w:themeTint="A6"/>
        </w:rPr>
        <w:t>mRNA levels for most of the matrix proteins examined and result</w:t>
      </w:r>
      <w:r w:rsidR="00693EB8">
        <w:rPr>
          <w:rFonts w:ascii="Arial" w:hAnsi="Arial" w:cs="Arial"/>
          <w:color w:val="595959" w:themeColor="text1" w:themeTint="A6"/>
        </w:rPr>
        <w:t>s</w:t>
      </w:r>
      <w:r w:rsidRPr="008C21BF">
        <w:rPr>
          <w:rFonts w:ascii="Arial" w:hAnsi="Arial" w:cs="Arial"/>
          <w:color w:val="595959" w:themeColor="text1" w:themeTint="A6"/>
        </w:rPr>
        <w:t xml:space="preserve"> in increased secretion of the protein (Roberts </w:t>
      </w:r>
      <w:r w:rsidRPr="008C21BF">
        <w:rPr>
          <w:rFonts w:ascii="Arial" w:hAnsi="Arial" w:cs="Arial"/>
          <w:i/>
          <w:color w:val="595959" w:themeColor="text1" w:themeTint="A6"/>
        </w:rPr>
        <w:t>et al.,</w:t>
      </w:r>
      <w:r w:rsidRPr="008C21BF">
        <w:rPr>
          <w:rFonts w:ascii="Arial" w:hAnsi="Arial" w:cs="Arial"/>
          <w:color w:val="595959" w:themeColor="text1" w:themeTint="A6"/>
        </w:rPr>
        <w:t xml:space="preserve"> 1992</w:t>
      </w:r>
      <w:r w:rsidR="003A2BA2">
        <w:rPr>
          <w:rFonts w:ascii="Arial" w:hAnsi="Arial" w:cs="Arial"/>
          <w:color w:val="595959" w:themeColor="text1" w:themeTint="A6"/>
        </w:rPr>
        <w:t xml:space="preserve">, Melling </w:t>
      </w:r>
      <w:r w:rsidR="003A2BA2" w:rsidRPr="003A2BA2">
        <w:rPr>
          <w:rFonts w:ascii="Arial" w:hAnsi="Arial" w:cs="Arial"/>
          <w:i/>
          <w:iCs/>
          <w:color w:val="595959" w:themeColor="text1" w:themeTint="A6"/>
        </w:rPr>
        <w:t>et al.,</w:t>
      </w:r>
      <w:r w:rsidR="003A2BA2">
        <w:rPr>
          <w:rFonts w:ascii="Arial" w:hAnsi="Arial" w:cs="Arial"/>
          <w:color w:val="595959" w:themeColor="text1" w:themeTint="A6"/>
        </w:rPr>
        <w:t xml:space="preserve"> 2018</w:t>
      </w:r>
      <w:r w:rsidRPr="008C21BF">
        <w:rPr>
          <w:rFonts w:ascii="Arial" w:hAnsi="Arial" w:cs="Arial"/>
          <w:color w:val="595959" w:themeColor="text1" w:themeTint="A6"/>
        </w:rPr>
        <w:t>)</w:t>
      </w:r>
      <w:r w:rsidR="00E27075">
        <w:rPr>
          <w:rFonts w:ascii="Arial" w:hAnsi="Arial" w:cs="Arial"/>
          <w:color w:val="595959" w:themeColor="text1" w:themeTint="A6"/>
        </w:rPr>
        <w:t xml:space="preserve">. </w:t>
      </w:r>
      <w:r w:rsidRPr="008C21BF">
        <w:rPr>
          <w:rFonts w:ascii="Arial" w:hAnsi="Arial" w:cs="Arial"/>
          <w:color w:val="595959" w:themeColor="text1" w:themeTint="A6"/>
        </w:rPr>
        <w:t xml:space="preserve">However, the longer-term deposition of matrix proteins has only been assessed with oral fibroblast media up to 2 weeks in culture. This is evidenced in chapter 3 of this thesis; where the effects of TGF stimulation of fibroblasts were investigated and </w:t>
      </w:r>
      <w:r w:rsidR="006361B1">
        <w:rPr>
          <w:rFonts w:ascii="Arial" w:hAnsi="Arial" w:cs="Arial"/>
          <w:color w:val="595959" w:themeColor="text1" w:themeTint="A6"/>
        </w:rPr>
        <w:t>demonstrated</w:t>
      </w:r>
      <w:r w:rsidRPr="008C21BF">
        <w:rPr>
          <w:rFonts w:ascii="Arial" w:hAnsi="Arial" w:cs="Arial"/>
          <w:color w:val="595959" w:themeColor="text1" w:themeTint="A6"/>
        </w:rPr>
        <w:t xml:space="preserve"> elevated mRNA levels and increased protein deposition of ECM components in NOF and CAF 2D cultures. FGF a potent mitogenic factor has been implicated in a wide range of developmental processes and along with EGF their supplementation to media is known to aid proliferation and ECM production from cells in culture (Nunes </w:t>
      </w:r>
      <w:r w:rsidRPr="008C21BF">
        <w:rPr>
          <w:rFonts w:ascii="Arial" w:hAnsi="Arial" w:cs="Arial"/>
          <w:i/>
          <w:color w:val="595959" w:themeColor="text1" w:themeTint="A6"/>
        </w:rPr>
        <w:t>et al.,</w:t>
      </w:r>
      <w:r w:rsidRPr="008C21BF">
        <w:rPr>
          <w:rFonts w:ascii="Arial" w:hAnsi="Arial" w:cs="Arial"/>
          <w:color w:val="595959" w:themeColor="text1" w:themeTint="A6"/>
        </w:rPr>
        <w:t xml:space="preserve"> 2016, Ahlfors and Billiar </w:t>
      </w:r>
      <w:r w:rsidRPr="008C21BF">
        <w:rPr>
          <w:rFonts w:ascii="Arial" w:hAnsi="Arial" w:cs="Arial"/>
          <w:i/>
          <w:color w:val="595959" w:themeColor="text1" w:themeTint="A6"/>
        </w:rPr>
        <w:t>et al.,</w:t>
      </w:r>
      <w:r w:rsidRPr="008C21BF">
        <w:rPr>
          <w:rFonts w:ascii="Arial" w:hAnsi="Arial" w:cs="Arial"/>
          <w:color w:val="595959" w:themeColor="text1" w:themeTint="A6"/>
        </w:rPr>
        <w:t xml:space="preserve"> 2007, and Gharibi and Hughes, 2012). The long-term application of these growth factors along with ascorbic acid supplementation in FDM increased ECM deposition and the overall thickness of the matrices that c</w:t>
      </w:r>
      <w:r w:rsidR="003A2BA2">
        <w:rPr>
          <w:rFonts w:ascii="Arial" w:hAnsi="Arial" w:cs="Arial"/>
          <w:color w:val="595959" w:themeColor="text1" w:themeTint="A6"/>
        </w:rPr>
        <w:t xml:space="preserve">ould </w:t>
      </w:r>
      <w:r w:rsidRPr="008C21BF">
        <w:rPr>
          <w:rFonts w:ascii="Arial" w:hAnsi="Arial" w:cs="Arial"/>
          <w:color w:val="595959" w:themeColor="text1" w:themeTint="A6"/>
        </w:rPr>
        <w:t>be developed and maintained in long-term cultures.</w:t>
      </w:r>
    </w:p>
    <w:p w14:paraId="1B560797" w14:textId="3004537A" w:rsidR="008C21BF" w:rsidRPr="008C21BF" w:rsidRDefault="008C21BF" w:rsidP="008C21BF">
      <w:pPr>
        <w:tabs>
          <w:tab w:val="left" w:pos="1350"/>
        </w:tabs>
        <w:spacing w:line="480" w:lineRule="auto"/>
        <w:jc w:val="both"/>
        <w:rPr>
          <w:rFonts w:ascii="Arial" w:hAnsi="Arial" w:cs="Arial"/>
          <w:color w:val="595959" w:themeColor="text1" w:themeTint="A6"/>
        </w:rPr>
      </w:pPr>
      <w:r w:rsidRPr="008C21BF">
        <w:rPr>
          <w:rFonts w:ascii="Arial" w:hAnsi="Arial" w:cs="Arial"/>
          <w:color w:val="595959" w:themeColor="text1" w:themeTint="A6"/>
        </w:rPr>
        <w:t xml:space="preserve">The development of these FDM was also assessed by identifying matrix morphology and ECM deposition by H&amp;E analysis and thickness measurements. After a 28-day development period, H&amp;E staining indicated the presence of evenly distributed fibroblasts in both NOF and CAF-derived matrices surrounded by a native matrix meshwork. CAF-DM showed significantly more ECM deposition than NOF-DM, and this was </w:t>
      </w:r>
      <w:r w:rsidR="00250152">
        <w:rPr>
          <w:rFonts w:ascii="Arial" w:hAnsi="Arial" w:cs="Arial"/>
          <w:color w:val="595959" w:themeColor="text1" w:themeTint="A6"/>
        </w:rPr>
        <w:t xml:space="preserve">quantified </w:t>
      </w:r>
      <w:r w:rsidRPr="008C21BF">
        <w:rPr>
          <w:rFonts w:ascii="Arial" w:hAnsi="Arial" w:cs="Arial"/>
          <w:color w:val="595959" w:themeColor="text1" w:themeTint="A6"/>
        </w:rPr>
        <w:t xml:space="preserve">by measuring the thickness of </w:t>
      </w:r>
      <w:r w:rsidR="00876130">
        <w:rPr>
          <w:rFonts w:ascii="Arial" w:hAnsi="Arial" w:cs="Arial"/>
          <w:color w:val="595959" w:themeColor="text1" w:themeTint="A6"/>
        </w:rPr>
        <w:t xml:space="preserve">the </w:t>
      </w:r>
      <w:r w:rsidRPr="008C21BF">
        <w:rPr>
          <w:rFonts w:ascii="Arial" w:hAnsi="Arial" w:cs="Arial"/>
          <w:color w:val="595959" w:themeColor="text1" w:themeTint="A6"/>
        </w:rPr>
        <w:t>FDM</w:t>
      </w:r>
      <w:r w:rsidR="00876130">
        <w:rPr>
          <w:rFonts w:ascii="Arial" w:hAnsi="Arial" w:cs="Arial"/>
          <w:color w:val="595959" w:themeColor="text1" w:themeTint="A6"/>
        </w:rPr>
        <w:t xml:space="preserve"> generated</w:t>
      </w:r>
      <w:r w:rsidRPr="008C21BF">
        <w:rPr>
          <w:rFonts w:ascii="Arial" w:hAnsi="Arial" w:cs="Arial"/>
          <w:color w:val="595959" w:themeColor="text1" w:themeTint="A6"/>
        </w:rPr>
        <w:t xml:space="preserve">. Evidence of altered ECM deposition in CAF-DM, further supports the notion of altered ECM deposition in OSCC progression (Ishii </w:t>
      </w:r>
      <w:r w:rsidRPr="008C21BF">
        <w:rPr>
          <w:rFonts w:ascii="Arial" w:hAnsi="Arial" w:cs="Arial"/>
          <w:i/>
          <w:iCs/>
          <w:color w:val="595959" w:themeColor="text1" w:themeTint="A6"/>
        </w:rPr>
        <w:t xml:space="preserve">et al., </w:t>
      </w:r>
      <w:r w:rsidRPr="008C21BF">
        <w:rPr>
          <w:rFonts w:ascii="Arial" w:hAnsi="Arial" w:cs="Arial"/>
          <w:color w:val="595959" w:themeColor="text1" w:themeTint="A6"/>
        </w:rPr>
        <w:t xml:space="preserve">2016). CAF without the addition growth factors still deposited a significantly bulkier ECM and this indicates that CAF </w:t>
      </w:r>
      <w:r w:rsidRPr="008C21BF">
        <w:rPr>
          <w:rFonts w:ascii="Arial" w:hAnsi="Arial" w:cs="Arial"/>
          <w:color w:val="595959" w:themeColor="text1" w:themeTint="A6"/>
        </w:rPr>
        <w:lastRenderedPageBreak/>
        <w:t>deposited matrices may be the result of phenotypic and metabolic changes of the cell rather than just the addition of exogenous growth factors</w:t>
      </w:r>
      <w:r w:rsidR="0078759E">
        <w:rPr>
          <w:rFonts w:ascii="Arial" w:hAnsi="Arial" w:cs="Arial"/>
          <w:color w:val="595959" w:themeColor="text1" w:themeTint="A6"/>
        </w:rPr>
        <w:t xml:space="preserve"> (</w:t>
      </w:r>
      <w:r w:rsidR="000E0C42">
        <w:rPr>
          <w:rFonts w:ascii="Arial" w:hAnsi="Arial" w:cs="Arial"/>
          <w:color w:val="595959" w:themeColor="text1" w:themeTint="A6"/>
        </w:rPr>
        <w:t>Kalluri, 2016</w:t>
      </w:r>
      <w:r w:rsidR="0078759E">
        <w:rPr>
          <w:rFonts w:ascii="Arial" w:hAnsi="Arial" w:cs="Arial"/>
          <w:color w:val="595959" w:themeColor="text1" w:themeTint="A6"/>
        </w:rPr>
        <w:t>)</w:t>
      </w:r>
      <w:r w:rsidRPr="008C21BF">
        <w:rPr>
          <w:rFonts w:ascii="Arial" w:hAnsi="Arial" w:cs="Arial"/>
          <w:color w:val="595959" w:themeColor="text1" w:themeTint="A6"/>
        </w:rPr>
        <w:t xml:space="preserve">. To what extent this could be further analysed would depend on distinct molecular profiling of CAF upregulated ECM genes. Chakravarthy </w:t>
      </w:r>
      <w:r w:rsidRPr="008C21BF">
        <w:rPr>
          <w:rFonts w:ascii="Arial" w:hAnsi="Arial" w:cs="Arial"/>
          <w:i/>
          <w:iCs/>
          <w:color w:val="595959" w:themeColor="text1" w:themeTint="A6"/>
        </w:rPr>
        <w:t>et al.,</w:t>
      </w:r>
      <w:r w:rsidRPr="008C21BF">
        <w:rPr>
          <w:rFonts w:ascii="Arial" w:hAnsi="Arial" w:cs="Arial"/>
          <w:color w:val="595959" w:themeColor="text1" w:themeTint="A6"/>
        </w:rPr>
        <w:t xml:space="preserve"> has identified a distinct set of ECM genes upregulated in cancer (C-ECM) and dysregulation of this C-ECM transcriptional programme correlated with the activation of TGF-β signalling in CAF and is linked to immunosuppression in otherwise immunologically active tumours.</w:t>
      </w:r>
    </w:p>
    <w:p w14:paraId="4E6DF9A1" w14:textId="77777777" w:rsidR="008C21BF" w:rsidRPr="008C21BF" w:rsidRDefault="008C21BF" w:rsidP="008C21BF">
      <w:pPr>
        <w:tabs>
          <w:tab w:val="left" w:pos="1350"/>
        </w:tabs>
        <w:spacing w:line="480" w:lineRule="auto"/>
        <w:jc w:val="both"/>
        <w:rPr>
          <w:rFonts w:ascii="Arial" w:hAnsi="Arial" w:cs="Arial"/>
          <w:color w:val="595959" w:themeColor="text1" w:themeTint="A6"/>
        </w:rPr>
      </w:pPr>
      <w:r w:rsidRPr="008C21BF">
        <w:rPr>
          <w:rFonts w:ascii="Arial" w:hAnsi="Arial" w:cs="Arial"/>
          <w:color w:val="595959" w:themeColor="text1" w:themeTint="A6"/>
        </w:rPr>
        <w:t xml:space="preserve">ECM barrier functionality is also an important component of generating an ECM mimetic and the resistance and permeability of the ECM can impact on the delivery of drug therapeutics (Netti </w:t>
      </w:r>
      <w:r w:rsidRPr="008C21BF">
        <w:rPr>
          <w:rFonts w:ascii="Arial" w:hAnsi="Arial" w:cs="Arial"/>
          <w:i/>
          <w:color w:val="595959" w:themeColor="text1" w:themeTint="A6"/>
        </w:rPr>
        <w:t>et al.,</w:t>
      </w:r>
      <w:r w:rsidRPr="008C21BF">
        <w:rPr>
          <w:rFonts w:ascii="Arial" w:hAnsi="Arial" w:cs="Arial"/>
          <w:color w:val="595959" w:themeColor="text1" w:themeTint="A6"/>
        </w:rPr>
        <w:t xml:space="preserve"> 2000). TEER analysis of the developing TE-FDM indicated that a stable electrical resistance was produced across the matrices in culture. No significant differences in mean TEER (Ω. cm</w:t>
      </w:r>
      <w:r w:rsidRPr="008C21BF">
        <w:rPr>
          <w:rFonts w:ascii="Arial" w:hAnsi="Arial" w:cs="Arial"/>
          <w:color w:val="595959" w:themeColor="text1" w:themeTint="A6"/>
          <w:vertAlign w:val="superscript"/>
        </w:rPr>
        <w:t>2</w:t>
      </w:r>
      <w:r w:rsidRPr="008C21BF">
        <w:rPr>
          <w:rFonts w:ascii="Arial" w:hAnsi="Arial" w:cs="Arial"/>
          <w:color w:val="595959" w:themeColor="text1" w:themeTint="A6"/>
        </w:rPr>
        <w:t>) was observed in all matrices studied suggesting that functional barriers were formed across all membrane inserts.</w:t>
      </w:r>
    </w:p>
    <w:p w14:paraId="6C0E8428" w14:textId="54E5FFDC" w:rsidR="008C21BF" w:rsidRPr="008C21BF" w:rsidRDefault="008C21BF" w:rsidP="008C21BF">
      <w:pPr>
        <w:spacing w:line="480" w:lineRule="auto"/>
        <w:jc w:val="both"/>
        <w:rPr>
          <w:rFonts w:ascii="Arial" w:hAnsi="Arial" w:cs="Arial"/>
          <w:color w:val="595959" w:themeColor="text1" w:themeTint="A6"/>
        </w:rPr>
      </w:pPr>
      <w:r w:rsidRPr="008C21BF">
        <w:rPr>
          <w:rFonts w:ascii="Arial" w:hAnsi="Arial" w:cs="Arial"/>
          <w:color w:val="595959" w:themeColor="text1" w:themeTint="A6"/>
        </w:rPr>
        <w:t>Over the past two decades, research in the field of cancer biology has begun to focus on the role of ECM constituents during cancer progression.</w:t>
      </w:r>
      <w:r w:rsidRPr="008C21BF">
        <w:rPr>
          <w:color w:val="595959" w:themeColor="text1" w:themeTint="A6"/>
        </w:rPr>
        <w:t xml:space="preserve"> </w:t>
      </w:r>
      <w:r w:rsidRPr="008C21BF">
        <w:rPr>
          <w:rFonts w:ascii="Arial" w:hAnsi="Arial" w:cs="Arial"/>
          <w:color w:val="595959" w:themeColor="text1" w:themeTint="A6"/>
        </w:rPr>
        <w:t>Once TE-FDM were established their characteristic features were assessed. Altered ECM composition was analysed by immunoblotting for ECM proteins of interest (FN1-EDA, VCAN, COL1A1, αSMA and LAMB</w:t>
      </w:r>
      <w:r w:rsidR="007B6C9E">
        <w:rPr>
          <w:rFonts w:ascii="Arial" w:hAnsi="Arial" w:cs="Arial"/>
          <w:color w:val="595959" w:themeColor="text1" w:themeTint="A6"/>
        </w:rPr>
        <w:t>-γ</w:t>
      </w:r>
      <w:r w:rsidRPr="008C21BF">
        <w:rPr>
          <w:rFonts w:ascii="Arial" w:hAnsi="Arial" w:cs="Arial"/>
          <w:color w:val="595959" w:themeColor="text1" w:themeTint="A6"/>
        </w:rPr>
        <w:t>5). These transcripts showed a statistically significant increase in abundance for CAF-DM compared to NOF-DM; evidencing the potential roles for these ECM proteins in OSCC pathophysiology</w:t>
      </w:r>
      <w:r w:rsidR="003548A0">
        <w:rPr>
          <w:rFonts w:ascii="Arial" w:hAnsi="Arial" w:cs="Arial"/>
          <w:color w:val="595959" w:themeColor="text1" w:themeTint="A6"/>
        </w:rPr>
        <w:t xml:space="preserve">, </w:t>
      </w:r>
      <w:r w:rsidR="008B4E61">
        <w:rPr>
          <w:rFonts w:ascii="Arial" w:hAnsi="Arial" w:cs="Arial"/>
          <w:color w:val="595959" w:themeColor="text1" w:themeTint="A6"/>
        </w:rPr>
        <w:t>affecting cell proliferation, migration, adhesion and invasion (</w:t>
      </w:r>
      <w:r w:rsidR="00F53537">
        <w:rPr>
          <w:rFonts w:ascii="Arial" w:hAnsi="Arial" w:cs="Arial"/>
          <w:color w:val="595959" w:themeColor="text1" w:themeTint="A6"/>
        </w:rPr>
        <w:t>Kumar and Hem</w:t>
      </w:r>
      <w:r w:rsidR="00F00D0B">
        <w:rPr>
          <w:rFonts w:ascii="Arial" w:hAnsi="Arial" w:cs="Arial"/>
          <w:color w:val="595959" w:themeColor="text1" w:themeTint="A6"/>
        </w:rPr>
        <w:t>a</w:t>
      </w:r>
      <w:r w:rsidR="00F53537">
        <w:rPr>
          <w:rFonts w:ascii="Arial" w:hAnsi="Arial" w:cs="Arial"/>
          <w:color w:val="595959" w:themeColor="text1" w:themeTint="A6"/>
        </w:rPr>
        <w:t>, 2018).</w:t>
      </w:r>
      <w:r w:rsidR="008B4E61" w:rsidRPr="00F85E61">
        <w:rPr>
          <w:rFonts w:ascii="Arial" w:hAnsi="Arial" w:cs="Arial"/>
          <w:color w:val="FF0000"/>
        </w:rPr>
        <w:t xml:space="preserve"> </w:t>
      </w:r>
      <w:r w:rsidRPr="008C21BF">
        <w:rPr>
          <w:rFonts w:ascii="Arial" w:hAnsi="Arial" w:cs="Arial"/>
          <w:color w:val="595959" w:themeColor="text1" w:themeTint="A6"/>
        </w:rPr>
        <w:t xml:space="preserve">Along-side understanding the composition of FDM, their microarchitecture was assessed using SEM. Ultrastructural properties of both NOF-DM and CAF-DM showed intact matrix formation across the insert and evidence for ECM deposition in the form of a fibrillar meshwork further evidencing their advantageous characteristic features as </w:t>
      </w:r>
      <w:r w:rsidRPr="008C21BF">
        <w:rPr>
          <w:rFonts w:ascii="Arial" w:hAnsi="Arial" w:cs="Arial"/>
          <w:i/>
          <w:color w:val="595959" w:themeColor="text1" w:themeTint="A6"/>
        </w:rPr>
        <w:t>in vivo</w:t>
      </w:r>
      <w:r w:rsidRPr="008C21BF">
        <w:rPr>
          <w:rFonts w:ascii="Arial" w:hAnsi="Arial" w:cs="Arial"/>
          <w:color w:val="595959" w:themeColor="text1" w:themeTint="A6"/>
        </w:rPr>
        <w:t xml:space="preserve"> mimetics of oral stroma.</w:t>
      </w:r>
    </w:p>
    <w:p w14:paraId="68B6C247" w14:textId="420B5564" w:rsidR="00EF27E1" w:rsidRDefault="008C21BF" w:rsidP="008C21BF">
      <w:pPr>
        <w:spacing w:line="480" w:lineRule="auto"/>
        <w:jc w:val="both"/>
        <w:rPr>
          <w:rFonts w:ascii="Arial" w:hAnsi="Arial" w:cs="Arial"/>
          <w:color w:val="595959" w:themeColor="text1" w:themeTint="A6"/>
        </w:rPr>
      </w:pPr>
      <w:r w:rsidRPr="008C21BF">
        <w:rPr>
          <w:rFonts w:ascii="Arial" w:hAnsi="Arial" w:cs="Arial"/>
          <w:color w:val="595959" w:themeColor="text1" w:themeTint="A6"/>
        </w:rPr>
        <w:t xml:space="preserve">Altered ECM compositions and construction directly translates to altered biomechanics within tissue; </w:t>
      </w:r>
      <w:r w:rsidR="00BF1B3C">
        <w:rPr>
          <w:rFonts w:ascii="Arial" w:hAnsi="Arial" w:cs="Arial"/>
          <w:color w:val="595959" w:themeColor="text1" w:themeTint="A6"/>
        </w:rPr>
        <w:t xml:space="preserve">of </w:t>
      </w:r>
      <w:r w:rsidRPr="008C21BF">
        <w:rPr>
          <w:rFonts w:ascii="Arial" w:hAnsi="Arial" w:cs="Arial"/>
          <w:color w:val="595959" w:themeColor="text1" w:themeTint="A6"/>
        </w:rPr>
        <w:t xml:space="preserve">which cell behaviour is acutely dependent on (Egebald </w:t>
      </w:r>
      <w:r w:rsidRPr="008C21BF">
        <w:rPr>
          <w:rFonts w:ascii="Arial" w:hAnsi="Arial" w:cs="Arial"/>
          <w:i/>
          <w:color w:val="595959" w:themeColor="text1" w:themeTint="A6"/>
        </w:rPr>
        <w:t>et al.,</w:t>
      </w:r>
      <w:r w:rsidRPr="008C21BF">
        <w:rPr>
          <w:rFonts w:ascii="Arial" w:hAnsi="Arial" w:cs="Arial"/>
          <w:color w:val="595959" w:themeColor="text1" w:themeTint="A6"/>
        </w:rPr>
        <w:t xml:space="preserve"> 2010 and Kaukonen </w:t>
      </w:r>
      <w:r w:rsidRPr="008C21BF">
        <w:rPr>
          <w:rFonts w:ascii="Arial" w:hAnsi="Arial" w:cs="Arial"/>
          <w:i/>
          <w:color w:val="595959" w:themeColor="text1" w:themeTint="A6"/>
        </w:rPr>
        <w:lastRenderedPageBreak/>
        <w:t>et al.,</w:t>
      </w:r>
      <w:r w:rsidRPr="008C21BF">
        <w:rPr>
          <w:rFonts w:ascii="Arial" w:hAnsi="Arial" w:cs="Arial"/>
          <w:color w:val="595959" w:themeColor="text1" w:themeTint="A6"/>
        </w:rPr>
        <w:t xml:space="preserve"> 2017). Previous research has described that the ECM in the stroma of premalignant and tumour tissues exhibits an increased stiffness when compared with normal tissues (Levental </w:t>
      </w:r>
      <w:r w:rsidRPr="008C21BF">
        <w:rPr>
          <w:rFonts w:ascii="Arial" w:hAnsi="Arial" w:cs="Arial"/>
          <w:i/>
          <w:color w:val="595959" w:themeColor="text1" w:themeTint="A6"/>
        </w:rPr>
        <w:t>et al.,</w:t>
      </w:r>
      <w:r w:rsidRPr="008C21BF">
        <w:rPr>
          <w:rFonts w:ascii="Arial" w:hAnsi="Arial" w:cs="Arial"/>
          <w:color w:val="595959" w:themeColor="text1" w:themeTint="A6"/>
        </w:rPr>
        <w:t xml:space="preserve"> 2009, Cox </w:t>
      </w:r>
      <w:r w:rsidRPr="008C21BF">
        <w:rPr>
          <w:rFonts w:ascii="Arial" w:hAnsi="Arial" w:cs="Arial"/>
          <w:i/>
          <w:color w:val="595959" w:themeColor="text1" w:themeTint="A6"/>
        </w:rPr>
        <w:t>et al.,</w:t>
      </w:r>
      <w:r w:rsidRPr="008C21BF">
        <w:rPr>
          <w:rFonts w:ascii="Arial" w:hAnsi="Arial" w:cs="Arial"/>
          <w:color w:val="595959" w:themeColor="text1" w:themeTint="A6"/>
        </w:rPr>
        <w:t xml:space="preserve"> 2011, and Egebald </w:t>
      </w:r>
      <w:r w:rsidRPr="008C21BF">
        <w:rPr>
          <w:rFonts w:ascii="Arial" w:hAnsi="Arial" w:cs="Arial"/>
          <w:i/>
          <w:color w:val="595959" w:themeColor="text1" w:themeTint="A6"/>
        </w:rPr>
        <w:t>et al.,</w:t>
      </w:r>
      <w:r w:rsidRPr="008C21BF">
        <w:rPr>
          <w:rFonts w:ascii="Arial" w:hAnsi="Arial" w:cs="Arial"/>
          <w:color w:val="595959" w:themeColor="text1" w:themeTint="A6"/>
        </w:rPr>
        <w:t xml:space="preserve"> 2010). Compacted and stiff ECM results in tissue compression, which then activates cell migration pathways via integrin mediated signalling</w:t>
      </w:r>
      <w:r w:rsidR="00A95295">
        <w:rPr>
          <w:rFonts w:ascii="Arial" w:hAnsi="Arial" w:cs="Arial"/>
          <w:color w:val="595959" w:themeColor="text1" w:themeTint="A6"/>
        </w:rPr>
        <w:t xml:space="preserve"> (</w:t>
      </w:r>
      <w:r w:rsidR="009817ED">
        <w:rPr>
          <w:rFonts w:ascii="Arial" w:hAnsi="Arial" w:cs="Arial"/>
          <w:color w:val="595959" w:themeColor="text1" w:themeTint="A6"/>
        </w:rPr>
        <w:t xml:space="preserve">Gkretsi and </w:t>
      </w:r>
      <w:r w:rsidR="00AB51A1">
        <w:rPr>
          <w:rFonts w:ascii="Arial" w:hAnsi="Arial" w:cs="Arial"/>
          <w:color w:val="595959" w:themeColor="text1" w:themeTint="A6"/>
        </w:rPr>
        <w:t xml:space="preserve">Stylianopoulos, </w:t>
      </w:r>
      <w:r w:rsidR="009817ED">
        <w:rPr>
          <w:rFonts w:ascii="Arial" w:hAnsi="Arial" w:cs="Arial"/>
          <w:color w:val="595959" w:themeColor="text1" w:themeTint="A6"/>
        </w:rPr>
        <w:t>2018)</w:t>
      </w:r>
      <w:r w:rsidRPr="008C21BF">
        <w:rPr>
          <w:rFonts w:ascii="Arial" w:hAnsi="Arial" w:cs="Arial"/>
          <w:color w:val="595959" w:themeColor="text1" w:themeTint="A6"/>
        </w:rPr>
        <w:t xml:space="preserve">. This stiffness is largely associated with the deposition of collagen and this has been proposed as the major ECM component that is remodelled in tumour tissues, and predominantly accounts for a tumour’s mechanical features (Brauchle </w:t>
      </w:r>
      <w:r w:rsidRPr="008C21BF">
        <w:rPr>
          <w:rFonts w:ascii="Arial" w:hAnsi="Arial" w:cs="Arial"/>
          <w:i/>
          <w:color w:val="595959" w:themeColor="text1" w:themeTint="A6"/>
        </w:rPr>
        <w:t>et al.,</w:t>
      </w:r>
      <w:r w:rsidRPr="008C21BF">
        <w:rPr>
          <w:rFonts w:ascii="Arial" w:hAnsi="Arial" w:cs="Arial"/>
          <w:color w:val="595959" w:themeColor="text1" w:themeTint="A6"/>
        </w:rPr>
        <w:t xml:space="preserve"> 2018). The amount and density of collagen fibres and their crosslinking degree has been suggested to be able to determine the rigidity of tumours. A random isotropic arrangement of fibrillar ECM is indicative of normal or homeostatic parenchyma and a more organised, anisotropic arrangement of collagen, with relatively linear fibres is a hallmark of pathological microenvironment; correlated with poor patient prognosis; as aligned fibres </w:t>
      </w:r>
      <w:r w:rsidRPr="008C21BF">
        <w:rPr>
          <w:rFonts w:ascii="Arial" w:hAnsi="Arial" w:cs="Arial"/>
          <w:i/>
          <w:color w:val="595959" w:themeColor="text1" w:themeTint="A6"/>
        </w:rPr>
        <w:t>in vivo</w:t>
      </w:r>
      <w:r w:rsidRPr="008C21BF">
        <w:rPr>
          <w:rFonts w:ascii="Arial" w:hAnsi="Arial" w:cs="Arial"/>
          <w:color w:val="595959" w:themeColor="text1" w:themeTint="A6"/>
        </w:rPr>
        <w:t xml:space="preserve"> serve as natural trails on which cancer cells migrate (Pavithra </w:t>
      </w:r>
      <w:r w:rsidRPr="008C21BF">
        <w:rPr>
          <w:rFonts w:ascii="Arial" w:hAnsi="Arial" w:cs="Arial"/>
          <w:i/>
          <w:color w:val="595959" w:themeColor="text1" w:themeTint="A6"/>
        </w:rPr>
        <w:t>et al.,</w:t>
      </w:r>
      <w:r w:rsidRPr="008C21BF">
        <w:rPr>
          <w:rFonts w:ascii="Arial" w:hAnsi="Arial" w:cs="Arial"/>
          <w:color w:val="595959" w:themeColor="text1" w:themeTint="A6"/>
        </w:rPr>
        <w:t xml:space="preserve"> 2017). These tumour-associated collagen signatures (TACS); were first described by </w:t>
      </w:r>
      <w:r w:rsidRPr="008C21BF">
        <w:rPr>
          <w:rFonts w:ascii="Arial" w:hAnsi="Arial" w:cs="Arial"/>
          <w:i/>
          <w:color w:val="595959" w:themeColor="text1" w:themeTint="A6"/>
        </w:rPr>
        <w:t>Provenzano et al</w:t>
      </w:r>
      <w:r w:rsidR="003E6176">
        <w:rPr>
          <w:rFonts w:ascii="Arial" w:hAnsi="Arial" w:cs="Arial"/>
          <w:i/>
          <w:color w:val="595959" w:themeColor="text1" w:themeTint="A6"/>
        </w:rPr>
        <w:t xml:space="preserve">., </w:t>
      </w:r>
      <w:r w:rsidR="003E6176" w:rsidRPr="008C21BF">
        <w:rPr>
          <w:rFonts w:ascii="Arial" w:hAnsi="Arial" w:cs="Arial"/>
          <w:color w:val="595959" w:themeColor="text1" w:themeTint="A6"/>
        </w:rPr>
        <w:t>in</w:t>
      </w:r>
      <w:r w:rsidRPr="008C21BF">
        <w:rPr>
          <w:rFonts w:ascii="Arial" w:hAnsi="Arial" w:cs="Arial"/>
          <w:color w:val="595959" w:themeColor="text1" w:themeTint="A6"/>
        </w:rPr>
        <w:t xml:space="preserve"> which they visualised collagen fibre linearisation in murine models of cancer progression. </w:t>
      </w:r>
    </w:p>
    <w:p w14:paraId="03F0D73D" w14:textId="64885762" w:rsidR="008C21BF" w:rsidRPr="008C21BF" w:rsidRDefault="008C21BF" w:rsidP="008C21BF">
      <w:pPr>
        <w:spacing w:line="480" w:lineRule="auto"/>
        <w:jc w:val="both"/>
        <w:rPr>
          <w:rFonts w:ascii="Arial" w:hAnsi="Arial" w:cs="Arial"/>
          <w:color w:val="595959" w:themeColor="text1" w:themeTint="A6"/>
        </w:rPr>
      </w:pPr>
      <w:r w:rsidRPr="008C21BF">
        <w:rPr>
          <w:rFonts w:ascii="Arial" w:hAnsi="Arial" w:cs="Arial"/>
          <w:color w:val="595959" w:themeColor="text1" w:themeTint="A6"/>
        </w:rPr>
        <w:t xml:space="preserve">With collagen acting as the driving force for matrix biomechanics we focussed on the identification of collagen fibre signatures and the effects of CAF-mediated collagen stiffness. SHGM illustrated the importance of CAF-DM in manipulating ECM architecture and contributing towards the OSCC tumour microenvironment as evidenced by the formation of elongated collagen fibres. The increased collagen length, width and linearisation of fibrillary collagen identified in this study could be an essential factor controlling OSCC tumour cell invasion and migration in the same way previous studies have emphasised the importance of collagen structure and track-dependent migration of cancer cells (Conklin </w:t>
      </w:r>
      <w:r w:rsidRPr="008C21BF">
        <w:rPr>
          <w:rFonts w:ascii="Arial" w:hAnsi="Arial" w:cs="Arial"/>
          <w:i/>
          <w:color w:val="595959" w:themeColor="text1" w:themeTint="A6"/>
        </w:rPr>
        <w:t>et al.,</w:t>
      </w:r>
      <w:r w:rsidRPr="008C21BF">
        <w:rPr>
          <w:rFonts w:ascii="Arial" w:hAnsi="Arial" w:cs="Arial"/>
          <w:color w:val="595959" w:themeColor="text1" w:themeTint="A6"/>
        </w:rPr>
        <w:t xml:space="preserve"> 2011, Pavithra </w:t>
      </w:r>
      <w:r w:rsidRPr="008C21BF">
        <w:rPr>
          <w:rFonts w:ascii="Arial" w:hAnsi="Arial" w:cs="Arial"/>
          <w:i/>
          <w:color w:val="595959" w:themeColor="text1" w:themeTint="A6"/>
        </w:rPr>
        <w:t>et al.,</w:t>
      </w:r>
      <w:r w:rsidRPr="008C21BF">
        <w:rPr>
          <w:rFonts w:ascii="Arial" w:hAnsi="Arial" w:cs="Arial"/>
          <w:color w:val="595959" w:themeColor="text1" w:themeTint="A6"/>
        </w:rPr>
        <w:t xml:space="preserve"> 2017, Hanley </w:t>
      </w:r>
      <w:r w:rsidRPr="008C21BF">
        <w:rPr>
          <w:rFonts w:ascii="Arial" w:hAnsi="Arial" w:cs="Arial"/>
          <w:i/>
          <w:color w:val="595959" w:themeColor="text1" w:themeTint="A6"/>
        </w:rPr>
        <w:t>et al.,</w:t>
      </w:r>
      <w:r w:rsidRPr="008C21BF">
        <w:rPr>
          <w:rFonts w:ascii="Arial" w:hAnsi="Arial" w:cs="Arial"/>
          <w:color w:val="595959" w:themeColor="text1" w:themeTint="A6"/>
        </w:rPr>
        <w:t xml:space="preserve"> 201</w:t>
      </w:r>
      <w:r w:rsidR="00760421">
        <w:rPr>
          <w:rFonts w:ascii="Arial" w:hAnsi="Arial" w:cs="Arial"/>
          <w:color w:val="595959" w:themeColor="text1" w:themeTint="A6"/>
        </w:rPr>
        <w:t>6</w:t>
      </w:r>
      <w:r w:rsidRPr="008C21BF">
        <w:rPr>
          <w:rFonts w:ascii="Arial" w:hAnsi="Arial" w:cs="Arial"/>
          <w:color w:val="595959" w:themeColor="text1" w:themeTint="A6"/>
        </w:rPr>
        <w:t xml:space="preserve"> and Provenzano </w:t>
      </w:r>
      <w:r w:rsidRPr="008C21BF">
        <w:rPr>
          <w:rFonts w:ascii="Arial" w:hAnsi="Arial" w:cs="Arial"/>
          <w:i/>
          <w:color w:val="595959" w:themeColor="text1" w:themeTint="A6"/>
        </w:rPr>
        <w:t>et al.,</w:t>
      </w:r>
      <w:r w:rsidRPr="008C21BF">
        <w:rPr>
          <w:rFonts w:ascii="Arial" w:hAnsi="Arial" w:cs="Arial"/>
          <w:color w:val="595959" w:themeColor="text1" w:themeTint="A6"/>
        </w:rPr>
        <w:t xml:space="preserve"> 2006). </w:t>
      </w:r>
      <w:r w:rsidR="00661D47">
        <w:rPr>
          <w:rFonts w:ascii="Arial" w:hAnsi="Arial" w:cs="Arial"/>
          <w:color w:val="595959" w:themeColor="text1" w:themeTint="A6"/>
        </w:rPr>
        <w:t>Th</w:t>
      </w:r>
      <w:r w:rsidR="000412C5">
        <w:rPr>
          <w:rFonts w:ascii="Arial" w:hAnsi="Arial" w:cs="Arial"/>
          <w:color w:val="595959" w:themeColor="text1" w:themeTint="A6"/>
        </w:rPr>
        <w:t>e</w:t>
      </w:r>
      <w:r w:rsidR="00661D47">
        <w:rPr>
          <w:rFonts w:ascii="Arial" w:hAnsi="Arial" w:cs="Arial"/>
          <w:color w:val="595959" w:themeColor="text1" w:themeTint="A6"/>
        </w:rPr>
        <w:t xml:space="preserve"> novel </w:t>
      </w:r>
      <w:r w:rsidR="00EB61C8">
        <w:rPr>
          <w:rFonts w:ascii="Arial" w:hAnsi="Arial" w:cs="Arial"/>
          <w:color w:val="595959" w:themeColor="text1" w:themeTint="A6"/>
        </w:rPr>
        <w:t xml:space="preserve">collagen </w:t>
      </w:r>
      <w:r w:rsidR="00661D47">
        <w:rPr>
          <w:rFonts w:ascii="Arial" w:hAnsi="Arial" w:cs="Arial"/>
          <w:color w:val="595959" w:themeColor="text1" w:themeTint="A6"/>
        </w:rPr>
        <w:t>signature</w:t>
      </w:r>
      <w:r w:rsidR="000412C5">
        <w:rPr>
          <w:rFonts w:ascii="Arial" w:hAnsi="Arial" w:cs="Arial"/>
          <w:color w:val="595959" w:themeColor="text1" w:themeTint="A6"/>
        </w:rPr>
        <w:t>s</w:t>
      </w:r>
      <w:r w:rsidR="00661D47">
        <w:rPr>
          <w:rFonts w:ascii="Arial" w:hAnsi="Arial" w:cs="Arial"/>
          <w:color w:val="595959" w:themeColor="text1" w:themeTint="A6"/>
        </w:rPr>
        <w:t xml:space="preserve"> identified within these FDM</w:t>
      </w:r>
      <w:r w:rsidR="00586EE7">
        <w:rPr>
          <w:rFonts w:ascii="Arial" w:hAnsi="Arial" w:cs="Arial"/>
          <w:color w:val="595959" w:themeColor="text1" w:themeTint="A6"/>
        </w:rPr>
        <w:t xml:space="preserve">, </w:t>
      </w:r>
      <w:r w:rsidR="006E009C">
        <w:rPr>
          <w:rFonts w:ascii="Arial" w:hAnsi="Arial" w:cs="Arial"/>
          <w:color w:val="595959" w:themeColor="text1" w:themeTint="A6"/>
        </w:rPr>
        <w:t>warrant</w:t>
      </w:r>
      <w:r w:rsidR="00E657F9">
        <w:rPr>
          <w:rFonts w:ascii="Arial" w:hAnsi="Arial" w:cs="Arial"/>
          <w:color w:val="595959" w:themeColor="text1" w:themeTint="A6"/>
        </w:rPr>
        <w:t>s</w:t>
      </w:r>
      <w:r w:rsidR="00DE6BA1">
        <w:rPr>
          <w:rFonts w:ascii="Arial" w:hAnsi="Arial" w:cs="Arial"/>
          <w:color w:val="595959" w:themeColor="text1" w:themeTint="A6"/>
        </w:rPr>
        <w:t xml:space="preserve"> further</w:t>
      </w:r>
      <w:r w:rsidRPr="003A2BA2">
        <w:rPr>
          <w:rFonts w:ascii="Arial" w:hAnsi="Arial" w:cs="Arial"/>
          <w:color w:val="595959" w:themeColor="text1" w:themeTint="A6"/>
        </w:rPr>
        <w:t xml:space="preserve"> </w:t>
      </w:r>
      <w:r w:rsidR="00E657F9">
        <w:rPr>
          <w:rFonts w:ascii="Arial" w:hAnsi="Arial" w:cs="Arial"/>
          <w:color w:val="595959" w:themeColor="text1" w:themeTint="A6"/>
        </w:rPr>
        <w:t>investigation</w:t>
      </w:r>
      <w:r w:rsidR="00DE6BA1">
        <w:rPr>
          <w:rFonts w:ascii="Arial" w:hAnsi="Arial" w:cs="Arial"/>
          <w:color w:val="595959" w:themeColor="text1" w:themeTint="A6"/>
        </w:rPr>
        <w:t xml:space="preserve"> into collagen signatures observed in OSCC, and how they may be used for </w:t>
      </w:r>
      <w:r w:rsidR="00A37075">
        <w:rPr>
          <w:rFonts w:ascii="Arial" w:hAnsi="Arial" w:cs="Arial"/>
          <w:color w:val="595959" w:themeColor="text1" w:themeTint="A6"/>
        </w:rPr>
        <w:t xml:space="preserve">HNSCC </w:t>
      </w:r>
      <w:r w:rsidR="00DE6BA1">
        <w:rPr>
          <w:rFonts w:ascii="Arial" w:hAnsi="Arial" w:cs="Arial"/>
          <w:color w:val="595959" w:themeColor="text1" w:themeTint="A6"/>
        </w:rPr>
        <w:t>prognostic</w:t>
      </w:r>
      <w:r w:rsidR="00A37075">
        <w:rPr>
          <w:rFonts w:ascii="Arial" w:hAnsi="Arial" w:cs="Arial"/>
          <w:color w:val="595959" w:themeColor="text1" w:themeTint="A6"/>
        </w:rPr>
        <w:t xml:space="preserve">s. </w:t>
      </w:r>
      <w:r w:rsidR="00DE6BA1">
        <w:rPr>
          <w:rFonts w:ascii="Arial" w:hAnsi="Arial" w:cs="Arial"/>
          <w:color w:val="595959" w:themeColor="text1" w:themeTint="A6"/>
        </w:rPr>
        <w:t xml:space="preserve">  </w:t>
      </w:r>
      <w:r w:rsidR="00E657F9">
        <w:rPr>
          <w:rFonts w:ascii="Arial" w:hAnsi="Arial" w:cs="Arial"/>
          <w:color w:val="595959" w:themeColor="text1" w:themeTint="A6"/>
        </w:rPr>
        <w:t xml:space="preserve"> </w:t>
      </w:r>
    </w:p>
    <w:p w14:paraId="7A61CBB6" w14:textId="77777777" w:rsidR="006D59F7" w:rsidRDefault="008C21BF" w:rsidP="008C21BF">
      <w:pPr>
        <w:spacing w:line="480" w:lineRule="auto"/>
        <w:jc w:val="both"/>
        <w:rPr>
          <w:rFonts w:ascii="Arial" w:hAnsi="Arial" w:cs="Arial"/>
          <w:color w:val="595959" w:themeColor="text1" w:themeTint="A6"/>
        </w:rPr>
      </w:pPr>
      <w:r w:rsidRPr="008C21BF">
        <w:rPr>
          <w:rFonts w:ascii="Arial" w:hAnsi="Arial" w:cs="Arial"/>
          <w:color w:val="595959" w:themeColor="text1" w:themeTint="A6"/>
        </w:rPr>
        <w:lastRenderedPageBreak/>
        <w:t xml:space="preserve">Developing on this, ECM stiffness has been related to deposition of collagen and its cross-linking capabilities which can disrupt tissue morphology contributing to metastatic progression (Bonnans </w:t>
      </w:r>
      <w:r w:rsidRPr="008C21BF">
        <w:rPr>
          <w:rFonts w:ascii="Arial" w:hAnsi="Arial" w:cs="Arial"/>
          <w:i/>
          <w:color w:val="595959" w:themeColor="text1" w:themeTint="A6"/>
        </w:rPr>
        <w:t>et al.,</w:t>
      </w:r>
      <w:r w:rsidRPr="008C21BF">
        <w:rPr>
          <w:rFonts w:ascii="Arial" w:hAnsi="Arial" w:cs="Arial"/>
          <w:color w:val="595959" w:themeColor="text1" w:themeTint="A6"/>
        </w:rPr>
        <w:t xml:space="preserve"> 2015), therefore, the soft matter properties of these fibroblast-embedded matrices were also analysed using AFM. The effective Young’s elastic modulus of CAF-DM indicated a difference in stiffness compared to NOF-DM; suggesting that CAF-mediated deposition of ECM components could directly contribute to OSCC progression via mechanical alterations of the stromal compartment. This in also in agreement with other studies implicating ECM-related stiffness in tumour metastasis for cancers such as breast and prostate (Kumar and Weaver, 2009, Provenzanno </w:t>
      </w:r>
      <w:r w:rsidRPr="008C21BF">
        <w:rPr>
          <w:rFonts w:ascii="Arial" w:hAnsi="Arial" w:cs="Arial"/>
          <w:i/>
          <w:color w:val="595959" w:themeColor="text1" w:themeTint="A6"/>
        </w:rPr>
        <w:t>et al.,</w:t>
      </w:r>
      <w:r w:rsidRPr="008C21BF">
        <w:rPr>
          <w:rFonts w:ascii="Arial" w:hAnsi="Arial" w:cs="Arial"/>
          <w:color w:val="595959" w:themeColor="text1" w:themeTint="A6"/>
        </w:rPr>
        <w:t xml:space="preserve"> 2008 and Stuart </w:t>
      </w:r>
      <w:r w:rsidRPr="008C21BF">
        <w:rPr>
          <w:rFonts w:ascii="Arial" w:hAnsi="Arial" w:cs="Arial"/>
          <w:i/>
          <w:color w:val="595959" w:themeColor="text1" w:themeTint="A6"/>
        </w:rPr>
        <w:t>et al.,</w:t>
      </w:r>
      <w:r w:rsidRPr="008C21BF">
        <w:rPr>
          <w:rFonts w:ascii="Arial" w:hAnsi="Arial" w:cs="Arial"/>
          <w:color w:val="595959" w:themeColor="text1" w:themeTint="A6"/>
        </w:rPr>
        <w:t xml:space="preserve"> 2004). Further analysis on this altered stiffness i</w:t>
      </w:r>
      <w:r w:rsidR="00F77162">
        <w:rPr>
          <w:rFonts w:ascii="Arial" w:hAnsi="Arial" w:cs="Arial"/>
          <w:color w:val="595959" w:themeColor="text1" w:themeTint="A6"/>
        </w:rPr>
        <w:t>n the FDM developed here is</w:t>
      </w:r>
      <w:r w:rsidRPr="008C21BF">
        <w:rPr>
          <w:rFonts w:ascii="Arial" w:hAnsi="Arial" w:cs="Arial"/>
          <w:color w:val="595959" w:themeColor="text1" w:themeTint="A6"/>
        </w:rPr>
        <w:t xml:space="preserve"> currently underway.</w:t>
      </w:r>
    </w:p>
    <w:p w14:paraId="31A64DE2" w14:textId="6CB6440A" w:rsidR="006D59F7" w:rsidRPr="008C21BF" w:rsidRDefault="008C21BF" w:rsidP="008C21BF">
      <w:pPr>
        <w:spacing w:line="480" w:lineRule="auto"/>
        <w:jc w:val="both"/>
        <w:rPr>
          <w:rFonts w:ascii="Arial" w:hAnsi="Arial" w:cs="Arial"/>
          <w:color w:val="595959" w:themeColor="text1" w:themeTint="A6"/>
        </w:rPr>
      </w:pPr>
      <w:r w:rsidRPr="008C21BF">
        <w:rPr>
          <w:rFonts w:ascii="Arial" w:hAnsi="Arial" w:cs="Arial"/>
          <w:color w:val="595959" w:themeColor="text1" w:themeTint="A6"/>
        </w:rPr>
        <w:t>The ECM is a dynamic</w:t>
      </w:r>
      <w:r w:rsidRPr="008C21BF">
        <w:t xml:space="preserve"> </w:t>
      </w:r>
      <w:r w:rsidRPr="008C21BF">
        <w:rPr>
          <w:rFonts w:ascii="Arial" w:hAnsi="Arial" w:cs="Arial"/>
          <w:color w:val="595959" w:themeColor="text1" w:themeTint="A6"/>
        </w:rPr>
        <w:t xml:space="preserve">structure and is continually undergoing remodelling. This process of assembly and degradation is vital for normal developmental processes as well as during differentiation and wound repair; therefore, aberrant remodelling is associated with disease and tissue abnormalities (Daley </w:t>
      </w:r>
      <w:r w:rsidRPr="008C21BF">
        <w:rPr>
          <w:rFonts w:ascii="Arial" w:hAnsi="Arial" w:cs="Arial"/>
          <w:i/>
          <w:color w:val="595959" w:themeColor="text1" w:themeTint="A6"/>
        </w:rPr>
        <w:t>et al.,</w:t>
      </w:r>
      <w:r w:rsidRPr="008C21BF">
        <w:rPr>
          <w:rFonts w:ascii="Arial" w:hAnsi="Arial" w:cs="Arial"/>
          <w:color w:val="595959" w:themeColor="text1" w:themeTint="A6"/>
        </w:rPr>
        <w:t xml:space="preserve"> 2008 and reviewed by Bonnans </w:t>
      </w:r>
      <w:r w:rsidRPr="008C21BF">
        <w:rPr>
          <w:rFonts w:ascii="Arial" w:hAnsi="Arial" w:cs="Arial"/>
          <w:i/>
          <w:color w:val="595959" w:themeColor="text1" w:themeTint="A6"/>
        </w:rPr>
        <w:t xml:space="preserve">et al., </w:t>
      </w:r>
      <w:r w:rsidRPr="008C21BF">
        <w:rPr>
          <w:rFonts w:ascii="Arial" w:hAnsi="Arial" w:cs="Arial"/>
          <w:color w:val="595959" w:themeColor="text1" w:themeTint="A6"/>
        </w:rPr>
        <w:t>2015). It is the 3D microenvironment that regulates the assembly and cellular tens</w:t>
      </w:r>
      <w:r w:rsidR="00D34C70">
        <w:rPr>
          <w:rFonts w:ascii="Arial" w:hAnsi="Arial" w:cs="Arial"/>
          <w:color w:val="595959" w:themeColor="text1" w:themeTint="A6"/>
        </w:rPr>
        <w:t>ion</w:t>
      </w:r>
      <w:r w:rsidRPr="008C21BF">
        <w:rPr>
          <w:rFonts w:ascii="Arial" w:hAnsi="Arial" w:cs="Arial"/>
          <w:color w:val="595959" w:themeColor="text1" w:themeTint="A6"/>
        </w:rPr>
        <w:t xml:space="preserve"> through integrins of the ECM and in response to signals </w:t>
      </w:r>
      <w:r w:rsidR="00116E02">
        <w:rPr>
          <w:rFonts w:ascii="Arial" w:hAnsi="Arial" w:cs="Arial"/>
          <w:color w:val="595959" w:themeColor="text1" w:themeTint="A6"/>
        </w:rPr>
        <w:t xml:space="preserve">and </w:t>
      </w:r>
      <w:r w:rsidRPr="008C21BF">
        <w:rPr>
          <w:rFonts w:ascii="Arial" w:hAnsi="Arial" w:cs="Arial"/>
          <w:color w:val="595959" w:themeColor="text1" w:themeTint="A6"/>
        </w:rPr>
        <w:t xml:space="preserve">ECM-modifying enzymes like </w:t>
      </w:r>
      <w:r w:rsidR="00D34C70">
        <w:rPr>
          <w:rFonts w:ascii="Arial" w:hAnsi="Arial" w:cs="Arial"/>
          <w:color w:val="595959" w:themeColor="text1" w:themeTint="A6"/>
        </w:rPr>
        <w:t xml:space="preserve">the </w:t>
      </w:r>
      <w:r w:rsidRPr="008C21BF">
        <w:rPr>
          <w:rFonts w:ascii="Arial" w:hAnsi="Arial" w:cs="Arial"/>
          <w:color w:val="595959" w:themeColor="text1" w:themeTint="A6"/>
        </w:rPr>
        <w:t xml:space="preserve">matrix metalloproteases (MMP); the ECM can be effectively remodelled. </w:t>
      </w:r>
      <w:r w:rsidR="00975696">
        <w:rPr>
          <w:rFonts w:ascii="Arial" w:hAnsi="Arial" w:cs="Arial"/>
          <w:color w:val="595959" w:themeColor="text1" w:themeTint="A6"/>
        </w:rPr>
        <w:t xml:space="preserve">Aberrant </w:t>
      </w:r>
      <w:r w:rsidRPr="008C21BF">
        <w:rPr>
          <w:rFonts w:ascii="Arial" w:hAnsi="Arial" w:cs="Arial"/>
          <w:color w:val="595959" w:themeColor="text1" w:themeTint="A6"/>
        </w:rPr>
        <w:t xml:space="preserve">MMP-2 and MMP-9 activity and expression has been </w:t>
      </w:r>
      <w:r w:rsidR="00EF316D">
        <w:rPr>
          <w:rFonts w:ascii="Arial" w:hAnsi="Arial" w:cs="Arial"/>
          <w:color w:val="595959" w:themeColor="text1" w:themeTint="A6"/>
        </w:rPr>
        <w:t>observed</w:t>
      </w:r>
      <w:r w:rsidRPr="008C21BF">
        <w:rPr>
          <w:rFonts w:ascii="Arial" w:hAnsi="Arial" w:cs="Arial"/>
          <w:color w:val="595959" w:themeColor="text1" w:themeTint="A6"/>
        </w:rPr>
        <w:t xml:space="preserve"> in OSCC (Vicente </w:t>
      </w:r>
      <w:r w:rsidRPr="008C21BF">
        <w:rPr>
          <w:rFonts w:ascii="Arial" w:hAnsi="Arial" w:cs="Arial"/>
          <w:i/>
          <w:color w:val="595959" w:themeColor="text1" w:themeTint="A6"/>
        </w:rPr>
        <w:t>et al.,</w:t>
      </w:r>
      <w:r w:rsidRPr="008C21BF">
        <w:rPr>
          <w:rFonts w:ascii="Arial" w:hAnsi="Arial" w:cs="Arial"/>
          <w:color w:val="595959" w:themeColor="text1" w:themeTint="A6"/>
        </w:rPr>
        <w:t xml:space="preserve"> 2005, and Ikebe </w:t>
      </w:r>
      <w:r w:rsidRPr="008C21BF">
        <w:rPr>
          <w:rFonts w:ascii="Arial" w:hAnsi="Arial" w:cs="Arial"/>
          <w:i/>
          <w:color w:val="595959" w:themeColor="text1" w:themeTint="A6"/>
        </w:rPr>
        <w:t>et al.,</w:t>
      </w:r>
      <w:r w:rsidRPr="008C21BF">
        <w:rPr>
          <w:rFonts w:ascii="Arial" w:hAnsi="Arial" w:cs="Arial"/>
          <w:color w:val="595959" w:themeColor="text1" w:themeTint="A6"/>
        </w:rPr>
        <w:t xml:space="preserve"> 1999). In this investigation both MMP-2 and MMP-9 activity was present in NOF-DM and CAF-DM suggesting that fibroblast secreted ECM is capable of degrading this meshwork for remodelling purposes</w:t>
      </w:r>
      <w:r w:rsidR="00944BAB">
        <w:rPr>
          <w:rFonts w:ascii="Arial" w:hAnsi="Arial" w:cs="Arial"/>
          <w:color w:val="595959" w:themeColor="text1" w:themeTint="A6"/>
        </w:rPr>
        <w:t xml:space="preserve">, however, no significant differences were datable for NOF-DM </w:t>
      </w:r>
      <w:r w:rsidR="008D0911">
        <w:rPr>
          <w:rFonts w:ascii="Arial" w:hAnsi="Arial" w:cs="Arial"/>
          <w:color w:val="595959" w:themeColor="text1" w:themeTint="A6"/>
        </w:rPr>
        <w:t xml:space="preserve">compared to </w:t>
      </w:r>
      <w:r w:rsidR="00944BAB">
        <w:rPr>
          <w:rFonts w:ascii="Arial" w:hAnsi="Arial" w:cs="Arial"/>
          <w:color w:val="595959" w:themeColor="text1" w:themeTint="A6"/>
        </w:rPr>
        <w:t>CAF-DM.</w:t>
      </w:r>
      <w:r w:rsidRPr="008C21BF">
        <w:rPr>
          <w:rFonts w:ascii="Arial" w:hAnsi="Arial" w:cs="Arial"/>
          <w:color w:val="595959" w:themeColor="text1" w:themeTint="A6"/>
        </w:rPr>
        <w:t xml:space="preserve"> Further investigation will look into the effects of normal and OSCC epithelial cell-interaction with FDM and the effect this has on MMP activity. </w:t>
      </w:r>
    </w:p>
    <w:p w14:paraId="790C20AF" w14:textId="50F0EE78" w:rsidR="00EA68C4" w:rsidRPr="008C21BF" w:rsidRDefault="008C21BF" w:rsidP="009D7E1A">
      <w:pPr>
        <w:shd w:val="clear" w:color="auto" w:fill="FFFFFF"/>
        <w:spacing w:after="0" w:line="480" w:lineRule="auto"/>
        <w:jc w:val="both"/>
        <w:rPr>
          <w:rFonts w:ascii="Arial" w:eastAsia="Times New Roman" w:hAnsi="Arial" w:cs="Arial"/>
          <w:color w:val="595959" w:themeColor="text1" w:themeTint="A6"/>
          <w:lang w:eastAsia="en-GB"/>
        </w:rPr>
      </w:pPr>
      <w:r w:rsidRPr="008C21BF">
        <w:rPr>
          <w:rFonts w:ascii="Arial" w:eastAsia="Times New Roman" w:hAnsi="Arial" w:cs="Arial"/>
          <w:color w:val="595959" w:themeColor="text1" w:themeTint="A6"/>
          <w:lang w:eastAsia="en-GB"/>
        </w:rPr>
        <w:t xml:space="preserve">Many cancer drugs exhibit cytotoxic behaviour on cancer cells </w:t>
      </w:r>
      <w:r w:rsidRPr="008C21BF">
        <w:rPr>
          <w:rFonts w:ascii="Arial" w:eastAsia="Times New Roman" w:hAnsi="Arial" w:cs="Arial"/>
          <w:i/>
          <w:color w:val="595959" w:themeColor="text1" w:themeTint="A6"/>
          <w:lang w:eastAsia="en-GB"/>
        </w:rPr>
        <w:t>in vitro</w:t>
      </w:r>
      <w:r w:rsidRPr="008C21BF">
        <w:rPr>
          <w:rFonts w:ascii="Arial" w:eastAsia="Times New Roman" w:hAnsi="Arial" w:cs="Arial"/>
          <w:color w:val="595959" w:themeColor="text1" w:themeTint="A6"/>
          <w:lang w:eastAsia="en-GB"/>
        </w:rPr>
        <w:t xml:space="preserve"> but losing efficacy </w:t>
      </w:r>
      <w:r w:rsidRPr="008C21BF">
        <w:rPr>
          <w:rFonts w:ascii="Arial" w:eastAsia="Times New Roman" w:hAnsi="Arial" w:cs="Arial"/>
          <w:i/>
          <w:color w:val="595959" w:themeColor="text1" w:themeTint="A6"/>
          <w:lang w:eastAsia="en-GB"/>
        </w:rPr>
        <w:t>in vivo</w:t>
      </w:r>
      <w:r w:rsidR="00EB5837">
        <w:rPr>
          <w:rFonts w:ascii="Arial" w:eastAsia="Times New Roman" w:hAnsi="Arial" w:cs="Arial"/>
          <w:i/>
          <w:color w:val="595959" w:themeColor="text1" w:themeTint="A6"/>
          <w:lang w:eastAsia="en-GB"/>
        </w:rPr>
        <w:t>,</w:t>
      </w:r>
      <w:r w:rsidRPr="008C21BF">
        <w:rPr>
          <w:rFonts w:ascii="Arial" w:eastAsia="Times New Roman" w:hAnsi="Arial" w:cs="Arial"/>
          <w:i/>
          <w:color w:val="595959" w:themeColor="text1" w:themeTint="A6"/>
          <w:lang w:eastAsia="en-GB"/>
        </w:rPr>
        <w:t xml:space="preserve"> </w:t>
      </w:r>
      <w:r w:rsidRPr="008C21BF">
        <w:rPr>
          <w:rFonts w:ascii="Arial" w:eastAsia="Times New Roman" w:hAnsi="Arial" w:cs="Arial"/>
          <w:iCs/>
          <w:color w:val="595959" w:themeColor="text1" w:themeTint="A6"/>
          <w:lang w:eastAsia="en-GB"/>
        </w:rPr>
        <w:t>this poorly understood chemoresistance</w:t>
      </w:r>
      <w:r w:rsidR="00CB7A41">
        <w:rPr>
          <w:rFonts w:ascii="Arial" w:eastAsia="Times New Roman" w:hAnsi="Arial" w:cs="Arial"/>
          <w:iCs/>
          <w:color w:val="595959" w:themeColor="text1" w:themeTint="A6"/>
          <w:lang w:eastAsia="en-GB"/>
        </w:rPr>
        <w:t>,</w:t>
      </w:r>
      <w:r w:rsidRPr="008C21BF">
        <w:rPr>
          <w:rFonts w:ascii="Arial" w:eastAsia="Times New Roman" w:hAnsi="Arial" w:cs="Arial"/>
          <w:iCs/>
          <w:color w:val="595959" w:themeColor="text1" w:themeTint="A6"/>
          <w:lang w:eastAsia="en-GB"/>
        </w:rPr>
        <w:t xml:space="preserve"> is </w:t>
      </w:r>
      <w:r w:rsidRPr="008C21BF">
        <w:rPr>
          <w:rFonts w:ascii="Arial" w:eastAsia="Times New Roman" w:hAnsi="Arial" w:cs="Arial"/>
          <w:color w:val="595959" w:themeColor="text1" w:themeTint="A6"/>
          <w:lang w:eastAsia="en-GB"/>
        </w:rPr>
        <w:t xml:space="preserve">conferred by the tumour microenvironment. To address this, we have attempted to treat FDM with </w:t>
      </w:r>
      <w:r w:rsidRPr="008C21BF">
        <w:rPr>
          <w:rFonts w:ascii="Arial" w:hAnsi="Arial" w:cs="Arial"/>
          <w:color w:val="595959" w:themeColor="text1" w:themeTint="A6"/>
        </w:rPr>
        <w:t xml:space="preserve">two drugs that function to normalise the tumour microenvironment. Batimastat and Scriptaid are drugs used to target fibroblasts and </w:t>
      </w:r>
      <w:r w:rsidR="00807AB1">
        <w:rPr>
          <w:rFonts w:ascii="Arial" w:hAnsi="Arial" w:cs="Arial"/>
          <w:color w:val="595959" w:themeColor="text1" w:themeTint="A6"/>
        </w:rPr>
        <w:lastRenderedPageBreak/>
        <w:t xml:space="preserve">the proteases they secrete in an </w:t>
      </w:r>
      <w:r w:rsidRPr="008C21BF">
        <w:rPr>
          <w:rFonts w:ascii="Arial" w:hAnsi="Arial" w:cs="Arial"/>
          <w:color w:val="595959" w:themeColor="text1" w:themeTint="A6"/>
        </w:rPr>
        <w:t xml:space="preserve">attempt to reverse the abnormal ECM deposition </w:t>
      </w:r>
      <w:r w:rsidR="00807AB1">
        <w:rPr>
          <w:rFonts w:ascii="Arial" w:hAnsi="Arial" w:cs="Arial"/>
          <w:color w:val="595959" w:themeColor="text1" w:themeTint="A6"/>
        </w:rPr>
        <w:t xml:space="preserve">generated by myofibroblasts and </w:t>
      </w:r>
      <w:r w:rsidRPr="008C21BF">
        <w:rPr>
          <w:rFonts w:ascii="Arial" w:hAnsi="Arial" w:cs="Arial"/>
          <w:color w:val="595959" w:themeColor="text1" w:themeTint="A6"/>
        </w:rPr>
        <w:t>CAF</w:t>
      </w:r>
      <w:r w:rsidR="00390D0F">
        <w:rPr>
          <w:rFonts w:ascii="Arial" w:hAnsi="Arial" w:cs="Arial"/>
          <w:color w:val="595959" w:themeColor="text1" w:themeTint="A6"/>
        </w:rPr>
        <w:t xml:space="preserve"> (</w:t>
      </w:r>
      <w:r w:rsidR="00961F9A">
        <w:rPr>
          <w:rFonts w:ascii="Arial" w:hAnsi="Arial" w:cs="Arial"/>
          <w:color w:val="595959" w:themeColor="text1" w:themeTint="A6"/>
        </w:rPr>
        <w:t xml:space="preserve">Kim </w:t>
      </w:r>
      <w:r w:rsidR="00961F9A" w:rsidRPr="00961F9A">
        <w:rPr>
          <w:rFonts w:ascii="Arial" w:hAnsi="Arial" w:cs="Arial"/>
          <w:i/>
          <w:iCs/>
          <w:color w:val="595959" w:themeColor="text1" w:themeTint="A6"/>
        </w:rPr>
        <w:t>et al.,</w:t>
      </w:r>
      <w:r w:rsidR="00961F9A">
        <w:rPr>
          <w:rFonts w:ascii="Arial" w:hAnsi="Arial" w:cs="Arial"/>
          <w:color w:val="595959" w:themeColor="text1" w:themeTint="A6"/>
        </w:rPr>
        <w:t xml:space="preserve"> 2018, and Brown, 1999</w:t>
      </w:r>
      <w:r w:rsidR="00390D0F">
        <w:rPr>
          <w:rFonts w:ascii="Arial" w:hAnsi="Arial" w:cs="Arial"/>
          <w:color w:val="595959" w:themeColor="text1" w:themeTint="A6"/>
        </w:rPr>
        <w:t>)</w:t>
      </w:r>
      <w:r w:rsidR="00807AB1">
        <w:rPr>
          <w:rFonts w:ascii="Arial" w:hAnsi="Arial" w:cs="Arial"/>
          <w:color w:val="595959" w:themeColor="text1" w:themeTint="A6"/>
        </w:rPr>
        <w:t>. In the tumour microenvironment, CAF</w:t>
      </w:r>
      <w:r w:rsidRPr="008C21BF">
        <w:rPr>
          <w:rFonts w:ascii="Arial" w:hAnsi="Arial" w:cs="Arial"/>
          <w:color w:val="595959" w:themeColor="text1" w:themeTint="A6"/>
        </w:rPr>
        <w:t xml:space="preserve"> are genetically stable cells</w:t>
      </w:r>
      <w:r w:rsidR="007B3AF7">
        <w:rPr>
          <w:rFonts w:ascii="Arial" w:hAnsi="Arial" w:cs="Arial"/>
          <w:color w:val="595959" w:themeColor="text1" w:themeTint="A6"/>
        </w:rPr>
        <w:t xml:space="preserve">, </w:t>
      </w:r>
      <w:r w:rsidR="006C7972">
        <w:rPr>
          <w:rFonts w:ascii="Arial" w:hAnsi="Arial" w:cs="Arial"/>
          <w:color w:val="595959" w:themeColor="text1" w:themeTint="A6"/>
        </w:rPr>
        <w:t>but there is evidence that CAF are epigen</w:t>
      </w:r>
      <w:r w:rsidR="00CA6D05">
        <w:rPr>
          <w:rFonts w:ascii="Arial" w:hAnsi="Arial" w:cs="Arial"/>
          <w:color w:val="595959" w:themeColor="text1" w:themeTint="A6"/>
        </w:rPr>
        <w:t>e</w:t>
      </w:r>
      <w:r w:rsidR="006C7972">
        <w:rPr>
          <w:rFonts w:ascii="Arial" w:hAnsi="Arial" w:cs="Arial"/>
          <w:color w:val="595959" w:themeColor="text1" w:themeTint="A6"/>
        </w:rPr>
        <w:t>tically unstable</w:t>
      </w:r>
      <w:r w:rsidR="00F35FF4">
        <w:rPr>
          <w:rFonts w:ascii="Arial" w:hAnsi="Arial" w:cs="Arial"/>
          <w:color w:val="595959" w:themeColor="text1" w:themeTint="A6"/>
        </w:rPr>
        <w:t xml:space="preserve">. </w:t>
      </w:r>
      <w:r w:rsidRPr="008C21BF">
        <w:rPr>
          <w:rFonts w:ascii="Arial" w:hAnsi="Arial" w:cs="Arial"/>
          <w:color w:val="595959" w:themeColor="text1" w:themeTint="A6"/>
        </w:rPr>
        <w:t xml:space="preserve">For this reason, exploring the epigenetic pathways that promote non-CAF to CAF conversion or diminishing the phenotypic and functional properties of CAF would be of use in a clinical setting </w:t>
      </w:r>
      <w:r w:rsidRPr="008C21BF">
        <w:rPr>
          <w:rFonts w:ascii="Arial" w:eastAsia="Times New Roman" w:hAnsi="Arial" w:cs="Arial"/>
          <w:color w:val="595959" w:themeColor="text1" w:themeTint="A6"/>
          <w:lang w:eastAsia="en-GB"/>
        </w:rPr>
        <w:t>(Gasche and Goel, 2012)</w:t>
      </w:r>
      <w:r w:rsidRPr="008C21BF">
        <w:rPr>
          <w:rFonts w:ascii="Arial" w:hAnsi="Arial" w:cs="Arial"/>
          <w:color w:val="595959" w:themeColor="text1" w:themeTint="A6"/>
        </w:rPr>
        <w:t xml:space="preserve">. Scriptaid; has </w:t>
      </w:r>
      <w:r w:rsidRPr="008C21BF">
        <w:rPr>
          <w:rFonts w:ascii="Arial" w:eastAsia="Times New Roman" w:hAnsi="Arial" w:cs="Arial"/>
          <w:color w:val="595959" w:themeColor="text1" w:themeTint="A6"/>
          <w:lang w:eastAsia="en-GB"/>
        </w:rPr>
        <w:t xml:space="preserve">been shown to reverse the phenotypic and functional capabilities of CAF in human and murine cell culture models (Kim </w:t>
      </w:r>
      <w:r w:rsidRPr="008C21BF">
        <w:rPr>
          <w:rFonts w:ascii="Arial" w:eastAsia="Times New Roman" w:hAnsi="Arial" w:cs="Arial"/>
          <w:i/>
          <w:color w:val="595959" w:themeColor="text1" w:themeTint="A6"/>
          <w:lang w:eastAsia="en-GB"/>
        </w:rPr>
        <w:t>et al.,</w:t>
      </w:r>
      <w:r w:rsidRPr="008C21BF">
        <w:rPr>
          <w:rFonts w:ascii="Arial" w:eastAsia="Times New Roman" w:hAnsi="Arial" w:cs="Arial"/>
          <w:color w:val="595959" w:themeColor="text1" w:themeTint="A6"/>
          <w:lang w:eastAsia="en-GB"/>
        </w:rPr>
        <w:t xml:space="preserve"> 2018, Barter </w:t>
      </w:r>
      <w:r w:rsidRPr="008C21BF">
        <w:rPr>
          <w:rFonts w:ascii="Arial" w:eastAsia="Times New Roman" w:hAnsi="Arial" w:cs="Arial"/>
          <w:i/>
          <w:color w:val="595959" w:themeColor="text1" w:themeTint="A6"/>
          <w:lang w:eastAsia="en-GB"/>
        </w:rPr>
        <w:t>et al.,</w:t>
      </w:r>
      <w:r w:rsidRPr="008C21BF">
        <w:rPr>
          <w:rFonts w:ascii="Arial" w:eastAsia="Times New Roman" w:hAnsi="Arial" w:cs="Arial"/>
          <w:color w:val="595959" w:themeColor="text1" w:themeTint="A6"/>
          <w:lang w:eastAsia="en-GB"/>
        </w:rPr>
        <w:t xml:space="preserve"> 2010, Guo </w:t>
      </w:r>
      <w:r w:rsidRPr="008C21BF">
        <w:rPr>
          <w:rFonts w:ascii="Arial" w:eastAsia="Times New Roman" w:hAnsi="Arial" w:cs="Arial"/>
          <w:i/>
          <w:color w:val="595959" w:themeColor="text1" w:themeTint="A6"/>
          <w:lang w:eastAsia="en-GB"/>
        </w:rPr>
        <w:t>et al.,</w:t>
      </w:r>
      <w:r w:rsidRPr="008C21BF">
        <w:rPr>
          <w:rFonts w:ascii="Arial" w:eastAsia="Times New Roman" w:hAnsi="Arial" w:cs="Arial"/>
          <w:color w:val="595959" w:themeColor="text1" w:themeTint="A6"/>
          <w:lang w:eastAsia="en-GB"/>
        </w:rPr>
        <w:t xml:space="preserve"> 2009); </w:t>
      </w:r>
      <w:r w:rsidRPr="008C21BF">
        <w:rPr>
          <w:rFonts w:ascii="Arial" w:hAnsi="Arial" w:cs="Arial"/>
          <w:color w:val="595959" w:themeColor="text1" w:themeTint="A6"/>
        </w:rPr>
        <w:t xml:space="preserve">including CAF enhanced contractility, reduced abundant ECM expression, and TGFβ pathway activation. </w:t>
      </w:r>
      <w:r w:rsidRPr="008C21BF">
        <w:rPr>
          <w:rFonts w:ascii="Arial" w:eastAsia="Times New Roman" w:hAnsi="Arial" w:cs="Arial"/>
          <w:color w:val="595959" w:themeColor="text1" w:themeTint="A6"/>
          <w:lang w:eastAsia="en-GB"/>
        </w:rPr>
        <w:t xml:space="preserve">Scriptaid </w:t>
      </w:r>
      <w:r w:rsidR="000C5C54">
        <w:rPr>
          <w:rFonts w:ascii="Arial" w:eastAsia="Times New Roman" w:hAnsi="Arial" w:cs="Arial"/>
          <w:color w:val="595959" w:themeColor="text1" w:themeTint="A6"/>
          <w:lang w:eastAsia="en-GB"/>
        </w:rPr>
        <w:t xml:space="preserve">has been observed to </w:t>
      </w:r>
      <w:r w:rsidRPr="008C21BF">
        <w:rPr>
          <w:rFonts w:ascii="Arial" w:eastAsia="Times New Roman" w:hAnsi="Arial" w:cs="Arial"/>
          <w:color w:val="595959" w:themeColor="text1" w:themeTint="A6"/>
          <w:lang w:eastAsia="en-GB"/>
        </w:rPr>
        <w:t xml:space="preserve">antagonise TGFβ-mediated CAF gene expression, which resulted in a diminished ECM deposition, reduced contractility and ECM stiffness, and delayed tumour growth </w:t>
      </w:r>
      <w:r w:rsidRPr="008C21BF">
        <w:rPr>
          <w:rFonts w:ascii="Arial" w:eastAsia="Times New Roman" w:hAnsi="Arial" w:cs="Arial"/>
          <w:i/>
          <w:color w:val="595959" w:themeColor="text1" w:themeTint="A6"/>
          <w:lang w:eastAsia="en-GB"/>
        </w:rPr>
        <w:t>in vivo</w:t>
      </w:r>
      <w:r w:rsidRPr="008C21BF">
        <w:rPr>
          <w:rFonts w:ascii="Arial" w:eastAsia="Times New Roman" w:hAnsi="Arial" w:cs="Arial"/>
          <w:color w:val="595959" w:themeColor="text1" w:themeTint="A6"/>
          <w:lang w:eastAsia="en-GB"/>
        </w:rPr>
        <w:t>; thus, Scriptaid was chosen to investigate its effects on NOF- and</w:t>
      </w:r>
      <w:r w:rsidR="001F6CBE">
        <w:rPr>
          <w:rFonts w:ascii="Arial" w:eastAsia="Times New Roman" w:hAnsi="Arial" w:cs="Arial"/>
          <w:color w:val="595959" w:themeColor="text1" w:themeTint="A6"/>
          <w:lang w:eastAsia="en-GB"/>
        </w:rPr>
        <w:t xml:space="preserve"> </w:t>
      </w:r>
      <w:r w:rsidRPr="008C21BF">
        <w:rPr>
          <w:rFonts w:ascii="Arial" w:eastAsia="Times New Roman" w:hAnsi="Arial" w:cs="Arial"/>
          <w:color w:val="595959" w:themeColor="text1" w:themeTint="A6"/>
          <w:lang w:eastAsia="en-GB"/>
        </w:rPr>
        <w:t>CAF</w:t>
      </w:r>
      <w:r w:rsidR="001F6CBE">
        <w:rPr>
          <w:rFonts w:ascii="Arial" w:eastAsia="Times New Roman" w:hAnsi="Arial" w:cs="Arial"/>
          <w:color w:val="595959" w:themeColor="text1" w:themeTint="A6"/>
          <w:lang w:eastAsia="en-GB"/>
        </w:rPr>
        <w:t xml:space="preserve">-derived </w:t>
      </w:r>
      <w:r w:rsidRPr="008C21BF">
        <w:rPr>
          <w:rFonts w:ascii="Arial" w:eastAsia="Times New Roman" w:hAnsi="Arial" w:cs="Arial"/>
          <w:color w:val="595959" w:themeColor="text1" w:themeTint="A6"/>
          <w:lang w:eastAsia="en-GB"/>
        </w:rPr>
        <w:t xml:space="preserve">ECM </w:t>
      </w:r>
      <w:r w:rsidRPr="008C21BF">
        <w:rPr>
          <w:rFonts w:ascii="Arial" w:eastAsia="Times New Roman" w:hAnsi="Arial" w:cs="Arial"/>
          <w:i/>
          <w:color w:val="595959" w:themeColor="text1" w:themeTint="A6"/>
          <w:lang w:eastAsia="en-GB"/>
        </w:rPr>
        <w:t xml:space="preserve">in vitro. </w:t>
      </w:r>
      <w:r w:rsidRPr="008C21BF">
        <w:rPr>
          <w:rFonts w:ascii="Arial" w:eastAsia="Times New Roman" w:hAnsi="Arial" w:cs="Arial"/>
          <w:color w:val="595959" w:themeColor="text1" w:themeTint="A6"/>
          <w:lang w:eastAsia="en-GB"/>
        </w:rPr>
        <w:t>Another stromal-targeted drug was also assessed; Batimastat (BB94), a low molecular weight collagen peptide-based hydroxamic acid</w:t>
      </w:r>
      <w:r w:rsidR="009C3646">
        <w:rPr>
          <w:rFonts w:ascii="Arial" w:eastAsia="Times New Roman" w:hAnsi="Arial" w:cs="Arial"/>
          <w:color w:val="595959" w:themeColor="text1" w:themeTint="A6"/>
          <w:lang w:eastAsia="en-GB"/>
        </w:rPr>
        <w:t>.</w:t>
      </w:r>
      <w:r w:rsidRPr="008C21BF">
        <w:rPr>
          <w:rFonts w:ascii="Arial" w:eastAsia="Times New Roman" w:hAnsi="Arial" w:cs="Arial"/>
          <w:color w:val="595959" w:themeColor="text1" w:themeTint="A6"/>
          <w:lang w:eastAsia="en-GB"/>
        </w:rPr>
        <w:t xml:space="preserve"> </w:t>
      </w:r>
      <w:r w:rsidR="009C3646">
        <w:rPr>
          <w:rFonts w:ascii="Arial" w:eastAsia="Times New Roman" w:hAnsi="Arial" w:cs="Arial"/>
          <w:color w:val="595959" w:themeColor="text1" w:themeTint="A6"/>
          <w:lang w:eastAsia="en-GB"/>
        </w:rPr>
        <w:t>This</w:t>
      </w:r>
      <w:r w:rsidRPr="008C21BF">
        <w:rPr>
          <w:rFonts w:ascii="Arial" w:eastAsia="Times New Roman" w:hAnsi="Arial" w:cs="Arial"/>
          <w:color w:val="595959" w:themeColor="text1" w:themeTint="A6"/>
          <w:lang w:eastAsia="en-GB"/>
        </w:rPr>
        <w:t xml:space="preserve"> </w:t>
      </w:r>
      <w:r w:rsidR="009C3646">
        <w:rPr>
          <w:rFonts w:ascii="Arial" w:eastAsia="Times New Roman" w:hAnsi="Arial" w:cs="Arial"/>
          <w:color w:val="595959" w:themeColor="text1" w:themeTint="A6"/>
          <w:lang w:eastAsia="en-GB"/>
        </w:rPr>
        <w:t xml:space="preserve">was the </w:t>
      </w:r>
      <w:r w:rsidRPr="008C21BF">
        <w:rPr>
          <w:rFonts w:ascii="Arial" w:eastAsia="Times New Roman" w:hAnsi="Arial" w:cs="Arial"/>
          <w:color w:val="595959" w:themeColor="text1" w:themeTint="A6"/>
          <w:lang w:eastAsia="en-GB"/>
        </w:rPr>
        <w:t xml:space="preserve">first MMP inhibitor evaluated in cancer patients. This compound is potent but relatively nonselective for MMP-1, -2, -3, -7, -8, -9 and -14 inhibition (Hidalgo and Eckhardt, 2001, Ziober </w:t>
      </w:r>
      <w:r w:rsidRPr="008C21BF">
        <w:rPr>
          <w:rFonts w:ascii="Arial" w:eastAsia="Times New Roman" w:hAnsi="Arial" w:cs="Arial"/>
          <w:i/>
          <w:color w:val="595959" w:themeColor="text1" w:themeTint="A6"/>
          <w:lang w:eastAsia="en-GB"/>
        </w:rPr>
        <w:t>et al.,</w:t>
      </w:r>
      <w:r w:rsidRPr="008C21BF">
        <w:rPr>
          <w:rFonts w:ascii="Arial" w:eastAsia="Times New Roman" w:hAnsi="Arial" w:cs="Arial"/>
          <w:color w:val="595959" w:themeColor="text1" w:themeTint="A6"/>
          <w:lang w:eastAsia="en-GB"/>
        </w:rPr>
        <w:t xml:space="preserve"> 2001). The drug’s mode of action is to bind zinc ions in collagen substrate that the MMP would normally bind therefore acting as a reversible competitive inhibitor. </w:t>
      </w:r>
      <w:r w:rsidRPr="008C21BF">
        <w:rPr>
          <w:rFonts w:ascii="Arial" w:eastAsia="Times New Roman" w:hAnsi="Arial" w:cs="Arial"/>
          <w:color w:val="FF0000"/>
          <w:lang w:eastAsia="en-GB"/>
        </w:rPr>
        <w:t xml:space="preserve"> </w:t>
      </w:r>
      <w:r w:rsidRPr="008C21BF">
        <w:rPr>
          <w:rFonts w:ascii="Arial" w:eastAsia="Times New Roman" w:hAnsi="Arial" w:cs="Arial"/>
          <w:color w:val="595959" w:themeColor="text1" w:themeTint="A6"/>
          <w:lang w:eastAsia="en-GB"/>
        </w:rPr>
        <w:t xml:space="preserve">Initial </w:t>
      </w:r>
      <w:r w:rsidRPr="008C21BF">
        <w:rPr>
          <w:rFonts w:ascii="Arial" w:eastAsia="Times New Roman" w:hAnsi="Arial" w:cs="Arial"/>
          <w:i/>
          <w:color w:val="595959" w:themeColor="text1" w:themeTint="A6"/>
          <w:lang w:eastAsia="en-GB"/>
        </w:rPr>
        <w:t>in vitro</w:t>
      </w:r>
      <w:r w:rsidRPr="008C21BF">
        <w:rPr>
          <w:rFonts w:ascii="Arial" w:eastAsia="Times New Roman" w:hAnsi="Arial" w:cs="Arial"/>
          <w:color w:val="595959" w:themeColor="text1" w:themeTint="A6"/>
          <w:lang w:eastAsia="en-GB"/>
        </w:rPr>
        <w:t xml:space="preserve"> investigations into Batimastat showed that it had cytostatic effects against a variety of cancer cell lines including breast, ovarian, liver and head and neck cancer and was not cytotoxic in orthotropic tumour xenografts model, inhibition of metastasis in experimental metastasis models, and suppression of ascites formation in ovarian cancer models</w:t>
      </w:r>
      <w:r w:rsidR="007B35CF">
        <w:rPr>
          <w:rFonts w:ascii="Arial" w:eastAsia="Times New Roman" w:hAnsi="Arial" w:cs="Arial"/>
          <w:color w:val="595959" w:themeColor="text1" w:themeTint="A6"/>
          <w:lang w:eastAsia="en-GB"/>
        </w:rPr>
        <w:t xml:space="preserve">, but </w:t>
      </w:r>
      <w:r w:rsidR="00EE2630">
        <w:rPr>
          <w:rFonts w:ascii="Arial" w:eastAsia="Times New Roman" w:hAnsi="Arial" w:cs="Arial"/>
          <w:color w:val="595959" w:themeColor="text1" w:themeTint="A6"/>
          <w:lang w:eastAsia="en-GB"/>
        </w:rPr>
        <w:t xml:space="preserve">its effects have </w:t>
      </w:r>
      <w:r w:rsidR="007B35CF">
        <w:rPr>
          <w:rFonts w:ascii="Arial" w:eastAsia="Times New Roman" w:hAnsi="Arial" w:cs="Arial"/>
          <w:color w:val="595959" w:themeColor="text1" w:themeTint="A6"/>
          <w:lang w:eastAsia="en-GB"/>
        </w:rPr>
        <w:t xml:space="preserve">not been characterised in </w:t>
      </w:r>
      <w:r w:rsidR="00DA3471">
        <w:rPr>
          <w:rFonts w:ascii="Arial" w:eastAsia="Times New Roman" w:hAnsi="Arial" w:cs="Arial"/>
          <w:color w:val="595959" w:themeColor="text1" w:themeTint="A6"/>
          <w:lang w:eastAsia="en-GB"/>
        </w:rPr>
        <w:t xml:space="preserve">inhibiting oral CAF </w:t>
      </w:r>
      <w:r w:rsidR="005F6748">
        <w:rPr>
          <w:rFonts w:ascii="Arial" w:eastAsia="Times New Roman" w:hAnsi="Arial" w:cs="Arial"/>
          <w:color w:val="595959" w:themeColor="text1" w:themeTint="A6"/>
          <w:lang w:eastAsia="en-GB"/>
        </w:rPr>
        <w:t xml:space="preserve">characteristics </w:t>
      </w:r>
      <w:r w:rsidRPr="008C21BF">
        <w:rPr>
          <w:rFonts w:ascii="Arial" w:eastAsia="Times New Roman" w:hAnsi="Arial" w:cs="Arial"/>
          <w:color w:val="595959" w:themeColor="text1" w:themeTint="A6"/>
          <w:lang w:eastAsia="en-GB"/>
        </w:rPr>
        <w:t xml:space="preserve">(Original investigations: Low </w:t>
      </w:r>
      <w:r w:rsidRPr="008C21BF">
        <w:rPr>
          <w:rFonts w:ascii="Arial" w:eastAsia="Times New Roman" w:hAnsi="Arial" w:cs="Arial"/>
          <w:i/>
          <w:color w:val="595959" w:themeColor="text1" w:themeTint="A6"/>
          <w:lang w:eastAsia="en-GB"/>
        </w:rPr>
        <w:t>et al.,</w:t>
      </w:r>
      <w:r w:rsidRPr="008C21BF">
        <w:rPr>
          <w:rFonts w:ascii="Arial" w:eastAsia="Times New Roman" w:hAnsi="Arial" w:cs="Arial"/>
          <w:color w:val="595959" w:themeColor="text1" w:themeTint="A6"/>
          <w:lang w:eastAsia="en-GB"/>
        </w:rPr>
        <w:t xml:space="preserve"> 1996, Wylie </w:t>
      </w:r>
      <w:r w:rsidRPr="008C21BF">
        <w:rPr>
          <w:rFonts w:ascii="Arial" w:eastAsia="Times New Roman" w:hAnsi="Arial" w:cs="Arial"/>
          <w:i/>
          <w:color w:val="595959" w:themeColor="text1" w:themeTint="A6"/>
          <w:lang w:eastAsia="en-GB"/>
        </w:rPr>
        <w:t>et al.,</w:t>
      </w:r>
      <w:r w:rsidRPr="008C21BF">
        <w:rPr>
          <w:rFonts w:ascii="Arial" w:eastAsia="Times New Roman" w:hAnsi="Arial" w:cs="Arial"/>
          <w:color w:val="595959" w:themeColor="text1" w:themeTint="A6"/>
          <w:lang w:eastAsia="en-GB"/>
        </w:rPr>
        <w:t xml:space="preserve"> 1999, Sledge </w:t>
      </w:r>
      <w:r w:rsidRPr="008C21BF">
        <w:rPr>
          <w:rFonts w:ascii="Arial" w:eastAsia="Times New Roman" w:hAnsi="Arial" w:cs="Arial"/>
          <w:i/>
          <w:color w:val="595959" w:themeColor="text1" w:themeTint="A6"/>
          <w:lang w:eastAsia="en-GB"/>
        </w:rPr>
        <w:t>et al.,</w:t>
      </w:r>
      <w:r w:rsidRPr="008C21BF">
        <w:rPr>
          <w:rFonts w:ascii="Arial" w:eastAsia="Times New Roman" w:hAnsi="Arial" w:cs="Arial"/>
          <w:color w:val="595959" w:themeColor="text1" w:themeTint="A6"/>
          <w:lang w:eastAsia="en-GB"/>
        </w:rPr>
        <w:t xml:space="preserve"> 1995, and Macaulay </w:t>
      </w:r>
      <w:r w:rsidRPr="008C21BF">
        <w:rPr>
          <w:rFonts w:ascii="Arial" w:eastAsia="Times New Roman" w:hAnsi="Arial" w:cs="Arial"/>
          <w:i/>
          <w:color w:val="595959" w:themeColor="text1" w:themeTint="A6"/>
          <w:lang w:eastAsia="en-GB"/>
        </w:rPr>
        <w:t>et al.,</w:t>
      </w:r>
      <w:r w:rsidRPr="008C21BF">
        <w:rPr>
          <w:rFonts w:ascii="Arial" w:eastAsia="Times New Roman" w:hAnsi="Arial" w:cs="Arial"/>
          <w:color w:val="595959" w:themeColor="text1" w:themeTint="A6"/>
          <w:lang w:eastAsia="en-GB"/>
        </w:rPr>
        <w:t xml:space="preserve"> 1999).</w:t>
      </w:r>
    </w:p>
    <w:p w14:paraId="1C32397F" w14:textId="236681C6" w:rsidR="00462353" w:rsidRDefault="008C21BF" w:rsidP="008C21BF">
      <w:pPr>
        <w:shd w:val="clear" w:color="auto" w:fill="FFFFFF"/>
        <w:spacing w:after="0" w:line="480" w:lineRule="auto"/>
        <w:jc w:val="both"/>
        <w:rPr>
          <w:rFonts w:ascii="Arial" w:eastAsia="Times New Roman" w:hAnsi="Arial" w:cs="Arial"/>
          <w:color w:val="595959" w:themeColor="text1" w:themeTint="A6"/>
          <w:lang w:eastAsia="en-GB"/>
        </w:rPr>
      </w:pPr>
      <w:r w:rsidRPr="008C21BF">
        <w:rPr>
          <w:rFonts w:ascii="Arial" w:eastAsia="Times New Roman" w:hAnsi="Arial" w:cs="Arial"/>
          <w:color w:val="595959" w:themeColor="text1" w:themeTint="A6"/>
          <w:lang w:eastAsia="en-GB"/>
        </w:rPr>
        <w:t>In NOF</w:t>
      </w:r>
      <w:r w:rsidR="0021090C">
        <w:rPr>
          <w:rFonts w:ascii="Arial" w:eastAsia="Times New Roman" w:hAnsi="Arial" w:cs="Arial"/>
          <w:color w:val="595959" w:themeColor="text1" w:themeTint="A6"/>
          <w:lang w:eastAsia="en-GB"/>
        </w:rPr>
        <w:t>-DM</w:t>
      </w:r>
      <w:r w:rsidRPr="008C21BF">
        <w:rPr>
          <w:rFonts w:ascii="Arial" w:eastAsia="Times New Roman" w:hAnsi="Arial" w:cs="Arial"/>
          <w:color w:val="595959" w:themeColor="text1" w:themeTint="A6"/>
          <w:lang w:eastAsia="en-GB"/>
        </w:rPr>
        <w:t xml:space="preserve">, treatment with Scriptaid and Batimastat </w:t>
      </w:r>
      <w:r w:rsidR="0012785B">
        <w:rPr>
          <w:rFonts w:ascii="Arial" w:eastAsia="Times New Roman" w:hAnsi="Arial" w:cs="Arial"/>
          <w:color w:val="595959" w:themeColor="text1" w:themeTint="A6"/>
          <w:lang w:eastAsia="en-GB"/>
        </w:rPr>
        <w:t xml:space="preserve">had no effect on </w:t>
      </w:r>
      <w:r w:rsidRPr="008C21BF">
        <w:rPr>
          <w:rFonts w:ascii="Arial" w:eastAsia="Times New Roman" w:hAnsi="Arial" w:cs="Arial"/>
          <w:color w:val="595959" w:themeColor="text1" w:themeTint="A6"/>
          <w:lang w:eastAsia="en-GB"/>
        </w:rPr>
        <w:t>αSMA</w:t>
      </w:r>
      <w:r w:rsidR="00462353">
        <w:rPr>
          <w:rFonts w:ascii="Arial" w:eastAsia="Times New Roman" w:hAnsi="Arial" w:cs="Arial"/>
          <w:color w:val="595959" w:themeColor="text1" w:themeTint="A6"/>
          <w:lang w:eastAsia="en-GB"/>
        </w:rPr>
        <w:t xml:space="preserve">, </w:t>
      </w:r>
      <w:r w:rsidRPr="008C21BF">
        <w:rPr>
          <w:rFonts w:ascii="Arial" w:eastAsia="Times New Roman" w:hAnsi="Arial" w:cs="Arial"/>
          <w:color w:val="595959" w:themeColor="text1" w:themeTint="A6"/>
          <w:lang w:eastAsia="en-GB"/>
        </w:rPr>
        <w:t>FN1-EDA and COL1A1 transcript expression</w:t>
      </w:r>
      <w:r w:rsidR="0012785B">
        <w:rPr>
          <w:rFonts w:ascii="Arial" w:eastAsia="Times New Roman" w:hAnsi="Arial" w:cs="Arial"/>
          <w:color w:val="595959" w:themeColor="text1" w:themeTint="A6"/>
          <w:lang w:eastAsia="en-GB"/>
        </w:rPr>
        <w:t xml:space="preserve">. </w:t>
      </w:r>
      <w:r w:rsidR="00EE128B">
        <w:rPr>
          <w:rFonts w:ascii="Arial" w:eastAsia="Times New Roman" w:hAnsi="Arial" w:cs="Arial"/>
          <w:color w:val="595959" w:themeColor="text1" w:themeTint="A6"/>
          <w:lang w:eastAsia="en-GB"/>
        </w:rPr>
        <w:t xml:space="preserve">There were also no observable differences in these myofibroblast markers at the protein level. </w:t>
      </w:r>
      <w:r w:rsidR="00462353">
        <w:rPr>
          <w:rFonts w:ascii="Arial" w:eastAsia="Times New Roman" w:hAnsi="Arial" w:cs="Arial"/>
          <w:color w:val="595959" w:themeColor="text1" w:themeTint="A6"/>
          <w:lang w:eastAsia="en-GB"/>
        </w:rPr>
        <w:t>In combination with TGFβ-1 these inhibitors significantly</w:t>
      </w:r>
      <w:r w:rsidR="00B00B69">
        <w:rPr>
          <w:rFonts w:ascii="Arial" w:eastAsia="Times New Roman" w:hAnsi="Arial" w:cs="Arial"/>
          <w:color w:val="595959" w:themeColor="text1" w:themeTint="A6"/>
          <w:lang w:eastAsia="en-GB"/>
        </w:rPr>
        <w:t xml:space="preserve"> </w:t>
      </w:r>
      <w:r w:rsidR="00462353">
        <w:rPr>
          <w:rFonts w:ascii="Arial" w:eastAsia="Times New Roman" w:hAnsi="Arial" w:cs="Arial"/>
          <w:color w:val="595959" w:themeColor="text1" w:themeTint="A6"/>
          <w:lang w:eastAsia="en-GB"/>
        </w:rPr>
        <w:t>reduced all targets at both the gene and protein level</w:t>
      </w:r>
      <w:r w:rsidR="00653949">
        <w:rPr>
          <w:rFonts w:ascii="Arial" w:eastAsia="Times New Roman" w:hAnsi="Arial" w:cs="Arial"/>
          <w:color w:val="595959" w:themeColor="text1" w:themeTint="A6"/>
          <w:lang w:eastAsia="en-GB"/>
        </w:rPr>
        <w:t xml:space="preserve"> compared to TGFβ-1 </w:t>
      </w:r>
      <w:r w:rsidR="00653949">
        <w:rPr>
          <w:rFonts w:ascii="Arial" w:eastAsia="Times New Roman" w:hAnsi="Arial" w:cs="Arial"/>
          <w:color w:val="595959" w:themeColor="text1" w:themeTint="A6"/>
          <w:lang w:eastAsia="en-GB"/>
        </w:rPr>
        <w:lastRenderedPageBreak/>
        <w:t>treatment alone</w:t>
      </w:r>
      <w:r w:rsidR="00462353">
        <w:rPr>
          <w:rFonts w:ascii="Arial" w:eastAsia="Times New Roman" w:hAnsi="Arial" w:cs="Arial"/>
          <w:color w:val="595959" w:themeColor="text1" w:themeTint="A6"/>
          <w:lang w:eastAsia="en-GB"/>
        </w:rPr>
        <w:t xml:space="preserve">, implicating TGFβ-1 has an integral role in the NOF- to myofibroblast differentiation (p &lt;0.05). </w:t>
      </w:r>
    </w:p>
    <w:p w14:paraId="6C7EA940" w14:textId="2CCED120" w:rsidR="00676DA3" w:rsidRDefault="008C21BF" w:rsidP="008C21BF">
      <w:pPr>
        <w:shd w:val="clear" w:color="auto" w:fill="FFFFFF"/>
        <w:spacing w:after="0" w:line="480" w:lineRule="auto"/>
        <w:jc w:val="both"/>
        <w:rPr>
          <w:rFonts w:ascii="Arial" w:eastAsia="Times New Roman" w:hAnsi="Arial" w:cs="Arial"/>
          <w:color w:val="595959" w:themeColor="text1" w:themeTint="A6"/>
          <w:lang w:eastAsia="en-GB"/>
        </w:rPr>
      </w:pPr>
      <w:r w:rsidRPr="008C21BF">
        <w:rPr>
          <w:rFonts w:ascii="Arial" w:eastAsia="Times New Roman" w:hAnsi="Arial" w:cs="Arial"/>
          <w:color w:val="595959" w:themeColor="text1" w:themeTint="A6"/>
          <w:lang w:eastAsia="en-GB"/>
        </w:rPr>
        <w:t xml:space="preserve"> In comparison</w:t>
      </w:r>
      <w:r w:rsidR="00AA4954" w:rsidRPr="00AA4954">
        <w:rPr>
          <w:rFonts w:ascii="Arial" w:eastAsia="Times New Roman" w:hAnsi="Arial" w:cs="Arial"/>
          <w:color w:val="595959" w:themeColor="text1" w:themeTint="A6"/>
          <w:lang w:eastAsia="en-GB"/>
        </w:rPr>
        <w:t xml:space="preserve">, </w:t>
      </w:r>
      <w:r w:rsidR="004E0B32" w:rsidRPr="008C21BF">
        <w:rPr>
          <w:rFonts w:ascii="Arial" w:eastAsia="Times New Roman" w:hAnsi="Arial" w:cs="Arial"/>
          <w:color w:val="595959" w:themeColor="text1" w:themeTint="A6"/>
          <w:lang w:eastAsia="en-GB"/>
        </w:rPr>
        <w:t xml:space="preserve">Scriptaid </w:t>
      </w:r>
      <w:r w:rsidR="004E0B32">
        <w:rPr>
          <w:rFonts w:ascii="Arial" w:eastAsia="Times New Roman" w:hAnsi="Arial" w:cs="Arial"/>
          <w:color w:val="595959" w:themeColor="text1" w:themeTint="A6"/>
          <w:lang w:eastAsia="en-GB"/>
        </w:rPr>
        <w:t xml:space="preserve">treatment of </w:t>
      </w:r>
      <w:r w:rsidRPr="00AA4954">
        <w:rPr>
          <w:rFonts w:ascii="Arial" w:eastAsia="Times New Roman" w:hAnsi="Arial" w:cs="Arial"/>
          <w:color w:val="595959" w:themeColor="text1" w:themeTint="A6"/>
          <w:lang w:eastAsia="en-GB"/>
        </w:rPr>
        <w:t>CAF</w:t>
      </w:r>
      <w:r w:rsidR="00B67A70">
        <w:rPr>
          <w:rFonts w:ascii="Arial" w:eastAsia="Times New Roman" w:hAnsi="Arial" w:cs="Arial"/>
          <w:color w:val="595959" w:themeColor="text1" w:themeTint="A6"/>
          <w:lang w:eastAsia="en-GB"/>
        </w:rPr>
        <w:t>-DM</w:t>
      </w:r>
      <w:r w:rsidR="00056ADD">
        <w:rPr>
          <w:rFonts w:ascii="Arial" w:eastAsia="Times New Roman" w:hAnsi="Arial" w:cs="Arial"/>
          <w:color w:val="595959" w:themeColor="text1" w:themeTint="A6"/>
          <w:lang w:eastAsia="en-GB"/>
        </w:rPr>
        <w:t xml:space="preserve"> for 7 days</w:t>
      </w:r>
      <w:r w:rsidRPr="008C21BF">
        <w:rPr>
          <w:rFonts w:ascii="Arial" w:eastAsia="Times New Roman" w:hAnsi="Arial" w:cs="Arial"/>
          <w:color w:val="595959" w:themeColor="text1" w:themeTint="A6"/>
          <w:lang w:eastAsia="en-GB"/>
        </w:rPr>
        <w:t xml:space="preserve">, </w:t>
      </w:r>
      <w:r w:rsidR="00287CE3">
        <w:rPr>
          <w:rFonts w:ascii="Arial" w:eastAsia="Times New Roman" w:hAnsi="Arial" w:cs="Arial"/>
          <w:color w:val="595959" w:themeColor="text1" w:themeTint="A6"/>
          <w:lang w:eastAsia="en-GB"/>
        </w:rPr>
        <w:t xml:space="preserve">induced </w:t>
      </w:r>
      <w:r w:rsidR="00947EFB">
        <w:rPr>
          <w:rFonts w:ascii="Arial" w:eastAsia="Times New Roman" w:hAnsi="Arial" w:cs="Arial"/>
          <w:color w:val="595959" w:themeColor="text1" w:themeTint="A6"/>
          <w:lang w:eastAsia="en-GB"/>
        </w:rPr>
        <w:t xml:space="preserve">no significant changes </w:t>
      </w:r>
      <w:r w:rsidR="00056ADD">
        <w:rPr>
          <w:rFonts w:ascii="Arial" w:eastAsia="Times New Roman" w:hAnsi="Arial" w:cs="Arial"/>
          <w:color w:val="595959" w:themeColor="text1" w:themeTint="A6"/>
          <w:lang w:eastAsia="en-GB"/>
        </w:rPr>
        <w:t xml:space="preserve">in </w:t>
      </w:r>
      <w:r w:rsidR="00056ADD" w:rsidRPr="00D92EDA">
        <w:rPr>
          <w:rFonts w:ascii="Arial" w:eastAsia="Times New Roman" w:hAnsi="Arial" w:cs="Arial"/>
          <w:color w:val="595959" w:themeColor="text1" w:themeTint="A6"/>
          <w:lang w:eastAsia="en-GB"/>
        </w:rPr>
        <w:t xml:space="preserve">gene expression </w:t>
      </w:r>
      <w:r w:rsidR="00947EFB" w:rsidRPr="00D92EDA">
        <w:rPr>
          <w:rFonts w:ascii="Arial" w:eastAsia="Times New Roman" w:hAnsi="Arial" w:cs="Arial"/>
          <w:color w:val="595959" w:themeColor="text1" w:themeTint="A6"/>
          <w:lang w:eastAsia="en-GB"/>
        </w:rPr>
        <w:t xml:space="preserve">for </w:t>
      </w:r>
      <w:r w:rsidRPr="00D92EDA">
        <w:rPr>
          <w:rFonts w:ascii="Arial" w:eastAsia="Times New Roman" w:hAnsi="Arial" w:cs="Arial"/>
          <w:color w:val="595959" w:themeColor="text1" w:themeTint="A6"/>
          <w:lang w:eastAsia="en-GB"/>
        </w:rPr>
        <w:t>αSMA, FN1-EDA and COL1A1 compared to CAF-DM treated with</w:t>
      </w:r>
      <w:r w:rsidR="0073694B" w:rsidRPr="00D92EDA">
        <w:rPr>
          <w:rFonts w:ascii="Arial" w:eastAsia="Times New Roman" w:hAnsi="Arial" w:cs="Arial"/>
          <w:color w:val="595959" w:themeColor="text1" w:themeTint="A6"/>
          <w:lang w:eastAsia="en-GB"/>
        </w:rPr>
        <w:t xml:space="preserve"> vehicle</w:t>
      </w:r>
      <w:r w:rsidR="00F80E81" w:rsidRPr="00D92EDA">
        <w:rPr>
          <w:rFonts w:ascii="Arial" w:eastAsia="Times New Roman" w:hAnsi="Arial" w:cs="Arial"/>
          <w:color w:val="595959" w:themeColor="text1" w:themeTint="A6"/>
          <w:lang w:eastAsia="en-GB"/>
        </w:rPr>
        <w:t xml:space="preserve"> controls</w:t>
      </w:r>
      <w:r w:rsidRPr="00D92EDA">
        <w:rPr>
          <w:rFonts w:ascii="Arial" w:eastAsia="Times New Roman" w:hAnsi="Arial" w:cs="Arial"/>
          <w:color w:val="595959" w:themeColor="text1" w:themeTint="A6"/>
          <w:lang w:eastAsia="en-GB"/>
        </w:rPr>
        <w:t>.</w:t>
      </w:r>
      <w:r w:rsidR="00F80E81" w:rsidRPr="00D92EDA">
        <w:rPr>
          <w:rFonts w:ascii="Arial" w:eastAsia="Times New Roman" w:hAnsi="Arial" w:cs="Arial"/>
          <w:color w:val="595959" w:themeColor="text1" w:themeTint="A6"/>
          <w:lang w:eastAsia="en-GB"/>
        </w:rPr>
        <w:t xml:space="preserve"> This </w:t>
      </w:r>
      <w:r w:rsidR="001F0DCC" w:rsidRPr="00D92EDA">
        <w:rPr>
          <w:rFonts w:ascii="Arial" w:eastAsia="Times New Roman" w:hAnsi="Arial" w:cs="Arial"/>
          <w:color w:val="595959" w:themeColor="text1" w:themeTint="A6"/>
          <w:lang w:eastAsia="en-GB"/>
        </w:rPr>
        <w:t>wa</w:t>
      </w:r>
      <w:r w:rsidR="00F80E81" w:rsidRPr="00D92EDA">
        <w:rPr>
          <w:rFonts w:ascii="Arial" w:eastAsia="Times New Roman" w:hAnsi="Arial" w:cs="Arial"/>
          <w:color w:val="595959" w:themeColor="text1" w:themeTint="A6"/>
          <w:lang w:eastAsia="en-GB"/>
        </w:rPr>
        <w:t>s</w:t>
      </w:r>
      <w:r w:rsidR="001F0DCC" w:rsidRPr="00D92EDA">
        <w:rPr>
          <w:rFonts w:ascii="Arial" w:eastAsia="Times New Roman" w:hAnsi="Arial" w:cs="Arial"/>
          <w:color w:val="595959" w:themeColor="text1" w:themeTint="A6"/>
          <w:lang w:eastAsia="en-GB"/>
        </w:rPr>
        <w:t xml:space="preserve"> not</w:t>
      </w:r>
      <w:r w:rsidR="00F80E81" w:rsidRPr="00D92EDA">
        <w:rPr>
          <w:rFonts w:ascii="Arial" w:eastAsia="Times New Roman" w:hAnsi="Arial" w:cs="Arial"/>
          <w:color w:val="595959" w:themeColor="text1" w:themeTint="A6"/>
          <w:lang w:eastAsia="en-GB"/>
        </w:rPr>
        <w:t xml:space="preserve"> observed in </w:t>
      </w:r>
      <w:r w:rsidR="007364F4" w:rsidRPr="00D92EDA">
        <w:rPr>
          <w:rFonts w:ascii="Arial" w:eastAsia="Times New Roman" w:hAnsi="Arial" w:cs="Arial"/>
          <w:color w:val="595959" w:themeColor="text1" w:themeTint="A6"/>
          <w:lang w:eastAsia="en-GB"/>
        </w:rPr>
        <w:t xml:space="preserve">murine and </w:t>
      </w:r>
      <w:r w:rsidR="00F80E81" w:rsidRPr="00D92EDA">
        <w:rPr>
          <w:rFonts w:ascii="Arial" w:eastAsia="Times New Roman" w:hAnsi="Arial" w:cs="Arial"/>
          <w:color w:val="595959" w:themeColor="text1" w:themeTint="A6"/>
          <w:lang w:eastAsia="en-GB"/>
        </w:rPr>
        <w:t xml:space="preserve">breast </w:t>
      </w:r>
      <w:r w:rsidR="00035B9A" w:rsidRPr="00D92EDA">
        <w:rPr>
          <w:rFonts w:ascii="Arial" w:eastAsia="Times New Roman" w:hAnsi="Arial" w:cs="Arial"/>
          <w:color w:val="595959" w:themeColor="text1" w:themeTint="A6"/>
          <w:lang w:eastAsia="en-GB"/>
        </w:rPr>
        <w:t xml:space="preserve">CAF treated with Scriptaid (Kim </w:t>
      </w:r>
      <w:r w:rsidR="00035B9A" w:rsidRPr="00D92EDA">
        <w:rPr>
          <w:rFonts w:ascii="Arial" w:eastAsia="Times New Roman" w:hAnsi="Arial" w:cs="Arial"/>
          <w:i/>
          <w:iCs/>
          <w:color w:val="595959" w:themeColor="text1" w:themeTint="A6"/>
          <w:lang w:eastAsia="en-GB"/>
        </w:rPr>
        <w:t>et al.,</w:t>
      </w:r>
      <w:r w:rsidR="00035B9A" w:rsidRPr="00D92EDA">
        <w:rPr>
          <w:rFonts w:ascii="Arial" w:eastAsia="Times New Roman" w:hAnsi="Arial" w:cs="Arial"/>
          <w:color w:val="595959" w:themeColor="text1" w:themeTint="A6"/>
          <w:lang w:eastAsia="en-GB"/>
        </w:rPr>
        <w:t xml:space="preserve"> 2018). </w:t>
      </w:r>
      <w:r w:rsidR="00CF3695" w:rsidRPr="00D92EDA">
        <w:rPr>
          <w:rFonts w:ascii="Arial" w:eastAsia="Times New Roman" w:hAnsi="Arial" w:cs="Arial"/>
          <w:color w:val="595959" w:themeColor="text1" w:themeTint="A6"/>
          <w:lang w:eastAsia="en-GB"/>
        </w:rPr>
        <w:t xml:space="preserve">Therefore, further investigation into increasing the Scriptaid concentration may be plausible, to observe significant changes. </w:t>
      </w:r>
      <w:r w:rsidR="006F73C5" w:rsidRPr="00D92EDA">
        <w:rPr>
          <w:rFonts w:ascii="Arial" w:eastAsia="Times New Roman" w:hAnsi="Arial" w:cs="Arial"/>
          <w:color w:val="595959" w:themeColor="text1" w:themeTint="A6"/>
          <w:lang w:eastAsia="en-GB"/>
        </w:rPr>
        <w:t>F</w:t>
      </w:r>
      <w:r w:rsidR="00EA42EB" w:rsidRPr="00D92EDA">
        <w:rPr>
          <w:rFonts w:ascii="Arial" w:eastAsia="Times New Roman" w:hAnsi="Arial" w:cs="Arial"/>
          <w:color w:val="595959" w:themeColor="text1" w:themeTint="A6"/>
          <w:lang w:eastAsia="en-GB"/>
        </w:rPr>
        <w:t>urther to this</w:t>
      </w:r>
      <w:r w:rsidR="002E072D" w:rsidRPr="00D92EDA">
        <w:rPr>
          <w:rFonts w:ascii="Arial" w:eastAsia="Times New Roman" w:hAnsi="Arial" w:cs="Arial"/>
          <w:color w:val="595959" w:themeColor="text1" w:themeTint="A6"/>
          <w:lang w:eastAsia="en-GB"/>
        </w:rPr>
        <w:t>,</w:t>
      </w:r>
      <w:r w:rsidR="00EA42EB" w:rsidRPr="00D92EDA">
        <w:rPr>
          <w:rFonts w:ascii="Arial" w:eastAsia="Times New Roman" w:hAnsi="Arial" w:cs="Arial"/>
          <w:color w:val="595959" w:themeColor="text1" w:themeTint="A6"/>
          <w:lang w:eastAsia="en-GB"/>
        </w:rPr>
        <w:t xml:space="preserve"> a </w:t>
      </w:r>
      <w:r w:rsidR="00D064F2" w:rsidRPr="00D92EDA">
        <w:rPr>
          <w:rFonts w:ascii="Arial" w:eastAsia="Times New Roman" w:hAnsi="Arial" w:cs="Arial"/>
          <w:color w:val="595959" w:themeColor="text1" w:themeTint="A6"/>
          <w:lang w:eastAsia="en-GB"/>
        </w:rPr>
        <w:t xml:space="preserve">significant </w:t>
      </w:r>
      <w:r w:rsidR="00EA42EB" w:rsidRPr="00D92EDA">
        <w:rPr>
          <w:rFonts w:ascii="Arial" w:eastAsia="Times New Roman" w:hAnsi="Arial" w:cs="Arial"/>
          <w:color w:val="595959" w:themeColor="text1" w:themeTint="A6"/>
          <w:lang w:eastAsia="en-GB"/>
        </w:rPr>
        <w:t xml:space="preserve">reduction in αSMA </w:t>
      </w:r>
      <w:r w:rsidR="00E84EAD" w:rsidRPr="00D92EDA">
        <w:rPr>
          <w:rFonts w:ascii="Arial" w:eastAsia="Times New Roman" w:hAnsi="Arial" w:cs="Arial"/>
          <w:color w:val="595959" w:themeColor="text1" w:themeTint="A6"/>
          <w:lang w:eastAsia="en-GB"/>
        </w:rPr>
        <w:t xml:space="preserve">(p &lt;0.05) </w:t>
      </w:r>
      <w:r w:rsidR="002E072D" w:rsidRPr="00D92EDA">
        <w:rPr>
          <w:rFonts w:ascii="Arial" w:eastAsia="Times New Roman" w:hAnsi="Arial" w:cs="Arial"/>
          <w:color w:val="595959" w:themeColor="text1" w:themeTint="A6"/>
          <w:lang w:eastAsia="en-GB"/>
        </w:rPr>
        <w:t xml:space="preserve">protein </w:t>
      </w:r>
      <w:r w:rsidR="00EA42EB" w:rsidRPr="00D92EDA">
        <w:rPr>
          <w:rFonts w:ascii="Arial" w:eastAsia="Times New Roman" w:hAnsi="Arial" w:cs="Arial"/>
          <w:color w:val="595959" w:themeColor="text1" w:themeTint="A6"/>
          <w:lang w:eastAsia="en-GB"/>
        </w:rPr>
        <w:t xml:space="preserve">was detectable in the presence </w:t>
      </w:r>
      <w:r w:rsidR="00EA42EB">
        <w:rPr>
          <w:rFonts w:ascii="Arial" w:eastAsia="Times New Roman" w:hAnsi="Arial" w:cs="Arial"/>
          <w:color w:val="595959" w:themeColor="text1" w:themeTint="A6"/>
          <w:lang w:eastAsia="en-GB"/>
        </w:rPr>
        <w:t xml:space="preserve">of </w:t>
      </w:r>
      <w:r w:rsidR="00AA4954">
        <w:rPr>
          <w:rFonts w:ascii="Arial" w:eastAsia="Times New Roman" w:hAnsi="Arial" w:cs="Arial"/>
          <w:color w:val="595959" w:themeColor="text1" w:themeTint="A6"/>
          <w:lang w:eastAsia="en-GB"/>
        </w:rPr>
        <w:t>Scriptaid</w:t>
      </w:r>
      <w:r w:rsidR="00E84EAD">
        <w:rPr>
          <w:rFonts w:ascii="Arial" w:eastAsia="Times New Roman" w:hAnsi="Arial" w:cs="Arial"/>
          <w:color w:val="595959" w:themeColor="text1" w:themeTint="A6"/>
          <w:lang w:eastAsia="en-GB"/>
        </w:rPr>
        <w:t xml:space="preserve"> and reduced COL1A1 bands were detectabl</w:t>
      </w:r>
      <w:r w:rsidR="006A0A6D">
        <w:rPr>
          <w:rFonts w:ascii="Arial" w:eastAsia="Times New Roman" w:hAnsi="Arial" w:cs="Arial"/>
          <w:color w:val="595959" w:themeColor="text1" w:themeTint="A6"/>
          <w:lang w:eastAsia="en-GB"/>
        </w:rPr>
        <w:t>e</w:t>
      </w:r>
      <w:r w:rsidR="000F580A">
        <w:rPr>
          <w:rFonts w:ascii="Arial" w:eastAsia="Times New Roman" w:hAnsi="Arial" w:cs="Arial"/>
          <w:color w:val="595959" w:themeColor="text1" w:themeTint="A6"/>
          <w:lang w:eastAsia="en-GB"/>
        </w:rPr>
        <w:t>,</w:t>
      </w:r>
      <w:r w:rsidR="00AA4954">
        <w:rPr>
          <w:rFonts w:ascii="Arial" w:eastAsia="Times New Roman" w:hAnsi="Arial" w:cs="Arial"/>
          <w:color w:val="595959" w:themeColor="text1" w:themeTint="A6"/>
          <w:lang w:eastAsia="en-GB"/>
        </w:rPr>
        <w:t xml:space="preserve"> but</w:t>
      </w:r>
      <w:r w:rsidR="00EA42EB">
        <w:rPr>
          <w:rFonts w:ascii="Arial" w:eastAsia="Times New Roman" w:hAnsi="Arial" w:cs="Arial"/>
          <w:color w:val="595959" w:themeColor="text1" w:themeTint="A6"/>
          <w:lang w:eastAsia="en-GB"/>
        </w:rPr>
        <w:t xml:space="preserve"> did not reach signi</w:t>
      </w:r>
      <w:r w:rsidR="00AA4954">
        <w:rPr>
          <w:rFonts w:ascii="Arial" w:eastAsia="Times New Roman" w:hAnsi="Arial" w:cs="Arial"/>
          <w:color w:val="595959" w:themeColor="text1" w:themeTint="A6"/>
          <w:lang w:eastAsia="en-GB"/>
        </w:rPr>
        <w:t>ficance</w:t>
      </w:r>
      <w:r w:rsidR="00867CE6">
        <w:rPr>
          <w:rFonts w:ascii="Arial" w:eastAsia="Times New Roman" w:hAnsi="Arial" w:cs="Arial"/>
          <w:color w:val="595959" w:themeColor="text1" w:themeTint="A6"/>
          <w:lang w:eastAsia="en-GB"/>
        </w:rPr>
        <w:t>, indicat</w:t>
      </w:r>
      <w:r w:rsidR="001A67BA">
        <w:rPr>
          <w:rFonts w:ascii="Arial" w:eastAsia="Times New Roman" w:hAnsi="Arial" w:cs="Arial"/>
          <w:color w:val="595959" w:themeColor="text1" w:themeTint="A6"/>
          <w:lang w:eastAsia="en-GB"/>
        </w:rPr>
        <w:t xml:space="preserve">ing </w:t>
      </w:r>
      <w:r w:rsidR="00256C33">
        <w:rPr>
          <w:rFonts w:ascii="Arial" w:eastAsia="Times New Roman" w:hAnsi="Arial" w:cs="Arial"/>
          <w:color w:val="595959" w:themeColor="text1" w:themeTint="A6"/>
          <w:lang w:eastAsia="en-GB"/>
        </w:rPr>
        <w:t>there may be</w:t>
      </w:r>
      <w:r w:rsidR="00867CE6">
        <w:rPr>
          <w:rFonts w:ascii="Arial" w:eastAsia="Times New Roman" w:hAnsi="Arial" w:cs="Arial"/>
          <w:color w:val="595959" w:themeColor="text1" w:themeTint="A6"/>
          <w:lang w:eastAsia="en-GB"/>
        </w:rPr>
        <w:t xml:space="preserve"> potential inhibitory effect</w:t>
      </w:r>
      <w:r w:rsidR="000F580A">
        <w:rPr>
          <w:rFonts w:ascii="Arial" w:eastAsia="Times New Roman" w:hAnsi="Arial" w:cs="Arial"/>
          <w:color w:val="595959" w:themeColor="text1" w:themeTint="A6"/>
          <w:lang w:eastAsia="en-GB"/>
        </w:rPr>
        <w:t>s</w:t>
      </w:r>
      <w:r w:rsidR="00256C33">
        <w:rPr>
          <w:rFonts w:ascii="Arial" w:eastAsia="Times New Roman" w:hAnsi="Arial" w:cs="Arial"/>
          <w:color w:val="595959" w:themeColor="text1" w:themeTint="A6"/>
          <w:lang w:eastAsia="en-GB"/>
        </w:rPr>
        <w:t xml:space="preserve"> still </w:t>
      </w:r>
      <w:r w:rsidR="009F28FE">
        <w:rPr>
          <w:rFonts w:ascii="Arial" w:eastAsia="Times New Roman" w:hAnsi="Arial" w:cs="Arial"/>
          <w:color w:val="595959" w:themeColor="text1" w:themeTint="A6"/>
          <w:lang w:eastAsia="en-GB"/>
        </w:rPr>
        <w:t>emerging</w:t>
      </w:r>
      <w:r w:rsidR="00867CE6">
        <w:rPr>
          <w:rFonts w:ascii="Arial" w:eastAsia="Times New Roman" w:hAnsi="Arial" w:cs="Arial"/>
          <w:color w:val="595959" w:themeColor="text1" w:themeTint="A6"/>
          <w:lang w:eastAsia="en-GB"/>
        </w:rPr>
        <w:t xml:space="preserve">. </w:t>
      </w:r>
      <w:r w:rsidR="000F580A">
        <w:rPr>
          <w:rFonts w:ascii="Arial" w:eastAsia="Times New Roman" w:hAnsi="Arial" w:cs="Arial"/>
          <w:color w:val="595959" w:themeColor="text1" w:themeTint="A6"/>
          <w:lang w:eastAsia="en-GB"/>
        </w:rPr>
        <w:t xml:space="preserve">Further investigation </w:t>
      </w:r>
      <w:r w:rsidR="00A87132">
        <w:rPr>
          <w:rFonts w:ascii="Arial" w:eastAsia="Times New Roman" w:hAnsi="Arial" w:cs="Arial"/>
          <w:color w:val="595959" w:themeColor="text1" w:themeTint="A6"/>
          <w:lang w:eastAsia="en-GB"/>
        </w:rPr>
        <w:t>in</w:t>
      </w:r>
      <w:r w:rsidR="000F580A">
        <w:rPr>
          <w:rFonts w:ascii="Arial" w:eastAsia="Times New Roman" w:hAnsi="Arial" w:cs="Arial"/>
          <w:color w:val="595959" w:themeColor="text1" w:themeTint="A6"/>
          <w:lang w:eastAsia="en-GB"/>
        </w:rPr>
        <w:t xml:space="preserve">to the effects </w:t>
      </w:r>
      <w:r w:rsidR="00A87132">
        <w:rPr>
          <w:rFonts w:ascii="Arial" w:eastAsia="Times New Roman" w:hAnsi="Arial" w:cs="Arial"/>
          <w:color w:val="595959" w:themeColor="text1" w:themeTint="A6"/>
          <w:lang w:eastAsia="en-GB"/>
        </w:rPr>
        <w:t xml:space="preserve">of Scriptaid </w:t>
      </w:r>
      <w:r w:rsidR="000F580A">
        <w:rPr>
          <w:rFonts w:ascii="Arial" w:eastAsia="Times New Roman" w:hAnsi="Arial" w:cs="Arial"/>
          <w:color w:val="595959" w:themeColor="text1" w:themeTint="A6"/>
          <w:lang w:eastAsia="en-GB"/>
        </w:rPr>
        <w:t>on FDM morphology could be impl</w:t>
      </w:r>
      <w:r w:rsidR="00A87132">
        <w:rPr>
          <w:rFonts w:ascii="Arial" w:eastAsia="Times New Roman" w:hAnsi="Arial" w:cs="Arial"/>
          <w:color w:val="595959" w:themeColor="text1" w:themeTint="A6"/>
          <w:lang w:eastAsia="en-GB"/>
        </w:rPr>
        <w:t xml:space="preserve">emented to see if </w:t>
      </w:r>
      <w:r w:rsidR="00AC7ABD">
        <w:rPr>
          <w:rFonts w:ascii="Arial" w:eastAsia="Times New Roman" w:hAnsi="Arial" w:cs="Arial"/>
          <w:color w:val="595959" w:themeColor="text1" w:themeTint="A6"/>
          <w:lang w:eastAsia="en-GB"/>
        </w:rPr>
        <w:t xml:space="preserve">the </w:t>
      </w:r>
      <w:r w:rsidR="00A87132">
        <w:rPr>
          <w:rFonts w:ascii="Arial" w:eastAsia="Times New Roman" w:hAnsi="Arial" w:cs="Arial"/>
          <w:color w:val="595959" w:themeColor="text1" w:themeTint="A6"/>
          <w:lang w:eastAsia="en-GB"/>
        </w:rPr>
        <w:t>stromal bu</w:t>
      </w:r>
      <w:r w:rsidR="00AC7ABD">
        <w:rPr>
          <w:rFonts w:ascii="Arial" w:eastAsia="Times New Roman" w:hAnsi="Arial" w:cs="Arial"/>
          <w:color w:val="595959" w:themeColor="text1" w:themeTint="A6"/>
          <w:lang w:eastAsia="en-GB"/>
        </w:rPr>
        <w:t xml:space="preserve">rden is </w:t>
      </w:r>
      <w:r w:rsidR="00A87132">
        <w:rPr>
          <w:rFonts w:ascii="Arial" w:eastAsia="Times New Roman" w:hAnsi="Arial" w:cs="Arial"/>
          <w:color w:val="595959" w:themeColor="text1" w:themeTint="A6"/>
          <w:lang w:eastAsia="en-GB"/>
        </w:rPr>
        <w:t>reduced</w:t>
      </w:r>
      <w:r w:rsidR="0048210B">
        <w:rPr>
          <w:rFonts w:ascii="Arial" w:eastAsia="Times New Roman" w:hAnsi="Arial" w:cs="Arial"/>
          <w:color w:val="595959" w:themeColor="text1" w:themeTint="A6"/>
          <w:lang w:eastAsia="en-GB"/>
        </w:rPr>
        <w:t>, verified by histological analysis</w:t>
      </w:r>
      <w:r w:rsidR="00A87132">
        <w:rPr>
          <w:rFonts w:ascii="Arial" w:eastAsia="Times New Roman" w:hAnsi="Arial" w:cs="Arial"/>
          <w:color w:val="595959" w:themeColor="text1" w:themeTint="A6"/>
          <w:lang w:eastAsia="en-GB"/>
        </w:rPr>
        <w:t>. M</w:t>
      </w:r>
      <w:r w:rsidR="00E81BE9">
        <w:rPr>
          <w:rFonts w:ascii="Arial" w:eastAsia="Times New Roman" w:hAnsi="Arial" w:cs="Arial"/>
          <w:color w:val="595959" w:themeColor="text1" w:themeTint="A6"/>
          <w:lang w:eastAsia="en-GB"/>
        </w:rPr>
        <w:t xml:space="preserve">ultiple bands detected for collagen </w:t>
      </w:r>
      <w:r w:rsidR="00F234B8">
        <w:rPr>
          <w:rFonts w:ascii="Arial" w:eastAsia="Times New Roman" w:hAnsi="Arial" w:cs="Arial"/>
          <w:color w:val="595959" w:themeColor="text1" w:themeTint="A6"/>
          <w:lang w:eastAsia="en-GB"/>
        </w:rPr>
        <w:t xml:space="preserve">in CAF-DM </w:t>
      </w:r>
      <w:r w:rsidR="00E81BE9">
        <w:rPr>
          <w:rFonts w:ascii="Arial" w:eastAsia="Times New Roman" w:hAnsi="Arial" w:cs="Arial"/>
          <w:color w:val="595959" w:themeColor="text1" w:themeTint="A6"/>
          <w:lang w:eastAsia="en-GB"/>
        </w:rPr>
        <w:t>are indicative of</w:t>
      </w:r>
      <w:r w:rsidR="00E81BE9" w:rsidRPr="00E81BE9">
        <w:rPr>
          <w:rFonts w:ascii="Arial" w:eastAsia="Times New Roman" w:hAnsi="Arial" w:cs="Arial"/>
          <w:color w:val="595959" w:themeColor="text1" w:themeTint="A6"/>
          <w:lang w:eastAsia="en-GB"/>
        </w:rPr>
        <w:t xml:space="preserve"> the monomer (130 kd), the pro-collagen (170 kD) and the dimer (270 kD)</w:t>
      </w:r>
      <w:r w:rsidR="00F234B8">
        <w:rPr>
          <w:rFonts w:ascii="Arial" w:eastAsia="Times New Roman" w:hAnsi="Arial" w:cs="Arial"/>
          <w:color w:val="595959" w:themeColor="text1" w:themeTint="A6"/>
          <w:lang w:eastAsia="en-GB"/>
        </w:rPr>
        <w:t xml:space="preserve"> forms of COL1A1 suggesting that </w:t>
      </w:r>
      <w:r w:rsidR="005D32A5">
        <w:rPr>
          <w:rFonts w:ascii="Arial" w:eastAsia="Times New Roman" w:hAnsi="Arial" w:cs="Arial"/>
          <w:color w:val="595959" w:themeColor="text1" w:themeTint="A6"/>
          <w:lang w:eastAsia="en-GB"/>
        </w:rPr>
        <w:t xml:space="preserve">targeting collagen requires knowledge </w:t>
      </w:r>
      <w:r w:rsidR="006C28C8">
        <w:rPr>
          <w:rFonts w:ascii="Arial" w:eastAsia="Times New Roman" w:hAnsi="Arial" w:cs="Arial"/>
          <w:color w:val="595959" w:themeColor="text1" w:themeTint="A6"/>
          <w:lang w:eastAsia="en-GB"/>
        </w:rPr>
        <w:t xml:space="preserve">of its </w:t>
      </w:r>
      <w:r w:rsidR="00F234B8">
        <w:rPr>
          <w:rFonts w:ascii="Arial" w:eastAsia="Times New Roman" w:hAnsi="Arial" w:cs="Arial"/>
          <w:color w:val="595959" w:themeColor="text1" w:themeTint="A6"/>
          <w:lang w:eastAsia="en-GB"/>
        </w:rPr>
        <w:t>modification</w:t>
      </w:r>
      <w:r w:rsidR="00537931">
        <w:rPr>
          <w:rFonts w:ascii="Arial" w:eastAsia="Times New Roman" w:hAnsi="Arial" w:cs="Arial"/>
          <w:color w:val="595959" w:themeColor="text1" w:themeTint="A6"/>
          <w:lang w:eastAsia="en-GB"/>
        </w:rPr>
        <w:t>s</w:t>
      </w:r>
      <w:r w:rsidR="00DA74D2">
        <w:rPr>
          <w:rFonts w:ascii="Arial" w:eastAsia="Times New Roman" w:hAnsi="Arial" w:cs="Arial"/>
          <w:color w:val="595959" w:themeColor="text1" w:themeTint="A6"/>
          <w:lang w:eastAsia="en-GB"/>
        </w:rPr>
        <w:t xml:space="preserve"> and sub-types</w:t>
      </w:r>
      <w:r w:rsidR="00537931">
        <w:rPr>
          <w:rFonts w:ascii="Arial" w:eastAsia="Times New Roman" w:hAnsi="Arial" w:cs="Arial"/>
          <w:color w:val="595959" w:themeColor="text1" w:themeTint="A6"/>
          <w:lang w:eastAsia="en-GB"/>
        </w:rPr>
        <w:t xml:space="preserve"> </w:t>
      </w:r>
      <w:r w:rsidR="004A2194" w:rsidRPr="004A2194">
        <w:rPr>
          <w:rFonts w:ascii="Arial" w:eastAsia="Times New Roman" w:hAnsi="Arial" w:cs="Arial"/>
          <w:i/>
          <w:iCs/>
          <w:color w:val="595959" w:themeColor="text1" w:themeTint="A6"/>
          <w:lang w:eastAsia="en-GB"/>
        </w:rPr>
        <w:t>in vitro</w:t>
      </w:r>
      <w:r w:rsidR="00DA74D2">
        <w:rPr>
          <w:rFonts w:ascii="Arial" w:eastAsia="Times New Roman" w:hAnsi="Arial" w:cs="Arial"/>
          <w:color w:val="595959" w:themeColor="text1" w:themeTint="A6"/>
          <w:lang w:eastAsia="en-GB"/>
        </w:rPr>
        <w:t xml:space="preserve">. </w:t>
      </w:r>
      <w:r w:rsidR="004A2A98">
        <w:rPr>
          <w:rFonts w:ascii="Arial" w:eastAsia="Times New Roman" w:hAnsi="Arial" w:cs="Arial"/>
          <w:color w:val="595959" w:themeColor="text1" w:themeTint="A6"/>
          <w:lang w:eastAsia="en-GB"/>
        </w:rPr>
        <w:t>In contrast, treatment of CAF-DM with Batimastat for 7 days significantly reduced all gene transcripts compared to vehicle control</w:t>
      </w:r>
      <w:r w:rsidR="009C5487">
        <w:rPr>
          <w:rFonts w:ascii="Arial" w:eastAsia="Times New Roman" w:hAnsi="Arial" w:cs="Arial"/>
          <w:color w:val="595959" w:themeColor="text1" w:themeTint="A6"/>
          <w:lang w:eastAsia="en-GB"/>
        </w:rPr>
        <w:t xml:space="preserve">. </w:t>
      </w:r>
      <w:r w:rsidR="009B13D2">
        <w:rPr>
          <w:rFonts w:ascii="Arial" w:eastAsia="Times New Roman" w:hAnsi="Arial" w:cs="Arial"/>
          <w:color w:val="595959" w:themeColor="text1" w:themeTint="A6"/>
          <w:lang w:eastAsia="en-GB"/>
        </w:rPr>
        <w:t xml:space="preserve">In combination with TGFβ-1, a reduction in αSMA protein was detectable. This was also observed for FN1-EDA but did not reach significance. </w:t>
      </w:r>
      <w:r w:rsidR="00E248E2">
        <w:rPr>
          <w:rFonts w:ascii="Arial" w:eastAsia="Times New Roman" w:hAnsi="Arial" w:cs="Arial"/>
          <w:color w:val="595959" w:themeColor="text1" w:themeTint="A6"/>
          <w:lang w:eastAsia="en-GB"/>
        </w:rPr>
        <w:t>It cannot be dismissed that some of the variability of response to Batimastat in 3D could be due to the presence of natural MMP inhibitors</w:t>
      </w:r>
      <w:r w:rsidR="009B215C">
        <w:rPr>
          <w:rFonts w:ascii="Arial" w:eastAsia="Times New Roman" w:hAnsi="Arial" w:cs="Arial"/>
          <w:color w:val="595959" w:themeColor="text1" w:themeTint="A6"/>
          <w:lang w:eastAsia="en-GB"/>
        </w:rPr>
        <w:t xml:space="preserve"> as well as </w:t>
      </w:r>
      <w:r w:rsidR="00F3325D">
        <w:rPr>
          <w:rFonts w:ascii="Arial" w:eastAsia="Times New Roman" w:hAnsi="Arial" w:cs="Arial"/>
          <w:color w:val="595959" w:themeColor="text1" w:themeTint="A6"/>
          <w:lang w:eastAsia="en-GB"/>
        </w:rPr>
        <w:t>unregulated c</w:t>
      </w:r>
      <w:r w:rsidR="009B215C">
        <w:rPr>
          <w:rFonts w:ascii="Arial" w:eastAsia="Times New Roman" w:hAnsi="Arial" w:cs="Arial"/>
          <w:color w:val="595959" w:themeColor="text1" w:themeTint="A6"/>
          <w:lang w:eastAsia="en-GB"/>
        </w:rPr>
        <w:t xml:space="preserve">ytokine </w:t>
      </w:r>
      <w:r w:rsidR="00542D78">
        <w:rPr>
          <w:rFonts w:ascii="Arial" w:eastAsia="Times New Roman" w:hAnsi="Arial" w:cs="Arial"/>
          <w:color w:val="595959" w:themeColor="text1" w:themeTint="A6"/>
          <w:lang w:eastAsia="en-GB"/>
        </w:rPr>
        <w:t xml:space="preserve">behaviour. </w:t>
      </w:r>
      <w:r w:rsidR="00E248E2" w:rsidRPr="00D80560">
        <w:rPr>
          <w:rFonts w:ascii="Arial" w:eastAsia="Times New Roman" w:hAnsi="Arial" w:cs="Arial"/>
          <w:color w:val="595959" w:themeColor="text1" w:themeTint="A6"/>
          <w:lang w:eastAsia="en-GB"/>
        </w:rPr>
        <w:t>TGF-</w:t>
      </w:r>
      <w:r w:rsidR="00E248E2">
        <w:rPr>
          <w:rFonts w:ascii="Arial" w:eastAsia="Times New Roman" w:hAnsi="Arial" w:cs="Arial"/>
          <w:color w:val="595959" w:themeColor="text1" w:themeTint="A6"/>
          <w:lang w:eastAsia="en-GB"/>
        </w:rPr>
        <w:t>β</w:t>
      </w:r>
      <w:r w:rsidR="00E248E2" w:rsidRPr="00D80560">
        <w:rPr>
          <w:rFonts w:ascii="Arial" w:eastAsia="Times New Roman" w:hAnsi="Arial" w:cs="Arial"/>
          <w:color w:val="595959" w:themeColor="text1" w:themeTint="A6"/>
          <w:lang w:eastAsia="en-GB"/>
        </w:rPr>
        <w:t>1</w:t>
      </w:r>
      <w:r w:rsidR="00E248E2">
        <w:rPr>
          <w:rFonts w:ascii="Arial" w:eastAsia="Times New Roman" w:hAnsi="Arial" w:cs="Arial"/>
          <w:color w:val="595959" w:themeColor="text1" w:themeTint="A6"/>
          <w:lang w:eastAsia="en-GB"/>
        </w:rPr>
        <w:t xml:space="preserve"> been shown to</w:t>
      </w:r>
      <w:r w:rsidR="00E248E2" w:rsidRPr="00D80560">
        <w:rPr>
          <w:rFonts w:ascii="Arial" w:eastAsia="Times New Roman" w:hAnsi="Arial" w:cs="Arial"/>
          <w:color w:val="595959" w:themeColor="text1" w:themeTint="A6"/>
          <w:lang w:eastAsia="en-GB"/>
        </w:rPr>
        <w:t xml:space="preserve"> modulate the mRNA and protein levels of MMPs (MMP-2 and MMP-9) </w:t>
      </w:r>
      <w:r w:rsidR="00E248E2">
        <w:rPr>
          <w:rFonts w:ascii="Arial" w:eastAsia="Times New Roman" w:hAnsi="Arial" w:cs="Arial"/>
          <w:color w:val="595959" w:themeColor="text1" w:themeTint="A6"/>
          <w:lang w:eastAsia="en-GB"/>
        </w:rPr>
        <w:t>as well</w:t>
      </w:r>
      <w:r w:rsidR="00E248E2" w:rsidRPr="00D80560">
        <w:rPr>
          <w:rFonts w:ascii="Arial" w:eastAsia="Times New Roman" w:hAnsi="Arial" w:cs="Arial"/>
          <w:color w:val="595959" w:themeColor="text1" w:themeTint="A6"/>
          <w:lang w:eastAsia="en-GB"/>
        </w:rPr>
        <w:t xml:space="preserve"> as their inhibitors (TIMP-2 and RECK)</w:t>
      </w:r>
      <w:r w:rsidR="00E248E2">
        <w:rPr>
          <w:rFonts w:ascii="Arial" w:eastAsia="Times New Roman" w:hAnsi="Arial" w:cs="Arial"/>
          <w:color w:val="595959" w:themeColor="text1" w:themeTint="A6"/>
          <w:lang w:eastAsia="en-GB"/>
        </w:rPr>
        <w:t>, which describes a multifaceted role for</w:t>
      </w:r>
      <w:r w:rsidR="00542D78">
        <w:rPr>
          <w:rFonts w:ascii="Arial" w:eastAsia="Times New Roman" w:hAnsi="Arial" w:cs="Arial"/>
          <w:color w:val="595959" w:themeColor="text1" w:themeTint="A6"/>
          <w:lang w:eastAsia="en-GB"/>
        </w:rPr>
        <w:t xml:space="preserve"> </w:t>
      </w:r>
      <w:r w:rsidR="00542D78" w:rsidRPr="00D80560">
        <w:rPr>
          <w:rFonts w:ascii="Arial" w:eastAsia="Times New Roman" w:hAnsi="Arial" w:cs="Arial"/>
          <w:color w:val="595959" w:themeColor="text1" w:themeTint="A6"/>
          <w:lang w:eastAsia="en-GB"/>
        </w:rPr>
        <w:t>TGF-</w:t>
      </w:r>
      <w:r w:rsidR="00542D78">
        <w:rPr>
          <w:rFonts w:ascii="Arial" w:eastAsia="Times New Roman" w:hAnsi="Arial" w:cs="Arial"/>
          <w:color w:val="595959" w:themeColor="text1" w:themeTint="A6"/>
          <w:lang w:eastAsia="en-GB"/>
        </w:rPr>
        <w:t>β</w:t>
      </w:r>
      <w:r w:rsidR="00542D78" w:rsidRPr="00D80560">
        <w:rPr>
          <w:rFonts w:ascii="Arial" w:eastAsia="Times New Roman" w:hAnsi="Arial" w:cs="Arial"/>
          <w:color w:val="595959" w:themeColor="text1" w:themeTint="A6"/>
          <w:lang w:eastAsia="en-GB"/>
        </w:rPr>
        <w:t>1</w:t>
      </w:r>
      <w:r w:rsidR="00542D78">
        <w:rPr>
          <w:rFonts w:ascii="Arial" w:eastAsia="Times New Roman" w:hAnsi="Arial" w:cs="Arial"/>
          <w:color w:val="595959" w:themeColor="text1" w:themeTint="A6"/>
          <w:lang w:eastAsia="en-GB"/>
        </w:rPr>
        <w:t xml:space="preserve"> signalling </w:t>
      </w:r>
      <w:r w:rsidR="009C5487">
        <w:rPr>
          <w:rFonts w:ascii="Arial" w:eastAsia="Times New Roman" w:hAnsi="Arial" w:cs="Arial"/>
          <w:color w:val="595959" w:themeColor="text1" w:themeTint="A6"/>
          <w:lang w:eastAsia="en-GB"/>
        </w:rPr>
        <w:t>and its potential as an OSCC therapeutic target</w:t>
      </w:r>
      <w:r w:rsidR="00E248E2">
        <w:rPr>
          <w:rFonts w:ascii="Arial" w:eastAsia="Times New Roman" w:hAnsi="Arial" w:cs="Arial"/>
          <w:color w:val="595959" w:themeColor="text1" w:themeTint="A6"/>
          <w:lang w:eastAsia="en-GB"/>
        </w:rPr>
        <w:t xml:space="preserve"> </w:t>
      </w:r>
      <w:r w:rsidR="0006295B">
        <w:rPr>
          <w:rFonts w:ascii="Arial" w:eastAsia="Times New Roman" w:hAnsi="Arial" w:cs="Arial"/>
          <w:color w:val="595959" w:themeColor="text1" w:themeTint="A6"/>
          <w:lang w:eastAsia="en-GB"/>
        </w:rPr>
        <w:t xml:space="preserve">(Gomes </w:t>
      </w:r>
      <w:r w:rsidR="0006295B" w:rsidRPr="0006295B">
        <w:rPr>
          <w:rFonts w:ascii="Arial" w:eastAsia="Times New Roman" w:hAnsi="Arial" w:cs="Arial"/>
          <w:i/>
          <w:iCs/>
          <w:color w:val="595959" w:themeColor="text1" w:themeTint="A6"/>
          <w:lang w:eastAsia="en-GB"/>
        </w:rPr>
        <w:t>et al.,</w:t>
      </w:r>
      <w:r w:rsidR="0006295B">
        <w:rPr>
          <w:rFonts w:ascii="Arial" w:eastAsia="Times New Roman" w:hAnsi="Arial" w:cs="Arial"/>
          <w:color w:val="595959" w:themeColor="text1" w:themeTint="A6"/>
          <w:lang w:eastAsia="en-GB"/>
        </w:rPr>
        <w:t xml:space="preserve"> 2012).</w:t>
      </w:r>
      <w:r w:rsidR="00843851">
        <w:rPr>
          <w:rFonts w:ascii="Arial" w:eastAsia="Times New Roman" w:hAnsi="Arial" w:cs="Arial"/>
          <w:color w:val="595959" w:themeColor="text1" w:themeTint="A6"/>
          <w:lang w:eastAsia="en-GB"/>
        </w:rPr>
        <w:t>These preliminary results</w:t>
      </w:r>
      <w:r w:rsidR="00FA73C6">
        <w:rPr>
          <w:rFonts w:ascii="Arial" w:eastAsia="Times New Roman" w:hAnsi="Arial" w:cs="Arial"/>
          <w:color w:val="595959" w:themeColor="text1" w:themeTint="A6"/>
          <w:lang w:eastAsia="en-GB"/>
        </w:rPr>
        <w:t xml:space="preserve"> </w:t>
      </w:r>
      <w:r w:rsidR="00F3325D">
        <w:rPr>
          <w:rFonts w:ascii="Arial" w:eastAsia="Times New Roman" w:hAnsi="Arial" w:cs="Arial"/>
          <w:color w:val="595959" w:themeColor="text1" w:themeTint="A6"/>
          <w:lang w:eastAsia="en-GB"/>
        </w:rPr>
        <w:t>indicate FDM a</w:t>
      </w:r>
      <w:r w:rsidR="00913971">
        <w:rPr>
          <w:rFonts w:ascii="Arial" w:eastAsia="Times New Roman" w:hAnsi="Arial" w:cs="Arial"/>
          <w:color w:val="595959" w:themeColor="text1" w:themeTint="A6"/>
          <w:lang w:eastAsia="en-GB"/>
        </w:rPr>
        <w:t>re</w:t>
      </w:r>
      <w:r w:rsidR="00F3325D">
        <w:rPr>
          <w:rFonts w:ascii="Arial" w:eastAsia="Times New Roman" w:hAnsi="Arial" w:cs="Arial"/>
          <w:color w:val="595959" w:themeColor="text1" w:themeTint="A6"/>
          <w:lang w:eastAsia="en-GB"/>
        </w:rPr>
        <w:t xml:space="preserve"> suitable </w:t>
      </w:r>
      <w:r w:rsidR="00843851">
        <w:rPr>
          <w:rFonts w:ascii="Arial" w:eastAsia="Times New Roman" w:hAnsi="Arial" w:cs="Arial"/>
          <w:color w:val="595959" w:themeColor="text1" w:themeTint="A6"/>
          <w:lang w:eastAsia="en-GB"/>
        </w:rPr>
        <w:t>as</w:t>
      </w:r>
      <w:r w:rsidR="00913971">
        <w:rPr>
          <w:rFonts w:ascii="Arial" w:eastAsia="Times New Roman" w:hAnsi="Arial" w:cs="Arial"/>
          <w:color w:val="595959" w:themeColor="text1" w:themeTint="A6"/>
          <w:lang w:eastAsia="en-GB"/>
        </w:rPr>
        <w:t xml:space="preserve"> stromal-targeting d</w:t>
      </w:r>
      <w:r w:rsidR="00F3325D">
        <w:rPr>
          <w:rFonts w:ascii="Arial" w:eastAsia="Times New Roman" w:hAnsi="Arial" w:cs="Arial"/>
          <w:color w:val="595959" w:themeColor="text1" w:themeTint="A6"/>
          <w:lang w:eastAsia="en-GB"/>
        </w:rPr>
        <w:t>rug screening platforms</w:t>
      </w:r>
      <w:r w:rsidR="00D71380">
        <w:rPr>
          <w:rFonts w:ascii="Arial" w:eastAsia="Times New Roman" w:hAnsi="Arial" w:cs="Arial"/>
          <w:color w:val="595959" w:themeColor="text1" w:themeTint="A6"/>
          <w:lang w:eastAsia="en-GB"/>
        </w:rPr>
        <w:t xml:space="preserve"> and warrant</w:t>
      </w:r>
      <w:r w:rsidR="00DC6F9F">
        <w:rPr>
          <w:rFonts w:ascii="Arial" w:eastAsia="Times New Roman" w:hAnsi="Arial" w:cs="Arial"/>
          <w:color w:val="595959" w:themeColor="text1" w:themeTint="A6"/>
          <w:lang w:eastAsia="en-GB"/>
        </w:rPr>
        <w:t>s their application</w:t>
      </w:r>
      <w:r w:rsidR="00D71380">
        <w:rPr>
          <w:rFonts w:ascii="Arial" w:eastAsia="Times New Roman" w:hAnsi="Arial" w:cs="Arial"/>
          <w:color w:val="595959" w:themeColor="text1" w:themeTint="A6"/>
          <w:lang w:eastAsia="en-GB"/>
        </w:rPr>
        <w:t xml:space="preserve"> to</w:t>
      </w:r>
      <w:r w:rsidR="00F3325D">
        <w:rPr>
          <w:rFonts w:ascii="Arial" w:eastAsia="Times New Roman" w:hAnsi="Arial" w:cs="Arial"/>
          <w:color w:val="595959" w:themeColor="text1" w:themeTint="A6"/>
          <w:lang w:eastAsia="en-GB"/>
        </w:rPr>
        <w:t xml:space="preserve"> </w:t>
      </w:r>
      <w:r w:rsidR="00FA73C6">
        <w:rPr>
          <w:rFonts w:ascii="Arial" w:eastAsia="Times New Roman" w:hAnsi="Arial" w:cs="Arial"/>
          <w:color w:val="595959" w:themeColor="text1" w:themeTint="A6"/>
          <w:lang w:eastAsia="en-GB"/>
        </w:rPr>
        <w:t>further investigat</w:t>
      </w:r>
      <w:r w:rsidR="00D71380">
        <w:rPr>
          <w:rFonts w:ascii="Arial" w:eastAsia="Times New Roman" w:hAnsi="Arial" w:cs="Arial"/>
          <w:color w:val="595959" w:themeColor="text1" w:themeTint="A6"/>
          <w:lang w:eastAsia="en-GB"/>
        </w:rPr>
        <w:t>e</w:t>
      </w:r>
      <w:r w:rsidR="00B45CF1">
        <w:rPr>
          <w:rFonts w:ascii="Arial" w:eastAsia="Times New Roman" w:hAnsi="Arial" w:cs="Arial"/>
          <w:color w:val="595959" w:themeColor="text1" w:themeTint="A6"/>
          <w:lang w:eastAsia="en-GB"/>
        </w:rPr>
        <w:t xml:space="preserve"> the </w:t>
      </w:r>
      <w:r w:rsidR="004A2A98">
        <w:rPr>
          <w:rFonts w:ascii="Arial" w:eastAsia="Times New Roman" w:hAnsi="Arial" w:cs="Arial"/>
          <w:color w:val="595959" w:themeColor="text1" w:themeTint="A6"/>
          <w:lang w:eastAsia="en-GB"/>
        </w:rPr>
        <w:t>therapeutic</w:t>
      </w:r>
      <w:r w:rsidR="00843851">
        <w:rPr>
          <w:rFonts w:ascii="Arial" w:eastAsia="Times New Roman" w:hAnsi="Arial" w:cs="Arial"/>
          <w:color w:val="595959" w:themeColor="text1" w:themeTint="A6"/>
          <w:lang w:eastAsia="en-GB"/>
        </w:rPr>
        <w:t xml:space="preserve"> benefits</w:t>
      </w:r>
      <w:r w:rsidR="004A2A98">
        <w:rPr>
          <w:rFonts w:ascii="Arial" w:eastAsia="Times New Roman" w:hAnsi="Arial" w:cs="Arial"/>
          <w:color w:val="595959" w:themeColor="text1" w:themeTint="A6"/>
          <w:lang w:eastAsia="en-GB"/>
        </w:rPr>
        <w:t xml:space="preserve"> of </w:t>
      </w:r>
      <w:r w:rsidR="00B45CF1">
        <w:rPr>
          <w:rFonts w:ascii="Arial" w:eastAsia="Times New Roman" w:hAnsi="Arial" w:cs="Arial"/>
          <w:color w:val="595959" w:themeColor="text1" w:themeTint="A6"/>
          <w:lang w:eastAsia="en-GB"/>
        </w:rPr>
        <w:t>targeting CAF</w:t>
      </w:r>
      <w:r w:rsidR="004A2A98">
        <w:rPr>
          <w:rFonts w:ascii="Arial" w:eastAsia="Times New Roman" w:hAnsi="Arial" w:cs="Arial"/>
          <w:color w:val="595959" w:themeColor="text1" w:themeTint="A6"/>
          <w:lang w:eastAsia="en-GB"/>
        </w:rPr>
        <w:t xml:space="preserve"> and CAF</w:t>
      </w:r>
      <w:r w:rsidR="00843851">
        <w:rPr>
          <w:rFonts w:ascii="Arial" w:eastAsia="Times New Roman" w:hAnsi="Arial" w:cs="Arial"/>
          <w:color w:val="595959" w:themeColor="text1" w:themeTint="A6"/>
          <w:lang w:eastAsia="en-GB"/>
        </w:rPr>
        <w:t>:</w:t>
      </w:r>
      <w:r w:rsidR="004A2A98">
        <w:rPr>
          <w:rFonts w:ascii="Arial" w:eastAsia="Times New Roman" w:hAnsi="Arial" w:cs="Arial"/>
          <w:color w:val="595959" w:themeColor="text1" w:themeTint="A6"/>
          <w:lang w:eastAsia="en-GB"/>
        </w:rPr>
        <w:t xml:space="preserve"> ECM interaction in OSCC</w:t>
      </w:r>
      <w:r w:rsidR="00FA73C6">
        <w:rPr>
          <w:rFonts w:ascii="Arial" w:eastAsia="Times New Roman" w:hAnsi="Arial" w:cs="Arial"/>
          <w:color w:val="595959" w:themeColor="text1" w:themeTint="A6"/>
          <w:lang w:eastAsia="en-GB"/>
        </w:rPr>
        <w:t>.</w:t>
      </w:r>
    </w:p>
    <w:p w14:paraId="7D753D3B" w14:textId="77777777" w:rsidR="006D59F7" w:rsidRDefault="006D59F7" w:rsidP="008C21BF">
      <w:pPr>
        <w:shd w:val="clear" w:color="auto" w:fill="FFFFFF"/>
        <w:spacing w:after="0" w:line="480" w:lineRule="auto"/>
        <w:jc w:val="both"/>
        <w:rPr>
          <w:rFonts w:ascii="Arial" w:eastAsia="Times New Roman" w:hAnsi="Arial" w:cs="Arial"/>
          <w:color w:val="595959" w:themeColor="text1" w:themeTint="A6"/>
          <w:lang w:eastAsia="en-GB"/>
        </w:rPr>
      </w:pPr>
    </w:p>
    <w:p w14:paraId="4E37D022" w14:textId="2366251C" w:rsidR="008C21BF" w:rsidRPr="008C21BF" w:rsidRDefault="00DA74D2" w:rsidP="008C21BF">
      <w:pPr>
        <w:tabs>
          <w:tab w:val="left" w:pos="1350"/>
        </w:tabs>
        <w:spacing w:line="480" w:lineRule="auto"/>
        <w:jc w:val="both"/>
        <w:rPr>
          <w:rFonts w:ascii="Arial" w:hAnsi="Arial" w:cs="Arial"/>
          <w:color w:val="595959" w:themeColor="text1" w:themeTint="A6"/>
        </w:rPr>
      </w:pPr>
      <w:r>
        <w:rPr>
          <w:rFonts w:ascii="Arial" w:hAnsi="Arial" w:cs="Arial"/>
          <w:color w:val="595959" w:themeColor="text1" w:themeTint="A6"/>
        </w:rPr>
        <w:t xml:space="preserve"> </w:t>
      </w:r>
      <w:r w:rsidR="008C21BF" w:rsidRPr="008C21BF">
        <w:rPr>
          <w:rFonts w:ascii="Arial" w:hAnsi="Arial" w:cs="Arial"/>
          <w:color w:val="595959" w:themeColor="text1" w:themeTint="A6"/>
        </w:rPr>
        <w:t>To summarise, TE-FDM represent self-assembled collagen fibre meshwork filled with a diverse array of human native proteoglycans and glycoproteins, which in their structural geometry and characteristic features, largely resembl</w:t>
      </w:r>
      <w:r w:rsidR="001653ED">
        <w:rPr>
          <w:rFonts w:ascii="Arial" w:hAnsi="Arial" w:cs="Arial"/>
          <w:color w:val="595959" w:themeColor="text1" w:themeTint="A6"/>
        </w:rPr>
        <w:t>ing</w:t>
      </w:r>
      <w:r w:rsidR="008C21BF" w:rsidRPr="008C21BF">
        <w:rPr>
          <w:rFonts w:ascii="Arial" w:hAnsi="Arial" w:cs="Arial"/>
          <w:color w:val="595959" w:themeColor="text1" w:themeTint="A6"/>
        </w:rPr>
        <w:t xml:space="preserve"> the matrix of normal and cancer </w:t>
      </w:r>
      <w:r w:rsidR="008C21BF" w:rsidRPr="008C21BF">
        <w:rPr>
          <w:rFonts w:ascii="Arial" w:hAnsi="Arial" w:cs="Arial"/>
          <w:color w:val="595959" w:themeColor="text1" w:themeTint="A6"/>
        </w:rPr>
        <w:lastRenderedPageBreak/>
        <w:t xml:space="preserve">human tissue; making them suitable </w:t>
      </w:r>
      <w:r w:rsidR="008C21BF" w:rsidRPr="008C21BF">
        <w:rPr>
          <w:rFonts w:ascii="Arial" w:hAnsi="Arial" w:cs="Arial"/>
          <w:i/>
          <w:color w:val="595959" w:themeColor="text1" w:themeTint="A6"/>
        </w:rPr>
        <w:t>in vitro</w:t>
      </w:r>
      <w:r w:rsidR="008C21BF" w:rsidRPr="008C21BF">
        <w:rPr>
          <w:rFonts w:ascii="Arial" w:hAnsi="Arial" w:cs="Arial"/>
          <w:color w:val="595959" w:themeColor="text1" w:themeTint="A6"/>
        </w:rPr>
        <w:t xml:space="preserve"> ECM mimetics.  </w:t>
      </w:r>
      <w:r w:rsidR="000B402A" w:rsidRPr="008C21BF">
        <w:rPr>
          <w:rFonts w:ascii="Arial" w:hAnsi="Arial" w:cs="Arial"/>
          <w:color w:val="595959" w:themeColor="text1" w:themeTint="A6"/>
        </w:rPr>
        <w:t>Elevated ECM deposition</w:t>
      </w:r>
      <w:r w:rsidR="000B402A">
        <w:rPr>
          <w:rFonts w:ascii="Arial" w:hAnsi="Arial" w:cs="Arial"/>
          <w:color w:val="595959" w:themeColor="text1" w:themeTint="A6"/>
        </w:rPr>
        <w:t xml:space="preserve">, </w:t>
      </w:r>
      <w:r w:rsidR="008C21BF" w:rsidRPr="008C21BF">
        <w:rPr>
          <w:rFonts w:ascii="Arial" w:hAnsi="Arial" w:cs="Arial"/>
          <w:color w:val="595959" w:themeColor="text1" w:themeTint="A6"/>
        </w:rPr>
        <w:t xml:space="preserve">altered structural geometry, and the preliminary evidence for altered matrix mechanics in CAF-DM support the notion that CAF </w:t>
      </w:r>
      <w:r w:rsidR="00020D98">
        <w:rPr>
          <w:rFonts w:ascii="Arial" w:hAnsi="Arial" w:cs="Arial"/>
          <w:color w:val="595959" w:themeColor="text1" w:themeTint="A6"/>
        </w:rPr>
        <w:t>desmoplasia can</w:t>
      </w:r>
      <w:r w:rsidR="008C21BF" w:rsidRPr="008C21BF">
        <w:rPr>
          <w:rFonts w:ascii="Arial" w:hAnsi="Arial" w:cs="Arial"/>
          <w:color w:val="595959" w:themeColor="text1" w:themeTint="A6"/>
        </w:rPr>
        <w:t xml:space="preserve"> be</w:t>
      </w:r>
      <w:r w:rsidR="00020D98">
        <w:rPr>
          <w:rFonts w:ascii="Arial" w:hAnsi="Arial" w:cs="Arial"/>
          <w:color w:val="595959" w:themeColor="text1" w:themeTint="A6"/>
        </w:rPr>
        <w:t xml:space="preserve"> </w:t>
      </w:r>
      <w:r w:rsidR="008C21BF" w:rsidRPr="008C21BF">
        <w:rPr>
          <w:rFonts w:ascii="Arial" w:hAnsi="Arial" w:cs="Arial"/>
          <w:color w:val="595959" w:themeColor="text1" w:themeTint="A6"/>
        </w:rPr>
        <w:t>suitabl</w:t>
      </w:r>
      <w:r w:rsidR="00020D98">
        <w:rPr>
          <w:rFonts w:ascii="Arial" w:hAnsi="Arial" w:cs="Arial"/>
          <w:color w:val="595959" w:themeColor="text1" w:themeTint="A6"/>
        </w:rPr>
        <w:t xml:space="preserve">y modelled </w:t>
      </w:r>
      <w:r w:rsidR="00EE1C87">
        <w:rPr>
          <w:rFonts w:ascii="Arial" w:hAnsi="Arial" w:cs="Arial"/>
          <w:color w:val="595959" w:themeColor="text1" w:themeTint="A6"/>
        </w:rPr>
        <w:t>and highlights a potential</w:t>
      </w:r>
      <w:r w:rsidR="008C21BF" w:rsidRPr="008C21BF">
        <w:rPr>
          <w:rFonts w:ascii="Arial" w:hAnsi="Arial" w:cs="Arial"/>
          <w:color w:val="595959" w:themeColor="text1" w:themeTint="A6"/>
        </w:rPr>
        <w:t xml:space="preserve"> anti-cancer target in OSCC. In terms of oral cancer, this data proposed here highlights that stromal-targeting drugs may be beneficial as a possible adjuvant to chemo- and radiotherapy as </w:t>
      </w:r>
      <w:r w:rsidR="003E5164">
        <w:rPr>
          <w:rFonts w:ascii="Arial" w:hAnsi="Arial" w:cs="Arial"/>
          <w:color w:val="595959" w:themeColor="text1" w:themeTint="A6"/>
        </w:rPr>
        <w:t>but discrepancies in CAF-DM investigation</w:t>
      </w:r>
      <w:r w:rsidR="008C21BF" w:rsidRPr="008C21BF">
        <w:rPr>
          <w:rFonts w:ascii="Arial" w:hAnsi="Arial" w:cs="Arial"/>
          <w:color w:val="595959" w:themeColor="text1" w:themeTint="A6"/>
        </w:rPr>
        <w:t xml:space="preserve"> warrants further investigation</w:t>
      </w:r>
      <w:r w:rsidR="007A449B">
        <w:rPr>
          <w:rFonts w:ascii="Arial" w:hAnsi="Arial" w:cs="Arial"/>
          <w:color w:val="595959" w:themeColor="text1" w:themeTint="A6"/>
        </w:rPr>
        <w:t xml:space="preserve"> into dosage and scheduling</w:t>
      </w:r>
      <w:r w:rsidR="00C324CA">
        <w:rPr>
          <w:rFonts w:ascii="Arial" w:hAnsi="Arial" w:cs="Arial"/>
          <w:color w:val="595959" w:themeColor="text1" w:themeTint="A6"/>
        </w:rPr>
        <w:t>.</w:t>
      </w:r>
    </w:p>
    <w:p w14:paraId="3B570AC5" w14:textId="1544FCEA" w:rsidR="008C21BF" w:rsidRDefault="008C21BF" w:rsidP="0054039C">
      <w:pPr>
        <w:spacing w:line="480" w:lineRule="auto"/>
        <w:ind w:firstLine="720"/>
        <w:jc w:val="both"/>
        <w:rPr>
          <w:rFonts w:ascii="Arial" w:hAnsi="Arial" w:cs="Arial"/>
          <w:color w:val="595959" w:themeColor="text1" w:themeTint="A6"/>
          <w:szCs w:val="24"/>
        </w:rPr>
      </w:pPr>
    </w:p>
    <w:p w14:paraId="12A74C37" w14:textId="6C4AE970" w:rsidR="008C21BF" w:rsidRDefault="008C21BF" w:rsidP="0054039C">
      <w:pPr>
        <w:spacing w:line="480" w:lineRule="auto"/>
        <w:ind w:firstLine="720"/>
        <w:jc w:val="both"/>
        <w:rPr>
          <w:rFonts w:ascii="Arial" w:hAnsi="Arial" w:cs="Arial"/>
          <w:color w:val="595959" w:themeColor="text1" w:themeTint="A6"/>
          <w:szCs w:val="24"/>
        </w:rPr>
      </w:pPr>
    </w:p>
    <w:p w14:paraId="10EA66DA" w14:textId="0B7861BC" w:rsidR="008C21BF" w:rsidRDefault="008C21BF" w:rsidP="0054039C">
      <w:pPr>
        <w:spacing w:line="480" w:lineRule="auto"/>
        <w:ind w:firstLine="720"/>
        <w:jc w:val="both"/>
        <w:rPr>
          <w:rFonts w:ascii="Arial" w:hAnsi="Arial" w:cs="Arial"/>
          <w:color w:val="595959" w:themeColor="text1" w:themeTint="A6"/>
          <w:szCs w:val="24"/>
        </w:rPr>
      </w:pPr>
    </w:p>
    <w:p w14:paraId="244A270A" w14:textId="4BC877E2" w:rsidR="008C21BF" w:rsidRDefault="008C21BF" w:rsidP="0054039C">
      <w:pPr>
        <w:spacing w:line="480" w:lineRule="auto"/>
        <w:ind w:firstLine="720"/>
        <w:jc w:val="both"/>
        <w:rPr>
          <w:rFonts w:ascii="Arial" w:hAnsi="Arial" w:cs="Arial"/>
          <w:color w:val="595959" w:themeColor="text1" w:themeTint="A6"/>
          <w:szCs w:val="24"/>
        </w:rPr>
      </w:pPr>
    </w:p>
    <w:p w14:paraId="64ABFD5B" w14:textId="3523673F" w:rsidR="008C21BF" w:rsidRDefault="008C21BF" w:rsidP="005A0068">
      <w:pPr>
        <w:spacing w:line="480" w:lineRule="auto"/>
        <w:jc w:val="both"/>
        <w:rPr>
          <w:rFonts w:ascii="Arial" w:hAnsi="Arial" w:cs="Arial"/>
          <w:color w:val="595959" w:themeColor="text1" w:themeTint="A6"/>
          <w:szCs w:val="24"/>
        </w:rPr>
      </w:pPr>
    </w:p>
    <w:p w14:paraId="2A3CB7E6" w14:textId="7ED34A55" w:rsidR="008C21BF" w:rsidRDefault="008C21BF" w:rsidP="0054039C">
      <w:pPr>
        <w:spacing w:line="480" w:lineRule="auto"/>
        <w:ind w:firstLine="720"/>
        <w:jc w:val="both"/>
        <w:rPr>
          <w:rFonts w:ascii="Arial" w:hAnsi="Arial" w:cs="Arial"/>
          <w:color w:val="595959" w:themeColor="text1" w:themeTint="A6"/>
          <w:szCs w:val="24"/>
        </w:rPr>
      </w:pPr>
    </w:p>
    <w:p w14:paraId="0AD7999D" w14:textId="77777777" w:rsidR="00EE4A8B" w:rsidRDefault="00EE4A8B" w:rsidP="0054039C">
      <w:pPr>
        <w:spacing w:line="480" w:lineRule="auto"/>
        <w:ind w:firstLine="720"/>
        <w:jc w:val="both"/>
        <w:rPr>
          <w:rFonts w:ascii="Arial" w:hAnsi="Arial" w:cs="Arial"/>
          <w:color w:val="595959" w:themeColor="text1" w:themeTint="A6"/>
          <w:szCs w:val="24"/>
        </w:rPr>
      </w:pPr>
    </w:p>
    <w:p w14:paraId="07698CBF" w14:textId="55D75A58" w:rsidR="008C21BF" w:rsidRDefault="008C21BF" w:rsidP="0054039C">
      <w:pPr>
        <w:spacing w:line="480" w:lineRule="auto"/>
        <w:ind w:firstLine="720"/>
        <w:jc w:val="both"/>
        <w:rPr>
          <w:rFonts w:ascii="Arial" w:hAnsi="Arial" w:cs="Arial"/>
          <w:color w:val="595959" w:themeColor="text1" w:themeTint="A6"/>
          <w:szCs w:val="24"/>
        </w:rPr>
      </w:pPr>
    </w:p>
    <w:p w14:paraId="41B1BA29" w14:textId="5A3F88B7" w:rsidR="00A54C5D" w:rsidRDefault="00A54C5D" w:rsidP="0054039C">
      <w:pPr>
        <w:spacing w:line="480" w:lineRule="auto"/>
        <w:ind w:firstLine="720"/>
        <w:jc w:val="both"/>
        <w:rPr>
          <w:rFonts w:ascii="Arial" w:hAnsi="Arial" w:cs="Arial"/>
          <w:color w:val="595959" w:themeColor="text1" w:themeTint="A6"/>
          <w:szCs w:val="24"/>
        </w:rPr>
      </w:pPr>
    </w:p>
    <w:p w14:paraId="526CBBCE" w14:textId="306DBA2F" w:rsidR="00A54C5D" w:rsidRDefault="00A54C5D" w:rsidP="0054039C">
      <w:pPr>
        <w:spacing w:line="480" w:lineRule="auto"/>
        <w:ind w:firstLine="720"/>
        <w:jc w:val="both"/>
        <w:rPr>
          <w:rFonts w:ascii="Arial" w:hAnsi="Arial" w:cs="Arial"/>
          <w:color w:val="595959" w:themeColor="text1" w:themeTint="A6"/>
          <w:szCs w:val="24"/>
        </w:rPr>
      </w:pPr>
    </w:p>
    <w:p w14:paraId="71890C0F" w14:textId="77777777" w:rsidR="00A54C5D" w:rsidRDefault="00A54C5D" w:rsidP="0054039C">
      <w:pPr>
        <w:spacing w:line="480" w:lineRule="auto"/>
        <w:ind w:firstLine="720"/>
        <w:jc w:val="both"/>
        <w:rPr>
          <w:rFonts w:ascii="Arial" w:hAnsi="Arial" w:cs="Arial"/>
          <w:color w:val="595959" w:themeColor="text1" w:themeTint="A6"/>
          <w:szCs w:val="24"/>
        </w:rPr>
      </w:pPr>
    </w:p>
    <w:p w14:paraId="4D80A6FE" w14:textId="5B93326B" w:rsidR="008C21BF" w:rsidRDefault="008C21BF" w:rsidP="0054039C">
      <w:pPr>
        <w:spacing w:line="480" w:lineRule="auto"/>
        <w:ind w:firstLine="720"/>
        <w:jc w:val="both"/>
        <w:rPr>
          <w:rFonts w:ascii="Arial" w:hAnsi="Arial" w:cs="Arial"/>
          <w:color w:val="595959" w:themeColor="text1" w:themeTint="A6"/>
          <w:szCs w:val="24"/>
        </w:rPr>
      </w:pPr>
    </w:p>
    <w:p w14:paraId="39020C09" w14:textId="1E9494F5" w:rsidR="008C21BF" w:rsidRDefault="008C21BF" w:rsidP="0054039C">
      <w:pPr>
        <w:spacing w:line="480" w:lineRule="auto"/>
        <w:ind w:firstLine="720"/>
        <w:jc w:val="both"/>
        <w:rPr>
          <w:rFonts w:ascii="Arial" w:hAnsi="Arial" w:cs="Arial"/>
          <w:color w:val="595959" w:themeColor="text1" w:themeTint="A6"/>
          <w:szCs w:val="24"/>
        </w:rPr>
      </w:pPr>
    </w:p>
    <w:p w14:paraId="45232CC2" w14:textId="7178D954" w:rsidR="008C21BF" w:rsidRDefault="008C21BF" w:rsidP="0054039C">
      <w:pPr>
        <w:spacing w:line="480" w:lineRule="auto"/>
        <w:ind w:firstLine="720"/>
        <w:jc w:val="both"/>
        <w:rPr>
          <w:rFonts w:ascii="Arial" w:hAnsi="Arial" w:cs="Arial"/>
          <w:color w:val="595959" w:themeColor="text1" w:themeTint="A6"/>
          <w:szCs w:val="24"/>
        </w:rPr>
      </w:pPr>
    </w:p>
    <w:p w14:paraId="443656F6" w14:textId="7CEBBD4F" w:rsidR="008C21BF" w:rsidRDefault="008C21BF" w:rsidP="0054039C">
      <w:pPr>
        <w:spacing w:line="480" w:lineRule="auto"/>
        <w:ind w:firstLine="720"/>
        <w:jc w:val="both"/>
        <w:rPr>
          <w:rFonts w:ascii="Arial" w:hAnsi="Arial" w:cs="Arial"/>
          <w:color w:val="595959" w:themeColor="text1" w:themeTint="A6"/>
          <w:szCs w:val="24"/>
        </w:rPr>
      </w:pPr>
    </w:p>
    <w:p w14:paraId="7ACA74F5" w14:textId="43F5E58C" w:rsidR="007C27F8" w:rsidRDefault="007C27F8" w:rsidP="0054039C">
      <w:pPr>
        <w:spacing w:line="480" w:lineRule="auto"/>
        <w:ind w:firstLine="720"/>
        <w:jc w:val="both"/>
        <w:rPr>
          <w:rFonts w:ascii="Arial" w:hAnsi="Arial" w:cs="Arial"/>
          <w:color w:val="595959" w:themeColor="text1" w:themeTint="A6"/>
          <w:szCs w:val="24"/>
        </w:rPr>
      </w:pPr>
    </w:p>
    <w:p w14:paraId="6A671FEF" w14:textId="2F259D72" w:rsidR="00E665E5" w:rsidRDefault="00E665E5" w:rsidP="000B402A">
      <w:pPr>
        <w:pStyle w:val="Title"/>
        <w:jc w:val="center"/>
        <w:outlineLvl w:val="0"/>
        <w:rPr>
          <w:color w:val="4472C4" w:themeColor="accent1"/>
          <w:sz w:val="72"/>
          <w:szCs w:val="72"/>
        </w:rPr>
      </w:pPr>
    </w:p>
    <w:p w14:paraId="5115EF56" w14:textId="518B96AD" w:rsidR="007C27F8" w:rsidRDefault="007C27F8" w:rsidP="007C27F8"/>
    <w:p w14:paraId="731DAF93" w14:textId="30B91B1F" w:rsidR="00B841E6" w:rsidRDefault="00B841E6" w:rsidP="007C27F8"/>
    <w:p w14:paraId="48523F0A" w14:textId="77777777" w:rsidR="005A0068" w:rsidRDefault="005A0068" w:rsidP="007C27F8"/>
    <w:p w14:paraId="75A9E492" w14:textId="77777777" w:rsidR="007C27F8" w:rsidRPr="007C27F8" w:rsidRDefault="007C27F8" w:rsidP="007C27F8"/>
    <w:p w14:paraId="595A289B" w14:textId="757025CD" w:rsidR="00807AB1" w:rsidRPr="00807AB1" w:rsidRDefault="004E06B5" w:rsidP="000B402A">
      <w:pPr>
        <w:pStyle w:val="Title"/>
        <w:jc w:val="center"/>
        <w:outlineLvl w:val="0"/>
        <w:rPr>
          <w:color w:val="4472C4" w:themeColor="accent1"/>
          <w:sz w:val="72"/>
          <w:szCs w:val="72"/>
        </w:rPr>
      </w:pPr>
      <w:bookmarkStart w:id="438" w:name="_Toc34208442"/>
      <w:r w:rsidRPr="00807AB1">
        <w:rPr>
          <w:color w:val="4472C4" w:themeColor="accent1"/>
          <w:sz w:val="72"/>
          <w:szCs w:val="72"/>
        </w:rPr>
        <w:t>Chapter 5</w:t>
      </w:r>
      <w:bookmarkEnd w:id="438"/>
    </w:p>
    <w:p w14:paraId="0746782E" w14:textId="6085A53A" w:rsidR="004E06B5" w:rsidRPr="00807AB1" w:rsidRDefault="004E06B5" w:rsidP="00807AB1">
      <w:pPr>
        <w:pStyle w:val="Title"/>
        <w:jc w:val="center"/>
        <w:outlineLvl w:val="0"/>
        <w:rPr>
          <w:color w:val="4472C4" w:themeColor="accent1"/>
          <w:sz w:val="72"/>
          <w:szCs w:val="72"/>
        </w:rPr>
      </w:pPr>
      <w:bookmarkStart w:id="439" w:name="_Toc34208443"/>
      <w:r w:rsidRPr="00807AB1">
        <w:rPr>
          <w:color w:val="4472C4" w:themeColor="accent1"/>
          <w:sz w:val="72"/>
          <w:szCs w:val="72"/>
        </w:rPr>
        <w:t xml:space="preserve">Development and characterisation of three-dimensional </w:t>
      </w:r>
      <w:r w:rsidRPr="00982EED">
        <w:rPr>
          <w:i/>
          <w:iCs/>
          <w:color w:val="4472C4" w:themeColor="accent1"/>
          <w:sz w:val="72"/>
          <w:szCs w:val="72"/>
        </w:rPr>
        <w:t xml:space="preserve">in vitro </w:t>
      </w:r>
      <w:r w:rsidRPr="00807AB1">
        <w:rPr>
          <w:color w:val="4472C4" w:themeColor="accent1"/>
          <w:sz w:val="72"/>
          <w:szCs w:val="72"/>
        </w:rPr>
        <w:t>normal mucosa and oral cancer models utilising human fibroblast-derived matrices</w:t>
      </w:r>
      <w:bookmarkEnd w:id="439"/>
    </w:p>
    <w:p w14:paraId="60163A59" w14:textId="02208F52" w:rsidR="004E06B5" w:rsidRDefault="004E06B5" w:rsidP="004E06B5">
      <w:pPr>
        <w:tabs>
          <w:tab w:val="left" w:pos="1350"/>
        </w:tabs>
        <w:spacing w:line="480" w:lineRule="auto"/>
        <w:jc w:val="both"/>
        <w:rPr>
          <w:rFonts w:ascii="Arial" w:hAnsi="Arial" w:cs="Arial"/>
          <w:b/>
          <w:color w:val="595959" w:themeColor="text1" w:themeTint="A6"/>
        </w:rPr>
      </w:pPr>
      <w:bookmarkStart w:id="440" w:name="_Hlk530050423"/>
    </w:p>
    <w:p w14:paraId="47A3C67F" w14:textId="06C06F19" w:rsidR="001D7E29" w:rsidRDefault="001D7E29" w:rsidP="004E06B5">
      <w:pPr>
        <w:tabs>
          <w:tab w:val="left" w:pos="1350"/>
        </w:tabs>
        <w:spacing w:line="480" w:lineRule="auto"/>
        <w:jc w:val="both"/>
        <w:rPr>
          <w:rFonts w:ascii="Arial" w:hAnsi="Arial" w:cs="Arial"/>
          <w:b/>
          <w:color w:val="595959" w:themeColor="text1" w:themeTint="A6"/>
        </w:rPr>
      </w:pPr>
    </w:p>
    <w:p w14:paraId="1F72C26A" w14:textId="1956D3DC" w:rsidR="00904A3E" w:rsidRDefault="00904A3E" w:rsidP="004E06B5">
      <w:pPr>
        <w:tabs>
          <w:tab w:val="left" w:pos="1350"/>
        </w:tabs>
        <w:spacing w:line="480" w:lineRule="auto"/>
        <w:jc w:val="both"/>
        <w:rPr>
          <w:rFonts w:ascii="Arial" w:hAnsi="Arial" w:cs="Arial"/>
          <w:b/>
          <w:color w:val="595959" w:themeColor="text1" w:themeTint="A6"/>
        </w:rPr>
      </w:pPr>
    </w:p>
    <w:p w14:paraId="330A53BF" w14:textId="2E3BA266" w:rsidR="00E665E5" w:rsidRDefault="00E665E5" w:rsidP="004E06B5">
      <w:pPr>
        <w:tabs>
          <w:tab w:val="left" w:pos="1350"/>
        </w:tabs>
        <w:spacing w:line="480" w:lineRule="auto"/>
        <w:jc w:val="both"/>
        <w:rPr>
          <w:rFonts w:ascii="Arial" w:hAnsi="Arial" w:cs="Arial"/>
          <w:b/>
          <w:color w:val="595959" w:themeColor="text1" w:themeTint="A6"/>
        </w:rPr>
      </w:pPr>
    </w:p>
    <w:p w14:paraId="40D1FEFE" w14:textId="53302B3E" w:rsidR="00E665E5" w:rsidRDefault="00E665E5" w:rsidP="004E06B5">
      <w:pPr>
        <w:tabs>
          <w:tab w:val="left" w:pos="1350"/>
        </w:tabs>
        <w:spacing w:line="480" w:lineRule="auto"/>
        <w:jc w:val="both"/>
        <w:rPr>
          <w:rFonts w:ascii="Arial" w:hAnsi="Arial" w:cs="Arial"/>
          <w:b/>
          <w:color w:val="595959" w:themeColor="text1" w:themeTint="A6"/>
        </w:rPr>
      </w:pPr>
    </w:p>
    <w:p w14:paraId="730CCEEE" w14:textId="7D85F8E0" w:rsidR="00E665E5" w:rsidRDefault="00E665E5" w:rsidP="004E06B5">
      <w:pPr>
        <w:tabs>
          <w:tab w:val="left" w:pos="1350"/>
        </w:tabs>
        <w:spacing w:line="480" w:lineRule="auto"/>
        <w:jc w:val="both"/>
        <w:rPr>
          <w:rFonts w:ascii="Arial" w:hAnsi="Arial" w:cs="Arial"/>
          <w:b/>
          <w:color w:val="595959" w:themeColor="text1" w:themeTint="A6"/>
        </w:rPr>
      </w:pPr>
    </w:p>
    <w:p w14:paraId="17A99726" w14:textId="77777777" w:rsidR="007C27F8" w:rsidRDefault="007C27F8" w:rsidP="004E06B5">
      <w:pPr>
        <w:tabs>
          <w:tab w:val="left" w:pos="1350"/>
        </w:tabs>
        <w:spacing w:line="480" w:lineRule="auto"/>
        <w:jc w:val="both"/>
        <w:rPr>
          <w:rFonts w:ascii="Arial" w:hAnsi="Arial" w:cs="Arial"/>
          <w:b/>
          <w:color w:val="595959" w:themeColor="text1" w:themeTint="A6"/>
        </w:rPr>
      </w:pPr>
    </w:p>
    <w:p w14:paraId="2634DC52" w14:textId="060644B2" w:rsidR="004E06B5" w:rsidRDefault="004E06B5" w:rsidP="007026FC">
      <w:pPr>
        <w:pStyle w:val="Heading2"/>
        <w:rPr>
          <w:rFonts w:ascii="Arial" w:hAnsi="Arial" w:cs="Arial"/>
          <w:b/>
          <w:color w:val="595959" w:themeColor="text1" w:themeTint="A6"/>
        </w:rPr>
      </w:pPr>
      <w:bookmarkStart w:id="441" w:name="_Toc34208444"/>
      <w:r w:rsidRPr="004E06B5">
        <w:rPr>
          <w:rFonts w:ascii="Arial" w:hAnsi="Arial" w:cs="Arial"/>
          <w:b/>
          <w:color w:val="595959" w:themeColor="text1" w:themeTint="A6"/>
        </w:rPr>
        <w:lastRenderedPageBreak/>
        <w:t>5.1 Introduction</w:t>
      </w:r>
      <w:bookmarkEnd w:id="441"/>
    </w:p>
    <w:p w14:paraId="3986174A" w14:textId="77777777" w:rsidR="007026FC" w:rsidRPr="007026FC" w:rsidRDefault="007026FC" w:rsidP="007026FC"/>
    <w:bookmarkEnd w:id="440"/>
    <w:p w14:paraId="54A6E9D7" w14:textId="1B21EF8D" w:rsidR="00A72FAE" w:rsidRDefault="004E06B5" w:rsidP="00A72FAE">
      <w:pPr>
        <w:tabs>
          <w:tab w:val="left" w:pos="1350"/>
        </w:tabs>
        <w:spacing w:line="480" w:lineRule="auto"/>
        <w:jc w:val="both"/>
        <w:rPr>
          <w:rFonts w:ascii="Arial" w:hAnsi="Arial" w:cs="Arial"/>
          <w:color w:val="595959" w:themeColor="text1" w:themeTint="A6"/>
        </w:rPr>
      </w:pPr>
      <w:r w:rsidRPr="004E06B5">
        <w:rPr>
          <w:rFonts w:ascii="Arial" w:hAnsi="Arial" w:cs="Arial"/>
          <w:color w:val="595959" w:themeColor="text1" w:themeTint="A6"/>
        </w:rPr>
        <w:t>Structurally, tissues co</w:t>
      </w:r>
      <w:r w:rsidR="004F1A1D">
        <w:rPr>
          <w:rFonts w:ascii="Arial" w:hAnsi="Arial" w:cs="Arial"/>
          <w:color w:val="595959" w:themeColor="text1" w:themeTint="A6"/>
        </w:rPr>
        <w:t>nsist</w:t>
      </w:r>
      <w:r w:rsidR="00DB147D">
        <w:rPr>
          <w:rFonts w:ascii="Arial" w:hAnsi="Arial" w:cs="Arial"/>
          <w:color w:val="595959" w:themeColor="text1" w:themeTint="A6"/>
        </w:rPr>
        <w:t xml:space="preserve"> of</w:t>
      </w:r>
      <w:r w:rsidRPr="004E06B5">
        <w:rPr>
          <w:rFonts w:ascii="Arial" w:hAnsi="Arial" w:cs="Arial"/>
          <w:color w:val="595959" w:themeColor="text1" w:themeTint="A6"/>
        </w:rPr>
        <w:t xml:space="preserve"> a population of cells that interact with each other and with </w:t>
      </w:r>
      <w:r w:rsidR="005115B1">
        <w:rPr>
          <w:rFonts w:ascii="Arial" w:hAnsi="Arial" w:cs="Arial"/>
          <w:color w:val="595959" w:themeColor="text1" w:themeTint="A6"/>
        </w:rPr>
        <w:t>non-</w:t>
      </w:r>
      <w:r w:rsidR="007248B9">
        <w:rPr>
          <w:rFonts w:ascii="Arial" w:hAnsi="Arial" w:cs="Arial"/>
          <w:color w:val="595959" w:themeColor="text1" w:themeTint="A6"/>
        </w:rPr>
        <w:t>cellular components such as the</w:t>
      </w:r>
      <w:r w:rsidR="005115B1">
        <w:rPr>
          <w:rFonts w:ascii="Arial" w:hAnsi="Arial" w:cs="Arial"/>
          <w:color w:val="595959" w:themeColor="text1" w:themeTint="A6"/>
        </w:rPr>
        <w:t xml:space="preserve"> </w:t>
      </w:r>
      <w:r w:rsidRPr="004E06B5">
        <w:rPr>
          <w:rFonts w:ascii="Arial" w:hAnsi="Arial" w:cs="Arial"/>
          <w:color w:val="595959" w:themeColor="text1" w:themeTint="A6"/>
        </w:rPr>
        <w:t>ECM</w:t>
      </w:r>
      <w:r w:rsidR="00B23995">
        <w:rPr>
          <w:rFonts w:ascii="Arial" w:hAnsi="Arial" w:cs="Arial"/>
          <w:color w:val="595959" w:themeColor="text1" w:themeTint="A6"/>
        </w:rPr>
        <w:t xml:space="preserve"> (Walker</w:t>
      </w:r>
      <w:r w:rsidR="00B23995" w:rsidRPr="00B23995">
        <w:rPr>
          <w:rFonts w:ascii="Arial" w:hAnsi="Arial" w:cs="Arial"/>
          <w:i/>
          <w:iCs/>
          <w:color w:val="595959" w:themeColor="text1" w:themeTint="A6"/>
        </w:rPr>
        <w:t xml:space="preserve"> et al., </w:t>
      </w:r>
      <w:r w:rsidR="00B23995">
        <w:rPr>
          <w:rFonts w:ascii="Arial" w:hAnsi="Arial" w:cs="Arial"/>
          <w:color w:val="595959" w:themeColor="text1" w:themeTint="A6"/>
        </w:rPr>
        <w:t>2018)</w:t>
      </w:r>
      <w:r w:rsidRPr="004E06B5">
        <w:rPr>
          <w:rFonts w:ascii="Arial" w:hAnsi="Arial" w:cs="Arial"/>
          <w:color w:val="595959" w:themeColor="text1" w:themeTint="A6"/>
        </w:rPr>
        <w:t xml:space="preserve">. </w:t>
      </w:r>
      <w:r w:rsidRPr="004E06B5">
        <w:rPr>
          <w:rFonts w:ascii="Arial" w:hAnsi="Arial" w:cs="Arial"/>
          <w:noProof/>
          <w:color w:val="595959" w:themeColor="text1" w:themeTint="A6"/>
          <w:lang w:eastAsia="zh-CN"/>
        </w:rPr>
        <w:drawing>
          <wp:anchor distT="0" distB="0" distL="114300" distR="114300" simplePos="0" relativeHeight="251658408" behindDoc="0" locked="0" layoutInCell="1" allowOverlap="1" wp14:anchorId="32988ABD" wp14:editId="28829869">
            <wp:simplePos x="0" y="0"/>
            <wp:positionH relativeFrom="margin">
              <wp:posOffset>1036955</wp:posOffset>
            </wp:positionH>
            <wp:positionV relativeFrom="paragraph">
              <wp:posOffset>109170470</wp:posOffset>
            </wp:positionV>
            <wp:extent cx="3645535" cy="3383280"/>
            <wp:effectExtent l="0" t="0" r="0" b="0"/>
            <wp:wrapNone/>
            <wp:docPr id="5346" name="Picture 5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645535" cy="3383280"/>
                    </a:xfrm>
                    <a:prstGeom prst="rect">
                      <a:avLst/>
                    </a:prstGeom>
                    <a:noFill/>
                  </pic:spPr>
                </pic:pic>
              </a:graphicData>
            </a:graphic>
          </wp:anchor>
        </w:drawing>
      </w:r>
      <w:r w:rsidR="007D7DC8">
        <w:rPr>
          <w:rFonts w:ascii="Arial" w:hAnsi="Arial" w:cs="Arial"/>
          <w:color w:val="595959" w:themeColor="text1" w:themeTint="A6"/>
        </w:rPr>
        <w:t>In normal oral mucosa, t</w:t>
      </w:r>
      <w:r w:rsidRPr="004E06B5">
        <w:rPr>
          <w:rFonts w:ascii="Arial" w:hAnsi="Arial" w:cs="Arial"/>
          <w:color w:val="595959" w:themeColor="text1" w:themeTint="A6"/>
        </w:rPr>
        <w:t>h</w:t>
      </w:r>
      <w:r w:rsidR="004F1A1D">
        <w:rPr>
          <w:rFonts w:ascii="Arial" w:hAnsi="Arial" w:cs="Arial"/>
          <w:color w:val="595959" w:themeColor="text1" w:themeTint="A6"/>
        </w:rPr>
        <w:t xml:space="preserve">is </w:t>
      </w:r>
      <w:r w:rsidR="004028EA" w:rsidRPr="004E06B5">
        <w:rPr>
          <w:rFonts w:ascii="Arial" w:hAnsi="Arial" w:cs="Arial"/>
          <w:color w:val="595959" w:themeColor="text1" w:themeTint="A6"/>
        </w:rPr>
        <w:t xml:space="preserve">tissue </w:t>
      </w:r>
      <w:r w:rsidR="004028EA">
        <w:rPr>
          <w:rFonts w:ascii="Arial" w:hAnsi="Arial" w:cs="Arial"/>
          <w:color w:val="595959" w:themeColor="text1" w:themeTint="A6"/>
        </w:rPr>
        <w:t xml:space="preserve">is </w:t>
      </w:r>
      <w:r w:rsidR="004028EA" w:rsidRPr="004E06B5">
        <w:rPr>
          <w:rFonts w:ascii="Arial" w:hAnsi="Arial" w:cs="Arial"/>
          <w:color w:val="595959" w:themeColor="text1" w:themeTint="A6"/>
        </w:rPr>
        <w:t>comprise</w:t>
      </w:r>
      <w:r w:rsidR="004028EA">
        <w:rPr>
          <w:rFonts w:ascii="Arial" w:hAnsi="Arial" w:cs="Arial"/>
          <w:color w:val="595959" w:themeColor="text1" w:themeTint="A6"/>
        </w:rPr>
        <w:t>d of</w:t>
      </w:r>
      <w:r w:rsidR="004028EA" w:rsidRPr="004E06B5">
        <w:rPr>
          <w:rFonts w:ascii="Arial" w:hAnsi="Arial" w:cs="Arial"/>
          <w:color w:val="595959" w:themeColor="text1" w:themeTint="A6"/>
        </w:rPr>
        <w:t xml:space="preserve"> two distinct compartments</w:t>
      </w:r>
      <w:r w:rsidR="004F1A1D">
        <w:rPr>
          <w:rFonts w:ascii="Arial" w:hAnsi="Arial" w:cs="Arial"/>
          <w:color w:val="595959" w:themeColor="text1" w:themeTint="A6"/>
        </w:rPr>
        <w:t xml:space="preserve">: </w:t>
      </w:r>
      <w:r w:rsidR="00034631">
        <w:rPr>
          <w:rFonts w:ascii="Arial" w:hAnsi="Arial" w:cs="Arial"/>
          <w:color w:val="595959" w:themeColor="text1" w:themeTint="A6"/>
        </w:rPr>
        <w:t xml:space="preserve">1) </w:t>
      </w:r>
      <w:r w:rsidR="00DC43BF">
        <w:rPr>
          <w:rFonts w:ascii="Arial" w:hAnsi="Arial" w:cs="Arial"/>
          <w:color w:val="595959" w:themeColor="text1" w:themeTint="A6"/>
        </w:rPr>
        <w:t>t</w:t>
      </w:r>
      <w:r w:rsidR="00034631">
        <w:rPr>
          <w:rFonts w:ascii="Arial" w:hAnsi="Arial" w:cs="Arial"/>
          <w:color w:val="595959" w:themeColor="text1" w:themeTint="A6"/>
        </w:rPr>
        <w:t xml:space="preserve">he </w:t>
      </w:r>
      <w:r w:rsidR="00924B48">
        <w:rPr>
          <w:rFonts w:ascii="Arial" w:hAnsi="Arial" w:cs="Arial"/>
          <w:color w:val="595959" w:themeColor="text1" w:themeTint="A6"/>
        </w:rPr>
        <w:t>e</w:t>
      </w:r>
      <w:r w:rsidR="00034631">
        <w:rPr>
          <w:rFonts w:ascii="Arial" w:hAnsi="Arial" w:cs="Arial"/>
          <w:color w:val="595959" w:themeColor="text1" w:themeTint="A6"/>
        </w:rPr>
        <w:t xml:space="preserve">pithelium; </w:t>
      </w:r>
      <w:r w:rsidR="004F1A1D" w:rsidRPr="004E06B5">
        <w:rPr>
          <w:rFonts w:ascii="Arial" w:hAnsi="Arial" w:cs="Arial"/>
          <w:color w:val="595959" w:themeColor="text1" w:themeTint="A6"/>
        </w:rPr>
        <w:t xml:space="preserve">a layer of tightly joined, polarised </w:t>
      </w:r>
      <w:r w:rsidRPr="004E06B5">
        <w:rPr>
          <w:rFonts w:ascii="Arial" w:hAnsi="Arial" w:cs="Arial"/>
          <w:color w:val="595959" w:themeColor="text1" w:themeTint="A6"/>
        </w:rPr>
        <w:t xml:space="preserve">epithelial cells </w:t>
      </w:r>
      <w:r w:rsidR="006A7039" w:rsidRPr="004E06B5">
        <w:rPr>
          <w:rFonts w:ascii="Arial" w:hAnsi="Arial" w:cs="Arial"/>
          <w:color w:val="595959" w:themeColor="text1" w:themeTint="A6"/>
        </w:rPr>
        <w:t xml:space="preserve">known as </w:t>
      </w:r>
      <w:r w:rsidR="006A7039">
        <w:rPr>
          <w:rFonts w:ascii="Arial" w:hAnsi="Arial" w:cs="Arial"/>
          <w:color w:val="595959" w:themeColor="text1" w:themeTint="A6"/>
        </w:rPr>
        <w:t xml:space="preserve">oral </w:t>
      </w:r>
      <w:r w:rsidR="006A7039" w:rsidRPr="004E06B5">
        <w:rPr>
          <w:rFonts w:ascii="Arial" w:hAnsi="Arial" w:cs="Arial"/>
          <w:color w:val="595959" w:themeColor="text1" w:themeTint="A6"/>
        </w:rPr>
        <w:t xml:space="preserve">keratinocytes </w:t>
      </w:r>
      <w:r w:rsidR="007D27E6">
        <w:rPr>
          <w:rFonts w:ascii="Arial" w:hAnsi="Arial" w:cs="Arial"/>
          <w:color w:val="595959" w:themeColor="text1" w:themeTint="A6"/>
        </w:rPr>
        <w:t>existing in four well-defined layers</w:t>
      </w:r>
      <w:r w:rsidR="006A7039">
        <w:rPr>
          <w:rFonts w:ascii="Arial" w:hAnsi="Arial" w:cs="Arial"/>
          <w:color w:val="595959" w:themeColor="text1" w:themeTint="A6"/>
        </w:rPr>
        <w:t>: the basal layer, spinous layer, granular layer and the superficial layer</w:t>
      </w:r>
      <w:r w:rsidR="004C26B3">
        <w:rPr>
          <w:rFonts w:ascii="Arial" w:hAnsi="Arial" w:cs="Arial"/>
          <w:color w:val="595959" w:themeColor="text1" w:themeTint="A6"/>
        </w:rPr>
        <w:t>,</w:t>
      </w:r>
      <w:r w:rsidR="006A7039">
        <w:rPr>
          <w:rFonts w:ascii="Arial" w:hAnsi="Arial" w:cs="Arial"/>
          <w:color w:val="595959" w:themeColor="text1" w:themeTint="A6"/>
        </w:rPr>
        <w:t xml:space="preserve"> </w:t>
      </w:r>
      <w:r w:rsidRPr="004E06B5">
        <w:rPr>
          <w:rFonts w:ascii="Arial" w:hAnsi="Arial" w:cs="Arial"/>
          <w:color w:val="595959" w:themeColor="text1" w:themeTint="A6"/>
        </w:rPr>
        <w:t xml:space="preserve">that reside on a basement membrane, and </w:t>
      </w:r>
      <w:r w:rsidR="00F73076">
        <w:rPr>
          <w:rFonts w:ascii="Arial" w:hAnsi="Arial" w:cs="Arial"/>
          <w:color w:val="595959" w:themeColor="text1" w:themeTint="A6"/>
        </w:rPr>
        <w:t xml:space="preserve">2) </w:t>
      </w:r>
      <w:r w:rsidR="00924B48">
        <w:rPr>
          <w:rFonts w:ascii="Arial" w:hAnsi="Arial" w:cs="Arial"/>
          <w:color w:val="595959" w:themeColor="text1" w:themeTint="A6"/>
        </w:rPr>
        <w:t>t</w:t>
      </w:r>
      <w:r w:rsidR="00F73076">
        <w:rPr>
          <w:rFonts w:ascii="Arial" w:hAnsi="Arial" w:cs="Arial"/>
          <w:color w:val="595959" w:themeColor="text1" w:themeTint="A6"/>
        </w:rPr>
        <w:t xml:space="preserve">he lamina propria; </w:t>
      </w:r>
      <w:r w:rsidR="004C26B3">
        <w:rPr>
          <w:rFonts w:ascii="Arial" w:hAnsi="Arial" w:cs="Arial"/>
          <w:color w:val="595959" w:themeColor="text1" w:themeTint="A6"/>
        </w:rPr>
        <w:t xml:space="preserve">an </w:t>
      </w:r>
      <w:r w:rsidRPr="004E06B5">
        <w:rPr>
          <w:rFonts w:ascii="Arial" w:hAnsi="Arial" w:cs="Arial"/>
          <w:color w:val="595959" w:themeColor="text1" w:themeTint="A6"/>
        </w:rPr>
        <w:t xml:space="preserve">ECM-rich stroma that contains </w:t>
      </w:r>
      <w:r w:rsidR="00F73076">
        <w:rPr>
          <w:rFonts w:ascii="Arial" w:hAnsi="Arial" w:cs="Arial"/>
          <w:color w:val="595959" w:themeColor="text1" w:themeTint="A6"/>
        </w:rPr>
        <w:t xml:space="preserve">the </w:t>
      </w:r>
      <w:r w:rsidRPr="004E06B5">
        <w:rPr>
          <w:rFonts w:ascii="Arial" w:hAnsi="Arial" w:cs="Arial"/>
          <w:color w:val="595959" w:themeColor="text1" w:themeTint="A6"/>
        </w:rPr>
        <w:t>fibroblasts</w:t>
      </w:r>
      <w:r w:rsidR="00C67479">
        <w:rPr>
          <w:rFonts w:ascii="Arial" w:hAnsi="Arial" w:cs="Arial"/>
          <w:color w:val="595959" w:themeColor="text1" w:themeTint="A6"/>
        </w:rPr>
        <w:t xml:space="preserve"> (Moharam</w:t>
      </w:r>
      <w:r w:rsidR="00DA43CE">
        <w:rPr>
          <w:rFonts w:ascii="Arial" w:hAnsi="Arial" w:cs="Arial"/>
          <w:color w:val="595959" w:themeColor="text1" w:themeTint="A6"/>
        </w:rPr>
        <w:t>za</w:t>
      </w:r>
      <w:r w:rsidR="00C67479">
        <w:rPr>
          <w:rFonts w:ascii="Arial" w:hAnsi="Arial" w:cs="Arial"/>
          <w:color w:val="595959" w:themeColor="text1" w:themeTint="A6"/>
        </w:rPr>
        <w:t xml:space="preserve">deh </w:t>
      </w:r>
      <w:r w:rsidR="00C67479" w:rsidRPr="00C67479">
        <w:rPr>
          <w:rFonts w:ascii="Arial" w:hAnsi="Arial" w:cs="Arial"/>
          <w:i/>
          <w:iCs/>
          <w:color w:val="595959" w:themeColor="text1" w:themeTint="A6"/>
        </w:rPr>
        <w:t>et al.,</w:t>
      </w:r>
      <w:r w:rsidR="00C67479">
        <w:rPr>
          <w:rFonts w:ascii="Arial" w:hAnsi="Arial" w:cs="Arial"/>
          <w:color w:val="595959" w:themeColor="text1" w:themeTint="A6"/>
        </w:rPr>
        <w:t xml:space="preserve"> 2007)</w:t>
      </w:r>
      <w:r w:rsidRPr="004E06B5">
        <w:rPr>
          <w:rFonts w:ascii="Arial" w:hAnsi="Arial" w:cs="Arial"/>
          <w:color w:val="595959" w:themeColor="text1" w:themeTint="A6"/>
        </w:rPr>
        <w:t>. As previously described; the stroma both physically supports the keratinocytes and interacts</w:t>
      </w:r>
      <w:r w:rsidR="004A52F6">
        <w:rPr>
          <w:rFonts w:ascii="Arial" w:hAnsi="Arial" w:cs="Arial"/>
          <w:color w:val="595959" w:themeColor="text1" w:themeTint="A6"/>
        </w:rPr>
        <w:t xml:space="preserve"> </w:t>
      </w:r>
      <w:r w:rsidRPr="004E06B5">
        <w:rPr>
          <w:rFonts w:ascii="Arial" w:hAnsi="Arial" w:cs="Arial"/>
          <w:color w:val="595959" w:themeColor="text1" w:themeTint="A6"/>
        </w:rPr>
        <w:t xml:space="preserve">through soluble signals from the ECM. </w:t>
      </w:r>
      <w:r w:rsidR="00EA21CA">
        <w:rPr>
          <w:rFonts w:ascii="Arial" w:hAnsi="Arial" w:cs="Arial"/>
          <w:color w:val="595959" w:themeColor="text1" w:themeTint="A6"/>
        </w:rPr>
        <w:t xml:space="preserve">To recreate this </w:t>
      </w:r>
      <w:r w:rsidR="00EA21CA" w:rsidRPr="00165C23">
        <w:rPr>
          <w:rFonts w:ascii="Arial" w:hAnsi="Arial" w:cs="Arial"/>
          <w:i/>
          <w:iCs/>
          <w:color w:val="595959" w:themeColor="text1" w:themeTint="A6"/>
        </w:rPr>
        <w:t>in vitro</w:t>
      </w:r>
      <w:r w:rsidR="00EA21CA">
        <w:rPr>
          <w:rFonts w:ascii="Arial" w:hAnsi="Arial" w:cs="Arial"/>
          <w:color w:val="595959" w:themeColor="text1" w:themeTint="A6"/>
        </w:rPr>
        <w:t xml:space="preserve"> </w:t>
      </w:r>
      <w:r w:rsidR="003F13C8">
        <w:rPr>
          <w:rFonts w:ascii="Arial" w:hAnsi="Arial" w:cs="Arial"/>
          <w:color w:val="595959" w:themeColor="text1" w:themeTint="A6"/>
        </w:rPr>
        <w:t>the correct environment must be engineered</w:t>
      </w:r>
      <w:r w:rsidR="00A72FAE">
        <w:rPr>
          <w:rFonts w:ascii="Arial" w:hAnsi="Arial" w:cs="Arial"/>
          <w:color w:val="595959" w:themeColor="text1" w:themeTint="A6"/>
        </w:rPr>
        <w:t xml:space="preserve">, of which the scaffold that supports the </w:t>
      </w:r>
      <w:r w:rsidR="00E70BD2">
        <w:rPr>
          <w:rFonts w:ascii="Arial" w:hAnsi="Arial" w:cs="Arial"/>
          <w:color w:val="595959" w:themeColor="text1" w:themeTint="A6"/>
        </w:rPr>
        <w:t xml:space="preserve">epithelium </w:t>
      </w:r>
      <w:r w:rsidR="00A72FAE">
        <w:rPr>
          <w:rFonts w:ascii="Arial" w:hAnsi="Arial" w:cs="Arial"/>
          <w:color w:val="595959" w:themeColor="text1" w:themeTint="A6"/>
        </w:rPr>
        <w:t>being the most important feature.</w:t>
      </w:r>
      <w:r w:rsidR="00A72FAE" w:rsidRPr="00A72FAE">
        <w:rPr>
          <w:rFonts w:ascii="Arial" w:hAnsi="Arial" w:cs="Arial"/>
          <w:color w:val="595959" w:themeColor="text1" w:themeTint="A6"/>
        </w:rPr>
        <w:t xml:space="preserve"> </w:t>
      </w:r>
    </w:p>
    <w:p w14:paraId="6D186BF2" w14:textId="642CAC3D" w:rsidR="007329E1" w:rsidRDefault="00A72FAE" w:rsidP="007329E1">
      <w:pPr>
        <w:tabs>
          <w:tab w:val="left" w:pos="1350"/>
        </w:tabs>
        <w:spacing w:line="480" w:lineRule="auto"/>
        <w:jc w:val="both"/>
        <w:rPr>
          <w:rFonts w:ascii="Arial" w:hAnsi="Arial" w:cs="Arial"/>
          <w:color w:val="595959" w:themeColor="text1" w:themeTint="A6"/>
        </w:rPr>
      </w:pPr>
      <w:r w:rsidRPr="004E06B5">
        <w:rPr>
          <w:rFonts w:ascii="Arial" w:hAnsi="Arial" w:cs="Arial"/>
          <w:color w:val="595959" w:themeColor="text1" w:themeTint="A6"/>
        </w:rPr>
        <w:t>In chapter four the development and characterisation of normal and cancerous oral fibroblast-derived matrices was described</w:t>
      </w:r>
      <w:r>
        <w:rPr>
          <w:rFonts w:ascii="Arial" w:hAnsi="Arial" w:cs="Arial"/>
          <w:color w:val="595959" w:themeColor="text1" w:themeTint="A6"/>
        </w:rPr>
        <w:t>. These human-fibroblast derived ECM scaffolds</w:t>
      </w:r>
      <w:r w:rsidR="007329E1">
        <w:rPr>
          <w:rFonts w:ascii="Arial" w:hAnsi="Arial" w:cs="Arial"/>
          <w:color w:val="595959" w:themeColor="text1" w:themeTint="A6"/>
        </w:rPr>
        <w:t xml:space="preserve">, </w:t>
      </w:r>
      <w:r w:rsidR="00165C23">
        <w:rPr>
          <w:rFonts w:ascii="Arial" w:hAnsi="Arial" w:cs="Arial"/>
          <w:color w:val="595959" w:themeColor="text1" w:themeTint="A6"/>
        </w:rPr>
        <w:t>representative o</w:t>
      </w:r>
      <w:r w:rsidR="00250F74">
        <w:rPr>
          <w:rFonts w:ascii="Arial" w:hAnsi="Arial" w:cs="Arial"/>
          <w:color w:val="595959" w:themeColor="text1" w:themeTint="A6"/>
        </w:rPr>
        <w:t xml:space="preserve">f </w:t>
      </w:r>
      <w:r w:rsidR="00165C23">
        <w:rPr>
          <w:rFonts w:ascii="Arial" w:hAnsi="Arial" w:cs="Arial"/>
          <w:color w:val="595959" w:themeColor="text1" w:themeTint="A6"/>
        </w:rPr>
        <w:t xml:space="preserve">normal and cancer ECM respectively, </w:t>
      </w:r>
      <w:r w:rsidR="002E467B">
        <w:rPr>
          <w:rFonts w:ascii="Arial" w:hAnsi="Arial" w:cs="Arial"/>
          <w:color w:val="595959" w:themeColor="text1" w:themeTint="A6"/>
        </w:rPr>
        <w:t xml:space="preserve">and </w:t>
      </w:r>
      <w:r>
        <w:rPr>
          <w:rFonts w:ascii="Arial" w:hAnsi="Arial" w:cs="Arial"/>
          <w:color w:val="595959" w:themeColor="text1" w:themeTint="A6"/>
        </w:rPr>
        <w:t>will be used in</w:t>
      </w:r>
      <w:r w:rsidRPr="004E06B5">
        <w:rPr>
          <w:rFonts w:ascii="Arial" w:hAnsi="Arial" w:cs="Arial"/>
          <w:color w:val="595959" w:themeColor="text1" w:themeTint="A6"/>
        </w:rPr>
        <w:t xml:space="preserve"> the generation of full thickness oral mucosa models to investigate ECM; tumour cell interaction in a 3D</w:t>
      </w:r>
      <w:r w:rsidRPr="004E06B5">
        <w:rPr>
          <w:rFonts w:ascii="Arial" w:hAnsi="Arial" w:cs="Arial"/>
          <w:i/>
          <w:iCs/>
          <w:color w:val="595959" w:themeColor="text1" w:themeTint="A6"/>
        </w:rPr>
        <w:t xml:space="preserve"> in vitro </w:t>
      </w:r>
      <w:r w:rsidRPr="004E06B5">
        <w:rPr>
          <w:rFonts w:ascii="Arial" w:hAnsi="Arial" w:cs="Arial"/>
          <w:color w:val="595959" w:themeColor="text1" w:themeTint="A6"/>
        </w:rPr>
        <w:t xml:space="preserve">model. </w:t>
      </w:r>
      <w:r w:rsidR="007329E1" w:rsidRPr="004E06B5">
        <w:rPr>
          <w:rFonts w:ascii="Arial" w:hAnsi="Arial" w:cs="Arial"/>
          <w:color w:val="595959" w:themeColor="text1" w:themeTint="A6"/>
        </w:rPr>
        <w:t xml:space="preserve">Previously, </w:t>
      </w:r>
      <w:r w:rsidR="007329E1" w:rsidRPr="004E06B5">
        <w:rPr>
          <w:rFonts w:ascii="Arial" w:hAnsi="Arial" w:cs="Arial"/>
          <w:i/>
          <w:color w:val="595959" w:themeColor="text1" w:themeTint="A6"/>
        </w:rPr>
        <w:t>in vitro</w:t>
      </w:r>
      <w:r w:rsidR="007329E1" w:rsidRPr="004E06B5">
        <w:rPr>
          <w:rFonts w:ascii="Arial" w:hAnsi="Arial" w:cs="Arial"/>
          <w:color w:val="595959" w:themeColor="text1" w:themeTint="A6"/>
        </w:rPr>
        <w:t xml:space="preserve"> models of oral carcinogenesis that are representative</w:t>
      </w:r>
      <w:r w:rsidR="007329E1">
        <w:rPr>
          <w:rFonts w:ascii="Arial" w:hAnsi="Arial" w:cs="Arial"/>
          <w:color w:val="595959" w:themeColor="text1" w:themeTint="A6"/>
        </w:rPr>
        <w:t>s</w:t>
      </w:r>
      <w:r w:rsidR="007329E1" w:rsidRPr="004E06B5">
        <w:rPr>
          <w:rFonts w:ascii="Arial" w:hAnsi="Arial" w:cs="Arial"/>
          <w:color w:val="595959" w:themeColor="text1" w:themeTint="A6"/>
        </w:rPr>
        <w:t xml:space="preserve"> of various stages of malignant transformation have been developed by isolating normal oral epithelial cells, immortalised/dysplastic and neoplastic cell lines cultured as spheroids, seeded on rat-tail collagen scaffolds or on cadaver de-</w:t>
      </w:r>
      <w:r w:rsidR="006A34DC" w:rsidRPr="004E06B5">
        <w:rPr>
          <w:rFonts w:ascii="Arial" w:hAnsi="Arial" w:cs="Arial"/>
          <w:color w:val="595959" w:themeColor="text1" w:themeTint="A6"/>
        </w:rPr>
        <w:t>epidermise</w:t>
      </w:r>
      <w:r w:rsidR="006A34DC">
        <w:rPr>
          <w:rFonts w:ascii="Arial" w:hAnsi="Arial" w:cs="Arial"/>
          <w:color w:val="595959" w:themeColor="text1" w:themeTint="A6"/>
        </w:rPr>
        <w:t xml:space="preserve">d </w:t>
      </w:r>
      <w:r w:rsidR="007329E1" w:rsidRPr="004E06B5">
        <w:rPr>
          <w:rFonts w:ascii="Arial" w:hAnsi="Arial" w:cs="Arial"/>
          <w:color w:val="595959" w:themeColor="text1" w:themeTint="A6"/>
        </w:rPr>
        <w:t xml:space="preserve">dermis; the latter being a human dermis substitute (Colley </w:t>
      </w:r>
      <w:r w:rsidR="007329E1" w:rsidRPr="004E06B5">
        <w:rPr>
          <w:rFonts w:ascii="Arial" w:hAnsi="Arial" w:cs="Arial"/>
          <w:i/>
          <w:color w:val="595959" w:themeColor="text1" w:themeTint="A6"/>
        </w:rPr>
        <w:t>et al.,</w:t>
      </w:r>
      <w:r w:rsidR="007329E1" w:rsidRPr="004E06B5">
        <w:rPr>
          <w:rFonts w:ascii="Arial" w:hAnsi="Arial" w:cs="Arial"/>
          <w:color w:val="595959" w:themeColor="text1" w:themeTint="A6"/>
        </w:rPr>
        <w:t xml:space="preserve"> 2011</w:t>
      </w:r>
      <w:r w:rsidR="007329E1">
        <w:rPr>
          <w:rFonts w:ascii="Arial" w:hAnsi="Arial" w:cs="Arial"/>
          <w:color w:val="595959" w:themeColor="text1" w:themeTint="A6"/>
        </w:rPr>
        <w:t xml:space="preserve">, Jennings </w:t>
      </w:r>
      <w:r w:rsidR="007329E1" w:rsidRPr="00982EED">
        <w:rPr>
          <w:rFonts w:ascii="Arial" w:hAnsi="Arial" w:cs="Arial"/>
          <w:i/>
          <w:iCs/>
          <w:color w:val="595959" w:themeColor="text1" w:themeTint="A6"/>
        </w:rPr>
        <w:t>et al.,</w:t>
      </w:r>
      <w:r w:rsidR="007329E1">
        <w:rPr>
          <w:rFonts w:ascii="Arial" w:hAnsi="Arial" w:cs="Arial"/>
          <w:color w:val="595959" w:themeColor="text1" w:themeTint="A6"/>
        </w:rPr>
        <w:t xml:space="preserve"> 2016</w:t>
      </w:r>
      <w:r w:rsidR="007329E1" w:rsidRPr="004E06B5">
        <w:rPr>
          <w:rFonts w:ascii="Arial" w:hAnsi="Arial" w:cs="Arial"/>
          <w:color w:val="595959" w:themeColor="text1" w:themeTint="A6"/>
        </w:rPr>
        <w:t xml:space="preserve">). However, an all human-oral-cell derived tissue-engineered model of OSCC progression has yet to be established. </w:t>
      </w:r>
    </w:p>
    <w:p w14:paraId="24598D42" w14:textId="701DC2B2" w:rsidR="00A72FAE" w:rsidRPr="004E06B5" w:rsidRDefault="00732AE2" w:rsidP="00A72FAE">
      <w:pPr>
        <w:tabs>
          <w:tab w:val="left" w:pos="1350"/>
        </w:tabs>
        <w:spacing w:line="480" w:lineRule="auto"/>
        <w:jc w:val="both"/>
        <w:rPr>
          <w:rFonts w:ascii="Arial" w:hAnsi="Arial" w:cs="Arial"/>
          <w:color w:val="595959" w:themeColor="text1" w:themeTint="A6"/>
        </w:rPr>
      </w:pPr>
      <w:r>
        <w:rPr>
          <w:rFonts w:ascii="Arial" w:hAnsi="Arial" w:cs="Arial"/>
          <w:color w:val="595959" w:themeColor="text1" w:themeTint="A6"/>
        </w:rPr>
        <w:t xml:space="preserve">To </w:t>
      </w:r>
      <w:r w:rsidR="0081701A">
        <w:rPr>
          <w:rFonts w:ascii="Arial" w:hAnsi="Arial" w:cs="Arial"/>
          <w:color w:val="595959" w:themeColor="text1" w:themeTint="A6"/>
        </w:rPr>
        <w:t>overcome some of the non-human elements of previous OSCC models</w:t>
      </w:r>
      <w:r w:rsidR="0032629C">
        <w:rPr>
          <w:rFonts w:ascii="Arial" w:hAnsi="Arial" w:cs="Arial"/>
          <w:color w:val="595959" w:themeColor="text1" w:themeTint="A6"/>
        </w:rPr>
        <w:t>, t</w:t>
      </w:r>
      <w:r w:rsidR="00A72FAE" w:rsidRPr="004E06B5">
        <w:rPr>
          <w:rFonts w:ascii="Arial" w:hAnsi="Arial" w:cs="Arial"/>
          <w:color w:val="595959" w:themeColor="text1" w:themeTint="A6"/>
        </w:rPr>
        <w:t xml:space="preserve">he generation of </w:t>
      </w:r>
      <w:r w:rsidR="0032629C">
        <w:rPr>
          <w:rFonts w:ascii="Arial" w:hAnsi="Arial" w:cs="Arial"/>
          <w:color w:val="595959" w:themeColor="text1" w:themeTint="A6"/>
        </w:rPr>
        <w:t xml:space="preserve">an all </w:t>
      </w:r>
      <w:r w:rsidR="00A72FAE" w:rsidRPr="004E06B5">
        <w:rPr>
          <w:rFonts w:ascii="Arial" w:hAnsi="Arial" w:cs="Arial"/>
          <w:color w:val="595959" w:themeColor="text1" w:themeTint="A6"/>
        </w:rPr>
        <w:t>human-cell-derived oral mucosa equivalents will be achieved by adding epithelial cells, known as oral keratinocytes, isolated from normal tissue</w:t>
      </w:r>
      <w:r w:rsidR="00A72FAE">
        <w:rPr>
          <w:rFonts w:ascii="Arial" w:hAnsi="Arial" w:cs="Arial"/>
          <w:color w:val="595959" w:themeColor="text1" w:themeTint="A6"/>
        </w:rPr>
        <w:t xml:space="preserve"> (FNB6)</w:t>
      </w:r>
      <w:r w:rsidR="00A72FAE" w:rsidRPr="004E06B5">
        <w:rPr>
          <w:rFonts w:ascii="Arial" w:hAnsi="Arial" w:cs="Arial"/>
          <w:color w:val="595959" w:themeColor="text1" w:themeTint="A6"/>
        </w:rPr>
        <w:t xml:space="preserve"> and keratinocytes isolated from cancer tissue</w:t>
      </w:r>
      <w:r w:rsidR="00A72FAE">
        <w:rPr>
          <w:rFonts w:ascii="Arial" w:hAnsi="Arial" w:cs="Arial"/>
          <w:color w:val="595959" w:themeColor="text1" w:themeTint="A6"/>
        </w:rPr>
        <w:t xml:space="preserve"> (H357)</w:t>
      </w:r>
      <w:r w:rsidR="00A72FAE" w:rsidRPr="004E06B5">
        <w:rPr>
          <w:rFonts w:ascii="Arial" w:hAnsi="Arial" w:cs="Arial"/>
          <w:color w:val="595959" w:themeColor="text1" w:themeTint="A6"/>
        </w:rPr>
        <w:t xml:space="preserve"> to obtain a full thickness oral epithelium with an associated fibroblast-matrix layer. These will be crucial in our understanding of how these models can act </w:t>
      </w:r>
      <w:r w:rsidR="00A72FAE" w:rsidRPr="004E06B5">
        <w:rPr>
          <w:rFonts w:ascii="Arial" w:hAnsi="Arial" w:cs="Arial"/>
          <w:color w:val="595959" w:themeColor="text1" w:themeTint="A6"/>
        </w:rPr>
        <w:lastRenderedPageBreak/>
        <w:t xml:space="preserve">as </w:t>
      </w:r>
      <w:r w:rsidR="00A72FAE" w:rsidRPr="004E06B5">
        <w:rPr>
          <w:rFonts w:ascii="Arial" w:hAnsi="Arial" w:cs="Arial"/>
          <w:i/>
          <w:iCs/>
          <w:color w:val="595959" w:themeColor="text1" w:themeTint="A6"/>
        </w:rPr>
        <w:t>in vitro</w:t>
      </w:r>
      <w:r w:rsidR="00A72FAE" w:rsidRPr="004E06B5">
        <w:rPr>
          <w:rFonts w:ascii="Arial" w:hAnsi="Arial" w:cs="Arial"/>
          <w:color w:val="595959" w:themeColor="text1" w:themeTint="A6"/>
        </w:rPr>
        <w:t xml:space="preserve"> mimetic of both a normal stratified oral epithelium and models that represent OSCC disease progression. </w:t>
      </w:r>
    </w:p>
    <w:p w14:paraId="5B3D5A93" w14:textId="6B93ED26" w:rsidR="004E06B5" w:rsidRPr="004E06B5" w:rsidRDefault="004E06B5" w:rsidP="004E06B5">
      <w:pPr>
        <w:tabs>
          <w:tab w:val="left" w:pos="1350"/>
        </w:tabs>
        <w:spacing w:line="480" w:lineRule="auto"/>
        <w:jc w:val="both"/>
        <w:rPr>
          <w:rFonts w:ascii="Arial" w:hAnsi="Arial" w:cs="Arial"/>
          <w:color w:val="595959" w:themeColor="text1" w:themeTint="A6"/>
        </w:rPr>
      </w:pPr>
      <w:r w:rsidRPr="004E06B5">
        <w:rPr>
          <w:rFonts w:ascii="Arial" w:hAnsi="Arial" w:cs="Arial"/>
          <w:color w:val="595959" w:themeColor="text1" w:themeTint="A6"/>
        </w:rPr>
        <w:t>The aim of this chapter is to generate full thickness oral mucosa equivalents using fibroblast-derived matrices (FDM) as scaffolds to replicate different stages of oral carcinogenesis.</w:t>
      </w:r>
    </w:p>
    <w:p w14:paraId="5BC88D9F" w14:textId="77777777" w:rsidR="004E06B5" w:rsidRPr="004E06B5" w:rsidRDefault="004E06B5" w:rsidP="004E06B5">
      <w:pPr>
        <w:tabs>
          <w:tab w:val="left" w:pos="1350"/>
        </w:tabs>
        <w:spacing w:line="480" w:lineRule="auto"/>
        <w:jc w:val="both"/>
        <w:rPr>
          <w:rFonts w:ascii="Arial" w:hAnsi="Arial" w:cs="Arial"/>
          <w:color w:val="595959" w:themeColor="text1" w:themeTint="A6"/>
        </w:rPr>
      </w:pPr>
      <w:r w:rsidRPr="004E06B5">
        <w:rPr>
          <w:rFonts w:ascii="Arial" w:hAnsi="Arial" w:cs="Arial"/>
          <w:color w:val="595959" w:themeColor="text1" w:themeTint="A6"/>
        </w:rPr>
        <w:t>The specific aims of this chapter are to:</w:t>
      </w:r>
    </w:p>
    <w:p w14:paraId="0893AEDE" w14:textId="768B64CC" w:rsidR="00764E33" w:rsidRPr="00764E33" w:rsidRDefault="004E06B5" w:rsidP="00764E33">
      <w:pPr>
        <w:pStyle w:val="ListParagraph"/>
        <w:numPr>
          <w:ilvl w:val="0"/>
          <w:numId w:val="8"/>
        </w:numPr>
        <w:tabs>
          <w:tab w:val="left" w:pos="1350"/>
        </w:tabs>
        <w:spacing w:line="480" w:lineRule="auto"/>
        <w:jc w:val="both"/>
        <w:rPr>
          <w:rFonts w:ascii="Arial" w:hAnsi="Arial" w:cs="Arial"/>
          <w:color w:val="595959" w:themeColor="text1" w:themeTint="A6"/>
          <w:lang w:val="en-US"/>
        </w:rPr>
      </w:pPr>
      <w:r w:rsidRPr="00764E33">
        <w:rPr>
          <w:rFonts w:ascii="Arial" w:hAnsi="Arial" w:cs="Arial"/>
          <w:color w:val="595959" w:themeColor="text1" w:themeTint="A6"/>
          <w:lang w:val="en-US"/>
        </w:rPr>
        <w:t>Determine cell behavior in response to NOF- and CAF-derived matrices (DM).</w:t>
      </w:r>
    </w:p>
    <w:p w14:paraId="3DA5E8C1" w14:textId="303BFE33" w:rsidR="004E06B5" w:rsidRPr="00807AB1" w:rsidRDefault="004E06B5" w:rsidP="00764E33">
      <w:pPr>
        <w:pStyle w:val="ListParagraph"/>
        <w:numPr>
          <w:ilvl w:val="1"/>
          <w:numId w:val="8"/>
        </w:numPr>
        <w:tabs>
          <w:tab w:val="left" w:pos="1350"/>
        </w:tabs>
        <w:spacing w:line="480" w:lineRule="auto"/>
        <w:jc w:val="both"/>
        <w:rPr>
          <w:rFonts w:ascii="Arial" w:hAnsi="Arial" w:cs="Arial"/>
          <w:color w:val="595959" w:themeColor="text1" w:themeTint="A6"/>
          <w:lang w:val="en-US"/>
        </w:rPr>
      </w:pPr>
      <w:r w:rsidRPr="00807AB1">
        <w:rPr>
          <w:rFonts w:ascii="Arial" w:hAnsi="Arial" w:cs="Arial"/>
          <w:color w:val="595959" w:themeColor="text1" w:themeTint="A6"/>
          <w:lang w:val="en-US"/>
        </w:rPr>
        <w:t>Compare normal and cancer cells adherence, proliferation and migration on established NOF- and CAF-DM using live cell imaging microscopy.</w:t>
      </w:r>
    </w:p>
    <w:p w14:paraId="512407E8" w14:textId="77777777" w:rsidR="00764E33" w:rsidRDefault="004E06B5" w:rsidP="00764E33">
      <w:pPr>
        <w:pStyle w:val="ListParagraph"/>
        <w:numPr>
          <w:ilvl w:val="0"/>
          <w:numId w:val="8"/>
        </w:numPr>
        <w:tabs>
          <w:tab w:val="left" w:pos="1350"/>
        </w:tabs>
        <w:spacing w:line="480" w:lineRule="auto"/>
        <w:jc w:val="both"/>
        <w:rPr>
          <w:rFonts w:ascii="Arial" w:hAnsi="Arial" w:cs="Arial"/>
          <w:color w:val="595959" w:themeColor="text1" w:themeTint="A6"/>
          <w:lang w:val="en-US"/>
        </w:rPr>
      </w:pPr>
      <w:r w:rsidRPr="00764E33">
        <w:rPr>
          <w:rFonts w:ascii="Arial" w:hAnsi="Arial" w:cs="Arial"/>
          <w:color w:val="595959" w:themeColor="text1" w:themeTint="A6"/>
          <w:lang w:val="en-US"/>
        </w:rPr>
        <w:t xml:space="preserve">Investigate if FDM can support the generation of full-thickness oral mucosa models in long-term culture. </w:t>
      </w:r>
    </w:p>
    <w:p w14:paraId="180670BE" w14:textId="77777777" w:rsidR="00764E33" w:rsidRDefault="004E06B5" w:rsidP="00764E33">
      <w:pPr>
        <w:pStyle w:val="ListParagraph"/>
        <w:numPr>
          <w:ilvl w:val="1"/>
          <w:numId w:val="8"/>
        </w:numPr>
        <w:tabs>
          <w:tab w:val="left" w:pos="1350"/>
        </w:tabs>
        <w:spacing w:line="480" w:lineRule="auto"/>
        <w:jc w:val="both"/>
        <w:rPr>
          <w:rFonts w:ascii="Arial" w:hAnsi="Arial" w:cs="Arial"/>
          <w:color w:val="595959" w:themeColor="text1" w:themeTint="A6"/>
          <w:lang w:val="en-US"/>
        </w:rPr>
      </w:pPr>
      <w:r w:rsidRPr="00764E33">
        <w:rPr>
          <w:rFonts w:ascii="Arial" w:hAnsi="Arial" w:cs="Arial"/>
          <w:color w:val="595959" w:themeColor="text1" w:themeTint="A6"/>
          <w:lang w:val="en-US"/>
        </w:rPr>
        <w:t>NOF-DM for the support of tissue-engineered normal oral mucosa (TENOM) model.</w:t>
      </w:r>
      <w:r w:rsidR="00764E33" w:rsidRPr="00764E33">
        <w:rPr>
          <w:rFonts w:ascii="Arial" w:hAnsi="Arial" w:cs="Arial"/>
          <w:color w:val="595959" w:themeColor="text1" w:themeTint="A6"/>
          <w:lang w:val="en-US"/>
        </w:rPr>
        <w:t xml:space="preserve"> </w:t>
      </w:r>
    </w:p>
    <w:p w14:paraId="43FBE4EE" w14:textId="77777777" w:rsidR="00764E33" w:rsidRDefault="004E06B5" w:rsidP="00764E33">
      <w:pPr>
        <w:pStyle w:val="ListParagraph"/>
        <w:numPr>
          <w:ilvl w:val="1"/>
          <w:numId w:val="8"/>
        </w:numPr>
        <w:tabs>
          <w:tab w:val="left" w:pos="1350"/>
        </w:tabs>
        <w:spacing w:line="480" w:lineRule="auto"/>
        <w:jc w:val="both"/>
        <w:rPr>
          <w:rFonts w:ascii="Arial" w:hAnsi="Arial" w:cs="Arial"/>
          <w:color w:val="595959" w:themeColor="text1" w:themeTint="A6"/>
          <w:lang w:val="en-US"/>
        </w:rPr>
      </w:pPr>
      <w:r w:rsidRPr="00764E33">
        <w:rPr>
          <w:rFonts w:ascii="Arial" w:hAnsi="Arial" w:cs="Arial"/>
          <w:color w:val="595959" w:themeColor="text1" w:themeTint="A6"/>
          <w:lang w:val="en-US"/>
        </w:rPr>
        <w:t>CAF-DM for the support of tissue-engineered atypical oral mucosa (TEAOM) model.</w:t>
      </w:r>
      <w:r w:rsidR="00764E33" w:rsidRPr="00764E33">
        <w:rPr>
          <w:rFonts w:ascii="Arial" w:hAnsi="Arial" w:cs="Arial"/>
          <w:color w:val="595959" w:themeColor="text1" w:themeTint="A6"/>
          <w:lang w:val="en-US"/>
        </w:rPr>
        <w:t xml:space="preserve"> </w:t>
      </w:r>
    </w:p>
    <w:p w14:paraId="563CBA42" w14:textId="4A1FE0B2" w:rsidR="004E06B5" w:rsidRPr="00764E33" w:rsidRDefault="004E06B5" w:rsidP="00764E33">
      <w:pPr>
        <w:pStyle w:val="ListParagraph"/>
        <w:numPr>
          <w:ilvl w:val="1"/>
          <w:numId w:val="8"/>
        </w:numPr>
        <w:tabs>
          <w:tab w:val="left" w:pos="1350"/>
        </w:tabs>
        <w:spacing w:line="480" w:lineRule="auto"/>
        <w:jc w:val="both"/>
        <w:rPr>
          <w:rFonts w:ascii="Arial" w:hAnsi="Arial" w:cs="Arial"/>
          <w:color w:val="595959" w:themeColor="text1" w:themeTint="A6"/>
          <w:lang w:val="en-US"/>
        </w:rPr>
      </w:pPr>
      <w:r w:rsidRPr="00764E33">
        <w:rPr>
          <w:rFonts w:ascii="Arial" w:hAnsi="Arial" w:cs="Arial"/>
          <w:color w:val="595959" w:themeColor="text1" w:themeTint="A6"/>
          <w:lang w:val="en-US"/>
        </w:rPr>
        <w:t>CAF-DM for the support of tissue-engineered OSCC model (TESCCM).</w:t>
      </w:r>
      <w:r w:rsidR="00764E33" w:rsidRPr="00764E33">
        <w:rPr>
          <w:rFonts w:ascii="Arial" w:hAnsi="Arial" w:cs="Arial"/>
          <w:color w:val="595959" w:themeColor="text1" w:themeTint="A6"/>
          <w:lang w:val="en-US"/>
        </w:rPr>
        <w:t xml:space="preserve"> </w:t>
      </w:r>
      <w:r w:rsidRPr="00764E33">
        <w:rPr>
          <w:rFonts w:ascii="Arial" w:hAnsi="Arial" w:cs="Arial"/>
          <w:color w:val="595959" w:themeColor="text1" w:themeTint="A6"/>
          <w:lang w:val="en-US"/>
        </w:rPr>
        <w:t>Mucosa model viability monitored by Presto blue and TEER.</w:t>
      </w:r>
    </w:p>
    <w:p w14:paraId="23421575" w14:textId="77777777" w:rsidR="00764E33" w:rsidRDefault="004E06B5" w:rsidP="00764E33">
      <w:pPr>
        <w:pStyle w:val="ListParagraph"/>
        <w:numPr>
          <w:ilvl w:val="0"/>
          <w:numId w:val="8"/>
        </w:numPr>
        <w:tabs>
          <w:tab w:val="left" w:pos="1350"/>
        </w:tabs>
        <w:spacing w:line="480" w:lineRule="auto"/>
        <w:jc w:val="both"/>
        <w:rPr>
          <w:rFonts w:ascii="Arial" w:hAnsi="Arial" w:cs="Arial"/>
          <w:color w:val="595959" w:themeColor="text1" w:themeTint="A6"/>
          <w:lang w:val="en-US"/>
        </w:rPr>
      </w:pPr>
      <w:r w:rsidRPr="00764E33">
        <w:rPr>
          <w:rFonts w:ascii="Arial" w:hAnsi="Arial" w:cs="Arial"/>
          <w:color w:val="595959" w:themeColor="text1" w:themeTint="A6"/>
          <w:lang w:val="en-US"/>
        </w:rPr>
        <w:t>Determine morphological and protein expression changes in the stroma of NOF-DM to a CAF-DM in tissue-engineered oral mucosa (TEOM) models.</w:t>
      </w:r>
      <w:r w:rsidR="00764E33" w:rsidRPr="00764E33">
        <w:rPr>
          <w:rFonts w:ascii="Arial" w:hAnsi="Arial" w:cs="Arial"/>
          <w:color w:val="595959" w:themeColor="text1" w:themeTint="A6"/>
          <w:lang w:val="en-US"/>
        </w:rPr>
        <w:t xml:space="preserve"> </w:t>
      </w:r>
    </w:p>
    <w:p w14:paraId="1827BA45" w14:textId="77777777" w:rsidR="00764E33" w:rsidRDefault="004E06B5" w:rsidP="00764E33">
      <w:pPr>
        <w:pStyle w:val="ListParagraph"/>
        <w:numPr>
          <w:ilvl w:val="1"/>
          <w:numId w:val="8"/>
        </w:numPr>
        <w:tabs>
          <w:tab w:val="left" w:pos="1350"/>
        </w:tabs>
        <w:spacing w:line="480" w:lineRule="auto"/>
        <w:jc w:val="both"/>
        <w:rPr>
          <w:rFonts w:ascii="Arial" w:hAnsi="Arial" w:cs="Arial"/>
          <w:color w:val="595959" w:themeColor="text1" w:themeTint="A6"/>
          <w:lang w:val="en-US"/>
        </w:rPr>
      </w:pPr>
      <w:r w:rsidRPr="00764E33">
        <w:rPr>
          <w:rFonts w:ascii="Arial" w:hAnsi="Arial" w:cs="Arial"/>
          <w:color w:val="595959" w:themeColor="text1" w:themeTint="A6"/>
          <w:lang w:val="en-US"/>
        </w:rPr>
        <w:t>Histological appearance of the overlying epithelium by H&amp;E with the addition of oral keratinocytes (normal and cancer).</w:t>
      </w:r>
      <w:r w:rsidR="00764E33" w:rsidRPr="00764E33">
        <w:rPr>
          <w:rFonts w:ascii="Arial" w:hAnsi="Arial" w:cs="Arial"/>
          <w:color w:val="595959" w:themeColor="text1" w:themeTint="A6"/>
          <w:lang w:val="en-US"/>
        </w:rPr>
        <w:t xml:space="preserve"> </w:t>
      </w:r>
    </w:p>
    <w:p w14:paraId="16B6DFB3" w14:textId="1C657300" w:rsidR="004E06B5" w:rsidRPr="00764E33" w:rsidRDefault="004E06B5" w:rsidP="00764E33">
      <w:pPr>
        <w:pStyle w:val="ListParagraph"/>
        <w:numPr>
          <w:ilvl w:val="1"/>
          <w:numId w:val="8"/>
        </w:numPr>
        <w:tabs>
          <w:tab w:val="left" w:pos="1350"/>
        </w:tabs>
        <w:spacing w:line="480" w:lineRule="auto"/>
        <w:jc w:val="both"/>
        <w:rPr>
          <w:rFonts w:ascii="Arial" w:hAnsi="Arial" w:cs="Arial"/>
          <w:color w:val="595959" w:themeColor="text1" w:themeTint="A6"/>
          <w:lang w:val="en-US"/>
        </w:rPr>
      </w:pPr>
      <w:r w:rsidRPr="00764E33">
        <w:rPr>
          <w:rFonts w:ascii="Arial" w:hAnsi="Arial" w:cs="Arial"/>
          <w:color w:val="595959" w:themeColor="text1" w:themeTint="A6"/>
          <w:lang w:val="en-US"/>
        </w:rPr>
        <w:t xml:space="preserve">Evaluate if CAF-DM can support OSCC growth to model cancer progression by investigating expression of proteins involved in OSCC progression using key epidermal and </w:t>
      </w:r>
      <w:r w:rsidR="00764E33">
        <w:rPr>
          <w:rFonts w:ascii="Arial" w:hAnsi="Arial" w:cs="Arial"/>
          <w:color w:val="595959" w:themeColor="text1" w:themeTint="A6"/>
          <w:lang w:val="en-US"/>
        </w:rPr>
        <w:t>ECM</w:t>
      </w:r>
      <w:r w:rsidRPr="00764E33">
        <w:rPr>
          <w:rFonts w:ascii="Arial" w:hAnsi="Arial" w:cs="Arial"/>
          <w:color w:val="595959" w:themeColor="text1" w:themeTint="A6"/>
          <w:lang w:val="en-US"/>
        </w:rPr>
        <w:t xml:space="preserve"> markers. </w:t>
      </w:r>
    </w:p>
    <w:p w14:paraId="00B092B9" w14:textId="77777777" w:rsidR="004E06B5" w:rsidRPr="004E06B5" w:rsidRDefault="004E06B5" w:rsidP="004E06B5">
      <w:pPr>
        <w:tabs>
          <w:tab w:val="left" w:pos="1350"/>
        </w:tabs>
        <w:spacing w:line="480" w:lineRule="auto"/>
        <w:jc w:val="both"/>
        <w:rPr>
          <w:rFonts w:ascii="Arial" w:hAnsi="Arial" w:cs="Arial"/>
          <w:color w:val="595959" w:themeColor="text1" w:themeTint="A6"/>
        </w:rPr>
      </w:pPr>
      <w:r w:rsidRPr="004E06B5">
        <w:rPr>
          <w:rFonts w:ascii="Arial" w:hAnsi="Arial" w:cs="Arial"/>
          <w:color w:val="595959" w:themeColor="text1" w:themeTint="A6"/>
        </w:rPr>
        <w:tab/>
      </w:r>
    </w:p>
    <w:p w14:paraId="10F97BA2" w14:textId="7AF98929" w:rsidR="004E06B5" w:rsidRDefault="004E06B5" w:rsidP="004E06B5">
      <w:pPr>
        <w:tabs>
          <w:tab w:val="left" w:pos="1350"/>
        </w:tabs>
        <w:spacing w:line="480" w:lineRule="auto"/>
        <w:jc w:val="both"/>
        <w:rPr>
          <w:rFonts w:ascii="Arial" w:hAnsi="Arial" w:cs="Arial"/>
          <w:color w:val="595959" w:themeColor="text1" w:themeTint="A6"/>
        </w:rPr>
      </w:pPr>
    </w:p>
    <w:p w14:paraId="33153F64" w14:textId="77777777" w:rsidR="0032629C" w:rsidRDefault="0032629C" w:rsidP="004E06B5">
      <w:pPr>
        <w:tabs>
          <w:tab w:val="left" w:pos="1350"/>
        </w:tabs>
        <w:spacing w:line="480" w:lineRule="auto"/>
        <w:jc w:val="both"/>
        <w:rPr>
          <w:rFonts w:ascii="Arial" w:hAnsi="Arial" w:cs="Arial"/>
          <w:color w:val="595959" w:themeColor="text1" w:themeTint="A6"/>
        </w:rPr>
      </w:pPr>
    </w:p>
    <w:p w14:paraId="3C0A4790" w14:textId="0525ACCC" w:rsidR="004E06B5" w:rsidRDefault="004E06B5" w:rsidP="00A161FD">
      <w:pPr>
        <w:pStyle w:val="Heading2"/>
        <w:rPr>
          <w:rFonts w:ascii="Arial" w:hAnsi="Arial" w:cs="Arial"/>
          <w:b/>
          <w:color w:val="595959" w:themeColor="text1" w:themeTint="A6"/>
        </w:rPr>
      </w:pPr>
      <w:bookmarkStart w:id="442" w:name="_Toc34208445"/>
      <w:r w:rsidRPr="004E06B5">
        <w:rPr>
          <w:rFonts w:ascii="Arial" w:hAnsi="Arial" w:cs="Arial"/>
          <w:b/>
          <w:color w:val="595959" w:themeColor="text1" w:themeTint="A6"/>
        </w:rPr>
        <w:lastRenderedPageBreak/>
        <w:t>5.2 Materials and methods</w:t>
      </w:r>
      <w:bookmarkEnd w:id="442"/>
    </w:p>
    <w:p w14:paraId="1A47FEBB" w14:textId="77777777" w:rsidR="00A161FD" w:rsidRPr="00A161FD" w:rsidRDefault="00A161FD" w:rsidP="00A161FD"/>
    <w:p w14:paraId="44D01113" w14:textId="517C1AC7" w:rsidR="004E06B5" w:rsidRPr="00D92EDA" w:rsidRDefault="00C54DD5" w:rsidP="00E22586">
      <w:pPr>
        <w:spacing w:line="480" w:lineRule="auto"/>
        <w:jc w:val="both"/>
        <w:rPr>
          <w:rFonts w:ascii="Arial" w:hAnsi="Arial" w:cs="Arial"/>
          <w:color w:val="595959" w:themeColor="text1" w:themeTint="A6"/>
        </w:rPr>
      </w:pPr>
      <w:r w:rsidRPr="00D92EDA">
        <w:rPr>
          <w:rFonts w:ascii="Arial" w:hAnsi="Arial" w:cs="Arial"/>
          <w:color w:val="595959" w:themeColor="text1" w:themeTint="A6"/>
        </w:rPr>
        <w:t>Assessment</w:t>
      </w:r>
      <w:r w:rsidR="00DE6625" w:rsidRPr="00D92EDA">
        <w:rPr>
          <w:rFonts w:ascii="Arial" w:hAnsi="Arial" w:cs="Arial"/>
          <w:color w:val="595959" w:themeColor="text1" w:themeTint="A6"/>
        </w:rPr>
        <w:t xml:space="preserve"> of cell behaviour on NOF- and CAF-DM was analysed using live-cell imaging microscopy of normal (FNB6) and oral cancer (H357) cells (sections 2.2.6.2, 2.2.11.5, 2.2.12). The effect on keratinocyte growth will be monitored in culture by TEER and Presto Blue over a 14-day period (Sections 2.2.10.1-2). The generation of full-thickness oral mucosa models will be constructed using FNB6 and H357 seeded on to NOF- and CAF-DM with a 12-day air-to-liquid culture period (Section 2.2.6.3). </w:t>
      </w:r>
      <w:r w:rsidR="00E22586" w:rsidRPr="00D92EDA">
        <w:rPr>
          <w:rFonts w:ascii="Arial" w:hAnsi="Arial" w:cs="Arial"/>
          <w:color w:val="595959" w:themeColor="text1" w:themeTint="A6"/>
        </w:rPr>
        <w:t>To assess whether models morphological resemble oral mucosal tissue, immunohistochemical analysis by H&amp;E staining of these constructed models will be undertaken (sections 2.2.8.2 and 2.2.11.1). Further characterisation of tissue-engineered models will be assessed by staining for the following proteins of interest E-Cadherin, AE1/3, Cytokeratin-14, (epithelial markers), TNC, Vimentin, FN-EDA, αSMA, VCAN, COL1A1 (ECM markers) as well as Integrin α6β4, KI-67, and COL-IV.  The remodelling capabilities of NOF- and CAF-DM will be achieved through analysis of the enzymatic activity of MMP-2 and MMP-9 by zymography (2.2.9.7).</w:t>
      </w:r>
    </w:p>
    <w:p w14:paraId="7D2BE4FC"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17FC84A5"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4D797366"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474CF881"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6EE64EA4"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1463EB5B"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5848CC9C"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7BDE729B"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1FDFA0C4"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61274DCD"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3BE0A011" w14:textId="2EA8A0EC" w:rsidR="004E06B5" w:rsidRPr="004E06B5" w:rsidRDefault="004E06B5" w:rsidP="004E06B5">
      <w:pPr>
        <w:tabs>
          <w:tab w:val="left" w:pos="1350"/>
        </w:tabs>
        <w:spacing w:line="480" w:lineRule="auto"/>
        <w:jc w:val="both"/>
        <w:rPr>
          <w:rFonts w:ascii="Arial" w:hAnsi="Arial" w:cs="Arial"/>
          <w:color w:val="595959" w:themeColor="text1" w:themeTint="A6"/>
        </w:rPr>
      </w:pPr>
    </w:p>
    <w:p w14:paraId="336989EA" w14:textId="70A3F676" w:rsidR="004E06B5" w:rsidRPr="004E06B5" w:rsidRDefault="004E06B5" w:rsidP="004E06B5">
      <w:pPr>
        <w:tabs>
          <w:tab w:val="left" w:pos="1350"/>
        </w:tabs>
        <w:spacing w:line="480" w:lineRule="auto"/>
        <w:jc w:val="both"/>
        <w:rPr>
          <w:rFonts w:ascii="Arial" w:hAnsi="Arial" w:cs="Arial"/>
          <w:color w:val="595959" w:themeColor="text1" w:themeTint="A6"/>
        </w:rPr>
      </w:pPr>
    </w:p>
    <w:p w14:paraId="72DC9266" w14:textId="163254E1" w:rsidR="004E06B5" w:rsidRPr="004E06B5" w:rsidRDefault="00E22586" w:rsidP="004E06B5">
      <w:pPr>
        <w:tabs>
          <w:tab w:val="left" w:pos="1350"/>
        </w:tabs>
        <w:spacing w:line="480" w:lineRule="auto"/>
        <w:jc w:val="both"/>
        <w:rPr>
          <w:rFonts w:ascii="Arial" w:hAnsi="Arial" w:cs="Arial"/>
          <w:color w:val="595959" w:themeColor="text1" w:themeTint="A6"/>
        </w:rPr>
      </w:pPr>
      <w:r w:rsidRPr="004E06B5">
        <w:rPr>
          <w:rFonts w:ascii="Arial" w:hAnsi="Arial" w:cs="Arial"/>
          <w:noProof/>
          <w:color w:val="595959" w:themeColor="text1" w:themeTint="A6"/>
          <w:lang w:eastAsia="zh-CN"/>
        </w:rPr>
        <w:drawing>
          <wp:anchor distT="0" distB="0" distL="114300" distR="114300" simplePos="0" relativeHeight="251658398" behindDoc="0" locked="0" layoutInCell="1" allowOverlap="1" wp14:anchorId="642C2BB2" wp14:editId="6CAF1B04">
            <wp:simplePos x="0" y="0"/>
            <wp:positionH relativeFrom="column">
              <wp:posOffset>162491</wp:posOffset>
            </wp:positionH>
            <wp:positionV relativeFrom="paragraph">
              <wp:posOffset>135782</wp:posOffset>
            </wp:positionV>
            <wp:extent cx="5734050" cy="6113113"/>
            <wp:effectExtent l="0" t="0" r="0" b="2540"/>
            <wp:wrapNone/>
            <wp:docPr id="5347" name="Picture 5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734050" cy="6113113"/>
                    </a:xfrm>
                    <a:prstGeom prst="rect">
                      <a:avLst/>
                    </a:prstGeom>
                    <a:noFill/>
                  </pic:spPr>
                </pic:pic>
              </a:graphicData>
            </a:graphic>
            <wp14:sizeRelH relativeFrom="margin">
              <wp14:pctWidth>0</wp14:pctWidth>
            </wp14:sizeRelH>
            <wp14:sizeRelV relativeFrom="margin">
              <wp14:pctHeight>0</wp14:pctHeight>
            </wp14:sizeRelV>
          </wp:anchor>
        </w:drawing>
      </w:r>
    </w:p>
    <w:p w14:paraId="12E93C55"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18BC444D" w14:textId="1C54C764" w:rsidR="004E06B5" w:rsidRDefault="004E06B5" w:rsidP="004E06B5">
      <w:pPr>
        <w:tabs>
          <w:tab w:val="left" w:pos="1350"/>
        </w:tabs>
        <w:spacing w:line="480" w:lineRule="auto"/>
        <w:jc w:val="both"/>
        <w:rPr>
          <w:rFonts w:ascii="Arial" w:hAnsi="Arial" w:cs="Arial"/>
          <w:color w:val="595959" w:themeColor="text1" w:themeTint="A6"/>
        </w:rPr>
      </w:pPr>
    </w:p>
    <w:p w14:paraId="7B71F69B" w14:textId="3E68AA25" w:rsidR="00E22586" w:rsidRDefault="00E22586" w:rsidP="004E06B5">
      <w:pPr>
        <w:tabs>
          <w:tab w:val="left" w:pos="1350"/>
        </w:tabs>
        <w:spacing w:line="480" w:lineRule="auto"/>
        <w:jc w:val="both"/>
        <w:rPr>
          <w:rFonts w:ascii="Arial" w:hAnsi="Arial" w:cs="Arial"/>
          <w:color w:val="595959" w:themeColor="text1" w:themeTint="A6"/>
        </w:rPr>
      </w:pPr>
    </w:p>
    <w:p w14:paraId="50542B2D" w14:textId="4809401A" w:rsidR="00E22586" w:rsidRDefault="00E22586" w:rsidP="004E06B5">
      <w:pPr>
        <w:tabs>
          <w:tab w:val="left" w:pos="1350"/>
        </w:tabs>
        <w:spacing w:line="480" w:lineRule="auto"/>
        <w:jc w:val="both"/>
        <w:rPr>
          <w:rFonts w:ascii="Arial" w:hAnsi="Arial" w:cs="Arial"/>
          <w:color w:val="595959" w:themeColor="text1" w:themeTint="A6"/>
        </w:rPr>
      </w:pPr>
    </w:p>
    <w:p w14:paraId="25ED0EB9" w14:textId="125A8A8E" w:rsidR="00E22586" w:rsidRDefault="00E22586" w:rsidP="004E06B5">
      <w:pPr>
        <w:tabs>
          <w:tab w:val="left" w:pos="1350"/>
        </w:tabs>
        <w:spacing w:line="480" w:lineRule="auto"/>
        <w:jc w:val="both"/>
        <w:rPr>
          <w:rFonts w:ascii="Arial" w:hAnsi="Arial" w:cs="Arial"/>
          <w:color w:val="595959" w:themeColor="text1" w:themeTint="A6"/>
        </w:rPr>
      </w:pPr>
    </w:p>
    <w:p w14:paraId="368217AB" w14:textId="37D2C9CC" w:rsidR="00E22586" w:rsidRDefault="00E22586" w:rsidP="004E06B5">
      <w:pPr>
        <w:tabs>
          <w:tab w:val="left" w:pos="1350"/>
        </w:tabs>
        <w:spacing w:line="480" w:lineRule="auto"/>
        <w:jc w:val="both"/>
        <w:rPr>
          <w:rFonts w:ascii="Arial" w:hAnsi="Arial" w:cs="Arial"/>
          <w:color w:val="595959" w:themeColor="text1" w:themeTint="A6"/>
        </w:rPr>
      </w:pPr>
    </w:p>
    <w:p w14:paraId="2C94664F" w14:textId="5425BE50" w:rsidR="00E22586" w:rsidRDefault="00E22586" w:rsidP="004E06B5">
      <w:pPr>
        <w:tabs>
          <w:tab w:val="left" w:pos="1350"/>
        </w:tabs>
        <w:spacing w:line="480" w:lineRule="auto"/>
        <w:jc w:val="both"/>
        <w:rPr>
          <w:rFonts w:ascii="Arial" w:hAnsi="Arial" w:cs="Arial"/>
          <w:color w:val="595959" w:themeColor="text1" w:themeTint="A6"/>
        </w:rPr>
      </w:pPr>
    </w:p>
    <w:p w14:paraId="4702E631" w14:textId="5545CB8D" w:rsidR="00E22586" w:rsidRDefault="00E22586" w:rsidP="004E06B5">
      <w:pPr>
        <w:tabs>
          <w:tab w:val="left" w:pos="1350"/>
        </w:tabs>
        <w:spacing w:line="480" w:lineRule="auto"/>
        <w:jc w:val="both"/>
        <w:rPr>
          <w:rFonts w:ascii="Arial" w:hAnsi="Arial" w:cs="Arial"/>
          <w:color w:val="595959" w:themeColor="text1" w:themeTint="A6"/>
        </w:rPr>
      </w:pPr>
    </w:p>
    <w:p w14:paraId="719ED3AF" w14:textId="752BDD41" w:rsidR="00E22586" w:rsidRDefault="00E22586" w:rsidP="004E06B5">
      <w:pPr>
        <w:tabs>
          <w:tab w:val="left" w:pos="1350"/>
        </w:tabs>
        <w:spacing w:line="480" w:lineRule="auto"/>
        <w:jc w:val="both"/>
        <w:rPr>
          <w:rFonts w:ascii="Arial" w:hAnsi="Arial" w:cs="Arial"/>
          <w:color w:val="595959" w:themeColor="text1" w:themeTint="A6"/>
        </w:rPr>
      </w:pPr>
    </w:p>
    <w:p w14:paraId="2ED3EA0B" w14:textId="12C68356" w:rsidR="00E22586" w:rsidRDefault="00E22586" w:rsidP="004E06B5">
      <w:pPr>
        <w:tabs>
          <w:tab w:val="left" w:pos="1350"/>
        </w:tabs>
        <w:spacing w:line="480" w:lineRule="auto"/>
        <w:jc w:val="both"/>
        <w:rPr>
          <w:rFonts w:ascii="Arial" w:hAnsi="Arial" w:cs="Arial"/>
          <w:color w:val="595959" w:themeColor="text1" w:themeTint="A6"/>
        </w:rPr>
      </w:pPr>
    </w:p>
    <w:p w14:paraId="64A93DD3" w14:textId="4BB5C1B6" w:rsidR="00E22586" w:rsidRDefault="00E22586" w:rsidP="004E06B5">
      <w:pPr>
        <w:tabs>
          <w:tab w:val="left" w:pos="1350"/>
        </w:tabs>
        <w:spacing w:line="480" w:lineRule="auto"/>
        <w:jc w:val="both"/>
        <w:rPr>
          <w:rFonts w:ascii="Arial" w:hAnsi="Arial" w:cs="Arial"/>
          <w:color w:val="595959" w:themeColor="text1" w:themeTint="A6"/>
        </w:rPr>
      </w:pPr>
    </w:p>
    <w:p w14:paraId="16D538D7" w14:textId="0CF23BCB" w:rsidR="00E22586" w:rsidRDefault="00E22586" w:rsidP="004E06B5">
      <w:pPr>
        <w:tabs>
          <w:tab w:val="left" w:pos="1350"/>
        </w:tabs>
        <w:spacing w:line="480" w:lineRule="auto"/>
        <w:jc w:val="both"/>
        <w:rPr>
          <w:rFonts w:ascii="Arial" w:hAnsi="Arial" w:cs="Arial"/>
          <w:color w:val="595959" w:themeColor="text1" w:themeTint="A6"/>
        </w:rPr>
      </w:pPr>
    </w:p>
    <w:p w14:paraId="43EC8A40" w14:textId="6480993B" w:rsidR="00E22586" w:rsidRDefault="00E22586" w:rsidP="004E06B5">
      <w:pPr>
        <w:tabs>
          <w:tab w:val="left" w:pos="1350"/>
        </w:tabs>
        <w:spacing w:line="480" w:lineRule="auto"/>
        <w:jc w:val="both"/>
        <w:rPr>
          <w:rFonts w:ascii="Arial" w:hAnsi="Arial" w:cs="Arial"/>
          <w:color w:val="595959" w:themeColor="text1" w:themeTint="A6"/>
        </w:rPr>
      </w:pPr>
    </w:p>
    <w:p w14:paraId="3483606C" w14:textId="2F16EFF8" w:rsidR="00E22586" w:rsidRDefault="00E22586" w:rsidP="004E06B5">
      <w:pPr>
        <w:tabs>
          <w:tab w:val="left" w:pos="1350"/>
        </w:tabs>
        <w:spacing w:line="480" w:lineRule="auto"/>
        <w:jc w:val="both"/>
        <w:rPr>
          <w:rFonts w:ascii="Arial" w:hAnsi="Arial" w:cs="Arial"/>
          <w:color w:val="595959" w:themeColor="text1" w:themeTint="A6"/>
        </w:rPr>
      </w:pPr>
    </w:p>
    <w:p w14:paraId="1E00C3AE" w14:textId="1E5FA1BC" w:rsidR="00E22586" w:rsidRDefault="00E22586" w:rsidP="004E06B5">
      <w:pPr>
        <w:tabs>
          <w:tab w:val="left" w:pos="1350"/>
        </w:tabs>
        <w:spacing w:line="480" w:lineRule="auto"/>
        <w:jc w:val="both"/>
        <w:rPr>
          <w:rFonts w:ascii="Arial" w:hAnsi="Arial" w:cs="Arial"/>
          <w:color w:val="595959" w:themeColor="text1" w:themeTint="A6"/>
        </w:rPr>
      </w:pPr>
    </w:p>
    <w:p w14:paraId="55CC73A0" w14:textId="77777777" w:rsidR="00E22586" w:rsidRPr="004E06B5" w:rsidRDefault="00E22586" w:rsidP="004E06B5">
      <w:pPr>
        <w:tabs>
          <w:tab w:val="left" w:pos="1350"/>
        </w:tabs>
        <w:spacing w:line="480" w:lineRule="auto"/>
        <w:jc w:val="both"/>
        <w:rPr>
          <w:rFonts w:ascii="Arial" w:hAnsi="Arial" w:cs="Arial"/>
          <w:color w:val="595959" w:themeColor="text1" w:themeTint="A6"/>
        </w:rPr>
      </w:pPr>
    </w:p>
    <w:p w14:paraId="0994F307" w14:textId="3F4DF592" w:rsidR="004E06B5" w:rsidRPr="004E06B5" w:rsidRDefault="004E06B5" w:rsidP="004E06B5">
      <w:pPr>
        <w:tabs>
          <w:tab w:val="left" w:pos="1350"/>
        </w:tabs>
        <w:spacing w:line="480" w:lineRule="auto"/>
        <w:jc w:val="both"/>
        <w:rPr>
          <w:rFonts w:ascii="Arial" w:hAnsi="Arial" w:cs="Arial"/>
          <w:color w:val="595959" w:themeColor="text1" w:themeTint="A6"/>
        </w:rPr>
      </w:pPr>
      <w:r w:rsidRPr="004E06B5">
        <w:rPr>
          <w:rFonts w:ascii="Arial" w:hAnsi="Arial" w:cs="Arial"/>
          <w:noProof/>
          <w:color w:val="595959" w:themeColor="text1" w:themeTint="A6"/>
          <w:sz w:val="24"/>
          <w:szCs w:val="24"/>
          <w:lang w:eastAsia="zh-CN"/>
        </w:rPr>
        <mc:AlternateContent>
          <mc:Choice Requires="wps">
            <w:drawing>
              <wp:anchor distT="0" distB="0" distL="114300" distR="114300" simplePos="0" relativeHeight="251658396" behindDoc="0" locked="0" layoutInCell="1" allowOverlap="1" wp14:anchorId="2F732487" wp14:editId="2A92C304">
                <wp:simplePos x="0" y="0"/>
                <wp:positionH relativeFrom="margin">
                  <wp:posOffset>-38100</wp:posOffset>
                </wp:positionH>
                <wp:positionV relativeFrom="paragraph">
                  <wp:posOffset>129540</wp:posOffset>
                </wp:positionV>
                <wp:extent cx="6151880" cy="382772"/>
                <wp:effectExtent l="0" t="0" r="1270" b="0"/>
                <wp:wrapNone/>
                <wp:docPr id="1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1880" cy="382772"/>
                        </a:xfrm>
                        <a:prstGeom prst="rect">
                          <a:avLst/>
                        </a:prstGeom>
                        <a:solidFill>
                          <a:srgbClr val="FFFFFF"/>
                        </a:solidFill>
                        <a:ln w="9525">
                          <a:noFill/>
                          <a:miter lim="800000"/>
                          <a:headEnd/>
                          <a:tailEnd/>
                        </a:ln>
                      </wps:spPr>
                      <wps:txbx>
                        <w:txbxContent>
                          <w:p w14:paraId="100DDA75" w14:textId="77777777" w:rsidR="008A47AC" w:rsidRPr="006B7937" w:rsidRDefault="008A47AC" w:rsidP="004E06B5">
                            <w:pPr>
                              <w:pStyle w:val="Caption"/>
                              <w:keepNext/>
                              <w:jc w:val="both"/>
                              <w:rPr>
                                <w:rFonts w:ascii="Arial Narrow" w:hAnsi="Arial Narrow"/>
                                <w:b/>
                                <w:i w:val="0"/>
                                <w:sz w:val="24"/>
                                <w:szCs w:val="24"/>
                              </w:rPr>
                            </w:pPr>
                            <w:r w:rsidRPr="006B7937">
                              <w:rPr>
                                <w:rFonts w:ascii="Arial Narrow" w:hAnsi="Arial Narrow"/>
                                <w:b/>
                                <w:i w:val="0"/>
                                <w:color w:val="595959" w:themeColor="text1" w:themeTint="A6"/>
                                <w:sz w:val="24"/>
                                <w:szCs w:val="24"/>
                              </w:rPr>
                              <w:t xml:space="preserve">Figure </w:t>
                            </w:r>
                            <w:r>
                              <w:rPr>
                                <w:rFonts w:ascii="Arial Narrow" w:hAnsi="Arial Narrow"/>
                                <w:b/>
                                <w:i w:val="0"/>
                                <w:color w:val="595959" w:themeColor="text1" w:themeTint="A6"/>
                                <w:sz w:val="24"/>
                                <w:szCs w:val="24"/>
                              </w:rPr>
                              <w:t>5.1</w:t>
                            </w:r>
                            <w:r w:rsidRPr="006B7937">
                              <w:rPr>
                                <w:rFonts w:ascii="Arial Narrow" w:hAnsi="Arial Narrow"/>
                                <w:b/>
                                <w:i w:val="0"/>
                                <w:color w:val="595959" w:themeColor="text1" w:themeTint="A6"/>
                                <w:sz w:val="24"/>
                                <w:szCs w:val="24"/>
                              </w:rPr>
                              <w:t xml:space="preserve"> </w:t>
                            </w:r>
                            <w:r>
                              <w:rPr>
                                <w:rFonts w:ascii="Arial Narrow" w:hAnsi="Arial Narrow"/>
                                <w:b/>
                                <w:i w:val="0"/>
                                <w:color w:val="595959" w:themeColor="text1" w:themeTint="A6"/>
                                <w:sz w:val="24"/>
                                <w:szCs w:val="24"/>
                              </w:rPr>
                              <w:t>Schematic of materials and methods used in this chapter</w:t>
                            </w:r>
                          </w:p>
                          <w:p w14:paraId="7E827D09" w14:textId="4C3B62E0" w:rsidR="008A47AC" w:rsidRDefault="008A47AC" w:rsidP="004E06B5">
                            <w:pPr>
                              <w:pStyle w:val="Caption"/>
                              <w:jc w:val="both"/>
                            </w:pPr>
                            <w:r>
                              <w:rPr>
                                <w:noProof/>
                              </w:rPr>
                              <w:fldChar w:fldCharType="begin"/>
                            </w:r>
                            <w:r>
                              <w:rPr>
                                <w:noProof/>
                              </w:rPr>
                              <w:instrText xml:space="preserve"> SEQ Figure \* ARABIC </w:instrText>
                            </w:r>
                            <w:r>
                              <w:rPr>
                                <w:noProof/>
                              </w:rPr>
                              <w:fldChar w:fldCharType="separate"/>
                            </w:r>
                            <w:bookmarkStart w:id="443" w:name="_Toc20428126"/>
                            <w:r w:rsidR="00E57BFA">
                              <w:rPr>
                                <w:noProof/>
                              </w:rPr>
                              <w:t>4</w:t>
                            </w:r>
                            <w:r>
                              <w:rPr>
                                <w:noProof/>
                              </w:rPr>
                              <w:fldChar w:fldCharType="end"/>
                            </w:r>
                            <w:r>
                              <w:t xml:space="preserve"> Stewart DA, Cooper CR, Sikes RA. Changes in extracellular matrix (ECM) and ECM-associated</w:t>
                            </w:r>
                            <w:bookmarkEnd w:id="443"/>
                          </w:p>
                          <w:p w14:paraId="6F03CDDC" w14:textId="77777777" w:rsidR="008A47AC" w:rsidRPr="00E72F77" w:rsidRDefault="008A47AC" w:rsidP="004E06B5">
                            <w:pPr>
                              <w:pStyle w:val="NormalWeb"/>
                              <w:spacing w:after="200" w:line="276" w:lineRule="auto"/>
                              <w:jc w:val="both"/>
                              <w:rPr>
                                <w:rFonts w:ascii="Arial Narrow" w:hAnsi="Arial Narrow"/>
                                <w:color w:val="595959" w:themeColor="text1" w:themeTint="A6"/>
                                <w:sz w:val="22"/>
                                <w:szCs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732487" id="_x0000_s1173" type="#_x0000_t202" style="position:absolute;left:0;text-align:left;margin-left:-3pt;margin-top:10.2pt;width:484.4pt;height:30.15pt;z-index:2516583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" stroked="f">
                <v:textbox>
                  <w:txbxContent>
                    <w:p w14:paraId="100DDA75" w14:textId="77777777" w:rsidR="008A47AC" w:rsidRPr="006B7937" w:rsidRDefault="008A47AC" w:rsidP="004E06B5">
                      <w:pPr>
                        <w:pStyle w:val="Caption"/>
                        <w:keepNext/>
                        <w:jc w:val="both"/>
                        <w:rPr>
                          <w:rFonts w:ascii="Arial Narrow" w:hAnsi="Arial Narrow"/>
                          <w:b/>
                          <w:i w:val="0"/>
                          <w:sz w:val="24"/>
                          <w:szCs w:val="24"/>
                        </w:rPr>
                      </w:pPr>
                      <w:r w:rsidRPr="006B7937">
                        <w:rPr>
                          <w:rFonts w:ascii="Arial Narrow" w:hAnsi="Arial Narrow"/>
                          <w:b/>
                          <w:i w:val="0"/>
                          <w:color w:val="595959" w:themeColor="text1" w:themeTint="A6"/>
                          <w:sz w:val="24"/>
                          <w:szCs w:val="24"/>
                        </w:rPr>
                        <w:t xml:space="preserve">Figure </w:t>
                      </w:r>
                      <w:r>
                        <w:rPr>
                          <w:rFonts w:ascii="Arial Narrow" w:hAnsi="Arial Narrow"/>
                          <w:b/>
                          <w:i w:val="0"/>
                          <w:color w:val="595959" w:themeColor="text1" w:themeTint="A6"/>
                          <w:sz w:val="24"/>
                          <w:szCs w:val="24"/>
                        </w:rPr>
                        <w:t>5.1</w:t>
                      </w:r>
                      <w:r w:rsidRPr="006B7937">
                        <w:rPr>
                          <w:rFonts w:ascii="Arial Narrow" w:hAnsi="Arial Narrow"/>
                          <w:b/>
                          <w:i w:val="0"/>
                          <w:color w:val="595959" w:themeColor="text1" w:themeTint="A6"/>
                          <w:sz w:val="24"/>
                          <w:szCs w:val="24"/>
                        </w:rPr>
                        <w:t xml:space="preserve"> </w:t>
                      </w:r>
                      <w:r>
                        <w:rPr>
                          <w:rFonts w:ascii="Arial Narrow" w:hAnsi="Arial Narrow"/>
                          <w:b/>
                          <w:i w:val="0"/>
                          <w:color w:val="595959" w:themeColor="text1" w:themeTint="A6"/>
                          <w:sz w:val="24"/>
                          <w:szCs w:val="24"/>
                        </w:rPr>
                        <w:t>Schematic of materials and methods used in this chapter</w:t>
                      </w:r>
                    </w:p>
                    <w:p w14:paraId="7E827D09" w14:textId="4C3B62E0" w:rsidR="008A47AC" w:rsidRDefault="008A47AC" w:rsidP="004E06B5">
                      <w:pPr>
                        <w:pStyle w:val="Caption"/>
                        <w:jc w:val="both"/>
                      </w:pPr>
                      <w:r>
                        <w:rPr>
                          <w:noProof/>
                        </w:rPr>
                        <w:fldChar w:fldCharType="begin"/>
                      </w:r>
                      <w:r>
                        <w:rPr>
                          <w:noProof/>
                        </w:rPr>
                        <w:instrText xml:space="preserve"> SEQ Figure \* ARABIC </w:instrText>
                      </w:r>
                      <w:r>
                        <w:rPr>
                          <w:noProof/>
                        </w:rPr>
                        <w:fldChar w:fldCharType="separate"/>
                      </w:r>
                      <w:bookmarkStart w:id="444" w:name="_Toc20428126"/>
                      <w:r w:rsidR="00E57BFA">
                        <w:rPr>
                          <w:noProof/>
                        </w:rPr>
                        <w:t>4</w:t>
                      </w:r>
                      <w:r>
                        <w:rPr>
                          <w:noProof/>
                        </w:rPr>
                        <w:fldChar w:fldCharType="end"/>
                      </w:r>
                      <w:r>
                        <w:t xml:space="preserve"> Stewart DA, Cooper CR, Sikes RA. Changes in extracellular matrix (ECM) and ECM-associated</w:t>
                      </w:r>
                      <w:bookmarkEnd w:id="444"/>
                    </w:p>
                    <w:p w14:paraId="6F03CDDC" w14:textId="77777777" w:rsidR="008A47AC" w:rsidRPr="00E72F77" w:rsidRDefault="008A47AC" w:rsidP="004E06B5">
                      <w:pPr>
                        <w:pStyle w:val="NormalWeb"/>
                        <w:spacing w:after="200" w:line="276" w:lineRule="auto"/>
                        <w:jc w:val="both"/>
                        <w:rPr>
                          <w:rFonts w:ascii="Arial Narrow" w:hAnsi="Arial Narrow"/>
                          <w:color w:val="595959" w:themeColor="text1" w:themeTint="A6"/>
                          <w:sz w:val="22"/>
                          <w:szCs w:val="22"/>
                        </w:rPr>
                      </w:pPr>
                    </w:p>
                  </w:txbxContent>
                </v:textbox>
                <w10:wrap anchorx="margin"/>
              </v:shape>
            </w:pict>
          </mc:Fallback>
        </mc:AlternateContent>
      </w:r>
    </w:p>
    <w:p w14:paraId="323BF7BC" w14:textId="3D5A20A4" w:rsidR="004E06B5" w:rsidRPr="004E06B5" w:rsidRDefault="004E06B5" w:rsidP="004E06B5">
      <w:pPr>
        <w:tabs>
          <w:tab w:val="left" w:pos="1350"/>
        </w:tabs>
        <w:spacing w:line="480" w:lineRule="auto"/>
        <w:jc w:val="both"/>
        <w:rPr>
          <w:rFonts w:ascii="Arial" w:hAnsi="Arial" w:cs="Arial"/>
          <w:color w:val="595959" w:themeColor="text1" w:themeTint="A6"/>
        </w:rPr>
      </w:pPr>
    </w:p>
    <w:p w14:paraId="419BB6DF" w14:textId="57040733" w:rsidR="004E06B5" w:rsidRDefault="004E06B5" w:rsidP="00A161FD">
      <w:pPr>
        <w:pStyle w:val="Heading2"/>
        <w:rPr>
          <w:rFonts w:ascii="Arial" w:hAnsi="Arial" w:cs="Arial"/>
          <w:b/>
          <w:color w:val="595959" w:themeColor="text1" w:themeTint="A6"/>
        </w:rPr>
      </w:pPr>
      <w:bookmarkStart w:id="445" w:name="_Toc34208446"/>
      <w:r w:rsidRPr="004E06B5">
        <w:rPr>
          <w:rFonts w:ascii="Arial" w:hAnsi="Arial" w:cs="Arial"/>
          <w:b/>
          <w:color w:val="595959" w:themeColor="text1" w:themeTint="A6"/>
        </w:rPr>
        <w:lastRenderedPageBreak/>
        <w:t>5.3 Results</w:t>
      </w:r>
      <w:bookmarkEnd w:id="445"/>
    </w:p>
    <w:p w14:paraId="5095235E" w14:textId="77777777" w:rsidR="00A161FD" w:rsidRPr="00A161FD" w:rsidRDefault="00A161FD" w:rsidP="00A161FD"/>
    <w:p w14:paraId="0DC35F1C" w14:textId="4449D7D4" w:rsidR="004E06B5" w:rsidRDefault="004E06B5" w:rsidP="00A161FD">
      <w:pPr>
        <w:pStyle w:val="Heading3"/>
        <w:spacing w:line="480" w:lineRule="auto"/>
        <w:jc w:val="both"/>
        <w:rPr>
          <w:rFonts w:ascii="Arial" w:hAnsi="Arial" w:cs="Arial"/>
          <w:color w:val="595959" w:themeColor="text1" w:themeTint="A6"/>
        </w:rPr>
      </w:pPr>
      <w:bookmarkStart w:id="446" w:name="_Toc34208447"/>
      <w:r w:rsidRPr="004E06B5">
        <w:rPr>
          <w:rFonts w:ascii="Arial" w:hAnsi="Arial" w:cs="Arial"/>
          <w:color w:val="595959" w:themeColor="text1" w:themeTint="A6"/>
        </w:rPr>
        <w:t>5.3.1 Characterisation of normal and cancer cell behaviour on fibroblast-derived matrices</w:t>
      </w:r>
      <w:bookmarkEnd w:id="446"/>
    </w:p>
    <w:p w14:paraId="5FE9B8E1" w14:textId="77777777" w:rsidR="00A161FD" w:rsidRPr="00A161FD" w:rsidRDefault="00A161FD" w:rsidP="00A161FD"/>
    <w:p w14:paraId="1B245D56" w14:textId="77777777" w:rsidR="004E06B5" w:rsidRPr="004E06B5" w:rsidRDefault="004E06B5" w:rsidP="004E06B5">
      <w:pPr>
        <w:tabs>
          <w:tab w:val="left" w:pos="1350"/>
        </w:tabs>
        <w:spacing w:line="480" w:lineRule="auto"/>
        <w:jc w:val="both"/>
        <w:rPr>
          <w:rFonts w:ascii="Arial" w:hAnsi="Arial" w:cs="Arial"/>
          <w:color w:val="595959" w:themeColor="text1" w:themeTint="A6"/>
        </w:rPr>
      </w:pPr>
      <w:r w:rsidRPr="004E06B5">
        <w:rPr>
          <w:rFonts w:ascii="Arial" w:hAnsi="Arial" w:cs="Arial"/>
          <w:color w:val="595959" w:themeColor="text1" w:themeTint="A6"/>
        </w:rPr>
        <w:t xml:space="preserve">Cell migration, adhesion and proliferation are strongly influenced by ECM architecture and rigidity and this interaction is a crucial aspect of many physiological processes. The aim of this section was to assess changes of the adhesion, proliferation and migration rates of normal FNB6 cells and cancer H357 cells using FDM as scaffold substrates. </w:t>
      </w:r>
    </w:p>
    <w:p w14:paraId="5D1D6D81" w14:textId="38B186F5" w:rsidR="004E06B5" w:rsidRDefault="004E06B5" w:rsidP="00554978">
      <w:pPr>
        <w:pStyle w:val="Heading4"/>
        <w:rPr>
          <w:rFonts w:ascii="Arial" w:hAnsi="Arial" w:cs="Arial"/>
          <w:color w:val="595959" w:themeColor="text1" w:themeTint="A6"/>
        </w:rPr>
      </w:pPr>
      <w:bookmarkStart w:id="447" w:name="_Toc34208448"/>
      <w:r w:rsidRPr="004E06B5">
        <w:rPr>
          <w:rFonts w:ascii="Arial" w:hAnsi="Arial" w:cs="Arial"/>
          <w:color w:val="595959" w:themeColor="text1" w:themeTint="A6"/>
        </w:rPr>
        <w:t>5.3.1.1 Adhesion of normal and OSCC cells on NOF- and CAF-DM</w:t>
      </w:r>
      <w:bookmarkEnd w:id="447"/>
    </w:p>
    <w:p w14:paraId="0D933B8D" w14:textId="77777777" w:rsidR="00495710" w:rsidRPr="00495710" w:rsidRDefault="00495710" w:rsidP="00495710"/>
    <w:p w14:paraId="4CFECFB8" w14:textId="1E427DDF" w:rsidR="004E06B5" w:rsidRPr="004E06B5" w:rsidRDefault="004E06B5" w:rsidP="004E06B5">
      <w:pPr>
        <w:tabs>
          <w:tab w:val="left" w:pos="1350"/>
        </w:tabs>
        <w:spacing w:line="480" w:lineRule="auto"/>
        <w:jc w:val="both"/>
        <w:rPr>
          <w:rFonts w:ascii="Arial" w:hAnsi="Arial" w:cs="Arial"/>
          <w:color w:val="595959" w:themeColor="text1" w:themeTint="A6"/>
        </w:rPr>
      </w:pPr>
      <w:r w:rsidRPr="004E06B5">
        <w:rPr>
          <w:rFonts w:ascii="Arial" w:hAnsi="Arial" w:cs="Arial"/>
          <w:color w:val="595959" w:themeColor="text1" w:themeTint="A6"/>
        </w:rPr>
        <w:t>To determine if epithelial cells were able to adhere to developed NOF- and CAF-DM, an adhesion assay was performed to determine the percentage of cells that remained adherent after 24 h using live-cell imaging microscopy. After 24 h FNB6 adhered to NOF-DM with a mean percentage of 97.94 ± 1.30%. No significant changes in adhesion were observed when FNB6 were seeded on a CAF-DM of 80.91 ± 11.86%.</w:t>
      </w:r>
    </w:p>
    <w:p w14:paraId="6673A839" w14:textId="77777777" w:rsidR="004E06B5" w:rsidRPr="004E06B5" w:rsidRDefault="004E06B5" w:rsidP="004E06B5">
      <w:pPr>
        <w:tabs>
          <w:tab w:val="left" w:pos="1350"/>
        </w:tabs>
        <w:spacing w:line="480" w:lineRule="auto"/>
        <w:jc w:val="both"/>
        <w:rPr>
          <w:rFonts w:ascii="Arial" w:hAnsi="Arial" w:cs="Arial"/>
          <w:color w:val="595959" w:themeColor="text1" w:themeTint="A6"/>
        </w:rPr>
      </w:pPr>
      <w:r w:rsidRPr="004E06B5">
        <w:rPr>
          <w:rFonts w:ascii="Arial" w:hAnsi="Arial" w:cs="Arial"/>
          <w:color w:val="595959" w:themeColor="text1" w:themeTint="A6"/>
        </w:rPr>
        <w:t xml:space="preserve">A lower percentage of H357 adhered onto the NOF- and CAF-DM, compared to FNB6 cells, however there was no significant difference between H357 on the two different cell derived matrices with a mean percentage of 77.61 ± 5.77% and 68.16 ± 11.86% cells adhering to the NOF- and CAF-DM, respectively. </w:t>
      </w:r>
    </w:p>
    <w:p w14:paraId="7E097F80" w14:textId="3FD357BD" w:rsidR="004E06B5" w:rsidRPr="004E06B5" w:rsidRDefault="004E06B5" w:rsidP="004E06B5">
      <w:pPr>
        <w:tabs>
          <w:tab w:val="left" w:pos="1350"/>
        </w:tabs>
        <w:spacing w:line="480" w:lineRule="auto"/>
        <w:jc w:val="both"/>
        <w:rPr>
          <w:rFonts w:ascii="Arial" w:hAnsi="Arial" w:cs="Arial"/>
          <w:color w:val="595959" w:themeColor="text1" w:themeTint="A6"/>
        </w:rPr>
      </w:pPr>
      <w:r w:rsidRPr="004E06B5">
        <w:rPr>
          <w:rFonts w:ascii="Arial" w:hAnsi="Arial" w:cs="Arial"/>
          <w:color w:val="595959" w:themeColor="text1" w:themeTint="A6"/>
        </w:rPr>
        <w:t>Analysis of adherence between cell types was also investigated with a significant decrease in adherence observed for H357 on CAF-DM compared to FNB6 on NOF-DM, p=0.0197. Results shown in appendix Figure 7.</w:t>
      </w:r>
      <w:r w:rsidR="00AF3980">
        <w:rPr>
          <w:rFonts w:ascii="Arial" w:hAnsi="Arial" w:cs="Arial"/>
          <w:color w:val="595959" w:themeColor="text1" w:themeTint="A6"/>
        </w:rPr>
        <w:t>2</w:t>
      </w:r>
      <w:r w:rsidR="004F6EDB">
        <w:rPr>
          <w:rFonts w:ascii="Arial" w:hAnsi="Arial" w:cs="Arial"/>
          <w:color w:val="595959" w:themeColor="text1" w:themeTint="A6"/>
        </w:rPr>
        <w:t>.</w:t>
      </w:r>
    </w:p>
    <w:p w14:paraId="4D6D47D0"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7468C935"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72FBDD81"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436D8364"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5B5671F6"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1E5ED405"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36F87BA4"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75AC026A" w14:textId="77777777" w:rsidR="004E06B5" w:rsidRPr="004E06B5" w:rsidRDefault="004E06B5" w:rsidP="004E06B5">
      <w:pPr>
        <w:tabs>
          <w:tab w:val="left" w:pos="1350"/>
        </w:tabs>
        <w:spacing w:line="480" w:lineRule="auto"/>
        <w:jc w:val="both"/>
        <w:rPr>
          <w:rFonts w:ascii="Arial" w:hAnsi="Arial" w:cs="Arial"/>
          <w:color w:val="595959" w:themeColor="text1" w:themeTint="A6"/>
        </w:rPr>
      </w:pPr>
      <w:r w:rsidRPr="004E06B5">
        <w:rPr>
          <w:rFonts w:ascii="Arial" w:hAnsi="Arial" w:cs="Arial"/>
          <w:noProof/>
          <w:color w:val="595959" w:themeColor="text1" w:themeTint="A6"/>
          <w:lang w:eastAsia="zh-CN"/>
        </w:rPr>
        <w:drawing>
          <wp:anchor distT="0" distB="0" distL="114300" distR="114300" simplePos="0" relativeHeight="251658406" behindDoc="0" locked="0" layoutInCell="1" allowOverlap="1" wp14:anchorId="7988CCEC" wp14:editId="40430BA2">
            <wp:simplePos x="0" y="0"/>
            <wp:positionH relativeFrom="column">
              <wp:posOffset>781050</wp:posOffset>
            </wp:positionH>
            <wp:positionV relativeFrom="paragraph">
              <wp:posOffset>310515</wp:posOffset>
            </wp:positionV>
            <wp:extent cx="4176395" cy="2755900"/>
            <wp:effectExtent l="0" t="0" r="0" b="0"/>
            <wp:wrapNone/>
            <wp:docPr id="5348" name="Picture 5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176395" cy="2755900"/>
                    </a:xfrm>
                    <a:prstGeom prst="rect">
                      <a:avLst/>
                    </a:prstGeom>
                    <a:noFill/>
                  </pic:spPr>
                </pic:pic>
              </a:graphicData>
            </a:graphic>
          </wp:anchor>
        </w:drawing>
      </w:r>
    </w:p>
    <w:p w14:paraId="62E5936B"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1C5553E7"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10808B34"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2E690BE7"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0EFA77BC"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39D02078"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007A65C7"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729F3006"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600240E1"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517FCFEE" w14:textId="77777777" w:rsidR="004E06B5" w:rsidRPr="004E06B5" w:rsidRDefault="004E06B5" w:rsidP="004E06B5">
      <w:pPr>
        <w:tabs>
          <w:tab w:val="left" w:pos="1350"/>
        </w:tabs>
        <w:spacing w:line="480" w:lineRule="auto"/>
        <w:jc w:val="both"/>
        <w:rPr>
          <w:rFonts w:ascii="Arial" w:hAnsi="Arial" w:cs="Arial"/>
          <w:color w:val="595959" w:themeColor="text1" w:themeTint="A6"/>
        </w:rPr>
      </w:pPr>
      <w:r w:rsidRPr="004E06B5">
        <w:rPr>
          <w:rFonts w:ascii="Arial" w:hAnsi="Arial" w:cs="Arial"/>
          <w:noProof/>
          <w:color w:val="595959" w:themeColor="text1" w:themeTint="A6"/>
          <w:sz w:val="24"/>
          <w:szCs w:val="24"/>
          <w:lang w:eastAsia="zh-CN"/>
        </w:rPr>
        <mc:AlternateContent>
          <mc:Choice Requires="wps">
            <w:drawing>
              <wp:anchor distT="0" distB="0" distL="114300" distR="114300" simplePos="0" relativeHeight="251658431" behindDoc="0" locked="0" layoutInCell="1" allowOverlap="1" wp14:anchorId="4963B49F" wp14:editId="67221C9E">
                <wp:simplePos x="0" y="0"/>
                <wp:positionH relativeFrom="margin">
                  <wp:posOffset>0</wp:posOffset>
                </wp:positionH>
                <wp:positionV relativeFrom="paragraph">
                  <wp:posOffset>-635</wp:posOffset>
                </wp:positionV>
                <wp:extent cx="5724525" cy="1352550"/>
                <wp:effectExtent l="0" t="0" r="9525" b="0"/>
                <wp:wrapNone/>
                <wp:docPr id="2118" name="Text Box 2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1352550"/>
                        </a:xfrm>
                        <a:prstGeom prst="rect">
                          <a:avLst/>
                        </a:prstGeom>
                        <a:solidFill>
                          <a:srgbClr val="FFFFFF"/>
                        </a:solidFill>
                        <a:ln w="9525">
                          <a:noFill/>
                          <a:miter lim="800000"/>
                          <a:headEnd/>
                          <a:tailEnd/>
                        </a:ln>
                      </wps:spPr>
                      <wps:txbx>
                        <w:txbxContent>
                          <w:p w14:paraId="7FFD5A0B" w14:textId="77777777" w:rsidR="008A47AC" w:rsidRPr="006B7937" w:rsidRDefault="008A47AC" w:rsidP="004E06B5">
                            <w:pPr>
                              <w:pStyle w:val="Caption"/>
                              <w:keepNext/>
                              <w:jc w:val="both"/>
                              <w:rPr>
                                <w:rFonts w:ascii="Arial Narrow" w:hAnsi="Arial Narrow"/>
                                <w:b/>
                                <w:i w:val="0"/>
                                <w:sz w:val="24"/>
                                <w:szCs w:val="24"/>
                              </w:rPr>
                            </w:pPr>
                            <w:r w:rsidRPr="006B7937">
                              <w:rPr>
                                <w:rFonts w:ascii="Arial Narrow" w:hAnsi="Arial Narrow"/>
                                <w:b/>
                                <w:i w:val="0"/>
                                <w:color w:val="595959" w:themeColor="text1" w:themeTint="A6"/>
                                <w:sz w:val="24"/>
                                <w:szCs w:val="24"/>
                              </w:rPr>
                              <w:t>Figure</w:t>
                            </w:r>
                            <w:r>
                              <w:rPr>
                                <w:rFonts w:ascii="Arial Narrow" w:hAnsi="Arial Narrow"/>
                                <w:b/>
                                <w:i w:val="0"/>
                                <w:color w:val="595959" w:themeColor="text1" w:themeTint="A6"/>
                                <w:sz w:val="24"/>
                                <w:szCs w:val="24"/>
                              </w:rPr>
                              <w:t xml:space="preserve"> 5.2 Keratinocyte adhesion onto NOF- and CAF-derived matrices </w:t>
                            </w:r>
                          </w:p>
                          <w:p w14:paraId="35745235" w14:textId="77777777" w:rsidR="008A47AC" w:rsidRPr="00DC2FA8" w:rsidRDefault="008A47AC" w:rsidP="004E06B5">
                            <w:pPr>
                              <w:pStyle w:val="NormalWeb"/>
                              <w:spacing w:after="200" w:line="276" w:lineRule="auto"/>
                              <w:jc w:val="both"/>
                              <w:rPr>
                                <w:rFonts w:ascii="Arial Narrow" w:eastAsia="SimSun" w:hAnsi="Arial Narrow" w:cs="Arial"/>
                                <w:color w:val="595959"/>
                                <w:kern w:val="24"/>
                                <w:sz w:val="22"/>
                                <w:szCs w:val="22"/>
                              </w:rPr>
                            </w:pPr>
                            <w:r>
                              <w:rPr>
                                <w:rFonts w:ascii="Arial Narrow" w:eastAsia="SimSun" w:hAnsi="Arial Narrow" w:cs="Arial"/>
                                <w:color w:val="595959"/>
                                <w:kern w:val="24"/>
                                <w:sz w:val="22"/>
                                <w:szCs w:val="22"/>
                              </w:rPr>
                              <w:t xml:space="preserve">Normal (FNB6) and OSCC (H357) keratinocytes were seeded onto NOF- and CAF-DM and the % of adherent cells after a 24 h determined. Data is presented as mean ± SD (N=3, n=3) as analysed by Student’s T-test.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63B49F" id="Text Box 2118" o:spid="_x0000_s1175" type="#_x0000_t202" style="position:absolute;left:0;text-align:left;margin-left:0;margin-top:-.05pt;width:450.75pt;height:106.5pt;z-index:25165843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" stroked="f">
                <v:textbox>
                  <w:txbxContent>
                    <w:p w14:paraId="7FFD5A0B" w14:textId="77777777" w:rsidR="008A47AC" w:rsidRPr="006B7937" w:rsidRDefault="008A47AC" w:rsidP="004E06B5">
                      <w:pPr>
                        <w:pStyle w:val="Caption"/>
                        <w:keepNext/>
                        <w:jc w:val="both"/>
                        <w:rPr>
                          <w:rFonts w:ascii="Arial Narrow" w:hAnsi="Arial Narrow"/>
                          <w:b/>
                          <w:i w:val="0"/>
                          <w:sz w:val="24"/>
                          <w:szCs w:val="24"/>
                        </w:rPr>
                      </w:pPr>
                      <w:r w:rsidRPr="006B7937">
                        <w:rPr>
                          <w:rFonts w:ascii="Arial Narrow" w:hAnsi="Arial Narrow"/>
                          <w:b/>
                          <w:i w:val="0"/>
                          <w:color w:val="595959" w:themeColor="text1" w:themeTint="A6"/>
                          <w:sz w:val="24"/>
                          <w:szCs w:val="24"/>
                        </w:rPr>
                        <w:t>Figure</w:t>
                      </w:r>
                      <w:r>
                        <w:rPr>
                          <w:rFonts w:ascii="Arial Narrow" w:hAnsi="Arial Narrow"/>
                          <w:b/>
                          <w:i w:val="0"/>
                          <w:color w:val="595959" w:themeColor="text1" w:themeTint="A6"/>
                          <w:sz w:val="24"/>
                          <w:szCs w:val="24"/>
                        </w:rPr>
                        <w:t xml:space="preserve"> 5.2 Keratinocyte adhesion onto NOF- and CAF-derived matrices </w:t>
                      </w:r>
                    </w:p>
                    <w:p w14:paraId="35745235" w14:textId="77777777" w:rsidR="008A47AC" w:rsidRPr="00DC2FA8" w:rsidRDefault="008A47AC" w:rsidP="004E06B5">
                      <w:pPr>
                        <w:pStyle w:val="NormalWeb"/>
                        <w:spacing w:after="200" w:line="276" w:lineRule="auto"/>
                        <w:jc w:val="both"/>
                        <w:rPr>
                          <w:rFonts w:ascii="Arial Narrow" w:eastAsia="SimSun" w:hAnsi="Arial Narrow" w:cs="Arial"/>
                          <w:color w:val="595959"/>
                          <w:kern w:val="24"/>
                          <w:sz w:val="22"/>
                          <w:szCs w:val="22"/>
                        </w:rPr>
                      </w:pPr>
                      <w:r>
                        <w:rPr>
                          <w:rFonts w:ascii="Arial Narrow" w:eastAsia="SimSun" w:hAnsi="Arial Narrow" w:cs="Arial"/>
                          <w:color w:val="595959"/>
                          <w:kern w:val="24"/>
                          <w:sz w:val="22"/>
                          <w:szCs w:val="22"/>
                        </w:rPr>
                        <w:t xml:space="preserve">Normal (FNB6) and OSCC (H357) keratinocytes were seeded onto NOF- and CAF-DM and the % of adherent cells after a 24 h determined. Data is presented as mean ± SD (N=3, n=3) as analysed by Student’s T-test. </w:t>
                      </w:r>
                    </w:p>
                  </w:txbxContent>
                </v:textbox>
                <w10:wrap anchorx="margin"/>
              </v:shape>
            </w:pict>
          </mc:Fallback>
        </mc:AlternateContent>
      </w:r>
    </w:p>
    <w:p w14:paraId="2F58AF49"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7849447B"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2DD50F08"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61AE728E"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45FF418F" w14:textId="6965EC3C" w:rsidR="004E06B5" w:rsidRDefault="004E06B5" w:rsidP="004E06B5">
      <w:pPr>
        <w:tabs>
          <w:tab w:val="left" w:pos="1350"/>
        </w:tabs>
        <w:spacing w:line="480" w:lineRule="auto"/>
        <w:jc w:val="both"/>
        <w:rPr>
          <w:rFonts w:ascii="Arial" w:hAnsi="Arial" w:cs="Arial"/>
          <w:color w:val="595959" w:themeColor="text1" w:themeTint="A6"/>
        </w:rPr>
      </w:pPr>
    </w:p>
    <w:p w14:paraId="0624AADE" w14:textId="77777777" w:rsidR="00613A17" w:rsidRPr="004E06B5" w:rsidRDefault="00613A17" w:rsidP="004E06B5">
      <w:pPr>
        <w:tabs>
          <w:tab w:val="left" w:pos="1350"/>
        </w:tabs>
        <w:spacing w:line="480" w:lineRule="auto"/>
        <w:jc w:val="both"/>
        <w:rPr>
          <w:rFonts w:ascii="Arial" w:hAnsi="Arial" w:cs="Arial"/>
          <w:color w:val="595959" w:themeColor="text1" w:themeTint="A6"/>
        </w:rPr>
      </w:pPr>
    </w:p>
    <w:p w14:paraId="6C82E72F" w14:textId="47BBBDCC" w:rsidR="004E06B5" w:rsidRDefault="004E06B5" w:rsidP="00613A17">
      <w:pPr>
        <w:pStyle w:val="Heading4"/>
        <w:rPr>
          <w:rFonts w:ascii="Arial" w:hAnsi="Arial" w:cs="Arial"/>
          <w:color w:val="595959" w:themeColor="text1" w:themeTint="A6"/>
        </w:rPr>
      </w:pPr>
      <w:bookmarkStart w:id="448" w:name="_Toc34208449"/>
      <w:r w:rsidRPr="004E06B5">
        <w:rPr>
          <w:rFonts w:ascii="Arial" w:hAnsi="Arial" w:cs="Arial"/>
          <w:color w:val="595959" w:themeColor="text1" w:themeTint="A6"/>
        </w:rPr>
        <w:lastRenderedPageBreak/>
        <w:t>5.3.1.2 Analysing keratinocyte proliferation on NOF- and CAF-DM</w:t>
      </w:r>
      <w:bookmarkEnd w:id="448"/>
    </w:p>
    <w:p w14:paraId="086D08F7" w14:textId="77777777" w:rsidR="00613A17" w:rsidRPr="00613A17" w:rsidRDefault="00613A17" w:rsidP="00613A17"/>
    <w:p w14:paraId="74EBE6EA" w14:textId="1C2E4AEA" w:rsidR="004E06B5" w:rsidRPr="004E06B5" w:rsidRDefault="004E06B5" w:rsidP="004E06B5">
      <w:pPr>
        <w:tabs>
          <w:tab w:val="left" w:pos="1350"/>
        </w:tabs>
        <w:spacing w:line="480" w:lineRule="auto"/>
        <w:jc w:val="both"/>
        <w:rPr>
          <w:rFonts w:ascii="Arial" w:hAnsi="Arial" w:cs="Arial"/>
          <w:color w:val="595959" w:themeColor="text1" w:themeTint="A6"/>
        </w:rPr>
      </w:pPr>
      <w:r w:rsidRPr="004E06B5">
        <w:rPr>
          <w:rFonts w:ascii="Arial" w:hAnsi="Arial" w:cs="Arial"/>
          <w:color w:val="595959" w:themeColor="text1" w:themeTint="A6"/>
        </w:rPr>
        <w:t>To assess keratinocyte proliferation on FDM the percentage of FNB6 and H357 cells which had doubled after 24 h was determined using time-lapse microscopy. FNB6 proliferation was lowest on the NOF-DM with an increase of 9.94 ± 11.92% (Figure 5.3). However, when FNB6 cells were added to CAF-DM their doubling capacity increased significantly by 7-fold to 69.70 ± 21.65</w:t>
      </w:r>
      <w:bookmarkStart w:id="449" w:name="_Hlk6915977"/>
      <w:r w:rsidRPr="004E06B5">
        <w:rPr>
          <w:rFonts w:ascii="Arial" w:hAnsi="Arial" w:cs="Arial"/>
          <w:color w:val="595959" w:themeColor="text1" w:themeTint="A6"/>
        </w:rPr>
        <w:t>% (p=0</w:t>
      </w:r>
      <w:bookmarkEnd w:id="449"/>
      <w:r w:rsidRPr="004E06B5">
        <w:rPr>
          <w:rFonts w:ascii="Arial" w:hAnsi="Arial" w:cs="Arial"/>
          <w:color w:val="595959" w:themeColor="text1" w:themeTint="A6"/>
        </w:rPr>
        <w:t xml:space="preserve">.0138). After 24 h 53.35 ± 15.65% of the H357 cell population had doubled and a significant increase in </w:t>
      </w:r>
      <w:r w:rsidR="00C109F7">
        <w:rPr>
          <w:rFonts w:ascii="Arial" w:hAnsi="Arial" w:cs="Arial"/>
          <w:color w:val="595959" w:themeColor="text1" w:themeTint="A6"/>
        </w:rPr>
        <w:t>proliferation</w:t>
      </w:r>
      <w:r w:rsidRPr="004E06B5">
        <w:rPr>
          <w:rFonts w:ascii="Arial" w:hAnsi="Arial" w:cs="Arial"/>
          <w:color w:val="595959" w:themeColor="text1" w:themeTint="A6"/>
        </w:rPr>
        <w:t xml:space="preserve"> was observed with H357 seeded on CAF-DM of 115.60 ± 13.41%</w:t>
      </w:r>
      <w:bookmarkStart w:id="450" w:name="_Hlk6916057"/>
      <w:r w:rsidRPr="004E06B5">
        <w:rPr>
          <w:rFonts w:ascii="Arial" w:hAnsi="Arial" w:cs="Arial"/>
          <w:color w:val="595959" w:themeColor="text1" w:themeTint="A6"/>
        </w:rPr>
        <w:t xml:space="preserve"> (p</w:t>
      </w:r>
      <w:bookmarkEnd w:id="450"/>
      <w:r w:rsidRPr="004E06B5">
        <w:rPr>
          <w:rFonts w:ascii="Arial" w:hAnsi="Arial" w:cs="Arial"/>
          <w:color w:val="595959" w:themeColor="text1" w:themeTint="A6"/>
        </w:rPr>
        <w:t xml:space="preserve">=0.0064), showing the greatest rate of proliferation. </w:t>
      </w:r>
    </w:p>
    <w:p w14:paraId="19068E21" w14:textId="4AB17CE6" w:rsidR="004E06B5" w:rsidRPr="004E06B5" w:rsidRDefault="004E06B5" w:rsidP="004E06B5">
      <w:pPr>
        <w:tabs>
          <w:tab w:val="left" w:pos="1350"/>
        </w:tabs>
        <w:spacing w:line="480" w:lineRule="auto"/>
        <w:jc w:val="both"/>
        <w:rPr>
          <w:rFonts w:ascii="Arial" w:hAnsi="Arial" w:cs="Arial"/>
          <w:color w:val="595959" w:themeColor="text1" w:themeTint="A6"/>
        </w:rPr>
      </w:pPr>
      <w:bookmarkStart w:id="451" w:name="_Hlk18761026"/>
      <w:r w:rsidRPr="004E06B5">
        <w:rPr>
          <w:rFonts w:ascii="Arial" w:hAnsi="Arial" w:cs="Arial"/>
          <w:color w:val="595959" w:themeColor="text1" w:themeTint="A6"/>
        </w:rPr>
        <w:t xml:space="preserve">Increased proliferation was observed between different cell types. H357 on NOF- and CAF-DM were significantly increased compared to FNB6 proliferation on NOF-DM, with a p=0.0268 for H357 on NOF-DM and p=0.001 for H357 on CAF-DM, </w:t>
      </w:r>
      <w:r w:rsidR="00C34DB4">
        <w:rPr>
          <w:rFonts w:ascii="Arial" w:hAnsi="Arial" w:cs="Arial"/>
          <w:color w:val="595959" w:themeColor="text1" w:themeTint="A6"/>
        </w:rPr>
        <w:t xml:space="preserve">analysis and </w:t>
      </w:r>
      <w:r w:rsidR="00AF3980">
        <w:rPr>
          <w:rFonts w:ascii="Arial" w:hAnsi="Arial" w:cs="Arial"/>
          <w:color w:val="595959" w:themeColor="text1" w:themeTint="A6"/>
        </w:rPr>
        <w:t>result</w:t>
      </w:r>
      <w:r w:rsidR="00C34DB4">
        <w:rPr>
          <w:rFonts w:ascii="Arial" w:hAnsi="Arial" w:cs="Arial"/>
          <w:color w:val="595959" w:themeColor="text1" w:themeTint="A6"/>
        </w:rPr>
        <w:t>s</w:t>
      </w:r>
      <w:r w:rsidR="00AF3980">
        <w:rPr>
          <w:rFonts w:ascii="Arial" w:hAnsi="Arial" w:cs="Arial"/>
          <w:color w:val="595959" w:themeColor="text1" w:themeTint="A6"/>
        </w:rPr>
        <w:t xml:space="preserve"> </w:t>
      </w:r>
      <w:r w:rsidR="00C34DB4">
        <w:rPr>
          <w:rFonts w:ascii="Arial" w:hAnsi="Arial" w:cs="Arial"/>
          <w:color w:val="595959" w:themeColor="text1" w:themeTint="A6"/>
        </w:rPr>
        <w:t xml:space="preserve"> are shown</w:t>
      </w:r>
      <w:r w:rsidRPr="004E06B5">
        <w:rPr>
          <w:rFonts w:ascii="Arial" w:hAnsi="Arial" w:cs="Arial"/>
          <w:color w:val="595959" w:themeColor="text1" w:themeTint="A6"/>
        </w:rPr>
        <w:t xml:space="preserve"> in appendix Figure 7.</w:t>
      </w:r>
      <w:r w:rsidR="00AF3980">
        <w:rPr>
          <w:rFonts w:ascii="Arial" w:hAnsi="Arial" w:cs="Arial"/>
          <w:color w:val="595959" w:themeColor="text1" w:themeTint="A6"/>
        </w:rPr>
        <w:t>3.</w:t>
      </w:r>
    </w:p>
    <w:bookmarkEnd w:id="451"/>
    <w:p w14:paraId="2B8749DA" w14:textId="77777777" w:rsidR="004E06B5" w:rsidRPr="004E06B5" w:rsidRDefault="004E06B5" w:rsidP="004E06B5">
      <w:pPr>
        <w:tabs>
          <w:tab w:val="left" w:pos="1350"/>
        </w:tabs>
        <w:spacing w:line="480" w:lineRule="auto"/>
        <w:jc w:val="both"/>
        <w:rPr>
          <w:rFonts w:ascii="Arial" w:hAnsi="Arial" w:cs="Arial"/>
          <w:color w:val="595959" w:themeColor="text1" w:themeTint="A6"/>
        </w:rPr>
      </w:pPr>
      <w:r w:rsidRPr="004E06B5">
        <w:rPr>
          <w:rFonts w:ascii="Arial" w:hAnsi="Arial" w:cs="Arial"/>
          <w:noProof/>
          <w:color w:val="595959" w:themeColor="text1" w:themeTint="A6"/>
          <w:lang w:eastAsia="zh-CN"/>
        </w:rPr>
        <w:drawing>
          <wp:anchor distT="0" distB="0" distL="114300" distR="114300" simplePos="0" relativeHeight="251658411" behindDoc="0" locked="0" layoutInCell="1" allowOverlap="1" wp14:anchorId="72D215C6" wp14:editId="22B0C047">
            <wp:simplePos x="0" y="0"/>
            <wp:positionH relativeFrom="column">
              <wp:posOffset>644470</wp:posOffset>
            </wp:positionH>
            <wp:positionV relativeFrom="paragraph">
              <wp:posOffset>155602</wp:posOffset>
            </wp:positionV>
            <wp:extent cx="4383405" cy="2877820"/>
            <wp:effectExtent l="0" t="0" r="0" b="0"/>
            <wp:wrapNone/>
            <wp:docPr id="5349" name="Picture 5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383405" cy="2877820"/>
                    </a:xfrm>
                    <a:prstGeom prst="rect">
                      <a:avLst/>
                    </a:prstGeom>
                    <a:noFill/>
                  </pic:spPr>
                </pic:pic>
              </a:graphicData>
            </a:graphic>
          </wp:anchor>
        </w:drawing>
      </w:r>
    </w:p>
    <w:p w14:paraId="0028FD13"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3F818351"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669783DB"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5DAA5115"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69F57B60"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098B0F89"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36DF9F56" w14:textId="77777777" w:rsidR="004E06B5" w:rsidRPr="004E06B5" w:rsidRDefault="004E06B5" w:rsidP="004E06B5">
      <w:pPr>
        <w:tabs>
          <w:tab w:val="left" w:pos="1350"/>
        </w:tabs>
        <w:spacing w:line="480" w:lineRule="auto"/>
        <w:jc w:val="both"/>
        <w:rPr>
          <w:rFonts w:ascii="Arial" w:hAnsi="Arial" w:cs="Arial"/>
          <w:color w:val="595959" w:themeColor="text1" w:themeTint="A6"/>
        </w:rPr>
      </w:pPr>
      <w:r w:rsidRPr="004E06B5">
        <w:rPr>
          <w:rFonts w:ascii="Arial" w:hAnsi="Arial" w:cs="Arial"/>
          <w:noProof/>
          <w:color w:val="595959" w:themeColor="text1" w:themeTint="A6"/>
          <w:sz w:val="24"/>
          <w:szCs w:val="24"/>
          <w:lang w:eastAsia="zh-CN"/>
        </w:rPr>
        <mc:AlternateContent>
          <mc:Choice Requires="wps">
            <w:drawing>
              <wp:anchor distT="0" distB="0" distL="114300" distR="114300" simplePos="0" relativeHeight="251658407" behindDoc="0" locked="0" layoutInCell="1" allowOverlap="1" wp14:anchorId="3ABEC0D3" wp14:editId="71CD2654">
                <wp:simplePos x="0" y="0"/>
                <wp:positionH relativeFrom="margin">
                  <wp:posOffset>0</wp:posOffset>
                </wp:positionH>
                <wp:positionV relativeFrom="paragraph">
                  <wp:posOffset>215403</wp:posOffset>
                </wp:positionV>
                <wp:extent cx="5724525" cy="1076325"/>
                <wp:effectExtent l="0" t="0" r="9525" b="9525"/>
                <wp:wrapNone/>
                <wp:docPr id="21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1076325"/>
                        </a:xfrm>
                        <a:prstGeom prst="rect">
                          <a:avLst/>
                        </a:prstGeom>
                        <a:solidFill>
                          <a:srgbClr val="FFFFFF"/>
                        </a:solidFill>
                        <a:ln w="9525">
                          <a:noFill/>
                          <a:miter lim="800000"/>
                          <a:headEnd/>
                          <a:tailEnd/>
                        </a:ln>
                      </wps:spPr>
                      <wps:txbx>
                        <w:txbxContent>
                          <w:p w14:paraId="4A82789F" w14:textId="77777777" w:rsidR="008A47AC" w:rsidRDefault="008A47AC" w:rsidP="004E06B5">
                            <w:pPr>
                              <w:pStyle w:val="NormalWeb"/>
                              <w:spacing w:after="200"/>
                              <w:jc w:val="both"/>
                            </w:pPr>
                            <w:r>
                              <w:rPr>
                                <w:rFonts w:ascii="Arial Narrow" w:eastAsia="SimSun" w:hAnsi="Arial Narrow" w:cs="Arial"/>
                                <w:b/>
                                <w:bCs/>
                                <w:color w:val="595959"/>
                                <w:kern w:val="24"/>
                                <w:sz w:val="22"/>
                                <w:szCs w:val="22"/>
                              </w:rPr>
                              <w:t xml:space="preserve">Figure 5.3 Assessment of the proliferation of H357 and FNB6 cells on NOF- and CAF-DM </w:t>
                            </w:r>
                          </w:p>
                          <w:p w14:paraId="0A5A3C8A" w14:textId="4E3971A6" w:rsidR="008A47AC" w:rsidRDefault="008A47AC" w:rsidP="004E06B5">
                            <w:pPr>
                              <w:pStyle w:val="NormalWeb"/>
                              <w:spacing w:after="200" w:line="276" w:lineRule="auto"/>
                              <w:jc w:val="both"/>
                              <w:rPr>
                                <w:rFonts w:ascii="Arial Narrow" w:eastAsia="SimSun" w:hAnsi="Arial Narrow" w:cs="Arial"/>
                                <w:color w:val="595959"/>
                                <w:kern w:val="24"/>
                                <w:sz w:val="22"/>
                                <w:szCs w:val="22"/>
                              </w:rPr>
                            </w:pPr>
                            <w:r>
                              <w:rPr>
                                <w:rFonts w:ascii="Arial Narrow" w:eastAsia="SimSun" w:hAnsi="Arial Narrow" w:cs="Arial"/>
                                <w:color w:val="595959"/>
                                <w:kern w:val="24"/>
                                <w:sz w:val="22"/>
                                <w:szCs w:val="22"/>
                              </w:rPr>
                              <w:t xml:space="preserve">Percentage doubling was calculated at </w:t>
                            </w:r>
                            <w:r w:rsidRPr="00830F99">
                              <w:rPr>
                                <w:rFonts w:ascii="Arial Narrow" w:eastAsia="SimSun" w:hAnsi="Arial Narrow" w:cs="Arial"/>
                                <w:color w:val="595959"/>
                                <w:kern w:val="24"/>
                                <w:sz w:val="22"/>
                                <w:szCs w:val="22"/>
                              </w:rPr>
                              <w:t>24 h</w:t>
                            </w:r>
                            <w:r>
                              <w:rPr>
                                <w:rFonts w:ascii="Arial Narrow" w:eastAsia="SimSun" w:hAnsi="Arial Narrow" w:cs="Arial"/>
                                <w:color w:val="595959"/>
                                <w:kern w:val="24"/>
                                <w:sz w:val="22"/>
                                <w:szCs w:val="22"/>
                              </w:rPr>
                              <w:t xml:space="preserve"> f</w:t>
                            </w:r>
                            <w:r w:rsidRPr="00830F99">
                              <w:rPr>
                                <w:rFonts w:ascii="Arial Narrow" w:eastAsia="SimSun" w:hAnsi="Arial Narrow" w:cs="Arial"/>
                                <w:color w:val="595959"/>
                                <w:kern w:val="24"/>
                                <w:sz w:val="22"/>
                                <w:szCs w:val="22"/>
                              </w:rPr>
                              <w:t>or both FNB6 and H357 cell</w:t>
                            </w:r>
                            <w:r>
                              <w:rPr>
                                <w:rFonts w:ascii="Arial Narrow" w:eastAsia="SimSun" w:hAnsi="Arial Narrow" w:cs="Arial"/>
                                <w:color w:val="595959"/>
                                <w:kern w:val="24"/>
                                <w:sz w:val="22"/>
                                <w:szCs w:val="22"/>
                              </w:rPr>
                              <w:t xml:space="preserve">s on NOF- and CAF-DM using live-cell imaging microscopy. Data is presented as mean ± SD (N=3, n=3). * Denotes p &lt;0.05, and ** p &lt;0.01 analysed by Student’s T-Test. </w:t>
                            </w:r>
                          </w:p>
                          <w:p w14:paraId="42D12644" w14:textId="77777777" w:rsidR="008A47AC" w:rsidRDefault="008A47AC" w:rsidP="004E06B5">
                            <w:pPr>
                              <w:pStyle w:val="NormalWeb"/>
                              <w:spacing w:after="200"/>
                              <w:jc w:val="both"/>
                            </w:pPr>
                          </w:p>
                          <w:p w14:paraId="6CB5D804" w14:textId="77777777" w:rsidR="008A47AC" w:rsidRDefault="008A47AC" w:rsidP="004E06B5">
                            <w:pPr>
                              <w:pStyle w:val="NormalWeb"/>
                              <w:spacing w:after="200"/>
                              <w:jc w:val="both"/>
                            </w:pPr>
                          </w:p>
                          <w:p w14:paraId="172CFF13" w14:textId="77777777" w:rsidR="008A47AC" w:rsidRDefault="008A47AC" w:rsidP="004E06B5">
                            <w:pPr>
                              <w:pStyle w:val="NormalWeb"/>
                              <w:spacing w:after="200"/>
                              <w:jc w:val="both"/>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BEC0D3" id="_x0000_s1176" type="#_x0000_t202" style="position:absolute;left:0;text-align:left;margin-left:0;margin-top:16.95pt;width:450.75pt;height:84.75pt;z-index:25165840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" stroked="f">
                <v:textbox>
                  <w:txbxContent>
                    <w:p w14:paraId="4A82789F" w14:textId="77777777" w:rsidR="008A47AC" w:rsidRDefault="008A47AC" w:rsidP="004E06B5">
                      <w:pPr>
                        <w:pStyle w:val="NormalWeb"/>
                        <w:spacing w:after="200"/>
                        <w:jc w:val="both"/>
                      </w:pPr>
                      <w:r>
                        <w:rPr>
                          <w:rFonts w:ascii="Arial Narrow" w:eastAsia="SimSun" w:hAnsi="Arial Narrow" w:cs="Arial"/>
                          <w:b/>
                          <w:bCs/>
                          <w:color w:val="595959"/>
                          <w:kern w:val="24"/>
                          <w:sz w:val="22"/>
                          <w:szCs w:val="22"/>
                        </w:rPr>
                        <w:t xml:space="preserve">Figure 5.3 Assessment of the proliferation of H357 and FNB6 cells on NOF- and CAF-DM </w:t>
                      </w:r>
                    </w:p>
                    <w:p w14:paraId="0A5A3C8A" w14:textId="4E3971A6" w:rsidR="008A47AC" w:rsidRDefault="008A47AC" w:rsidP="004E06B5">
                      <w:pPr>
                        <w:pStyle w:val="NormalWeb"/>
                        <w:spacing w:after="200" w:line="276" w:lineRule="auto"/>
                        <w:jc w:val="both"/>
                        <w:rPr>
                          <w:rFonts w:ascii="Arial Narrow" w:eastAsia="SimSun" w:hAnsi="Arial Narrow" w:cs="Arial"/>
                          <w:color w:val="595959"/>
                          <w:kern w:val="24"/>
                          <w:sz w:val="22"/>
                          <w:szCs w:val="22"/>
                        </w:rPr>
                      </w:pPr>
                      <w:r>
                        <w:rPr>
                          <w:rFonts w:ascii="Arial Narrow" w:eastAsia="SimSun" w:hAnsi="Arial Narrow" w:cs="Arial"/>
                          <w:color w:val="595959"/>
                          <w:kern w:val="24"/>
                          <w:sz w:val="22"/>
                          <w:szCs w:val="22"/>
                        </w:rPr>
                        <w:t xml:space="preserve">Percentage doubling was calculated at </w:t>
                      </w:r>
                      <w:r w:rsidRPr="00830F99">
                        <w:rPr>
                          <w:rFonts w:ascii="Arial Narrow" w:eastAsia="SimSun" w:hAnsi="Arial Narrow" w:cs="Arial"/>
                          <w:color w:val="595959"/>
                          <w:kern w:val="24"/>
                          <w:sz w:val="22"/>
                          <w:szCs w:val="22"/>
                        </w:rPr>
                        <w:t>24 h</w:t>
                      </w:r>
                      <w:r>
                        <w:rPr>
                          <w:rFonts w:ascii="Arial Narrow" w:eastAsia="SimSun" w:hAnsi="Arial Narrow" w:cs="Arial"/>
                          <w:color w:val="595959"/>
                          <w:kern w:val="24"/>
                          <w:sz w:val="22"/>
                          <w:szCs w:val="22"/>
                        </w:rPr>
                        <w:t xml:space="preserve"> f</w:t>
                      </w:r>
                      <w:r w:rsidRPr="00830F99">
                        <w:rPr>
                          <w:rFonts w:ascii="Arial Narrow" w:eastAsia="SimSun" w:hAnsi="Arial Narrow" w:cs="Arial"/>
                          <w:color w:val="595959"/>
                          <w:kern w:val="24"/>
                          <w:sz w:val="22"/>
                          <w:szCs w:val="22"/>
                        </w:rPr>
                        <w:t>or both FNB6 and H357 cell</w:t>
                      </w:r>
                      <w:r>
                        <w:rPr>
                          <w:rFonts w:ascii="Arial Narrow" w:eastAsia="SimSun" w:hAnsi="Arial Narrow" w:cs="Arial"/>
                          <w:color w:val="595959"/>
                          <w:kern w:val="24"/>
                          <w:sz w:val="22"/>
                          <w:szCs w:val="22"/>
                        </w:rPr>
                        <w:t xml:space="preserve">s on NOF- and CAF-DM using live-cell imaging microscopy. Data is presented as mean ± SD (N=3, n=3). * Denotes p &lt;0.05, and ** p &lt;0.01 analysed by Student’s T-Test. </w:t>
                      </w:r>
                    </w:p>
                    <w:p w14:paraId="42D12644" w14:textId="77777777" w:rsidR="008A47AC" w:rsidRDefault="008A47AC" w:rsidP="004E06B5">
                      <w:pPr>
                        <w:pStyle w:val="NormalWeb"/>
                        <w:spacing w:after="200"/>
                        <w:jc w:val="both"/>
                      </w:pPr>
                    </w:p>
                    <w:p w14:paraId="6CB5D804" w14:textId="77777777" w:rsidR="008A47AC" w:rsidRDefault="008A47AC" w:rsidP="004E06B5">
                      <w:pPr>
                        <w:pStyle w:val="NormalWeb"/>
                        <w:spacing w:after="200"/>
                        <w:jc w:val="both"/>
                      </w:pPr>
                    </w:p>
                    <w:p w14:paraId="172CFF13" w14:textId="77777777" w:rsidR="008A47AC" w:rsidRDefault="008A47AC" w:rsidP="004E06B5">
                      <w:pPr>
                        <w:pStyle w:val="NormalWeb"/>
                        <w:spacing w:after="200"/>
                        <w:jc w:val="both"/>
                      </w:pPr>
                    </w:p>
                  </w:txbxContent>
                </v:textbox>
                <w10:wrap anchorx="margin"/>
              </v:shape>
            </w:pict>
          </mc:Fallback>
        </mc:AlternateContent>
      </w:r>
    </w:p>
    <w:p w14:paraId="3BF0724C"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125D8F1A"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4AD9B27D" w14:textId="77777777" w:rsidR="00F311FA" w:rsidRDefault="00F311FA" w:rsidP="004E06B5">
      <w:pPr>
        <w:tabs>
          <w:tab w:val="left" w:pos="1350"/>
        </w:tabs>
        <w:spacing w:line="480" w:lineRule="auto"/>
        <w:jc w:val="both"/>
        <w:rPr>
          <w:rFonts w:ascii="Arial" w:hAnsi="Arial" w:cs="Arial"/>
          <w:color w:val="595959" w:themeColor="text1" w:themeTint="A6"/>
        </w:rPr>
      </w:pPr>
    </w:p>
    <w:p w14:paraId="2A47827B" w14:textId="59FD94A4" w:rsidR="004E06B5" w:rsidRDefault="004E06B5" w:rsidP="00613A17">
      <w:pPr>
        <w:pStyle w:val="Heading4"/>
        <w:rPr>
          <w:rFonts w:ascii="Arial" w:hAnsi="Arial" w:cs="Arial"/>
          <w:color w:val="595959" w:themeColor="text1" w:themeTint="A6"/>
        </w:rPr>
      </w:pPr>
      <w:bookmarkStart w:id="452" w:name="_Toc34208450"/>
      <w:r w:rsidRPr="004E06B5">
        <w:rPr>
          <w:rFonts w:ascii="Arial" w:hAnsi="Arial" w:cs="Arial"/>
          <w:color w:val="595959" w:themeColor="text1" w:themeTint="A6"/>
        </w:rPr>
        <w:lastRenderedPageBreak/>
        <w:t>5.3.1.3. Migration of normal and cancerous epithelial cells on NOF- and CAF-DM</w:t>
      </w:r>
      <w:bookmarkEnd w:id="452"/>
    </w:p>
    <w:p w14:paraId="703C3828" w14:textId="77777777" w:rsidR="00613A17" w:rsidRPr="00613A17" w:rsidRDefault="00613A17" w:rsidP="00613A17"/>
    <w:p w14:paraId="14657EB4" w14:textId="77777777" w:rsidR="004E06B5" w:rsidRPr="004E06B5" w:rsidRDefault="004E06B5" w:rsidP="004E06B5">
      <w:pPr>
        <w:tabs>
          <w:tab w:val="left" w:pos="1350"/>
        </w:tabs>
        <w:spacing w:line="480" w:lineRule="auto"/>
        <w:jc w:val="both"/>
        <w:rPr>
          <w:rFonts w:ascii="Arial" w:hAnsi="Arial" w:cs="Arial"/>
          <w:color w:val="595959" w:themeColor="text1" w:themeTint="A6"/>
        </w:rPr>
      </w:pPr>
      <w:r w:rsidRPr="004E06B5">
        <w:rPr>
          <w:rFonts w:ascii="Arial" w:hAnsi="Arial" w:cs="Arial"/>
          <w:noProof/>
          <w:color w:val="595959" w:themeColor="text1" w:themeTint="A6"/>
          <w:lang w:eastAsia="zh-CN"/>
        </w:rPr>
        <w:drawing>
          <wp:anchor distT="0" distB="0" distL="114300" distR="114300" simplePos="0" relativeHeight="251658409" behindDoc="0" locked="0" layoutInCell="1" allowOverlap="1" wp14:anchorId="488AAC2D" wp14:editId="664449BE">
            <wp:simplePos x="0" y="0"/>
            <wp:positionH relativeFrom="column">
              <wp:posOffset>228600</wp:posOffset>
            </wp:positionH>
            <wp:positionV relativeFrom="paragraph">
              <wp:posOffset>2196465</wp:posOffset>
            </wp:positionV>
            <wp:extent cx="5276850" cy="5320680"/>
            <wp:effectExtent l="0" t="0" r="0" b="0"/>
            <wp:wrapNone/>
            <wp:docPr id="5350" name="Picture 5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276850" cy="5320680"/>
                    </a:xfrm>
                    <a:prstGeom prst="rect">
                      <a:avLst/>
                    </a:prstGeom>
                    <a:noFill/>
                  </pic:spPr>
                </pic:pic>
              </a:graphicData>
            </a:graphic>
            <wp14:sizeRelH relativeFrom="margin">
              <wp14:pctWidth>0</wp14:pctWidth>
            </wp14:sizeRelH>
            <wp14:sizeRelV relativeFrom="margin">
              <wp14:pctHeight>0</wp14:pctHeight>
            </wp14:sizeRelV>
          </wp:anchor>
        </w:drawing>
      </w:r>
      <w:r w:rsidRPr="004E06B5">
        <w:rPr>
          <w:rFonts w:ascii="Arial" w:hAnsi="Arial" w:cs="Arial"/>
          <w:color w:val="595959" w:themeColor="text1" w:themeTint="A6"/>
        </w:rPr>
        <w:t xml:space="preserve">Cell migration can be graphically displayed over time by tracking individual cells using live cell time-lapse imaging and computational plotting of their movement overtime. Rose plots were generated to summarise cell trajectories on NOF- and CAF-DM and to show spatial and directional movement of cells (Figure 5.4). The plots revealed that FNB6 cells movement appears more clustered on the NOF-DM (Figure 5.4 A) compared to CAF-DM; where a much greater movement was exhibited by the cells (Figure 5.4 B). H357 cells show similar cell trajectories on both NOF- and CAF-DM (Figure 5.4 C-D). </w:t>
      </w:r>
    </w:p>
    <w:p w14:paraId="14BA86F3" w14:textId="77777777" w:rsidR="004E06B5" w:rsidRPr="004E06B5" w:rsidRDefault="004E06B5" w:rsidP="004E06B5">
      <w:pPr>
        <w:tabs>
          <w:tab w:val="left" w:pos="1350"/>
        </w:tabs>
        <w:spacing w:line="480" w:lineRule="auto"/>
        <w:jc w:val="both"/>
        <w:rPr>
          <w:rFonts w:ascii="Arial" w:hAnsi="Arial" w:cs="Arial"/>
          <w:color w:val="595959" w:themeColor="text1" w:themeTint="A6"/>
        </w:rPr>
      </w:pPr>
      <w:r w:rsidRPr="004E06B5">
        <w:rPr>
          <w:rFonts w:ascii="Arial" w:hAnsi="Arial" w:cs="Arial"/>
          <w:color w:val="595959" w:themeColor="text1" w:themeTint="A6"/>
        </w:rPr>
        <w:tab/>
      </w:r>
    </w:p>
    <w:p w14:paraId="52D7DDA9"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3E5F7DE0"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706CE046"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1BE4DED5"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36455F88"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1E6EA931"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165D8CE7"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1DF33411"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162121DB"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101C9272"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332AE89F"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102AE100" w14:textId="77777777" w:rsidR="004E06B5" w:rsidRPr="004E06B5" w:rsidRDefault="004E06B5" w:rsidP="004E06B5">
      <w:pPr>
        <w:tabs>
          <w:tab w:val="left" w:pos="1350"/>
        </w:tabs>
        <w:spacing w:line="480" w:lineRule="auto"/>
        <w:jc w:val="both"/>
        <w:rPr>
          <w:rFonts w:ascii="Arial" w:hAnsi="Arial" w:cs="Arial"/>
          <w:color w:val="595959" w:themeColor="text1" w:themeTint="A6"/>
        </w:rPr>
      </w:pPr>
      <w:r w:rsidRPr="004E06B5">
        <w:rPr>
          <w:rFonts w:ascii="Arial" w:hAnsi="Arial" w:cs="Arial"/>
          <w:noProof/>
          <w:color w:val="595959" w:themeColor="text1" w:themeTint="A6"/>
          <w:sz w:val="24"/>
          <w:szCs w:val="24"/>
          <w:lang w:eastAsia="zh-CN"/>
        </w:rPr>
        <mc:AlternateContent>
          <mc:Choice Requires="wps">
            <w:drawing>
              <wp:anchor distT="0" distB="0" distL="114300" distR="114300" simplePos="0" relativeHeight="251658419" behindDoc="0" locked="0" layoutInCell="1" allowOverlap="1" wp14:anchorId="02D6102B" wp14:editId="64CDE725">
                <wp:simplePos x="0" y="0"/>
                <wp:positionH relativeFrom="margin">
                  <wp:posOffset>38100</wp:posOffset>
                </wp:positionH>
                <wp:positionV relativeFrom="paragraph">
                  <wp:posOffset>200660</wp:posOffset>
                </wp:positionV>
                <wp:extent cx="5686425" cy="790575"/>
                <wp:effectExtent l="0" t="0" r="9525" b="9525"/>
                <wp:wrapNone/>
                <wp:docPr id="2121" name="Text Box 2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6425" cy="790575"/>
                        </a:xfrm>
                        <a:prstGeom prst="rect">
                          <a:avLst/>
                        </a:prstGeom>
                        <a:solidFill>
                          <a:srgbClr val="FFFFFF"/>
                        </a:solidFill>
                        <a:ln w="9525">
                          <a:noFill/>
                          <a:miter lim="800000"/>
                          <a:headEnd/>
                          <a:tailEnd/>
                        </a:ln>
                      </wps:spPr>
                      <wps:txbx>
                        <w:txbxContent>
                          <w:p w14:paraId="34424BDA" w14:textId="77777777" w:rsidR="008A47AC" w:rsidRPr="00113FF6" w:rsidRDefault="008A47AC" w:rsidP="004E06B5">
                            <w:pPr>
                              <w:pStyle w:val="Caption"/>
                              <w:keepNext/>
                              <w:jc w:val="both"/>
                              <w:rPr>
                                <w:rFonts w:ascii="Arial Narrow" w:hAnsi="Arial Narrow"/>
                                <w:b/>
                                <w:i w:val="0"/>
                                <w:color w:val="595959" w:themeColor="text1" w:themeTint="A6"/>
                                <w:sz w:val="22"/>
                                <w:szCs w:val="22"/>
                              </w:rPr>
                            </w:pPr>
                            <w:r w:rsidRPr="00113FF6">
                              <w:rPr>
                                <w:rFonts w:ascii="Arial Narrow" w:hAnsi="Arial Narrow"/>
                                <w:b/>
                                <w:i w:val="0"/>
                                <w:color w:val="595959" w:themeColor="text1" w:themeTint="A6"/>
                                <w:sz w:val="22"/>
                                <w:szCs w:val="22"/>
                              </w:rPr>
                              <w:t>Figure</w:t>
                            </w:r>
                            <w:r>
                              <w:rPr>
                                <w:rFonts w:ascii="Arial Narrow" w:hAnsi="Arial Narrow"/>
                                <w:b/>
                                <w:i w:val="0"/>
                                <w:color w:val="595959" w:themeColor="text1" w:themeTint="A6"/>
                                <w:sz w:val="22"/>
                                <w:szCs w:val="22"/>
                              </w:rPr>
                              <w:t xml:space="preserve"> 5.4</w:t>
                            </w:r>
                            <w:r w:rsidRPr="00113FF6">
                              <w:rPr>
                                <w:rFonts w:ascii="Arial Narrow" w:hAnsi="Arial Narrow"/>
                                <w:b/>
                                <w:i w:val="0"/>
                                <w:color w:val="595959" w:themeColor="text1" w:themeTint="A6"/>
                                <w:sz w:val="22"/>
                                <w:szCs w:val="22"/>
                              </w:rPr>
                              <w:t xml:space="preserve"> Rose plots of </w:t>
                            </w:r>
                            <w:r>
                              <w:rPr>
                                <w:rFonts w:ascii="Arial Narrow" w:hAnsi="Arial Narrow"/>
                                <w:b/>
                                <w:i w:val="0"/>
                                <w:color w:val="595959" w:themeColor="text1" w:themeTint="A6"/>
                                <w:sz w:val="22"/>
                                <w:szCs w:val="22"/>
                              </w:rPr>
                              <w:t xml:space="preserve">keratinocyte </w:t>
                            </w:r>
                            <w:r w:rsidRPr="00113FF6">
                              <w:rPr>
                                <w:rFonts w:ascii="Arial Narrow" w:hAnsi="Arial Narrow"/>
                                <w:b/>
                                <w:i w:val="0"/>
                                <w:color w:val="595959" w:themeColor="text1" w:themeTint="A6"/>
                                <w:sz w:val="22"/>
                                <w:szCs w:val="22"/>
                              </w:rPr>
                              <w:t>cell trajectories on NOF</w:t>
                            </w:r>
                            <w:r>
                              <w:rPr>
                                <w:rFonts w:ascii="Arial Narrow" w:hAnsi="Arial Narrow"/>
                                <w:b/>
                                <w:i w:val="0"/>
                                <w:color w:val="595959" w:themeColor="text1" w:themeTint="A6"/>
                                <w:sz w:val="22"/>
                                <w:szCs w:val="22"/>
                              </w:rPr>
                              <w:t xml:space="preserve">- and </w:t>
                            </w:r>
                            <w:r w:rsidRPr="00113FF6">
                              <w:rPr>
                                <w:rFonts w:ascii="Arial Narrow" w:hAnsi="Arial Narrow"/>
                                <w:b/>
                                <w:i w:val="0"/>
                                <w:color w:val="595959" w:themeColor="text1" w:themeTint="A6"/>
                                <w:sz w:val="22"/>
                                <w:szCs w:val="22"/>
                              </w:rPr>
                              <w:t>CAF-</w:t>
                            </w:r>
                            <w:r>
                              <w:rPr>
                                <w:rFonts w:ascii="Arial Narrow" w:hAnsi="Arial Narrow"/>
                                <w:b/>
                                <w:i w:val="0"/>
                                <w:color w:val="595959" w:themeColor="text1" w:themeTint="A6"/>
                                <w:sz w:val="22"/>
                                <w:szCs w:val="22"/>
                              </w:rPr>
                              <w:t>DM</w:t>
                            </w:r>
                          </w:p>
                          <w:p w14:paraId="6E64BCC4" w14:textId="7EC55224" w:rsidR="008A47AC" w:rsidRPr="00DC2FA8" w:rsidRDefault="008A47AC" w:rsidP="004E06B5">
                            <w:pPr>
                              <w:spacing w:line="276" w:lineRule="auto"/>
                              <w:jc w:val="both"/>
                              <w:rPr>
                                <w:rFonts w:ascii="Arial Narrow" w:hAnsi="Arial Narrow"/>
                                <w:color w:val="595959" w:themeColor="text1" w:themeTint="A6"/>
                              </w:rPr>
                            </w:pPr>
                            <w:r w:rsidRPr="00113FF6">
                              <w:rPr>
                                <w:rFonts w:ascii="Arial Narrow" w:hAnsi="Arial Narrow"/>
                                <w:color w:val="595959" w:themeColor="text1" w:themeTint="A6"/>
                              </w:rPr>
                              <w:t>Representative trajector</w:t>
                            </w:r>
                            <w:r>
                              <w:rPr>
                                <w:rFonts w:ascii="Arial Narrow" w:hAnsi="Arial Narrow"/>
                                <w:color w:val="595959" w:themeColor="text1" w:themeTint="A6"/>
                              </w:rPr>
                              <w:t>ies</w:t>
                            </w:r>
                            <w:r w:rsidRPr="00113FF6">
                              <w:rPr>
                                <w:rFonts w:ascii="Arial Narrow" w:hAnsi="Arial Narrow"/>
                                <w:color w:val="595959" w:themeColor="text1" w:themeTint="A6"/>
                              </w:rPr>
                              <w:t xml:space="preserve"> </w:t>
                            </w:r>
                            <w:r>
                              <w:rPr>
                                <w:rFonts w:ascii="Arial Narrow" w:hAnsi="Arial Narrow"/>
                                <w:color w:val="595959" w:themeColor="text1" w:themeTint="A6"/>
                              </w:rPr>
                              <w:t xml:space="preserve">were plotted </w:t>
                            </w:r>
                            <w:r w:rsidRPr="00113FF6">
                              <w:rPr>
                                <w:rFonts w:ascii="Arial Narrow" w:hAnsi="Arial Narrow"/>
                                <w:color w:val="595959" w:themeColor="text1" w:themeTint="A6"/>
                              </w:rPr>
                              <w:t>for H35</w:t>
                            </w:r>
                            <w:r>
                              <w:rPr>
                                <w:rFonts w:ascii="Arial Narrow" w:hAnsi="Arial Narrow"/>
                                <w:color w:val="595959" w:themeColor="text1" w:themeTint="A6"/>
                              </w:rPr>
                              <w:t xml:space="preserve">7 and </w:t>
                            </w:r>
                            <w:r w:rsidRPr="00113FF6">
                              <w:rPr>
                                <w:rFonts w:ascii="Arial Narrow" w:hAnsi="Arial Narrow"/>
                                <w:color w:val="595959" w:themeColor="text1" w:themeTint="A6"/>
                              </w:rPr>
                              <w:t xml:space="preserve">FNB6 </w:t>
                            </w:r>
                            <w:r>
                              <w:rPr>
                                <w:rFonts w:ascii="Arial Narrow" w:hAnsi="Arial Narrow"/>
                                <w:color w:val="595959" w:themeColor="text1" w:themeTint="A6"/>
                              </w:rPr>
                              <w:t xml:space="preserve">cultured on NOF- and CAF-DM following a 24 h live-cell time-lapse experiment </w:t>
                            </w:r>
                            <w:r w:rsidRPr="00E72F77">
                              <w:rPr>
                                <w:rFonts w:ascii="Arial Narrow" w:eastAsia="SimSun" w:hAnsi="Arial Narrow" w:cs="Arial"/>
                                <w:color w:val="595959" w:themeColor="text1" w:themeTint="A6"/>
                                <w:kern w:val="24"/>
                              </w:rPr>
                              <w:t>(N=</w:t>
                            </w:r>
                            <w:r>
                              <w:rPr>
                                <w:rFonts w:ascii="Arial Narrow" w:eastAsia="SimSun" w:hAnsi="Arial Narrow" w:cs="Arial"/>
                                <w:color w:val="595959" w:themeColor="text1" w:themeTint="A6"/>
                                <w:kern w:val="24"/>
                              </w:rPr>
                              <w:t>3</w:t>
                            </w:r>
                            <w:r w:rsidRPr="00E72F77">
                              <w:rPr>
                                <w:rFonts w:ascii="Arial Narrow" w:eastAsia="SimSun" w:hAnsi="Arial Narrow" w:cs="Arial"/>
                                <w:color w:val="595959" w:themeColor="text1" w:themeTint="A6"/>
                                <w:kern w:val="24"/>
                              </w:rPr>
                              <w:t>, n=</w:t>
                            </w:r>
                            <w:r>
                              <w:rPr>
                                <w:rFonts w:ascii="Arial Narrow" w:eastAsia="SimSun" w:hAnsi="Arial Narrow" w:cs="Arial"/>
                                <w:color w:val="595959" w:themeColor="text1" w:themeTint="A6"/>
                                <w:kern w:val="24"/>
                              </w:rPr>
                              <w:t>3</w:t>
                            </w:r>
                            <w:r w:rsidRPr="00E72F77">
                              <w:rPr>
                                <w:rFonts w:ascii="Arial Narrow" w:eastAsia="SimSun" w:hAnsi="Arial Narrow" w:cs="Arial"/>
                                <w:color w:val="595959" w:themeColor="text1" w:themeTint="A6"/>
                                <w:kern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D6102B" id="Text Box 2121" o:spid="_x0000_s1177" type="#_x0000_t202" style="position:absolute;left:0;text-align:left;margin-left:3pt;margin-top:15.8pt;width:447.75pt;height:62.25pt;z-index:25165841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" stroked="f">
                <v:textbox>
                  <w:txbxContent>
                    <w:p w14:paraId="34424BDA" w14:textId="77777777" w:rsidR="008A47AC" w:rsidRPr="00113FF6" w:rsidRDefault="008A47AC" w:rsidP="004E06B5">
                      <w:pPr>
                        <w:pStyle w:val="Caption"/>
                        <w:keepNext/>
                        <w:jc w:val="both"/>
                        <w:rPr>
                          <w:rFonts w:ascii="Arial Narrow" w:hAnsi="Arial Narrow"/>
                          <w:b/>
                          <w:i w:val="0"/>
                          <w:color w:val="595959" w:themeColor="text1" w:themeTint="A6"/>
                          <w:sz w:val="22"/>
                          <w:szCs w:val="22"/>
                        </w:rPr>
                      </w:pPr>
                      <w:r w:rsidRPr="00113FF6">
                        <w:rPr>
                          <w:rFonts w:ascii="Arial Narrow" w:hAnsi="Arial Narrow"/>
                          <w:b/>
                          <w:i w:val="0"/>
                          <w:color w:val="595959" w:themeColor="text1" w:themeTint="A6"/>
                          <w:sz w:val="22"/>
                          <w:szCs w:val="22"/>
                        </w:rPr>
                        <w:t>Figure</w:t>
                      </w:r>
                      <w:r>
                        <w:rPr>
                          <w:rFonts w:ascii="Arial Narrow" w:hAnsi="Arial Narrow"/>
                          <w:b/>
                          <w:i w:val="0"/>
                          <w:color w:val="595959" w:themeColor="text1" w:themeTint="A6"/>
                          <w:sz w:val="22"/>
                          <w:szCs w:val="22"/>
                        </w:rPr>
                        <w:t xml:space="preserve"> 5.4</w:t>
                      </w:r>
                      <w:r w:rsidRPr="00113FF6">
                        <w:rPr>
                          <w:rFonts w:ascii="Arial Narrow" w:hAnsi="Arial Narrow"/>
                          <w:b/>
                          <w:i w:val="0"/>
                          <w:color w:val="595959" w:themeColor="text1" w:themeTint="A6"/>
                          <w:sz w:val="22"/>
                          <w:szCs w:val="22"/>
                        </w:rPr>
                        <w:t xml:space="preserve"> Rose plots of </w:t>
                      </w:r>
                      <w:r>
                        <w:rPr>
                          <w:rFonts w:ascii="Arial Narrow" w:hAnsi="Arial Narrow"/>
                          <w:b/>
                          <w:i w:val="0"/>
                          <w:color w:val="595959" w:themeColor="text1" w:themeTint="A6"/>
                          <w:sz w:val="22"/>
                          <w:szCs w:val="22"/>
                        </w:rPr>
                        <w:t xml:space="preserve">keratinocyte </w:t>
                      </w:r>
                      <w:r w:rsidRPr="00113FF6">
                        <w:rPr>
                          <w:rFonts w:ascii="Arial Narrow" w:hAnsi="Arial Narrow"/>
                          <w:b/>
                          <w:i w:val="0"/>
                          <w:color w:val="595959" w:themeColor="text1" w:themeTint="A6"/>
                          <w:sz w:val="22"/>
                          <w:szCs w:val="22"/>
                        </w:rPr>
                        <w:t>cell trajectories on NOF</w:t>
                      </w:r>
                      <w:r>
                        <w:rPr>
                          <w:rFonts w:ascii="Arial Narrow" w:hAnsi="Arial Narrow"/>
                          <w:b/>
                          <w:i w:val="0"/>
                          <w:color w:val="595959" w:themeColor="text1" w:themeTint="A6"/>
                          <w:sz w:val="22"/>
                          <w:szCs w:val="22"/>
                        </w:rPr>
                        <w:t xml:space="preserve">- and </w:t>
                      </w:r>
                      <w:r w:rsidRPr="00113FF6">
                        <w:rPr>
                          <w:rFonts w:ascii="Arial Narrow" w:hAnsi="Arial Narrow"/>
                          <w:b/>
                          <w:i w:val="0"/>
                          <w:color w:val="595959" w:themeColor="text1" w:themeTint="A6"/>
                          <w:sz w:val="22"/>
                          <w:szCs w:val="22"/>
                        </w:rPr>
                        <w:t>CAF-</w:t>
                      </w:r>
                      <w:r>
                        <w:rPr>
                          <w:rFonts w:ascii="Arial Narrow" w:hAnsi="Arial Narrow"/>
                          <w:b/>
                          <w:i w:val="0"/>
                          <w:color w:val="595959" w:themeColor="text1" w:themeTint="A6"/>
                          <w:sz w:val="22"/>
                          <w:szCs w:val="22"/>
                        </w:rPr>
                        <w:t>DM</w:t>
                      </w:r>
                    </w:p>
                    <w:p w14:paraId="6E64BCC4" w14:textId="7EC55224" w:rsidR="008A47AC" w:rsidRPr="00DC2FA8" w:rsidRDefault="008A47AC" w:rsidP="004E06B5">
                      <w:pPr>
                        <w:spacing w:line="276" w:lineRule="auto"/>
                        <w:jc w:val="both"/>
                        <w:rPr>
                          <w:rFonts w:ascii="Arial Narrow" w:hAnsi="Arial Narrow"/>
                          <w:color w:val="595959" w:themeColor="text1" w:themeTint="A6"/>
                        </w:rPr>
                      </w:pPr>
                      <w:r w:rsidRPr="00113FF6">
                        <w:rPr>
                          <w:rFonts w:ascii="Arial Narrow" w:hAnsi="Arial Narrow"/>
                          <w:color w:val="595959" w:themeColor="text1" w:themeTint="A6"/>
                        </w:rPr>
                        <w:t>Representative trajector</w:t>
                      </w:r>
                      <w:r>
                        <w:rPr>
                          <w:rFonts w:ascii="Arial Narrow" w:hAnsi="Arial Narrow"/>
                          <w:color w:val="595959" w:themeColor="text1" w:themeTint="A6"/>
                        </w:rPr>
                        <w:t>ies</w:t>
                      </w:r>
                      <w:r w:rsidRPr="00113FF6">
                        <w:rPr>
                          <w:rFonts w:ascii="Arial Narrow" w:hAnsi="Arial Narrow"/>
                          <w:color w:val="595959" w:themeColor="text1" w:themeTint="A6"/>
                        </w:rPr>
                        <w:t xml:space="preserve"> </w:t>
                      </w:r>
                      <w:r>
                        <w:rPr>
                          <w:rFonts w:ascii="Arial Narrow" w:hAnsi="Arial Narrow"/>
                          <w:color w:val="595959" w:themeColor="text1" w:themeTint="A6"/>
                        </w:rPr>
                        <w:t xml:space="preserve">were plotted </w:t>
                      </w:r>
                      <w:r w:rsidRPr="00113FF6">
                        <w:rPr>
                          <w:rFonts w:ascii="Arial Narrow" w:hAnsi="Arial Narrow"/>
                          <w:color w:val="595959" w:themeColor="text1" w:themeTint="A6"/>
                        </w:rPr>
                        <w:t>for H35</w:t>
                      </w:r>
                      <w:r>
                        <w:rPr>
                          <w:rFonts w:ascii="Arial Narrow" w:hAnsi="Arial Narrow"/>
                          <w:color w:val="595959" w:themeColor="text1" w:themeTint="A6"/>
                        </w:rPr>
                        <w:t xml:space="preserve">7 and </w:t>
                      </w:r>
                      <w:r w:rsidRPr="00113FF6">
                        <w:rPr>
                          <w:rFonts w:ascii="Arial Narrow" w:hAnsi="Arial Narrow"/>
                          <w:color w:val="595959" w:themeColor="text1" w:themeTint="A6"/>
                        </w:rPr>
                        <w:t xml:space="preserve">FNB6 </w:t>
                      </w:r>
                      <w:r>
                        <w:rPr>
                          <w:rFonts w:ascii="Arial Narrow" w:hAnsi="Arial Narrow"/>
                          <w:color w:val="595959" w:themeColor="text1" w:themeTint="A6"/>
                        </w:rPr>
                        <w:t xml:space="preserve">cultured on NOF- and CAF-DM following a 24 h live-cell time-lapse experiment </w:t>
                      </w:r>
                      <w:r w:rsidRPr="00E72F77">
                        <w:rPr>
                          <w:rFonts w:ascii="Arial Narrow" w:eastAsia="SimSun" w:hAnsi="Arial Narrow" w:cs="Arial"/>
                          <w:color w:val="595959" w:themeColor="text1" w:themeTint="A6"/>
                          <w:kern w:val="24"/>
                        </w:rPr>
                        <w:t>(N=</w:t>
                      </w:r>
                      <w:r>
                        <w:rPr>
                          <w:rFonts w:ascii="Arial Narrow" w:eastAsia="SimSun" w:hAnsi="Arial Narrow" w:cs="Arial"/>
                          <w:color w:val="595959" w:themeColor="text1" w:themeTint="A6"/>
                          <w:kern w:val="24"/>
                        </w:rPr>
                        <w:t>3</w:t>
                      </w:r>
                      <w:r w:rsidRPr="00E72F77">
                        <w:rPr>
                          <w:rFonts w:ascii="Arial Narrow" w:eastAsia="SimSun" w:hAnsi="Arial Narrow" w:cs="Arial"/>
                          <w:color w:val="595959" w:themeColor="text1" w:themeTint="A6"/>
                          <w:kern w:val="24"/>
                        </w:rPr>
                        <w:t>, n=</w:t>
                      </w:r>
                      <w:r>
                        <w:rPr>
                          <w:rFonts w:ascii="Arial Narrow" w:eastAsia="SimSun" w:hAnsi="Arial Narrow" w:cs="Arial"/>
                          <w:color w:val="595959" w:themeColor="text1" w:themeTint="A6"/>
                          <w:kern w:val="24"/>
                        </w:rPr>
                        <w:t>3</w:t>
                      </w:r>
                      <w:r w:rsidRPr="00E72F77">
                        <w:rPr>
                          <w:rFonts w:ascii="Arial Narrow" w:eastAsia="SimSun" w:hAnsi="Arial Narrow" w:cs="Arial"/>
                          <w:color w:val="595959" w:themeColor="text1" w:themeTint="A6"/>
                          <w:kern w:val="24"/>
                        </w:rPr>
                        <w:t>).</w:t>
                      </w:r>
                    </w:p>
                  </w:txbxContent>
                </v:textbox>
                <w10:wrap anchorx="margin"/>
              </v:shape>
            </w:pict>
          </mc:Fallback>
        </mc:AlternateContent>
      </w:r>
    </w:p>
    <w:p w14:paraId="092454DC"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51D82FD9" w14:textId="77777777" w:rsidR="004E06B5" w:rsidRPr="004E06B5" w:rsidRDefault="004E06B5" w:rsidP="004E06B5">
      <w:pPr>
        <w:tabs>
          <w:tab w:val="left" w:pos="1350"/>
        </w:tabs>
        <w:spacing w:line="480" w:lineRule="auto"/>
        <w:jc w:val="both"/>
        <w:rPr>
          <w:rFonts w:ascii="Arial" w:hAnsi="Arial" w:cs="Arial"/>
          <w:color w:val="595959" w:themeColor="text1" w:themeTint="A6"/>
        </w:rPr>
      </w:pPr>
      <w:r w:rsidRPr="004E06B5">
        <w:rPr>
          <w:rFonts w:ascii="Arial" w:hAnsi="Arial" w:cs="Arial"/>
          <w:color w:val="595959" w:themeColor="text1" w:themeTint="A6"/>
        </w:rPr>
        <w:lastRenderedPageBreak/>
        <w:t>Further quantitative analysis of the rose plot trajectories was performed to determine four migration parameters; accumulated distance, Euclidian distance, velocity and the directness of migrating cells (Figure 5.5 A). FNB6 cells migrated the least on the NOF-DM with a mean accumulated distance of 184.30 ± 62.98 µm. For FNB6 cells on CAF-DM, the distance of migration was significantly increased by 2-fold with a mean accumulated distance of 429.20 ± 58.56 µm (p=0.0079). The same trend was also observed for the H357 cells and they migrated further than FNB6 cells on NOF-DM. H357 migrated on NOF-DM with a mean distance 260.50 ± 62.20 µm compared to 329.10 ± 97.70 µm on the CAF-DM.</w:t>
      </w:r>
    </w:p>
    <w:p w14:paraId="6DB06CF3" w14:textId="77777777" w:rsidR="004E06B5" w:rsidRPr="004E06B5" w:rsidRDefault="004E06B5" w:rsidP="004E06B5">
      <w:pPr>
        <w:tabs>
          <w:tab w:val="left" w:pos="1350"/>
        </w:tabs>
        <w:spacing w:line="480" w:lineRule="auto"/>
        <w:jc w:val="both"/>
        <w:rPr>
          <w:rFonts w:ascii="Arial" w:hAnsi="Arial" w:cs="Arial"/>
          <w:color w:val="595959" w:themeColor="text1" w:themeTint="A6"/>
        </w:rPr>
      </w:pPr>
      <w:r w:rsidRPr="004E06B5">
        <w:rPr>
          <w:rFonts w:ascii="Arial" w:hAnsi="Arial" w:cs="Arial"/>
          <w:color w:val="595959" w:themeColor="text1" w:themeTint="A6"/>
        </w:rPr>
        <w:t xml:space="preserve">In order to assess the point to point distance of migration in any one direction the Euclidian distance was analysed (Figure 5.5 B). The Euclidian distance was least for the FNB6 cells on NOF-DM (26.83 ± 4.20 µm) but almost doubled when cells were cultured on CAF-DM; (61.97 ± 15.61 µm, p=0.0197). H357 on NOF-DM migrated on NOF-DM, with a distance of 34.07 ± 4.31 µm. Euclidian distance was greatest for H357 on CAF-DM (74.30 ± 22.99 µm) and was significantly greater than H357 on NOF-DM, p=0.0408. </w:t>
      </w:r>
    </w:p>
    <w:p w14:paraId="24508D4E" w14:textId="77777777" w:rsidR="004E06B5" w:rsidRPr="004E06B5" w:rsidRDefault="004E06B5" w:rsidP="004E06B5">
      <w:pPr>
        <w:tabs>
          <w:tab w:val="left" w:pos="1350"/>
        </w:tabs>
        <w:spacing w:line="480" w:lineRule="auto"/>
        <w:jc w:val="both"/>
        <w:rPr>
          <w:rFonts w:ascii="Arial" w:hAnsi="Arial" w:cs="Arial"/>
          <w:color w:val="595959" w:themeColor="text1" w:themeTint="A6"/>
        </w:rPr>
      </w:pPr>
      <w:r w:rsidRPr="004E06B5">
        <w:rPr>
          <w:rFonts w:ascii="Arial" w:hAnsi="Arial" w:cs="Arial"/>
          <w:color w:val="595959" w:themeColor="text1" w:themeTint="A6"/>
        </w:rPr>
        <w:t>The speed and direction of migrating cell types was conferred on the various FDM (Figure 5.5 C). Regardless of cell type, the velocity of migrating cells was greatest on CAF-DM. FNB6 velocity was the highest recorded at 0.33 ± 0.05 µm/min on CAF-DM which was significantly increased when compared to FNB6 on NOF-DM, p=0.0132. H357 migration velocity on CAF-DM was also significantly increased compared to on NOF-DM (p=0.0161) with a mean velocity of 0.33 ± 0.06 µm/min.</w:t>
      </w:r>
    </w:p>
    <w:p w14:paraId="4149B9E2" w14:textId="77777777" w:rsidR="004E06B5" w:rsidRPr="004E06B5" w:rsidRDefault="004E06B5" w:rsidP="004E06B5">
      <w:pPr>
        <w:tabs>
          <w:tab w:val="left" w:pos="1350"/>
        </w:tabs>
        <w:spacing w:line="480" w:lineRule="auto"/>
        <w:jc w:val="both"/>
        <w:rPr>
          <w:rFonts w:ascii="Arial" w:hAnsi="Arial" w:cs="Arial"/>
          <w:color w:val="595959" w:themeColor="text1" w:themeTint="A6"/>
        </w:rPr>
      </w:pPr>
      <w:r w:rsidRPr="004E06B5">
        <w:rPr>
          <w:rFonts w:ascii="Arial" w:hAnsi="Arial" w:cs="Arial"/>
          <w:color w:val="595959" w:themeColor="text1" w:themeTint="A6"/>
        </w:rPr>
        <w:t>FNB6 migrating on NOF-DM showed the greatest mean directness of 0.35 ± 0.03. The least direct migration was exhibited for FNB6 on CAF-DM (0.14 ± 0.02) and this was significantly less direct than on NOF-DM (p=0.0009). H357 directness was similar to the directness of FNB6 on CAF-DM with a mean directness of 0.15 ± 0.05. A significant increase in directness was observed for H357 on CAF-DM with a mean of 0.25 ± 0.02, p=0.0257 compared to H357 on NOF-DM. (Figure 5.5 D).</w:t>
      </w:r>
    </w:p>
    <w:p w14:paraId="446CF70E"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234EB9C4"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1E395A57"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194B6FAF" w14:textId="58CAB75C" w:rsidR="004E06B5" w:rsidRPr="004E06B5" w:rsidRDefault="004E06B5" w:rsidP="004E06B5">
      <w:pPr>
        <w:tabs>
          <w:tab w:val="left" w:pos="1350"/>
        </w:tabs>
        <w:spacing w:line="480" w:lineRule="auto"/>
        <w:jc w:val="both"/>
        <w:rPr>
          <w:rFonts w:ascii="Arial" w:hAnsi="Arial" w:cs="Arial"/>
          <w:color w:val="595959" w:themeColor="text1" w:themeTint="A6"/>
        </w:rPr>
      </w:pPr>
      <w:r w:rsidRPr="004E06B5">
        <w:rPr>
          <w:rFonts w:ascii="Arial" w:hAnsi="Arial" w:cs="Arial"/>
          <w:noProof/>
          <w:color w:val="595959" w:themeColor="text1" w:themeTint="A6"/>
          <w:lang w:eastAsia="zh-CN"/>
        </w:rPr>
        <w:drawing>
          <wp:anchor distT="0" distB="0" distL="114300" distR="114300" simplePos="0" relativeHeight="251658401" behindDoc="0" locked="0" layoutInCell="1" allowOverlap="1" wp14:anchorId="79913258" wp14:editId="4A297093">
            <wp:simplePos x="0" y="0"/>
            <wp:positionH relativeFrom="column">
              <wp:posOffset>-635</wp:posOffset>
            </wp:positionH>
            <wp:positionV relativeFrom="paragraph">
              <wp:posOffset>3810</wp:posOffset>
            </wp:positionV>
            <wp:extent cx="6337935" cy="4342289"/>
            <wp:effectExtent l="0" t="0" r="0" b="0"/>
            <wp:wrapNone/>
            <wp:docPr id="5351" name="Picture 5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6337935" cy="4342289"/>
                    </a:xfrm>
                    <a:prstGeom prst="rect">
                      <a:avLst/>
                    </a:prstGeom>
                    <a:noFill/>
                  </pic:spPr>
                </pic:pic>
              </a:graphicData>
            </a:graphic>
            <wp14:sizeRelH relativeFrom="page">
              <wp14:pctWidth>0</wp14:pctWidth>
            </wp14:sizeRelH>
            <wp14:sizeRelV relativeFrom="page">
              <wp14:pctHeight>0</wp14:pctHeight>
            </wp14:sizeRelV>
          </wp:anchor>
        </w:drawing>
      </w:r>
    </w:p>
    <w:p w14:paraId="7E084943" w14:textId="5AADCE28" w:rsidR="004E06B5" w:rsidRPr="004E06B5" w:rsidRDefault="004E06B5" w:rsidP="004E06B5">
      <w:pPr>
        <w:tabs>
          <w:tab w:val="left" w:pos="1350"/>
        </w:tabs>
        <w:spacing w:line="480" w:lineRule="auto"/>
        <w:jc w:val="both"/>
        <w:rPr>
          <w:rFonts w:ascii="Arial" w:hAnsi="Arial" w:cs="Arial"/>
          <w:color w:val="595959" w:themeColor="text1" w:themeTint="A6"/>
        </w:rPr>
      </w:pPr>
    </w:p>
    <w:p w14:paraId="1EEF947D"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682050B5"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3AC50CAA"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3483B897"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3C4D42BC"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7B0603E1" w14:textId="27D3E460" w:rsidR="004E06B5" w:rsidRPr="004E06B5" w:rsidRDefault="004E06B5" w:rsidP="004E06B5">
      <w:pPr>
        <w:tabs>
          <w:tab w:val="left" w:pos="1350"/>
        </w:tabs>
        <w:spacing w:line="480" w:lineRule="auto"/>
        <w:jc w:val="both"/>
        <w:rPr>
          <w:rFonts w:ascii="Arial" w:hAnsi="Arial" w:cs="Arial"/>
          <w:color w:val="595959" w:themeColor="text1" w:themeTint="A6"/>
        </w:rPr>
      </w:pPr>
    </w:p>
    <w:p w14:paraId="30CFC9EC"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2E822DE4"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53273E6C"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239290B9"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48C6DABB" w14:textId="09379B2E" w:rsidR="004E06B5" w:rsidRPr="004E06B5" w:rsidRDefault="00F311FA" w:rsidP="004E06B5">
      <w:pPr>
        <w:tabs>
          <w:tab w:val="left" w:pos="1350"/>
        </w:tabs>
        <w:spacing w:line="480" w:lineRule="auto"/>
        <w:jc w:val="both"/>
        <w:rPr>
          <w:rFonts w:ascii="Arial" w:hAnsi="Arial" w:cs="Arial"/>
          <w:color w:val="595959" w:themeColor="text1" w:themeTint="A6"/>
        </w:rPr>
      </w:pPr>
      <w:r w:rsidRPr="004E06B5">
        <w:rPr>
          <w:rFonts w:ascii="Arial" w:hAnsi="Arial" w:cs="Arial"/>
          <w:noProof/>
          <w:color w:val="595959" w:themeColor="text1" w:themeTint="A6"/>
          <w:sz w:val="24"/>
          <w:szCs w:val="24"/>
          <w:lang w:eastAsia="zh-CN"/>
        </w:rPr>
        <mc:AlternateContent>
          <mc:Choice Requires="wps">
            <w:drawing>
              <wp:anchor distT="0" distB="0" distL="114300" distR="114300" simplePos="0" relativeHeight="251658417" behindDoc="0" locked="0" layoutInCell="1" allowOverlap="1" wp14:anchorId="47AA124A" wp14:editId="32D09417">
                <wp:simplePos x="0" y="0"/>
                <wp:positionH relativeFrom="margin">
                  <wp:posOffset>0</wp:posOffset>
                </wp:positionH>
                <wp:positionV relativeFrom="paragraph">
                  <wp:posOffset>18415</wp:posOffset>
                </wp:positionV>
                <wp:extent cx="5734050" cy="1371600"/>
                <wp:effectExtent l="0" t="0" r="0" b="0"/>
                <wp:wrapNone/>
                <wp:docPr id="2122" name="Text Box 2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1371600"/>
                        </a:xfrm>
                        <a:prstGeom prst="rect">
                          <a:avLst/>
                        </a:prstGeom>
                        <a:solidFill>
                          <a:srgbClr val="FFFFFF"/>
                        </a:solidFill>
                        <a:ln w="9525">
                          <a:noFill/>
                          <a:miter lim="800000"/>
                          <a:headEnd/>
                          <a:tailEnd/>
                        </a:ln>
                      </wps:spPr>
                      <wps:txbx>
                        <w:txbxContent>
                          <w:p w14:paraId="29AA8B7D" w14:textId="77777777" w:rsidR="008A47AC" w:rsidRPr="006B7937" w:rsidRDefault="008A47AC" w:rsidP="004E06B5">
                            <w:pPr>
                              <w:pStyle w:val="Caption"/>
                              <w:keepNext/>
                              <w:jc w:val="both"/>
                              <w:rPr>
                                <w:rFonts w:ascii="Arial Narrow" w:hAnsi="Arial Narrow"/>
                                <w:b/>
                                <w:i w:val="0"/>
                                <w:sz w:val="24"/>
                                <w:szCs w:val="24"/>
                              </w:rPr>
                            </w:pPr>
                            <w:r w:rsidRPr="006B7937">
                              <w:rPr>
                                <w:rFonts w:ascii="Arial Narrow" w:hAnsi="Arial Narrow"/>
                                <w:b/>
                                <w:i w:val="0"/>
                                <w:color w:val="595959" w:themeColor="text1" w:themeTint="A6"/>
                                <w:sz w:val="24"/>
                                <w:szCs w:val="24"/>
                              </w:rPr>
                              <w:t>Figure</w:t>
                            </w:r>
                            <w:r>
                              <w:rPr>
                                <w:rFonts w:ascii="Arial Narrow" w:hAnsi="Arial Narrow"/>
                                <w:b/>
                                <w:i w:val="0"/>
                                <w:color w:val="595959" w:themeColor="text1" w:themeTint="A6"/>
                                <w:sz w:val="24"/>
                                <w:szCs w:val="24"/>
                              </w:rPr>
                              <w:t xml:space="preserve"> 5.5 Keratinocyte cell behaviour on NOF- and CAF-DM </w:t>
                            </w:r>
                          </w:p>
                          <w:p w14:paraId="0EB5FDA0" w14:textId="77777777" w:rsidR="008A47AC" w:rsidRPr="00DC2FA8" w:rsidRDefault="008A47AC" w:rsidP="004E06B5">
                            <w:pPr>
                              <w:pStyle w:val="NormalWeb"/>
                              <w:spacing w:after="200" w:line="276" w:lineRule="auto"/>
                              <w:jc w:val="both"/>
                              <w:rPr>
                                <w:rFonts w:ascii="Arial Narrow" w:eastAsia="SimSun" w:hAnsi="Arial Narrow" w:cs="Arial"/>
                                <w:color w:val="595959"/>
                                <w:kern w:val="24"/>
                                <w:sz w:val="22"/>
                                <w:szCs w:val="22"/>
                              </w:rPr>
                            </w:pPr>
                            <w:r>
                              <w:rPr>
                                <w:rFonts w:ascii="Arial Narrow" w:eastAsia="SimSun" w:hAnsi="Arial Narrow" w:cs="Arial"/>
                                <w:color w:val="595959"/>
                                <w:kern w:val="24"/>
                                <w:sz w:val="22"/>
                                <w:szCs w:val="22"/>
                              </w:rPr>
                              <w:t>The migration capacity, speed and directness of normal (FNB6) and OSCC (H357) keratinocytes analysed during a 24 h time-lapse experiment. Cells were manually tracked, and accumulated distance (A), Euclidean distance (B), velocity (C), and directness (D) computationally calculated using Tracking tool™ PRO. Data is presented as mean ± SD (N=3, n=3) as analysed by unpaired Student’s T-Test. * denotes p &lt;0.05, ** p &lt;0.01, and *** p &lt;0.001.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AA124A" id="Text Box 2122" o:spid="_x0000_s1178" type="#_x0000_t202" style="position:absolute;left:0;text-align:left;margin-left:0;margin-top:1.45pt;width:451.5pt;height:108pt;z-index:25165841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" stroked="f">
                <v:textbox>
                  <w:txbxContent>
                    <w:p w14:paraId="29AA8B7D" w14:textId="77777777" w:rsidR="008A47AC" w:rsidRPr="006B7937" w:rsidRDefault="008A47AC" w:rsidP="004E06B5">
                      <w:pPr>
                        <w:pStyle w:val="Caption"/>
                        <w:keepNext/>
                        <w:jc w:val="both"/>
                        <w:rPr>
                          <w:rFonts w:ascii="Arial Narrow" w:hAnsi="Arial Narrow"/>
                          <w:b/>
                          <w:i w:val="0"/>
                          <w:sz w:val="24"/>
                          <w:szCs w:val="24"/>
                        </w:rPr>
                      </w:pPr>
                      <w:r w:rsidRPr="006B7937">
                        <w:rPr>
                          <w:rFonts w:ascii="Arial Narrow" w:hAnsi="Arial Narrow"/>
                          <w:b/>
                          <w:i w:val="0"/>
                          <w:color w:val="595959" w:themeColor="text1" w:themeTint="A6"/>
                          <w:sz w:val="24"/>
                          <w:szCs w:val="24"/>
                        </w:rPr>
                        <w:t>Figure</w:t>
                      </w:r>
                      <w:r>
                        <w:rPr>
                          <w:rFonts w:ascii="Arial Narrow" w:hAnsi="Arial Narrow"/>
                          <w:b/>
                          <w:i w:val="0"/>
                          <w:color w:val="595959" w:themeColor="text1" w:themeTint="A6"/>
                          <w:sz w:val="24"/>
                          <w:szCs w:val="24"/>
                        </w:rPr>
                        <w:t xml:space="preserve"> 5.5 Keratinocyte cell </w:t>
                      </w:r>
                      <w:proofErr w:type="spellStart"/>
                      <w:r>
                        <w:rPr>
                          <w:rFonts w:ascii="Arial Narrow" w:hAnsi="Arial Narrow"/>
                          <w:b/>
                          <w:i w:val="0"/>
                          <w:color w:val="595959" w:themeColor="text1" w:themeTint="A6"/>
                          <w:sz w:val="24"/>
                          <w:szCs w:val="24"/>
                        </w:rPr>
                        <w:t>behaviour</w:t>
                      </w:r>
                      <w:proofErr w:type="spellEnd"/>
                      <w:r>
                        <w:rPr>
                          <w:rFonts w:ascii="Arial Narrow" w:hAnsi="Arial Narrow"/>
                          <w:b/>
                          <w:i w:val="0"/>
                          <w:color w:val="595959" w:themeColor="text1" w:themeTint="A6"/>
                          <w:sz w:val="24"/>
                          <w:szCs w:val="24"/>
                        </w:rPr>
                        <w:t xml:space="preserve"> on NOF- and CAF-DM </w:t>
                      </w:r>
                    </w:p>
                    <w:p w14:paraId="0EB5FDA0" w14:textId="77777777" w:rsidR="008A47AC" w:rsidRPr="00DC2FA8" w:rsidRDefault="008A47AC" w:rsidP="004E06B5">
                      <w:pPr>
                        <w:pStyle w:val="NormalWeb"/>
                        <w:spacing w:after="200" w:line="276" w:lineRule="auto"/>
                        <w:jc w:val="both"/>
                        <w:rPr>
                          <w:rFonts w:ascii="Arial Narrow" w:eastAsia="SimSun" w:hAnsi="Arial Narrow" w:cs="Arial"/>
                          <w:color w:val="595959"/>
                          <w:kern w:val="24"/>
                          <w:sz w:val="22"/>
                          <w:szCs w:val="22"/>
                        </w:rPr>
                      </w:pPr>
                      <w:r>
                        <w:rPr>
                          <w:rFonts w:ascii="Arial Narrow" w:eastAsia="SimSun" w:hAnsi="Arial Narrow" w:cs="Arial"/>
                          <w:color w:val="595959"/>
                          <w:kern w:val="24"/>
                          <w:sz w:val="22"/>
                          <w:szCs w:val="22"/>
                        </w:rPr>
                        <w:t>The migration capacity, speed and directness of normal (FNB6) and OSCC (H357) keratinocytes analysed during a 24 h time-lapse experiment. Cells were manually tracked, and accumulated distance (A), Euclidean distance (B), velocity (C), and directness (D) computationally calculated using Tracking tool™ PRO. Data is presented as mean ± SD (N=3, n=3) as analysed by unpaired Student’s T-Test. * denotes p &lt;0.05, ** p &lt;0.01, and *** p &lt;0.001.</w:t>
                      </w:r>
                    </w:p>
                  </w:txbxContent>
                </v:textbox>
                <w10:wrap anchorx="margin"/>
              </v:shape>
            </w:pict>
          </mc:Fallback>
        </mc:AlternateContent>
      </w:r>
    </w:p>
    <w:p w14:paraId="0FC20364"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2108C36F" w14:textId="4285270B" w:rsidR="004E06B5" w:rsidRPr="004E06B5" w:rsidRDefault="004E06B5" w:rsidP="004E06B5">
      <w:pPr>
        <w:tabs>
          <w:tab w:val="left" w:pos="1350"/>
        </w:tabs>
        <w:spacing w:line="480" w:lineRule="auto"/>
        <w:jc w:val="both"/>
        <w:rPr>
          <w:rFonts w:ascii="Arial" w:hAnsi="Arial" w:cs="Arial"/>
          <w:color w:val="595959" w:themeColor="text1" w:themeTint="A6"/>
        </w:rPr>
      </w:pPr>
    </w:p>
    <w:p w14:paraId="683E4453" w14:textId="77777777" w:rsidR="004E06B5" w:rsidRPr="004E06B5" w:rsidRDefault="004E06B5" w:rsidP="004E06B5">
      <w:pPr>
        <w:tabs>
          <w:tab w:val="left" w:pos="1350"/>
        </w:tabs>
        <w:spacing w:line="480" w:lineRule="auto"/>
        <w:jc w:val="both"/>
        <w:rPr>
          <w:rFonts w:ascii="Arial" w:hAnsi="Arial" w:cs="Arial"/>
          <w:color w:val="FF0000"/>
        </w:rPr>
      </w:pPr>
    </w:p>
    <w:p w14:paraId="37D01D89"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4609F480"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06F5A347" w14:textId="2A47DCAD" w:rsidR="004E06B5" w:rsidRDefault="004E06B5" w:rsidP="00126AA8">
      <w:pPr>
        <w:pStyle w:val="Heading4"/>
        <w:spacing w:line="480" w:lineRule="auto"/>
        <w:jc w:val="both"/>
        <w:rPr>
          <w:rFonts w:ascii="Arial" w:hAnsi="Arial" w:cs="Arial"/>
          <w:color w:val="595959" w:themeColor="text1" w:themeTint="A6"/>
        </w:rPr>
      </w:pPr>
      <w:bookmarkStart w:id="453" w:name="_Toc34208451"/>
      <w:r w:rsidRPr="004E06B5">
        <w:rPr>
          <w:rFonts w:ascii="Arial" w:hAnsi="Arial" w:cs="Arial"/>
          <w:color w:val="595959" w:themeColor="text1" w:themeTint="A6"/>
        </w:rPr>
        <w:lastRenderedPageBreak/>
        <w:t>5.3.1.5 Evaluation of NOF- and CAF-DM ability to support keratinocyte cell growth over-time</w:t>
      </w:r>
      <w:bookmarkEnd w:id="453"/>
    </w:p>
    <w:p w14:paraId="21E9AFFE" w14:textId="77777777" w:rsidR="00126AA8" w:rsidRPr="00D92EDA" w:rsidRDefault="00126AA8" w:rsidP="00126AA8">
      <w:pPr>
        <w:rPr>
          <w:color w:val="595959" w:themeColor="text1" w:themeTint="A6"/>
        </w:rPr>
      </w:pPr>
    </w:p>
    <w:p w14:paraId="188586EE" w14:textId="6F27305A" w:rsidR="004E06B5" w:rsidRPr="004E06B5" w:rsidRDefault="004E06B5" w:rsidP="004E06B5">
      <w:pPr>
        <w:tabs>
          <w:tab w:val="left" w:pos="1350"/>
        </w:tabs>
        <w:spacing w:line="480" w:lineRule="auto"/>
        <w:jc w:val="both"/>
        <w:rPr>
          <w:rFonts w:ascii="Arial" w:hAnsi="Arial" w:cs="Arial"/>
          <w:color w:val="595959" w:themeColor="text1" w:themeTint="A6"/>
        </w:rPr>
      </w:pPr>
      <w:r w:rsidRPr="00D92EDA">
        <w:rPr>
          <w:rFonts w:ascii="Arial" w:hAnsi="Arial" w:cs="Arial"/>
          <w:color w:val="595959" w:themeColor="text1" w:themeTint="A6"/>
        </w:rPr>
        <w:t xml:space="preserve">H357 cultured on NOF-DM as a full-thickness model </w:t>
      </w:r>
      <w:r w:rsidR="008609E7" w:rsidRPr="00D92EDA">
        <w:rPr>
          <w:rFonts w:ascii="Arial" w:hAnsi="Arial" w:cs="Arial"/>
          <w:color w:val="595959" w:themeColor="text1" w:themeTint="A6"/>
        </w:rPr>
        <w:t xml:space="preserve">isn’t </w:t>
      </w:r>
      <w:r w:rsidRPr="00D92EDA">
        <w:rPr>
          <w:rFonts w:ascii="Arial" w:hAnsi="Arial" w:cs="Arial"/>
          <w:color w:val="595959" w:themeColor="text1" w:themeTint="A6"/>
        </w:rPr>
        <w:t xml:space="preserve">indicative of what is observed </w:t>
      </w:r>
      <w:r w:rsidRPr="00D92EDA">
        <w:rPr>
          <w:rFonts w:ascii="Arial" w:hAnsi="Arial" w:cs="Arial"/>
          <w:i/>
          <w:iCs/>
          <w:color w:val="595959" w:themeColor="text1" w:themeTint="A6"/>
        </w:rPr>
        <w:t>in vivo</w:t>
      </w:r>
      <w:r w:rsidR="008609E7" w:rsidRPr="00D92EDA">
        <w:rPr>
          <w:rFonts w:ascii="Arial" w:hAnsi="Arial" w:cs="Arial"/>
          <w:i/>
          <w:iCs/>
          <w:color w:val="595959" w:themeColor="text1" w:themeTint="A6"/>
        </w:rPr>
        <w:t xml:space="preserve">. </w:t>
      </w:r>
      <w:r w:rsidRPr="00D92EDA">
        <w:rPr>
          <w:rFonts w:ascii="Arial" w:hAnsi="Arial" w:cs="Arial"/>
          <w:color w:val="595959" w:themeColor="text1" w:themeTint="A6"/>
        </w:rPr>
        <w:t>Therefore, we didn’t investigate this model further.  Prior to assessing whether oral keratinocytes can be used for full-thickness oral models; a PrestoBlue</w:t>
      </w:r>
      <w:r w:rsidRPr="00D92EDA">
        <w:rPr>
          <w:rFonts w:ascii="Arial" w:hAnsi="Arial" w:cs="Arial"/>
          <w:color w:val="595959" w:themeColor="text1" w:themeTint="A6"/>
          <w:vertAlign w:val="superscript"/>
        </w:rPr>
        <w:t>®</w:t>
      </w:r>
      <w:r w:rsidRPr="00D92EDA">
        <w:rPr>
          <w:rFonts w:ascii="Arial" w:hAnsi="Arial" w:cs="Arial"/>
          <w:color w:val="595959" w:themeColor="text1" w:themeTint="A6"/>
        </w:rPr>
        <w:t xml:space="preserve"> assay was used </w:t>
      </w:r>
      <w:r w:rsidRPr="004E06B5">
        <w:rPr>
          <w:rFonts w:ascii="Arial" w:hAnsi="Arial" w:cs="Arial"/>
          <w:color w:val="595959" w:themeColor="text1" w:themeTint="A6"/>
        </w:rPr>
        <w:t xml:space="preserve">to quantify the metabolic activity of different cell types (FNB6 and H357) as an indirect assessment of the ability of NOF- and CAF-DM to support keratinocyte cell growth over a 12 day growth period. </w:t>
      </w:r>
    </w:p>
    <w:p w14:paraId="55960B69" w14:textId="65F54E31" w:rsidR="004E06B5" w:rsidRPr="004E06B5" w:rsidRDefault="004E06B5" w:rsidP="004E06B5">
      <w:pPr>
        <w:tabs>
          <w:tab w:val="left" w:pos="1350"/>
        </w:tabs>
        <w:spacing w:line="480" w:lineRule="auto"/>
        <w:jc w:val="both"/>
        <w:rPr>
          <w:rFonts w:ascii="Arial" w:hAnsi="Arial" w:cs="Arial"/>
          <w:color w:val="595959" w:themeColor="text1" w:themeTint="A6"/>
        </w:rPr>
      </w:pPr>
      <w:r w:rsidRPr="004E06B5">
        <w:rPr>
          <w:rFonts w:ascii="Arial" w:hAnsi="Arial" w:cs="Arial"/>
          <w:color w:val="595959" w:themeColor="text1" w:themeTint="A6"/>
        </w:rPr>
        <w:t xml:space="preserve">The addition of epithelial cells, regardless of cell-type, onto the developed FDM showed an increase in the metabolic activity of the models (Figure 5.6). The addition of FNB6 cells to a NOF-DM saw the greatest increase in metabolism at day </w:t>
      </w:r>
      <w:r w:rsidR="00D32BB8">
        <w:rPr>
          <w:rFonts w:ascii="Arial" w:hAnsi="Arial" w:cs="Arial"/>
          <w:color w:val="595959" w:themeColor="text1" w:themeTint="A6"/>
        </w:rPr>
        <w:t xml:space="preserve">2 </w:t>
      </w:r>
      <w:r w:rsidRPr="004E06B5">
        <w:rPr>
          <w:rFonts w:ascii="Arial" w:hAnsi="Arial" w:cs="Arial"/>
          <w:color w:val="595959" w:themeColor="text1" w:themeTint="A6"/>
        </w:rPr>
        <w:t>(72747.75 au). For a further 1</w:t>
      </w:r>
      <w:r w:rsidR="00D32BB8">
        <w:rPr>
          <w:rFonts w:ascii="Arial" w:hAnsi="Arial" w:cs="Arial"/>
          <w:color w:val="595959" w:themeColor="text1" w:themeTint="A6"/>
        </w:rPr>
        <w:t>0</w:t>
      </w:r>
      <w:r w:rsidRPr="004E06B5">
        <w:rPr>
          <w:rFonts w:ascii="Arial" w:hAnsi="Arial" w:cs="Arial"/>
          <w:color w:val="595959" w:themeColor="text1" w:themeTint="A6"/>
        </w:rPr>
        <w:t xml:space="preserve"> days the mean fluorescence was 67802 ± 7682 au. FNB6 cells were added to CAF-DM over the 12 days had a mean fluorescence of 69696 ± 7011 au. The metabolism of H357 on FDM was also assessed. There was an increased trend in cell metabolism when H357 carcinoma cells were added to the developed CAF-DM, where the mean fluorescent intensity over 12 days was the highest at 74301 ± 2290 au, although this was not significantly different (Figure 5.6). </w:t>
      </w:r>
    </w:p>
    <w:tbl>
      <w:tblPr>
        <w:tblW w:w="4240" w:type="dxa"/>
        <w:tblCellMar>
          <w:left w:w="0" w:type="dxa"/>
          <w:right w:w="0" w:type="dxa"/>
        </w:tblCellMar>
        <w:tblLook w:val="04A0" w:firstRow="1" w:lastRow="0" w:firstColumn="1" w:lastColumn="0" w:noHBand="0" w:noVBand="1"/>
      </w:tblPr>
      <w:tblGrid>
        <w:gridCol w:w="1440"/>
        <w:gridCol w:w="1420"/>
        <w:gridCol w:w="1380"/>
      </w:tblGrid>
      <w:tr w:rsidR="004E06B5" w:rsidRPr="004E06B5" w14:paraId="264179CC" w14:textId="77777777" w:rsidTr="004E06B5">
        <w:tc>
          <w:tcPr>
            <w:tcW w:w="1440" w:type="dxa"/>
            <w:tcBorders>
              <w:top w:val="nil"/>
              <w:left w:val="nil"/>
              <w:bottom w:val="nil"/>
              <w:right w:val="nil"/>
            </w:tcBorders>
            <w:shd w:val="clear" w:color="auto" w:fill="auto"/>
            <w:noWrap/>
            <w:tcMar>
              <w:top w:w="15" w:type="dxa"/>
              <w:left w:w="15" w:type="dxa"/>
              <w:bottom w:w="0" w:type="dxa"/>
              <w:right w:w="15" w:type="dxa"/>
            </w:tcMar>
            <w:vAlign w:val="bottom"/>
          </w:tcPr>
          <w:p w14:paraId="7840A8C3"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tc>
        <w:tc>
          <w:tcPr>
            <w:tcW w:w="1420" w:type="dxa"/>
            <w:tcBorders>
              <w:top w:val="nil"/>
              <w:left w:val="nil"/>
              <w:bottom w:val="nil"/>
              <w:right w:val="nil"/>
            </w:tcBorders>
            <w:shd w:val="clear" w:color="auto" w:fill="auto"/>
            <w:noWrap/>
            <w:tcMar>
              <w:top w:w="15" w:type="dxa"/>
              <w:left w:w="15" w:type="dxa"/>
              <w:bottom w:w="0" w:type="dxa"/>
              <w:right w:w="15" w:type="dxa"/>
            </w:tcMar>
            <w:vAlign w:val="bottom"/>
          </w:tcPr>
          <w:p w14:paraId="63973713"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tc>
        <w:tc>
          <w:tcPr>
            <w:tcW w:w="1380" w:type="dxa"/>
            <w:tcBorders>
              <w:top w:val="nil"/>
              <w:left w:val="nil"/>
              <w:bottom w:val="nil"/>
              <w:right w:val="nil"/>
            </w:tcBorders>
            <w:shd w:val="clear" w:color="auto" w:fill="auto"/>
            <w:noWrap/>
            <w:tcMar>
              <w:top w:w="15" w:type="dxa"/>
              <w:left w:w="15" w:type="dxa"/>
              <w:bottom w:w="0" w:type="dxa"/>
              <w:right w:w="15" w:type="dxa"/>
            </w:tcMar>
            <w:vAlign w:val="bottom"/>
          </w:tcPr>
          <w:p w14:paraId="3B28C605" w14:textId="76ED29B0" w:rsidR="004E06B5" w:rsidRPr="004E06B5" w:rsidRDefault="004E06B5" w:rsidP="004E06B5">
            <w:pPr>
              <w:tabs>
                <w:tab w:val="left" w:pos="1350"/>
              </w:tabs>
              <w:spacing w:line="480" w:lineRule="auto"/>
              <w:jc w:val="both"/>
              <w:rPr>
                <w:rFonts w:ascii="Arial" w:hAnsi="Arial" w:cs="Arial"/>
                <w:color w:val="595959" w:themeColor="text1" w:themeTint="A6"/>
              </w:rPr>
            </w:pPr>
          </w:p>
        </w:tc>
      </w:tr>
      <w:tr w:rsidR="004E06B5" w:rsidRPr="004E06B5" w14:paraId="782D0396" w14:textId="77777777" w:rsidTr="004E06B5">
        <w:tc>
          <w:tcPr>
            <w:tcW w:w="0" w:type="auto"/>
            <w:tcBorders>
              <w:top w:val="nil"/>
              <w:left w:val="nil"/>
              <w:bottom w:val="nil"/>
              <w:right w:val="nil"/>
            </w:tcBorders>
            <w:shd w:val="clear" w:color="auto" w:fill="auto"/>
            <w:noWrap/>
            <w:tcMar>
              <w:top w:w="15" w:type="dxa"/>
              <w:left w:w="15" w:type="dxa"/>
              <w:bottom w:w="0" w:type="dxa"/>
              <w:right w:w="15" w:type="dxa"/>
            </w:tcMar>
            <w:vAlign w:val="bottom"/>
          </w:tcPr>
          <w:p w14:paraId="38EA41A1"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tcPr>
          <w:p w14:paraId="0DE49203"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tcPr>
          <w:p w14:paraId="14C22C5F"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tc>
      </w:tr>
    </w:tbl>
    <w:p w14:paraId="71EF91D7" w14:textId="66A691DE" w:rsidR="004E06B5" w:rsidRPr="004E06B5" w:rsidRDefault="004E06B5" w:rsidP="004E06B5">
      <w:pPr>
        <w:tabs>
          <w:tab w:val="left" w:pos="1350"/>
        </w:tabs>
        <w:spacing w:line="480" w:lineRule="auto"/>
        <w:jc w:val="both"/>
        <w:rPr>
          <w:rFonts w:ascii="Arial" w:hAnsi="Arial" w:cs="Arial"/>
          <w:color w:val="595959" w:themeColor="text1" w:themeTint="A6"/>
        </w:rPr>
      </w:pPr>
    </w:p>
    <w:p w14:paraId="0EBAEB28" w14:textId="23EDB862" w:rsidR="004E06B5" w:rsidRPr="004E06B5" w:rsidRDefault="004E06B5" w:rsidP="004E06B5">
      <w:pPr>
        <w:tabs>
          <w:tab w:val="left" w:pos="1350"/>
        </w:tabs>
        <w:spacing w:line="480" w:lineRule="auto"/>
        <w:jc w:val="both"/>
        <w:rPr>
          <w:rFonts w:ascii="Arial" w:hAnsi="Arial" w:cs="Arial"/>
          <w:color w:val="595959" w:themeColor="text1" w:themeTint="A6"/>
        </w:rPr>
      </w:pPr>
    </w:p>
    <w:p w14:paraId="33DC0F5C" w14:textId="5AA3DA18" w:rsidR="004E06B5" w:rsidRPr="004E06B5" w:rsidRDefault="004E06B5" w:rsidP="004E06B5">
      <w:pPr>
        <w:tabs>
          <w:tab w:val="left" w:pos="1350"/>
        </w:tabs>
        <w:spacing w:line="480" w:lineRule="auto"/>
        <w:jc w:val="both"/>
        <w:rPr>
          <w:rFonts w:ascii="Arial" w:hAnsi="Arial" w:cs="Arial"/>
          <w:color w:val="595959" w:themeColor="text1" w:themeTint="A6"/>
        </w:rPr>
      </w:pPr>
    </w:p>
    <w:p w14:paraId="1C460E3F" w14:textId="35BC8FA0" w:rsidR="004E06B5" w:rsidRPr="004E06B5" w:rsidRDefault="004E06B5" w:rsidP="004E06B5">
      <w:pPr>
        <w:tabs>
          <w:tab w:val="left" w:pos="1350"/>
        </w:tabs>
        <w:spacing w:line="480" w:lineRule="auto"/>
        <w:jc w:val="both"/>
        <w:rPr>
          <w:rFonts w:ascii="Arial" w:hAnsi="Arial" w:cs="Arial"/>
          <w:color w:val="595959" w:themeColor="text1" w:themeTint="A6"/>
        </w:rPr>
      </w:pPr>
    </w:p>
    <w:p w14:paraId="469D47D9"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1ADA3C2E"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41437D37"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55276BEA"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6463CE0A"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63E45442" w14:textId="77777777" w:rsidR="004E06B5" w:rsidRPr="004E06B5" w:rsidRDefault="004E06B5" w:rsidP="004E06B5">
      <w:pPr>
        <w:tabs>
          <w:tab w:val="left" w:pos="1350"/>
        </w:tabs>
        <w:spacing w:line="480" w:lineRule="auto"/>
        <w:jc w:val="both"/>
        <w:rPr>
          <w:rFonts w:ascii="Arial" w:hAnsi="Arial" w:cs="Arial"/>
          <w:color w:val="595959" w:themeColor="text1" w:themeTint="A6"/>
        </w:rPr>
      </w:pPr>
      <w:r w:rsidRPr="004E06B5">
        <w:rPr>
          <w:rFonts w:ascii="Arial" w:hAnsi="Arial" w:cs="Arial"/>
          <w:noProof/>
          <w:color w:val="595959" w:themeColor="text1" w:themeTint="A6"/>
          <w:lang w:eastAsia="zh-CN"/>
        </w:rPr>
        <w:drawing>
          <wp:anchor distT="0" distB="0" distL="114300" distR="114300" simplePos="0" relativeHeight="251654140" behindDoc="0" locked="0" layoutInCell="1" allowOverlap="1" wp14:anchorId="41138AFA" wp14:editId="4BCC3426">
            <wp:simplePos x="0" y="0"/>
            <wp:positionH relativeFrom="column">
              <wp:posOffset>0</wp:posOffset>
            </wp:positionH>
            <wp:positionV relativeFrom="paragraph">
              <wp:posOffset>3810</wp:posOffset>
            </wp:positionV>
            <wp:extent cx="5639435" cy="2688590"/>
            <wp:effectExtent l="0" t="0" r="0" b="0"/>
            <wp:wrapNone/>
            <wp:docPr id="5352" name="Picture 5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639435" cy="2688590"/>
                    </a:xfrm>
                    <a:prstGeom prst="rect">
                      <a:avLst/>
                    </a:prstGeom>
                    <a:noFill/>
                  </pic:spPr>
                </pic:pic>
              </a:graphicData>
            </a:graphic>
          </wp:anchor>
        </w:drawing>
      </w:r>
    </w:p>
    <w:p w14:paraId="49816721" w14:textId="40E78369" w:rsidR="004E06B5" w:rsidRPr="004E06B5" w:rsidRDefault="004E06B5" w:rsidP="004E06B5">
      <w:pPr>
        <w:tabs>
          <w:tab w:val="left" w:pos="1350"/>
        </w:tabs>
        <w:spacing w:line="480" w:lineRule="auto"/>
        <w:jc w:val="both"/>
        <w:rPr>
          <w:rFonts w:ascii="Arial" w:hAnsi="Arial" w:cs="Arial"/>
          <w:color w:val="595959" w:themeColor="text1" w:themeTint="A6"/>
        </w:rPr>
      </w:pPr>
    </w:p>
    <w:p w14:paraId="045E4033"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2ED18486" w14:textId="057F0E13" w:rsidR="004E06B5" w:rsidRPr="004E06B5" w:rsidRDefault="004E06B5" w:rsidP="004E06B5">
      <w:pPr>
        <w:tabs>
          <w:tab w:val="left" w:pos="1350"/>
        </w:tabs>
        <w:spacing w:line="480" w:lineRule="auto"/>
        <w:jc w:val="both"/>
        <w:rPr>
          <w:rFonts w:ascii="Arial" w:hAnsi="Arial" w:cs="Arial"/>
          <w:color w:val="595959" w:themeColor="text1" w:themeTint="A6"/>
        </w:rPr>
      </w:pPr>
    </w:p>
    <w:p w14:paraId="36D5D1A9" w14:textId="2E8BFEE0" w:rsidR="004E06B5" w:rsidRPr="004E06B5" w:rsidRDefault="00E9162F" w:rsidP="004E06B5">
      <w:pPr>
        <w:tabs>
          <w:tab w:val="left" w:pos="1350"/>
        </w:tabs>
        <w:spacing w:line="480" w:lineRule="auto"/>
        <w:jc w:val="both"/>
        <w:rPr>
          <w:rFonts w:ascii="Arial" w:hAnsi="Arial" w:cs="Arial"/>
          <w:color w:val="595959" w:themeColor="text1" w:themeTint="A6"/>
        </w:rPr>
      </w:pPr>
      <w:r>
        <w:rPr>
          <w:rFonts w:ascii="Arial" w:hAnsi="Arial" w:cs="Arial"/>
          <w:noProof/>
          <w:color w:val="595959" w:themeColor="text1" w:themeTint="A6"/>
        </w:rPr>
        <mc:AlternateContent>
          <mc:Choice Requires="wps">
            <w:drawing>
              <wp:anchor distT="0" distB="0" distL="114300" distR="114300" simplePos="0" relativeHeight="251684107" behindDoc="0" locked="0" layoutInCell="1" allowOverlap="1" wp14:anchorId="4BBDAA3F" wp14:editId="19F5BA31">
                <wp:simplePos x="0" y="0"/>
                <wp:positionH relativeFrom="column">
                  <wp:posOffset>1588135</wp:posOffset>
                </wp:positionH>
                <wp:positionV relativeFrom="paragraph">
                  <wp:posOffset>389355</wp:posOffset>
                </wp:positionV>
                <wp:extent cx="423512" cy="0"/>
                <wp:effectExtent l="0" t="19050" r="34290" b="19050"/>
                <wp:wrapNone/>
                <wp:docPr id="5597" name="Straight Connector 5597"/>
                <wp:cNvGraphicFramePr/>
                <a:graphic xmlns:a="http://schemas.openxmlformats.org/drawingml/2006/main">
                  <a:graphicData uri="http://schemas.microsoft.com/office/word/2010/wordprocessingShape">
                    <wps:wsp>
                      <wps:cNvCnPr/>
                      <wps:spPr>
                        <a:xfrm>
                          <a:off x="0" y="0"/>
                          <a:ext cx="423512" cy="0"/>
                        </a:xfrm>
                        <a:prstGeom prst="line">
                          <a:avLst/>
                        </a:prstGeom>
                        <a:ln w="28575"/>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5A2019C" id="Straight Connector 5597" o:spid="_x0000_s1026" style="position:absolute;z-index:251684107;visibility:visible;mso-wrap-style:square;mso-wrap-distance-left:9pt;mso-wrap-distance-top:0;mso-wrap-distance-right:9pt;mso-wrap-distance-bottom:0;mso-position-horizontal:absolute;mso-position-horizontal-relative:text;mso-position-vertical:absolute;mso-position-vertical-relative:text" from="125.05pt,30.65pt" to="158.4pt,3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" strokecolor="black [3200]" strokeweight="2.25pt">
                <v:stroke joinstyle="miter"/>
              </v:line>
            </w:pict>
          </mc:Fallback>
        </mc:AlternateContent>
      </w:r>
      <w:r w:rsidR="00634761" w:rsidRPr="00BC2FAE">
        <w:rPr>
          <w:rFonts w:ascii="Arial" w:hAnsi="Arial" w:cs="Arial"/>
          <w:noProof/>
          <w:color w:val="595959" w:themeColor="text1" w:themeTint="A6"/>
        </w:rPr>
        <mc:AlternateContent>
          <mc:Choice Requires="wps">
            <w:drawing>
              <wp:anchor distT="45720" distB="45720" distL="114300" distR="114300" simplePos="0" relativeHeight="251683083" behindDoc="0" locked="0" layoutInCell="1" allowOverlap="1" wp14:anchorId="19CB6347" wp14:editId="35FF54AA">
                <wp:simplePos x="0" y="0"/>
                <wp:positionH relativeFrom="margin">
                  <wp:posOffset>1674495</wp:posOffset>
                </wp:positionH>
                <wp:positionV relativeFrom="paragraph">
                  <wp:posOffset>354430</wp:posOffset>
                </wp:positionV>
                <wp:extent cx="288290" cy="349250"/>
                <wp:effectExtent l="0" t="0" r="0" b="0"/>
                <wp:wrapNone/>
                <wp:docPr id="55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290" cy="349250"/>
                        </a:xfrm>
                        <a:prstGeom prst="rect">
                          <a:avLst/>
                        </a:prstGeom>
                        <a:solidFill>
                          <a:srgbClr val="FFFFFF"/>
                        </a:solidFill>
                        <a:ln w="9525">
                          <a:noFill/>
                          <a:miter lim="800000"/>
                          <a:headEnd/>
                          <a:tailEnd/>
                        </a:ln>
                      </wps:spPr>
                      <wps:txbx>
                        <w:txbxContent>
                          <w:p w14:paraId="5DA4FCBF" w14:textId="4C83FAC4" w:rsidR="008A47AC" w:rsidRPr="00B44C94" w:rsidRDefault="008A47AC" w:rsidP="008675FC">
                            <w:pPr>
                              <w:jc w:val="center"/>
                              <w:rPr>
                                <w:b/>
                                <w:bCs/>
                                <w:sz w:val="32"/>
                                <w:szCs w:val="32"/>
                              </w:rPr>
                            </w:pPr>
                            <w:r w:rsidRPr="00B44C94">
                              <w:rPr>
                                <w:b/>
                                <w:bCs/>
                                <w:sz w:val="28"/>
                                <w:szCs w:val="28"/>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CB6347" id="_x0000_s1179" type="#_x0000_t202" style="position:absolute;left:0;text-align:left;margin-left:131.85pt;margin-top:27.9pt;width:22.7pt;height:27.5pt;z-index:251683083;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" stroked="f">
                <v:textbox>
                  <w:txbxContent>
                    <w:p w14:paraId="5DA4FCBF" w14:textId="4C83FAC4" w:rsidR="008A47AC" w:rsidRPr="00B44C94" w:rsidRDefault="008A47AC" w:rsidP="008675FC">
                      <w:pPr>
                        <w:jc w:val="center"/>
                        <w:rPr>
                          <w:b/>
                          <w:bCs/>
                          <w:sz w:val="32"/>
                          <w:szCs w:val="32"/>
                        </w:rPr>
                      </w:pPr>
                      <w:r w:rsidRPr="00B44C94">
                        <w:rPr>
                          <w:b/>
                          <w:bCs/>
                          <w:sz w:val="28"/>
                          <w:szCs w:val="28"/>
                        </w:rPr>
                        <w:t>2</w:t>
                      </w:r>
                    </w:p>
                  </w:txbxContent>
                </v:textbox>
                <w10:wrap anchorx="margin"/>
              </v:shape>
            </w:pict>
          </mc:Fallback>
        </mc:AlternateContent>
      </w:r>
    </w:p>
    <w:p w14:paraId="43D91716" w14:textId="66C2CDF4" w:rsidR="004E06B5" w:rsidRPr="004E06B5" w:rsidRDefault="004E06B5" w:rsidP="004E06B5">
      <w:pPr>
        <w:tabs>
          <w:tab w:val="left" w:pos="1350"/>
        </w:tabs>
        <w:spacing w:line="480" w:lineRule="auto"/>
        <w:jc w:val="both"/>
        <w:rPr>
          <w:rFonts w:ascii="Arial" w:hAnsi="Arial" w:cs="Arial"/>
          <w:color w:val="595959" w:themeColor="text1" w:themeTint="A6"/>
        </w:rPr>
      </w:pPr>
    </w:p>
    <w:p w14:paraId="7A5786E6"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0ADF1294" w14:textId="77777777" w:rsidR="004E06B5" w:rsidRPr="004E06B5" w:rsidRDefault="004E06B5" w:rsidP="004E06B5">
      <w:pPr>
        <w:tabs>
          <w:tab w:val="left" w:pos="1350"/>
        </w:tabs>
        <w:spacing w:line="480" w:lineRule="auto"/>
        <w:jc w:val="both"/>
        <w:rPr>
          <w:rFonts w:ascii="Arial" w:hAnsi="Arial" w:cs="Arial"/>
          <w:color w:val="595959" w:themeColor="text1" w:themeTint="A6"/>
        </w:rPr>
      </w:pPr>
      <w:r w:rsidRPr="004E06B5">
        <w:rPr>
          <w:rFonts w:ascii="Arial" w:hAnsi="Arial" w:cs="Arial"/>
          <w:noProof/>
          <w:color w:val="595959" w:themeColor="text1" w:themeTint="A6"/>
          <w:lang w:eastAsia="zh-CN"/>
        </w:rPr>
        <w:drawing>
          <wp:anchor distT="0" distB="0" distL="114300" distR="114300" simplePos="0" relativeHeight="251658435" behindDoc="0" locked="0" layoutInCell="1" allowOverlap="1" wp14:anchorId="6DC9031C" wp14:editId="28871467">
            <wp:simplePos x="0" y="0"/>
            <wp:positionH relativeFrom="margin">
              <wp:posOffset>0</wp:posOffset>
            </wp:positionH>
            <wp:positionV relativeFrom="paragraph">
              <wp:posOffset>21904960</wp:posOffset>
            </wp:positionV>
            <wp:extent cx="6297930" cy="4645660"/>
            <wp:effectExtent l="0" t="0" r="7620" b="0"/>
            <wp:wrapNone/>
            <wp:docPr id="5353" name="Picture 5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6297930" cy="4645660"/>
                    </a:xfrm>
                    <a:prstGeom prst="rect">
                      <a:avLst/>
                    </a:prstGeom>
                    <a:noFill/>
                  </pic:spPr>
                </pic:pic>
              </a:graphicData>
            </a:graphic>
          </wp:anchor>
        </w:drawing>
      </w:r>
    </w:p>
    <w:p w14:paraId="2AD87655"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4D40680E"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3AE4BE5F"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746821D1" w14:textId="77777777" w:rsidR="004E06B5" w:rsidRPr="004E06B5" w:rsidRDefault="004E06B5" w:rsidP="004E06B5">
      <w:pPr>
        <w:tabs>
          <w:tab w:val="left" w:pos="1350"/>
        </w:tabs>
        <w:spacing w:line="480" w:lineRule="auto"/>
        <w:jc w:val="both"/>
        <w:rPr>
          <w:rFonts w:ascii="Arial" w:hAnsi="Arial" w:cs="Arial"/>
          <w:color w:val="595959" w:themeColor="text1" w:themeTint="A6"/>
        </w:rPr>
      </w:pPr>
      <w:r w:rsidRPr="004E06B5">
        <w:rPr>
          <w:rFonts w:ascii="Arial" w:hAnsi="Arial" w:cs="Arial"/>
          <w:noProof/>
          <w:color w:val="595959" w:themeColor="text1" w:themeTint="A6"/>
          <w:sz w:val="24"/>
          <w:szCs w:val="24"/>
          <w:lang w:eastAsia="zh-CN"/>
        </w:rPr>
        <mc:AlternateContent>
          <mc:Choice Requires="wps">
            <w:drawing>
              <wp:anchor distT="0" distB="0" distL="114300" distR="114300" simplePos="0" relativeHeight="251658433" behindDoc="0" locked="0" layoutInCell="1" allowOverlap="1" wp14:anchorId="52BCF19F" wp14:editId="61266984">
                <wp:simplePos x="0" y="0"/>
                <wp:positionH relativeFrom="margin">
                  <wp:posOffset>1</wp:posOffset>
                </wp:positionH>
                <wp:positionV relativeFrom="paragraph">
                  <wp:posOffset>23495</wp:posOffset>
                </wp:positionV>
                <wp:extent cx="5734050" cy="1243965"/>
                <wp:effectExtent l="0" t="0" r="0" b="0"/>
                <wp:wrapNone/>
                <wp:docPr id="21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1243965"/>
                        </a:xfrm>
                        <a:prstGeom prst="rect">
                          <a:avLst/>
                        </a:prstGeom>
                        <a:solidFill>
                          <a:srgbClr val="FFFFFF"/>
                        </a:solidFill>
                        <a:ln w="9525">
                          <a:noFill/>
                          <a:miter lim="800000"/>
                          <a:headEnd/>
                          <a:tailEnd/>
                        </a:ln>
                      </wps:spPr>
                      <wps:txbx>
                        <w:txbxContent>
                          <w:p w14:paraId="76CF93FA" w14:textId="77777777" w:rsidR="008A47AC" w:rsidRDefault="008A47AC" w:rsidP="004E06B5">
                            <w:pPr>
                              <w:pStyle w:val="NormalWeb"/>
                              <w:spacing w:after="200"/>
                              <w:jc w:val="both"/>
                            </w:pPr>
                            <w:r>
                              <w:rPr>
                                <w:rFonts w:ascii="Arial Narrow" w:eastAsia="SimSun" w:hAnsi="Arial Narrow" w:cs="Arial"/>
                                <w:b/>
                                <w:bCs/>
                                <w:color w:val="595959"/>
                                <w:kern w:val="24"/>
                                <w:sz w:val="22"/>
                                <w:szCs w:val="22"/>
                              </w:rPr>
                              <w:t xml:space="preserve">Figure 5.6 Analysis of tissue-engineered oral mucosa model metabolism </w:t>
                            </w:r>
                            <w:r w:rsidRPr="00A40702">
                              <w:rPr>
                                <w:rFonts w:ascii="Arial Narrow" w:eastAsia="SimSun" w:hAnsi="Arial Narrow" w:cs="Arial"/>
                                <w:b/>
                                <w:bCs/>
                                <w:i/>
                                <w:color w:val="595959"/>
                                <w:kern w:val="24"/>
                                <w:sz w:val="22"/>
                                <w:szCs w:val="22"/>
                              </w:rPr>
                              <w:t>in vitro</w:t>
                            </w:r>
                          </w:p>
                          <w:p w14:paraId="146CC826" w14:textId="77777777" w:rsidR="008A47AC" w:rsidRDefault="008A47AC" w:rsidP="004E06B5">
                            <w:pPr>
                              <w:pStyle w:val="NormalWeb"/>
                              <w:spacing w:after="200" w:line="276" w:lineRule="auto"/>
                              <w:jc w:val="both"/>
                              <w:rPr>
                                <w:rFonts w:ascii="Arial Narrow" w:eastAsia="SimSun" w:hAnsi="Arial Narrow" w:cs="Arial"/>
                                <w:color w:val="595959"/>
                                <w:kern w:val="24"/>
                                <w:sz w:val="22"/>
                                <w:szCs w:val="22"/>
                              </w:rPr>
                            </w:pPr>
                            <w:r>
                              <w:rPr>
                                <w:rFonts w:ascii="Arial Narrow" w:eastAsia="SimSun" w:hAnsi="Arial Narrow" w:cs="Arial"/>
                                <w:color w:val="595959"/>
                                <w:kern w:val="24"/>
                                <w:sz w:val="22"/>
                                <w:szCs w:val="22"/>
                              </w:rPr>
                              <w:t xml:space="preserve">Metabolism of </w:t>
                            </w:r>
                            <w:r w:rsidRPr="009E4991">
                              <w:rPr>
                                <w:rFonts w:ascii="Arial Narrow" w:eastAsia="SimSun" w:hAnsi="Arial Narrow" w:cs="Arial"/>
                                <w:color w:val="595959"/>
                                <w:kern w:val="24"/>
                                <w:sz w:val="22"/>
                                <w:szCs w:val="22"/>
                              </w:rPr>
                              <w:t xml:space="preserve">normal (FNB6) and OSCC (H357) keratinocytes </w:t>
                            </w:r>
                            <w:r>
                              <w:rPr>
                                <w:rFonts w:ascii="Arial Narrow" w:eastAsia="SimSun" w:hAnsi="Arial Narrow" w:cs="Arial"/>
                                <w:color w:val="595959"/>
                                <w:kern w:val="24"/>
                                <w:sz w:val="22"/>
                                <w:szCs w:val="22"/>
                              </w:rPr>
                              <w:t xml:space="preserve">was assessed over-time in tissue-engineered full thickness models for 12 days </w:t>
                            </w:r>
                            <w:r w:rsidRPr="00A708E4">
                              <w:rPr>
                                <w:rFonts w:ascii="Arial Narrow" w:eastAsia="SimSun" w:hAnsi="Arial Narrow" w:cs="Arial"/>
                                <w:i/>
                                <w:color w:val="595959"/>
                                <w:kern w:val="24"/>
                                <w:sz w:val="22"/>
                                <w:szCs w:val="22"/>
                              </w:rPr>
                              <w:t>in vitro</w:t>
                            </w:r>
                            <w:r>
                              <w:rPr>
                                <w:rFonts w:ascii="Arial Narrow" w:eastAsia="SimSun" w:hAnsi="Arial Narrow" w:cs="Arial"/>
                                <w:color w:val="595959"/>
                                <w:kern w:val="24"/>
                                <w:sz w:val="22"/>
                                <w:szCs w:val="22"/>
                              </w:rPr>
                              <w:t xml:space="preserve"> (circle= TENOM model, square = TEAOM model, star= TESCCM) Data is presented as mean ± SD (N=3, n=2).</w:t>
                            </w:r>
                          </w:p>
                          <w:p w14:paraId="2C4703B1" w14:textId="77777777" w:rsidR="008A47AC" w:rsidRDefault="008A47AC" w:rsidP="004E06B5">
                            <w:pPr>
                              <w:pStyle w:val="NormalWeb"/>
                              <w:spacing w:after="200"/>
                              <w:jc w:val="both"/>
                              <w:rPr>
                                <w:rFonts w:ascii="Arial Narrow" w:eastAsia="SimSun" w:hAnsi="Arial Narrow" w:cs="Arial"/>
                                <w:color w:val="595959"/>
                                <w:kern w:val="24"/>
                                <w:sz w:val="22"/>
                                <w:szCs w:val="22"/>
                              </w:rPr>
                            </w:pPr>
                          </w:p>
                          <w:p w14:paraId="3B656562" w14:textId="77777777" w:rsidR="008A47AC" w:rsidRDefault="008A47AC" w:rsidP="004E06B5">
                            <w:pPr>
                              <w:pStyle w:val="NormalWeb"/>
                              <w:spacing w:after="200"/>
                              <w:jc w:val="both"/>
                            </w:pPr>
                          </w:p>
                          <w:p w14:paraId="3BEF3067" w14:textId="77777777" w:rsidR="008A47AC" w:rsidRDefault="008A47AC" w:rsidP="004E06B5">
                            <w:pPr>
                              <w:pStyle w:val="NormalWeb"/>
                              <w:spacing w:after="200"/>
                              <w:jc w:val="both"/>
                            </w:pPr>
                          </w:p>
                          <w:p w14:paraId="6220A40D" w14:textId="77777777" w:rsidR="008A47AC" w:rsidRDefault="008A47AC" w:rsidP="004E06B5">
                            <w:pPr>
                              <w:pStyle w:val="NormalWeb"/>
                              <w:spacing w:after="200"/>
                              <w:jc w:val="both"/>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BCF19F" id="_x0000_s1180" type="#_x0000_t202" style="position:absolute;left:0;text-align:left;margin-left:0;margin-top:1.85pt;width:451.5pt;height:97.95pt;z-index:25165843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" stroked="f">
                <v:textbox>
                  <w:txbxContent>
                    <w:p w14:paraId="76CF93FA" w14:textId="77777777" w:rsidR="008A47AC" w:rsidRDefault="008A47AC" w:rsidP="004E06B5">
                      <w:pPr>
                        <w:pStyle w:val="NormalWeb"/>
                        <w:spacing w:after="200"/>
                        <w:jc w:val="both"/>
                      </w:pPr>
                      <w:r>
                        <w:rPr>
                          <w:rFonts w:ascii="Arial Narrow" w:eastAsia="SimSun" w:hAnsi="Arial Narrow" w:cs="Arial"/>
                          <w:b/>
                          <w:bCs/>
                          <w:color w:val="595959"/>
                          <w:kern w:val="24"/>
                          <w:sz w:val="22"/>
                          <w:szCs w:val="22"/>
                        </w:rPr>
                        <w:t xml:space="preserve">Figure 5.6 Analysis of tissue-engineered oral mucosa model metabolism </w:t>
                      </w:r>
                      <w:r w:rsidRPr="00A40702">
                        <w:rPr>
                          <w:rFonts w:ascii="Arial Narrow" w:eastAsia="SimSun" w:hAnsi="Arial Narrow" w:cs="Arial"/>
                          <w:b/>
                          <w:bCs/>
                          <w:i/>
                          <w:color w:val="595959"/>
                          <w:kern w:val="24"/>
                          <w:sz w:val="22"/>
                          <w:szCs w:val="22"/>
                        </w:rPr>
                        <w:t>in vitro</w:t>
                      </w:r>
                    </w:p>
                    <w:p w14:paraId="146CC826" w14:textId="77777777" w:rsidR="008A47AC" w:rsidRDefault="008A47AC" w:rsidP="004E06B5">
                      <w:pPr>
                        <w:pStyle w:val="NormalWeb"/>
                        <w:spacing w:after="200" w:line="276" w:lineRule="auto"/>
                        <w:jc w:val="both"/>
                        <w:rPr>
                          <w:rFonts w:ascii="Arial Narrow" w:eastAsia="SimSun" w:hAnsi="Arial Narrow" w:cs="Arial"/>
                          <w:color w:val="595959"/>
                          <w:kern w:val="24"/>
                          <w:sz w:val="22"/>
                          <w:szCs w:val="22"/>
                        </w:rPr>
                      </w:pPr>
                      <w:r>
                        <w:rPr>
                          <w:rFonts w:ascii="Arial Narrow" w:eastAsia="SimSun" w:hAnsi="Arial Narrow" w:cs="Arial"/>
                          <w:color w:val="595959"/>
                          <w:kern w:val="24"/>
                          <w:sz w:val="22"/>
                          <w:szCs w:val="22"/>
                        </w:rPr>
                        <w:t xml:space="preserve">Metabolism of </w:t>
                      </w:r>
                      <w:r w:rsidRPr="009E4991">
                        <w:rPr>
                          <w:rFonts w:ascii="Arial Narrow" w:eastAsia="SimSun" w:hAnsi="Arial Narrow" w:cs="Arial"/>
                          <w:color w:val="595959"/>
                          <w:kern w:val="24"/>
                          <w:sz w:val="22"/>
                          <w:szCs w:val="22"/>
                        </w:rPr>
                        <w:t xml:space="preserve">normal (FNB6) and OSCC (H357) keratinocytes </w:t>
                      </w:r>
                      <w:r>
                        <w:rPr>
                          <w:rFonts w:ascii="Arial Narrow" w:eastAsia="SimSun" w:hAnsi="Arial Narrow" w:cs="Arial"/>
                          <w:color w:val="595959"/>
                          <w:kern w:val="24"/>
                          <w:sz w:val="22"/>
                          <w:szCs w:val="22"/>
                        </w:rPr>
                        <w:t xml:space="preserve">was assessed over-time in tissue-engineered full thickness models for 12 days </w:t>
                      </w:r>
                      <w:r w:rsidRPr="00A708E4">
                        <w:rPr>
                          <w:rFonts w:ascii="Arial Narrow" w:eastAsia="SimSun" w:hAnsi="Arial Narrow" w:cs="Arial"/>
                          <w:i/>
                          <w:color w:val="595959"/>
                          <w:kern w:val="24"/>
                          <w:sz w:val="22"/>
                          <w:szCs w:val="22"/>
                        </w:rPr>
                        <w:t>in vitro</w:t>
                      </w:r>
                      <w:r>
                        <w:rPr>
                          <w:rFonts w:ascii="Arial Narrow" w:eastAsia="SimSun" w:hAnsi="Arial Narrow" w:cs="Arial"/>
                          <w:color w:val="595959"/>
                          <w:kern w:val="24"/>
                          <w:sz w:val="22"/>
                          <w:szCs w:val="22"/>
                        </w:rPr>
                        <w:t xml:space="preserve"> (circle= TENOM model, square = TEAOM model, star= TESCCM) Data is presented as mean ± SD (N=3, n=2).</w:t>
                      </w:r>
                    </w:p>
                    <w:p w14:paraId="2C4703B1" w14:textId="77777777" w:rsidR="008A47AC" w:rsidRDefault="008A47AC" w:rsidP="004E06B5">
                      <w:pPr>
                        <w:pStyle w:val="NormalWeb"/>
                        <w:spacing w:after="200"/>
                        <w:jc w:val="both"/>
                        <w:rPr>
                          <w:rFonts w:ascii="Arial Narrow" w:eastAsia="SimSun" w:hAnsi="Arial Narrow" w:cs="Arial"/>
                          <w:color w:val="595959"/>
                          <w:kern w:val="24"/>
                          <w:sz w:val="22"/>
                          <w:szCs w:val="22"/>
                        </w:rPr>
                      </w:pPr>
                    </w:p>
                    <w:p w14:paraId="3B656562" w14:textId="77777777" w:rsidR="008A47AC" w:rsidRDefault="008A47AC" w:rsidP="004E06B5">
                      <w:pPr>
                        <w:pStyle w:val="NormalWeb"/>
                        <w:spacing w:after="200"/>
                        <w:jc w:val="both"/>
                      </w:pPr>
                    </w:p>
                    <w:p w14:paraId="3BEF3067" w14:textId="77777777" w:rsidR="008A47AC" w:rsidRDefault="008A47AC" w:rsidP="004E06B5">
                      <w:pPr>
                        <w:pStyle w:val="NormalWeb"/>
                        <w:spacing w:after="200"/>
                        <w:jc w:val="both"/>
                      </w:pPr>
                    </w:p>
                    <w:p w14:paraId="6220A40D" w14:textId="77777777" w:rsidR="008A47AC" w:rsidRDefault="008A47AC" w:rsidP="004E06B5">
                      <w:pPr>
                        <w:pStyle w:val="NormalWeb"/>
                        <w:spacing w:after="200"/>
                        <w:jc w:val="both"/>
                      </w:pPr>
                    </w:p>
                  </w:txbxContent>
                </v:textbox>
                <w10:wrap anchorx="margin"/>
              </v:shape>
            </w:pict>
          </mc:Fallback>
        </mc:AlternateContent>
      </w:r>
    </w:p>
    <w:p w14:paraId="59E650ED"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73BB73A1"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794FD807"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071F7E28" w14:textId="15133647" w:rsidR="004E06B5" w:rsidRDefault="004E06B5" w:rsidP="004E06B5">
      <w:pPr>
        <w:tabs>
          <w:tab w:val="left" w:pos="1350"/>
        </w:tabs>
        <w:spacing w:line="480" w:lineRule="auto"/>
        <w:jc w:val="both"/>
        <w:rPr>
          <w:rFonts w:ascii="Arial" w:hAnsi="Arial" w:cs="Arial"/>
          <w:color w:val="595959" w:themeColor="text1" w:themeTint="A6"/>
        </w:rPr>
      </w:pPr>
    </w:p>
    <w:p w14:paraId="1D160F6C" w14:textId="77777777" w:rsidR="00626979" w:rsidRPr="004E06B5" w:rsidRDefault="00626979" w:rsidP="004E06B5">
      <w:pPr>
        <w:tabs>
          <w:tab w:val="left" w:pos="1350"/>
        </w:tabs>
        <w:spacing w:line="480" w:lineRule="auto"/>
        <w:jc w:val="both"/>
        <w:rPr>
          <w:rFonts w:ascii="Arial" w:hAnsi="Arial" w:cs="Arial"/>
          <w:color w:val="595959" w:themeColor="text1" w:themeTint="A6"/>
        </w:rPr>
      </w:pPr>
    </w:p>
    <w:p w14:paraId="5E377083"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0FE44356" w14:textId="6E8CD23D" w:rsidR="004E06B5" w:rsidRDefault="004E06B5" w:rsidP="00126AA8">
      <w:pPr>
        <w:pStyle w:val="Heading3"/>
        <w:rPr>
          <w:rFonts w:ascii="Arial" w:hAnsi="Arial" w:cs="Arial"/>
          <w:color w:val="595959" w:themeColor="text1" w:themeTint="A6"/>
        </w:rPr>
      </w:pPr>
      <w:bookmarkStart w:id="454" w:name="_Toc34208452"/>
      <w:r w:rsidRPr="004E06B5">
        <w:rPr>
          <w:rFonts w:ascii="Arial" w:hAnsi="Arial" w:cs="Arial"/>
          <w:color w:val="595959" w:themeColor="text1" w:themeTint="A6"/>
        </w:rPr>
        <w:lastRenderedPageBreak/>
        <w:t>5.3.2 Generation of tissue-engineered full-thickness oral mucosa models</w:t>
      </w:r>
      <w:bookmarkEnd w:id="454"/>
    </w:p>
    <w:p w14:paraId="1665B71B" w14:textId="0F88DF8A" w:rsidR="00126AA8" w:rsidRPr="00126AA8" w:rsidRDefault="00126AA8" w:rsidP="00126AA8"/>
    <w:p w14:paraId="42F7E361" w14:textId="3A0BD49D" w:rsidR="004E06B5" w:rsidRDefault="004E06B5" w:rsidP="00126AA8">
      <w:pPr>
        <w:pStyle w:val="Heading4"/>
        <w:rPr>
          <w:rFonts w:ascii="Arial" w:hAnsi="Arial" w:cs="Arial"/>
          <w:color w:val="595959" w:themeColor="text1" w:themeTint="A6"/>
        </w:rPr>
      </w:pPr>
      <w:bookmarkStart w:id="455" w:name="_Toc34208453"/>
      <w:r w:rsidRPr="004E06B5">
        <w:rPr>
          <w:rFonts w:ascii="Arial" w:hAnsi="Arial" w:cs="Arial"/>
          <w:color w:val="595959" w:themeColor="text1" w:themeTint="A6"/>
        </w:rPr>
        <w:t>5.3.2.1 Generation of a tissue-engineered full-thickness normal oral mucosa model</w:t>
      </w:r>
      <w:bookmarkEnd w:id="455"/>
    </w:p>
    <w:p w14:paraId="72E85463" w14:textId="77777777" w:rsidR="00126AA8" w:rsidRPr="00126AA8" w:rsidRDefault="00126AA8" w:rsidP="00126AA8"/>
    <w:p w14:paraId="3ADACF5D" w14:textId="0D9167D6" w:rsidR="004E06B5" w:rsidRPr="004E06B5" w:rsidRDefault="004E06B5" w:rsidP="004E06B5">
      <w:pPr>
        <w:tabs>
          <w:tab w:val="left" w:pos="1350"/>
        </w:tabs>
        <w:spacing w:line="480" w:lineRule="auto"/>
        <w:jc w:val="both"/>
        <w:rPr>
          <w:rFonts w:ascii="Arial" w:hAnsi="Arial" w:cs="Arial"/>
          <w:color w:val="595959" w:themeColor="text1" w:themeTint="A6"/>
        </w:rPr>
      </w:pPr>
      <w:r w:rsidRPr="004E06B5">
        <w:rPr>
          <w:rFonts w:ascii="Arial" w:hAnsi="Arial" w:cs="Arial"/>
          <w:color w:val="595959" w:themeColor="text1" w:themeTint="A6"/>
        </w:rPr>
        <w:t>To investigate if FDM could support the development of full thickness tissue-engineered normal oral mucosa (TENOM) models, NOF-DM were generated over a 28</w:t>
      </w:r>
      <w:r w:rsidR="004F6EDB">
        <w:rPr>
          <w:rFonts w:ascii="Arial" w:hAnsi="Arial" w:cs="Arial"/>
          <w:color w:val="595959" w:themeColor="text1" w:themeTint="A6"/>
        </w:rPr>
        <w:t>-</w:t>
      </w:r>
      <w:r w:rsidRPr="004E06B5">
        <w:rPr>
          <w:rFonts w:ascii="Arial" w:hAnsi="Arial" w:cs="Arial"/>
          <w:color w:val="595959" w:themeColor="text1" w:themeTint="A6"/>
        </w:rPr>
        <w:t xml:space="preserve">day culture period before the addition of normal FNB6 cells to the surface. The FNB6 models were initially </w:t>
      </w:r>
      <w:bookmarkStart w:id="456" w:name="_Hlk534212741"/>
      <w:r w:rsidRPr="004E06B5">
        <w:rPr>
          <w:rFonts w:ascii="Arial" w:hAnsi="Arial" w:cs="Arial"/>
          <w:color w:val="595959" w:themeColor="text1" w:themeTint="A6"/>
        </w:rPr>
        <w:t>cultured submerged for two days in Green’s media, before lifting the models to an air to liquid interface for a further 1</w:t>
      </w:r>
      <w:r w:rsidR="00FB65A6">
        <w:rPr>
          <w:rFonts w:ascii="Arial" w:hAnsi="Arial" w:cs="Arial"/>
          <w:color w:val="595959" w:themeColor="text1" w:themeTint="A6"/>
        </w:rPr>
        <w:t xml:space="preserve">0 </w:t>
      </w:r>
      <w:r w:rsidRPr="004E06B5">
        <w:rPr>
          <w:rFonts w:ascii="Arial" w:hAnsi="Arial" w:cs="Arial"/>
          <w:color w:val="595959" w:themeColor="text1" w:themeTint="A6"/>
        </w:rPr>
        <w:t>days and subsequently sectioned and stained with H&amp;E</w:t>
      </w:r>
      <w:r w:rsidR="006D442B">
        <w:rPr>
          <w:rFonts w:ascii="Arial" w:hAnsi="Arial" w:cs="Arial"/>
          <w:color w:val="595959" w:themeColor="text1" w:themeTint="A6"/>
        </w:rPr>
        <w:t xml:space="preserve"> (Figure 5.7)</w:t>
      </w:r>
      <w:r w:rsidRPr="004E06B5">
        <w:rPr>
          <w:rFonts w:ascii="Arial" w:hAnsi="Arial" w:cs="Arial"/>
          <w:color w:val="595959" w:themeColor="text1" w:themeTint="A6"/>
        </w:rPr>
        <w:t>.</w:t>
      </w:r>
      <w:bookmarkEnd w:id="456"/>
    </w:p>
    <w:p w14:paraId="7751F56E" w14:textId="2FFCB2DF" w:rsidR="004E06B5" w:rsidRPr="004E06B5" w:rsidRDefault="004E06B5" w:rsidP="004E06B5">
      <w:pPr>
        <w:tabs>
          <w:tab w:val="left" w:pos="1350"/>
        </w:tabs>
        <w:spacing w:line="480" w:lineRule="auto"/>
        <w:jc w:val="both"/>
        <w:rPr>
          <w:rFonts w:ascii="Arial" w:hAnsi="Arial" w:cs="Arial"/>
          <w:color w:val="595959" w:themeColor="text1" w:themeTint="A6"/>
        </w:rPr>
      </w:pPr>
      <w:r w:rsidRPr="004E06B5">
        <w:rPr>
          <w:rFonts w:ascii="Arial" w:hAnsi="Arial" w:cs="Arial"/>
          <w:color w:val="595959" w:themeColor="text1" w:themeTint="A6"/>
        </w:rPr>
        <w:t xml:space="preserve">Histological staining showed that the normal oral keratinocytes (FNB6) proliferated and migrated over the entire dermis as evident from the complete layer seen in a cross-section analysis across the whole insert (Figure 5.7 A). The resultant TENOM model demonstrated a fully stratified epithelium present on top of a fibroblast populated connective tissue component with well-defined layers. The basal cell compartment consisted of densely packed squamous, polarised cells lining the ECM compartment. There were distinct changes in epithelial cell morphology and density in the supra-basal compartment where the cell shape becomes more polyhedral and exhibits a broader, flattened morphology as the upper spinosum layers are reached (Figure 5.7 B). The surface layers contain flattened, non-nucleated cells with no evidence of keratinisation. In the prickle cell layer ‘spikey’ projections can be seen between epithelial cells which are desmosome attachments; made visible due to cell shrinkage during processing (Figure 5.7 C (iii, black arrows)). </w:t>
      </w:r>
      <w:r w:rsidR="004F6EDB">
        <w:rPr>
          <w:rFonts w:ascii="Arial" w:hAnsi="Arial" w:cs="Arial"/>
          <w:color w:val="595959" w:themeColor="text1" w:themeTint="A6"/>
        </w:rPr>
        <w:t xml:space="preserve">Rete ridges were also visible </w:t>
      </w:r>
      <w:r w:rsidR="007051D9">
        <w:rPr>
          <w:rFonts w:ascii="Arial" w:hAnsi="Arial" w:cs="Arial"/>
          <w:color w:val="595959" w:themeColor="text1" w:themeTint="A6"/>
        </w:rPr>
        <w:t xml:space="preserve">as epithelial projections in TENOM and visible across the model (appendix, </w:t>
      </w:r>
      <w:r w:rsidR="00E84280">
        <w:rPr>
          <w:rFonts w:ascii="Arial" w:hAnsi="Arial" w:cs="Arial"/>
          <w:color w:val="595959" w:themeColor="text1" w:themeTint="A6"/>
        </w:rPr>
        <w:t>Figure 7.4).</w:t>
      </w:r>
    </w:p>
    <w:p w14:paraId="1E416437"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4DAE5125"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336BD701"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4B23FDAE" w14:textId="367971CC" w:rsidR="004E06B5" w:rsidRDefault="004E06B5" w:rsidP="004E06B5">
      <w:pPr>
        <w:tabs>
          <w:tab w:val="left" w:pos="1350"/>
        </w:tabs>
        <w:spacing w:line="480" w:lineRule="auto"/>
        <w:jc w:val="both"/>
        <w:rPr>
          <w:rFonts w:ascii="Arial" w:hAnsi="Arial" w:cs="Arial"/>
          <w:color w:val="595959" w:themeColor="text1" w:themeTint="A6"/>
        </w:rPr>
      </w:pPr>
    </w:p>
    <w:p w14:paraId="6C0F8289" w14:textId="77777777" w:rsidR="008609E7" w:rsidRPr="004E06B5" w:rsidRDefault="008609E7" w:rsidP="004E06B5">
      <w:pPr>
        <w:tabs>
          <w:tab w:val="left" w:pos="1350"/>
        </w:tabs>
        <w:spacing w:line="480" w:lineRule="auto"/>
        <w:jc w:val="both"/>
        <w:rPr>
          <w:rFonts w:ascii="Arial" w:hAnsi="Arial" w:cs="Arial"/>
          <w:color w:val="595959" w:themeColor="text1" w:themeTint="A6"/>
        </w:rPr>
      </w:pPr>
    </w:p>
    <w:p w14:paraId="14B053C9"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03C35746" w14:textId="1E492595" w:rsidR="004E06B5" w:rsidRPr="004E06B5" w:rsidRDefault="008609E7" w:rsidP="008609E7">
      <w:pPr>
        <w:tabs>
          <w:tab w:val="left" w:pos="1350"/>
        </w:tabs>
        <w:spacing w:line="480" w:lineRule="auto"/>
        <w:jc w:val="both"/>
        <w:rPr>
          <w:rFonts w:ascii="Arial" w:hAnsi="Arial" w:cs="Arial"/>
          <w:color w:val="595959" w:themeColor="text1" w:themeTint="A6"/>
        </w:rPr>
      </w:pPr>
      <w:r>
        <w:rPr>
          <w:rFonts w:ascii="Arial" w:hAnsi="Arial" w:cs="Arial"/>
          <w:noProof/>
          <w:color w:val="595959" w:themeColor="text1" w:themeTint="A6"/>
        </w:rPr>
        <w:drawing>
          <wp:anchor distT="0" distB="0" distL="114300" distR="114300" simplePos="0" relativeHeight="251702539" behindDoc="0" locked="0" layoutInCell="1" allowOverlap="1" wp14:anchorId="03B67F34" wp14:editId="5D8E10E6">
            <wp:simplePos x="0" y="0"/>
            <wp:positionH relativeFrom="margin">
              <wp:posOffset>-304801</wp:posOffset>
            </wp:positionH>
            <wp:positionV relativeFrom="paragraph">
              <wp:posOffset>12700</wp:posOffset>
            </wp:positionV>
            <wp:extent cx="6717591" cy="3632200"/>
            <wp:effectExtent l="0" t="0" r="7620" b="6350"/>
            <wp:wrapNone/>
            <wp:docPr id="2060" name="Picture 2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6724586" cy="3635982"/>
                    </a:xfrm>
                    <a:prstGeom prst="rect">
                      <a:avLst/>
                    </a:prstGeom>
                    <a:noFill/>
                  </pic:spPr>
                </pic:pic>
              </a:graphicData>
            </a:graphic>
            <wp14:sizeRelH relativeFrom="margin">
              <wp14:pctWidth>0</wp14:pctWidth>
            </wp14:sizeRelH>
            <wp14:sizeRelV relativeFrom="margin">
              <wp14:pctHeight>0</wp14:pctHeight>
            </wp14:sizeRelV>
          </wp:anchor>
        </w:drawing>
      </w:r>
    </w:p>
    <w:p w14:paraId="77F7BDD1" w14:textId="2E85EDCC" w:rsidR="004E06B5" w:rsidRDefault="004E06B5" w:rsidP="004E06B5">
      <w:pPr>
        <w:tabs>
          <w:tab w:val="left" w:pos="1350"/>
        </w:tabs>
        <w:spacing w:line="480" w:lineRule="auto"/>
        <w:jc w:val="both"/>
        <w:rPr>
          <w:rFonts w:ascii="Arial" w:hAnsi="Arial" w:cs="Arial"/>
          <w:color w:val="595959" w:themeColor="text1" w:themeTint="A6"/>
        </w:rPr>
      </w:pPr>
    </w:p>
    <w:p w14:paraId="54097D5A" w14:textId="0B1ABFB0" w:rsidR="008609E7" w:rsidRDefault="008609E7" w:rsidP="004E06B5">
      <w:pPr>
        <w:tabs>
          <w:tab w:val="left" w:pos="1350"/>
        </w:tabs>
        <w:spacing w:line="480" w:lineRule="auto"/>
        <w:jc w:val="both"/>
        <w:rPr>
          <w:rFonts w:ascii="Arial" w:hAnsi="Arial" w:cs="Arial"/>
          <w:color w:val="595959" w:themeColor="text1" w:themeTint="A6"/>
        </w:rPr>
      </w:pPr>
    </w:p>
    <w:p w14:paraId="1C387C2F" w14:textId="3E00E839" w:rsidR="008609E7" w:rsidRDefault="008609E7" w:rsidP="004E06B5">
      <w:pPr>
        <w:tabs>
          <w:tab w:val="left" w:pos="1350"/>
        </w:tabs>
        <w:spacing w:line="480" w:lineRule="auto"/>
        <w:jc w:val="both"/>
        <w:rPr>
          <w:rFonts w:ascii="Arial" w:hAnsi="Arial" w:cs="Arial"/>
          <w:color w:val="595959" w:themeColor="text1" w:themeTint="A6"/>
        </w:rPr>
      </w:pPr>
    </w:p>
    <w:p w14:paraId="43D9A1AE" w14:textId="0F1C7B49" w:rsidR="008609E7" w:rsidRDefault="008609E7" w:rsidP="004E06B5">
      <w:pPr>
        <w:tabs>
          <w:tab w:val="left" w:pos="1350"/>
        </w:tabs>
        <w:spacing w:line="480" w:lineRule="auto"/>
        <w:jc w:val="both"/>
        <w:rPr>
          <w:rFonts w:ascii="Arial" w:hAnsi="Arial" w:cs="Arial"/>
          <w:color w:val="595959" w:themeColor="text1" w:themeTint="A6"/>
        </w:rPr>
      </w:pPr>
    </w:p>
    <w:p w14:paraId="52B268A6" w14:textId="21658CF0" w:rsidR="008609E7" w:rsidRDefault="008609E7" w:rsidP="004E06B5">
      <w:pPr>
        <w:tabs>
          <w:tab w:val="left" w:pos="1350"/>
        </w:tabs>
        <w:spacing w:line="480" w:lineRule="auto"/>
        <w:jc w:val="both"/>
        <w:rPr>
          <w:rFonts w:ascii="Arial" w:hAnsi="Arial" w:cs="Arial"/>
          <w:color w:val="595959" w:themeColor="text1" w:themeTint="A6"/>
        </w:rPr>
      </w:pPr>
    </w:p>
    <w:p w14:paraId="4FDC847D" w14:textId="59D39D2E" w:rsidR="008609E7" w:rsidRDefault="008609E7" w:rsidP="004E06B5">
      <w:pPr>
        <w:tabs>
          <w:tab w:val="left" w:pos="1350"/>
        </w:tabs>
        <w:spacing w:line="480" w:lineRule="auto"/>
        <w:jc w:val="both"/>
        <w:rPr>
          <w:rFonts w:ascii="Arial" w:hAnsi="Arial" w:cs="Arial"/>
          <w:color w:val="595959" w:themeColor="text1" w:themeTint="A6"/>
        </w:rPr>
      </w:pPr>
    </w:p>
    <w:p w14:paraId="2641CB86" w14:textId="4529970A" w:rsidR="008609E7" w:rsidRDefault="008609E7" w:rsidP="004E06B5">
      <w:pPr>
        <w:tabs>
          <w:tab w:val="left" w:pos="1350"/>
        </w:tabs>
        <w:spacing w:line="480" w:lineRule="auto"/>
        <w:jc w:val="both"/>
        <w:rPr>
          <w:rFonts w:ascii="Arial" w:hAnsi="Arial" w:cs="Arial"/>
          <w:color w:val="595959" w:themeColor="text1" w:themeTint="A6"/>
        </w:rPr>
      </w:pPr>
    </w:p>
    <w:p w14:paraId="67943FC9" w14:textId="3D5FE41A" w:rsidR="008609E7" w:rsidRDefault="008609E7" w:rsidP="004E06B5">
      <w:pPr>
        <w:tabs>
          <w:tab w:val="left" w:pos="1350"/>
        </w:tabs>
        <w:spacing w:line="480" w:lineRule="auto"/>
        <w:jc w:val="both"/>
        <w:rPr>
          <w:rFonts w:ascii="Arial" w:hAnsi="Arial" w:cs="Arial"/>
          <w:color w:val="595959" w:themeColor="text1" w:themeTint="A6"/>
        </w:rPr>
      </w:pPr>
    </w:p>
    <w:p w14:paraId="22BE8A5F" w14:textId="02CF1896" w:rsidR="008609E7" w:rsidRDefault="008609E7" w:rsidP="004E06B5">
      <w:pPr>
        <w:tabs>
          <w:tab w:val="left" w:pos="1350"/>
        </w:tabs>
        <w:spacing w:line="480" w:lineRule="auto"/>
        <w:jc w:val="both"/>
        <w:rPr>
          <w:rFonts w:ascii="Arial" w:hAnsi="Arial" w:cs="Arial"/>
          <w:color w:val="595959" w:themeColor="text1" w:themeTint="A6"/>
        </w:rPr>
      </w:pPr>
    </w:p>
    <w:p w14:paraId="5DEEDD33" w14:textId="2FA8DBE6" w:rsidR="008609E7" w:rsidRDefault="008609E7" w:rsidP="004E06B5">
      <w:pPr>
        <w:tabs>
          <w:tab w:val="left" w:pos="1350"/>
        </w:tabs>
        <w:spacing w:line="480" w:lineRule="auto"/>
        <w:jc w:val="both"/>
        <w:rPr>
          <w:rFonts w:ascii="Arial" w:hAnsi="Arial" w:cs="Arial"/>
          <w:color w:val="595959" w:themeColor="text1" w:themeTint="A6"/>
        </w:rPr>
      </w:pPr>
    </w:p>
    <w:p w14:paraId="7C08E662" w14:textId="7C7B4A04" w:rsidR="008609E7" w:rsidRDefault="008609E7" w:rsidP="004E06B5">
      <w:pPr>
        <w:tabs>
          <w:tab w:val="left" w:pos="1350"/>
        </w:tabs>
        <w:spacing w:line="480" w:lineRule="auto"/>
        <w:jc w:val="both"/>
        <w:rPr>
          <w:rFonts w:ascii="Arial" w:hAnsi="Arial" w:cs="Arial"/>
          <w:color w:val="595959" w:themeColor="text1" w:themeTint="A6"/>
        </w:rPr>
      </w:pPr>
    </w:p>
    <w:p w14:paraId="20D36494" w14:textId="0D9DD256" w:rsidR="008609E7" w:rsidRPr="004E06B5" w:rsidRDefault="008609E7" w:rsidP="004E06B5">
      <w:pPr>
        <w:tabs>
          <w:tab w:val="left" w:pos="1350"/>
        </w:tabs>
        <w:spacing w:line="480" w:lineRule="auto"/>
        <w:jc w:val="both"/>
        <w:rPr>
          <w:rFonts w:ascii="Arial" w:hAnsi="Arial" w:cs="Arial"/>
          <w:color w:val="595959" w:themeColor="text1" w:themeTint="A6"/>
        </w:rPr>
      </w:pPr>
      <w:r w:rsidRPr="004E06B5">
        <w:rPr>
          <w:rFonts w:ascii="Arial" w:hAnsi="Arial" w:cs="Arial"/>
          <w:noProof/>
          <w:color w:val="595959" w:themeColor="text1" w:themeTint="A6"/>
          <w:sz w:val="24"/>
          <w:szCs w:val="24"/>
          <w:lang w:eastAsia="zh-CN"/>
        </w:rPr>
        <mc:AlternateContent>
          <mc:Choice Requires="wps">
            <w:drawing>
              <wp:anchor distT="0" distB="0" distL="114300" distR="114300" simplePos="0" relativeHeight="251658379" behindDoc="0" locked="0" layoutInCell="1" allowOverlap="1" wp14:anchorId="05F251CA" wp14:editId="4ED4F0B4">
                <wp:simplePos x="0" y="0"/>
                <wp:positionH relativeFrom="margin">
                  <wp:align>left</wp:align>
                </wp:positionH>
                <wp:positionV relativeFrom="paragraph">
                  <wp:posOffset>19685</wp:posOffset>
                </wp:positionV>
                <wp:extent cx="5854700" cy="1466850"/>
                <wp:effectExtent l="0" t="0" r="0" b="0"/>
                <wp:wrapNone/>
                <wp:docPr id="2134" name="Text Box 2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4700" cy="1466850"/>
                        </a:xfrm>
                        <a:prstGeom prst="rect">
                          <a:avLst/>
                        </a:prstGeom>
                        <a:solidFill>
                          <a:srgbClr val="FFFFFF"/>
                        </a:solidFill>
                        <a:ln w="9525">
                          <a:noFill/>
                          <a:miter lim="800000"/>
                          <a:headEnd/>
                          <a:tailEnd/>
                        </a:ln>
                      </wps:spPr>
                      <wps:txbx>
                        <w:txbxContent>
                          <w:p w14:paraId="38769495" w14:textId="77777777" w:rsidR="008A47AC" w:rsidRPr="00F41F17" w:rsidRDefault="008A47AC" w:rsidP="004E06B5">
                            <w:pPr>
                              <w:pStyle w:val="Caption"/>
                              <w:keepNext/>
                              <w:jc w:val="both"/>
                              <w:rPr>
                                <w:rFonts w:ascii="Arial Narrow" w:hAnsi="Arial Narrow"/>
                                <w:b/>
                                <w:i w:val="0"/>
                                <w:sz w:val="22"/>
                                <w:szCs w:val="22"/>
                              </w:rPr>
                            </w:pPr>
                            <w:r w:rsidRPr="00F41F17">
                              <w:rPr>
                                <w:rFonts w:ascii="Arial Narrow" w:hAnsi="Arial Narrow"/>
                                <w:b/>
                                <w:i w:val="0"/>
                                <w:color w:val="595959" w:themeColor="text1" w:themeTint="A6"/>
                                <w:sz w:val="22"/>
                                <w:szCs w:val="22"/>
                              </w:rPr>
                              <w:t>Figure 5.7 Histological analysis of tissue-engineered normal oral mucosa (TENOM) model generated using NOF-DM</w:t>
                            </w:r>
                          </w:p>
                          <w:p w14:paraId="382EEE26" w14:textId="6E1C0803" w:rsidR="008A47AC" w:rsidRPr="00A708E4" w:rsidRDefault="008A47AC" w:rsidP="004E06B5">
                            <w:pPr>
                              <w:pStyle w:val="NormalWeb"/>
                              <w:spacing w:after="200" w:line="276" w:lineRule="auto"/>
                              <w:jc w:val="both"/>
                            </w:pPr>
                            <w:r>
                              <w:rPr>
                                <w:rFonts w:ascii="Arial Narrow" w:eastAsia="SimSun" w:hAnsi="Arial Narrow" w:cs="Arial"/>
                                <w:color w:val="595959"/>
                                <w:kern w:val="24"/>
                                <w:sz w:val="22"/>
                                <w:szCs w:val="22"/>
                              </w:rPr>
                              <w:t xml:space="preserve">After a 28-day NOF-DM development the addition of FNB6 cells produced a full-thickness stratified epithelium </w:t>
                            </w:r>
                            <w:r w:rsidR="00365E9A" w:rsidRPr="00D92EDA">
                              <w:rPr>
                                <w:rFonts w:ascii="Arial Narrow" w:eastAsia="SimSun" w:hAnsi="Arial Narrow" w:cs="Arial"/>
                                <w:color w:val="595959" w:themeColor="text1" w:themeTint="A6"/>
                                <w:kern w:val="24"/>
                                <w:sz w:val="22"/>
                                <w:szCs w:val="22"/>
                              </w:rPr>
                              <w:t xml:space="preserve">with </w:t>
                            </w:r>
                            <w:r w:rsidR="00A556E8" w:rsidRPr="00D92EDA">
                              <w:rPr>
                                <w:rFonts w:ascii="Arial Narrow" w:eastAsia="SimSun" w:hAnsi="Arial Narrow" w:cs="Arial"/>
                                <w:color w:val="595959" w:themeColor="text1" w:themeTint="A6"/>
                                <w:kern w:val="24"/>
                                <w:sz w:val="22"/>
                                <w:szCs w:val="22"/>
                              </w:rPr>
                              <w:t xml:space="preserve">evidence of the distinct </w:t>
                            </w:r>
                            <w:r w:rsidR="00365E9A" w:rsidRPr="00D92EDA">
                              <w:rPr>
                                <w:rFonts w:ascii="Arial Narrow" w:eastAsia="SimSun" w:hAnsi="Arial Narrow" w:cs="Arial"/>
                                <w:color w:val="595959" w:themeColor="text1" w:themeTint="A6"/>
                                <w:kern w:val="24"/>
                                <w:sz w:val="22"/>
                                <w:szCs w:val="22"/>
                              </w:rPr>
                              <w:t xml:space="preserve">cell layers </w:t>
                            </w:r>
                            <w:r w:rsidRPr="00D92EDA">
                              <w:rPr>
                                <w:rFonts w:ascii="Arial Narrow" w:eastAsia="SimSun" w:hAnsi="Arial Narrow" w:cs="Arial"/>
                                <w:color w:val="595959" w:themeColor="text1" w:themeTint="A6"/>
                                <w:kern w:val="24"/>
                                <w:sz w:val="22"/>
                                <w:szCs w:val="22"/>
                              </w:rPr>
                              <w:t>(A</w:t>
                            </w:r>
                            <w:r w:rsidR="00365E9A" w:rsidRPr="00D92EDA">
                              <w:rPr>
                                <w:rFonts w:ascii="Arial Narrow" w:eastAsia="SimSun" w:hAnsi="Arial Narrow" w:cs="Arial"/>
                                <w:color w:val="595959" w:themeColor="text1" w:themeTint="A6"/>
                                <w:kern w:val="24"/>
                                <w:sz w:val="22"/>
                                <w:szCs w:val="22"/>
                              </w:rPr>
                              <w:t xml:space="preserve"> </w:t>
                            </w:r>
                            <w:r w:rsidR="00365E9A">
                              <w:rPr>
                                <w:rFonts w:ascii="Arial Narrow" w:eastAsia="SimSun" w:hAnsi="Arial Narrow" w:cs="Arial"/>
                                <w:color w:val="595959"/>
                                <w:kern w:val="24"/>
                                <w:sz w:val="22"/>
                                <w:szCs w:val="22"/>
                              </w:rPr>
                              <w:t>+B)</w:t>
                            </w:r>
                            <w:r>
                              <w:rPr>
                                <w:rFonts w:ascii="Arial Narrow" w:eastAsia="SimSun" w:hAnsi="Arial Narrow" w:cs="Arial"/>
                                <w:color w:val="595959"/>
                                <w:kern w:val="24"/>
                                <w:sz w:val="22"/>
                                <w:szCs w:val="22"/>
                              </w:rPr>
                              <w:t xml:space="preserve"> over a further 14 days. H&amp;E analysis shows</w:t>
                            </w:r>
                            <w:r w:rsidRPr="00575592">
                              <w:rPr>
                                <w:rFonts w:ascii="Arial Narrow" w:eastAsia="SimSun" w:hAnsi="Arial Narrow" w:cs="Arial"/>
                                <w:color w:val="595959"/>
                                <w:kern w:val="24"/>
                                <w:sz w:val="22"/>
                                <w:szCs w:val="22"/>
                              </w:rPr>
                              <w:t xml:space="preserve"> evidence of</w:t>
                            </w:r>
                            <w:r>
                              <w:rPr>
                                <w:rFonts w:ascii="Arial Narrow" w:eastAsia="SimSun" w:hAnsi="Arial Narrow" w:cs="Arial"/>
                                <w:color w:val="595959"/>
                                <w:kern w:val="24"/>
                                <w:sz w:val="22"/>
                                <w:szCs w:val="22"/>
                              </w:rPr>
                              <w:t xml:space="preserve"> a basal cell layer;</w:t>
                            </w:r>
                            <w:r w:rsidRPr="00575592">
                              <w:rPr>
                                <w:rFonts w:ascii="Arial Narrow" w:eastAsia="SimSun" w:hAnsi="Arial Narrow" w:cs="Arial"/>
                                <w:color w:val="595959"/>
                                <w:kern w:val="24"/>
                                <w:sz w:val="22"/>
                                <w:szCs w:val="22"/>
                              </w:rPr>
                              <w:t xml:space="preserve"> epithelial cell polarity and a distinct stratification of layers</w:t>
                            </w:r>
                            <w:r>
                              <w:rPr>
                                <w:rFonts w:ascii="Arial Narrow" w:eastAsia="SimSun" w:hAnsi="Arial Narrow" w:cs="Arial"/>
                                <w:color w:val="595959"/>
                                <w:kern w:val="24"/>
                                <w:sz w:val="22"/>
                                <w:szCs w:val="22"/>
                              </w:rPr>
                              <w:t xml:space="preserve"> (B). Desmosome attachments can be seen in Area C between epithelial cells in the prickle layers of epithelium (iii, black arrows) </w:t>
                            </w:r>
                            <w:r w:rsidRPr="00E72F77">
                              <w:rPr>
                                <w:rFonts w:ascii="Arial Narrow" w:eastAsia="SimSun" w:hAnsi="Arial Narrow" w:cs="Arial"/>
                                <w:color w:val="595959" w:themeColor="text1" w:themeTint="A6"/>
                                <w:kern w:val="24"/>
                                <w:sz w:val="22"/>
                                <w:szCs w:val="22"/>
                              </w:rPr>
                              <w:t>(N=</w:t>
                            </w:r>
                            <w:r>
                              <w:rPr>
                                <w:rFonts w:ascii="Arial Narrow" w:eastAsia="SimSun" w:hAnsi="Arial Narrow" w:cs="Arial"/>
                                <w:color w:val="595959" w:themeColor="text1" w:themeTint="A6"/>
                                <w:kern w:val="24"/>
                                <w:sz w:val="22"/>
                                <w:szCs w:val="22"/>
                              </w:rPr>
                              <w:t>5</w:t>
                            </w:r>
                            <w:r w:rsidRPr="00E72F77">
                              <w:rPr>
                                <w:rFonts w:ascii="Arial Narrow" w:eastAsia="SimSun" w:hAnsi="Arial Narrow" w:cs="Arial"/>
                                <w:color w:val="595959" w:themeColor="text1" w:themeTint="A6"/>
                                <w:kern w:val="24"/>
                                <w:sz w:val="22"/>
                                <w:szCs w:val="22"/>
                              </w:rPr>
                              <w:t>, n=</w:t>
                            </w:r>
                            <w:r>
                              <w:rPr>
                                <w:rFonts w:ascii="Arial Narrow" w:eastAsia="SimSun" w:hAnsi="Arial Narrow" w:cs="Arial"/>
                                <w:color w:val="595959" w:themeColor="text1" w:themeTint="A6"/>
                                <w:kern w:val="24"/>
                                <w:sz w:val="22"/>
                                <w:szCs w:val="22"/>
                              </w:rPr>
                              <w:t>3</w:t>
                            </w:r>
                            <w:r w:rsidRPr="00E72F77">
                              <w:rPr>
                                <w:rFonts w:ascii="Arial Narrow" w:eastAsia="SimSun" w:hAnsi="Arial Narrow" w:cs="Arial"/>
                                <w:color w:val="595959" w:themeColor="text1" w:themeTint="A6"/>
                                <w:kern w:val="24"/>
                                <w:sz w:val="22"/>
                                <w:szCs w:val="2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F251CA" id="Text Box 2134" o:spid="_x0000_s1181" type="#_x0000_t202" style="position:absolute;left:0;text-align:left;margin-left:0;margin-top:1.55pt;width:461pt;height:115.5pt;z-index:251658379;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" stroked="f">
                <v:textbox>
                  <w:txbxContent>
                    <w:p w14:paraId="38769495" w14:textId="77777777" w:rsidR="008A47AC" w:rsidRPr="00F41F17" w:rsidRDefault="008A47AC" w:rsidP="004E06B5">
                      <w:pPr>
                        <w:pStyle w:val="Caption"/>
                        <w:keepNext/>
                        <w:jc w:val="both"/>
                        <w:rPr>
                          <w:rFonts w:ascii="Arial Narrow" w:hAnsi="Arial Narrow"/>
                          <w:b/>
                          <w:i w:val="0"/>
                          <w:sz w:val="22"/>
                          <w:szCs w:val="22"/>
                        </w:rPr>
                      </w:pPr>
                      <w:r w:rsidRPr="00F41F17">
                        <w:rPr>
                          <w:rFonts w:ascii="Arial Narrow" w:hAnsi="Arial Narrow"/>
                          <w:b/>
                          <w:i w:val="0"/>
                          <w:color w:val="595959" w:themeColor="text1" w:themeTint="A6"/>
                          <w:sz w:val="22"/>
                          <w:szCs w:val="22"/>
                        </w:rPr>
                        <w:t>Figure 5.7 Histological analysis of tissue-engineered normal oral mucosa (TENOM) model generated using NOF-DM</w:t>
                      </w:r>
                    </w:p>
                    <w:p w14:paraId="382EEE26" w14:textId="6E1C0803" w:rsidR="008A47AC" w:rsidRPr="00A708E4" w:rsidRDefault="008A47AC" w:rsidP="004E06B5">
                      <w:pPr>
                        <w:pStyle w:val="NormalWeb"/>
                        <w:spacing w:after="200" w:line="276" w:lineRule="auto"/>
                        <w:jc w:val="both"/>
                      </w:pPr>
                      <w:r>
                        <w:rPr>
                          <w:rFonts w:ascii="Arial Narrow" w:eastAsia="SimSun" w:hAnsi="Arial Narrow" w:cs="Arial"/>
                          <w:color w:val="595959"/>
                          <w:kern w:val="24"/>
                          <w:sz w:val="22"/>
                          <w:szCs w:val="22"/>
                        </w:rPr>
                        <w:t xml:space="preserve">After a 28-day NOF-DM development the addition of FNB6 cells produced a full-thickness stratified epithelium </w:t>
                      </w:r>
                      <w:r w:rsidR="00365E9A" w:rsidRPr="00D92EDA">
                        <w:rPr>
                          <w:rFonts w:ascii="Arial Narrow" w:eastAsia="SimSun" w:hAnsi="Arial Narrow" w:cs="Arial"/>
                          <w:color w:val="595959" w:themeColor="text1" w:themeTint="A6"/>
                          <w:kern w:val="24"/>
                          <w:sz w:val="22"/>
                          <w:szCs w:val="22"/>
                        </w:rPr>
                        <w:t xml:space="preserve">with </w:t>
                      </w:r>
                      <w:r w:rsidR="00A556E8" w:rsidRPr="00D92EDA">
                        <w:rPr>
                          <w:rFonts w:ascii="Arial Narrow" w:eastAsia="SimSun" w:hAnsi="Arial Narrow" w:cs="Arial"/>
                          <w:color w:val="595959" w:themeColor="text1" w:themeTint="A6"/>
                          <w:kern w:val="24"/>
                          <w:sz w:val="22"/>
                          <w:szCs w:val="22"/>
                        </w:rPr>
                        <w:t xml:space="preserve">evidence of the distinct </w:t>
                      </w:r>
                      <w:r w:rsidR="00365E9A" w:rsidRPr="00D92EDA">
                        <w:rPr>
                          <w:rFonts w:ascii="Arial Narrow" w:eastAsia="SimSun" w:hAnsi="Arial Narrow" w:cs="Arial"/>
                          <w:color w:val="595959" w:themeColor="text1" w:themeTint="A6"/>
                          <w:kern w:val="24"/>
                          <w:sz w:val="22"/>
                          <w:szCs w:val="22"/>
                        </w:rPr>
                        <w:t xml:space="preserve">cell layers </w:t>
                      </w:r>
                      <w:r w:rsidRPr="00D92EDA">
                        <w:rPr>
                          <w:rFonts w:ascii="Arial Narrow" w:eastAsia="SimSun" w:hAnsi="Arial Narrow" w:cs="Arial"/>
                          <w:color w:val="595959" w:themeColor="text1" w:themeTint="A6"/>
                          <w:kern w:val="24"/>
                          <w:sz w:val="22"/>
                          <w:szCs w:val="22"/>
                        </w:rPr>
                        <w:t>(A</w:t>
                      </w:r>
                      <w:r w:rsidR="00365E9A" w:rsidRPr="00D92EDA">
                        <w:rPr>
                          <w:rFonts w:ascii="Arial Narrow" w:eastAsia="SimSun" w:hAnsi="Arial Narrow" w:cs="Arial"/>
                          <w:color w:val="595959" w:themeColor="text1" w:themeTint="A6"/>
                          <w:kern w:val="24"/>
                          <w:sz w:val="22"/>
                          <w:szCs w:val="22"/>
                        </w:rPr>
                        <w:t xml:space="preserve"> </w:t>
                      </w:r>
                      <w:r w:rsidR="00365E9A">
                        <w:rPr>
                          <w:rFonts w:ascii="Arial Narrow" w:eastAsia="SimSun" w:hAnsi="Arial Narrow" w:cs="Arial"/>
                          <w:color w:val="595959"/>
                          <w:kern w:val="24"/>
                          <w:sz w:val="22"/>
                          <w:szCs w:val="22"/>
                        </w:rPr>
                        <w:t>+B)</w:t>
                      </w:r>
                      <w:r>
                        <w:rPr>
                          <w:rFonts w:ascii="Arial Narrow" w:eastAsia="SimSun" w:hAnsi="Arial Narrow" w:cs="Arial"/>
                          <w:color w:val="595959"/>
                          <w:kern w:val="24"/>
                          <w:sz w:val="22"/>
                          <w:szCs w:val="22"/>
                        </w:rPr>
                        <w:t xml:space="preserve"> over a further 14 days. H&amp;E analysis shows</w:t>
                      </w:r>
                      <w:r w:rsidRPr="00575592">
                        <w:rPr>
                          <w:rFonts w:ascii="Arial Narrow" w:eastAsia="SimSun" w:hAnsi="Arial Narrow" w:cs="Arial"/>
                          <w:color w:val="595959"/>
                          <w:kern w:val="24"/>
                          <w:sz w:val="22"/>
                          <w:szCs w:val="22"/>
                        </w:rPr>
                        <w:t xml:space="preserve"> evidence of</w:t>
                      </w:r>
                      <w:r>
                        <w:rPr>
                          <w:rFonts w:ascii="Arial Narrow" w:eastAsia="SimSun" w:hAnsi="Arial Narrow" w:cs="Arial"/>
                          <w:color w:val="595959"/>
                          <w:kern w:val="24"/>
                          <w:sz w:val="22"/>
                          <w:szCs w:val="22"/>
                        </w:rPr>
                        <w:t xml:space="preserve"> a basal cell layer;</w:t>
                      </w:r>
                      <w:r w:rsidRPr="00575592">
                        <w:rPr>
                          <w:rFonts w:ascii="Arial Narrow" w:eastAsia="SimSun" w:hAnsi="Arial Narrow" w:cs="Arial"/>
                          <w:color w:val="595959"/>
                          <w:kern w:val="24"/>
                          <w:sz w:val="22"/>
                          <w:szCs w:val="22"/>
                        </w:rPr>
                        <w:t xml:space="preserve"> epithelial cell polarity and a distinct stratification of layers</w:t>
                      </w:r>
                      <w:r>
                        <w:rPr>
                          <w:rFonts w:ascii="Arial Narrow" w:eastAsia="SimSun" w:hAnsi="Arial Narrow" w:cs="Arial"/>
                          <w:color w:val="595959"/>
                          <w:kern w:val="24"/>
                          <w:sz w:val="22"/>
                          <w:szCs w:val="22"/>
                        </w:rPr>
                        <w:t xml:space="preserve"> (B). Desmosome attachments can be seen in Area C between epithelial cells in the prickle layers of epithelium (iii, black arrows) </w:t>
                      </w:r>
                      <w:r w:rsidRPr="00E72F77">
                        <w:rPr>
                          <w:rFonts w:ascii="Arial Narrow" w:eastAsia="SimSun" w:hAnsi="Arial Narrow" w:cs="Arial"/>
                          <w:color w:val="595959" w:themeColor="text1" w:themeTint="A6"/>
                          <w:kern w:val="24"/>
                          <w:sz w:val="22"/>
                          <w:szCs w:val="22"/>
                        </w:rPr>
                        <w:t>(N=</w:t>
                      </w:r>
                      <w:r>
                        <w:rPr>
                          <w:rFonts w:ascii="Arial Narrow" w:eastAsia="SimSun" w:hAnsi="Arial Narrow" w:cs="Arial"/>
                          <w:color w:val="595959" w:themeColor="text1" w:themeTint="A6"/>
                          <w:kern w:val="24"/>
                          <w:sz w:val="22"/>
                          <w:szCs w:val="22"/>
                        </w:rPr>
                        <w:t>5</w:t>
                      </w:r>
                      <w:r w:rsidRPr="00E72F77">
                        <w:rPr>
                          <w:rFonts w:ascii="Arial Narrow" w:eastAsia="SimSun" w:hAnsi="Arial Narrow" w:cs="Arial"/>
                          <w:color w:val="595959" w:themeColor="text1" w:themeTint="A6"/>
                          <w:kern w:val="24"/>
                          <w:sz w:val="22"/>
                          <w:szCs w:val="22"/>
                        </w:rPr>
                        <w:t>, n=</w:t>
                      </w:r>
                      <w:r>
                        <w:rPr>
                          <w:rFonts w:ascii="Arial Narrow" w:eastAsia="SimSun" w:hAnsi="Arial Narrow" w:cs="Arial"/>
                          <w:color w:val="595959" w:themeColor="text1" w:themeTint="A6"/>
                          <w:kern w:val="24"/>
                          <w:sz w:val="22"/>
                          <w:szCs w:val="22"/>
                        </w:rPr>
                        <w:t>3</w:t>
                      </w:r>
                      <w:r w:rsidRPr="00E72F77">
                        <w:rPr>
                          <w:rFonts w:ascii="Arial Narrow" w:eastAsia="SimSun" w:hAnsi="Arial Narrow" w:cs="Arial"/>
                          <w:color w:val="595959" w:themeColor="text1" w:themeTint="A6"/>
                          <w:kern w:val="24"/>
                          <w:sz w:val="22"/>
                          <w:szCs w:val="22"/>
                        </w:rPr>
                        <w:t>).</w:t>
                      </w:r>
                    </w:p>
                  </w:txbxContent>
                </v:textbox>
                <w10:wrap anchorx="margin"/>
              </v:shape>
            </w:pict>
          </mc:Fallback>
        </mc:AlternateContent>
      </w:r>
    </w:p>
    <w:p w14:paraId="7639ED43"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2C27E32D" w14:textId="2CF39FCE" w:rsidR="008609E7" w:rsidRDefault="008609E7" w:rsidP="004E06B5">
      <w:pPr>
        <w:tabs>
          <w:tab w:val="left" w:pos="1350"/>
        </w:tabs>
        <w:spacing w:line="480" w:lineRule="auto"/>
        <w:jc w:val="both"/>
        <w:rPr>
          <w:rFonts w:ascii="Arial" w:hAnsi="Arial" w:cs="Arial"/>
          <w:color w:val="595959" w:themeColor="text1" w:themeTint="A6"/>
        </w:rPr>
      </w:pPr>
    </w:p>
    <w:p w14:paraId="27502ABD" w14:textId="2C45D234" w:rsidR="004E06B5" w:rsidRPr="004E06B5" w:rsidRDefault="004E06B5" w:rsidP="004E06B5">
      <w:pPr>
        <w:tabs>
          <w:tab w:val="left" w:pos="1350"/>
        </w:tabs>
        <w:spacing w:line="480" w:lineRule="auto"/>
        <w:jc w:val="both"/>
        <w:rPr>
          <w:rFonts w:ascii="Arial" w:hAnsi="Arial" w:cs="Arial"/>
          <w:color w:val="595959" w:themeColor="text1" w:themeTint="A6"/>
        </w:rPr>
      </w:pPr>
    </w:p>
    <w:p w14:paraId="498450D4"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741DA962"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30F802AC"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6AC30DF7"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57FB9CF0" w14:textId="3C50078B" w:rsidR="004E06B5" w:rsidRDefault="004E06B5" w:rsidP="00171A51">
      <w:pPr>
        <w:pStyle w:val="Heading4"/>
        <w:rPr>
          <w:rFonts w:ascii="Arial" w:hAnsi="Arial" w:cs="Arial"/>
          <w:color w:val="595959" w:themeColor="text1" w:themeTint="A6"/>
        </w:rPr>
      </w:pPr>
      <w:bookmarkStart w:id="457" w:name="_Toc34208454"/>
      <w:r w:rsidRPr="004E06B5">
        <w:rPr>
          <w:rFonts w:ascii="Arial" w:hAnsi="Arial" w:cs="Arial"/>
          <w:color w:val="595959" w:themeColor="text1" w:themeTint="A6"/>
        </w:rPr>
        <w:lastRenderedPageBreak/>
        <w:t>5.3.1.2 Generation of a tissue-engineered, full-thickness atypical oral mucosa model</w:t>
      </w:r>
      <w:bookmarkEnd w:id="457"/>
    </w:p>
    <w:p w14:paraId="653E2BD9" w14:textId="77777777" w:rsidR="00171A51" w:rsidRPr="00171A51" w:rsidRDefault="00171A51" w:rsidP="00171A51"/>
    <w:p w14:paraId="6AC085B7" w14:textId="64873EC7" w:rsidR="004E06B5" w:rsidRPr="004E06B5" w:rsidRDefault="004E06B5" w:rsidP="004E06B5">
      <w:pPr>
        <w:tabs>
          <w:tab w:val="left" w:pos="1350"/>
        </w:tabs>
        <w:spacing w:line="480" w:lineRule="auto"/>
        <w:jc w:val="both"/>
        <w:rPr>
          <w:rFonts w:ascii="Arial" w:hAnsi="Arial" w:cs="Arial"/>
          <w:color w:val="595959" w:themeColor="text1" w:themeTint="A6"/>
        </w:rPr>
      </w:pPr>
      <w:r w:rsidRPr="004E06B5">
        <w:rPr>
          <w:rFonts w:ascii="Arial" w:hAnsi="Arial" w:cs="Arial"/>
          <w:color w:val="595959" w:themeColor="text1" w:themeTint="A6"/>
        </w:rPr>
        <w:t>To investigate if culturing normal oral keratinocytes on CAF-DM altered the histological morphology of the resulting epithelium, models were established by culturing FNB6 cells on CAF-DM using the same culture conditions defined for generation of the TENOM models. Histological analysis revealed that FNB6 cells, when cultured on CAF-DM produced a tissue-engineered atypical oral mucosa (TEAOM) that morphologically resembles features of an oral epithelium with mild dysplasia (Figure 5.8 A). Despite a much thicker connective tissue, the epithelia layer produced was not as thick; 98.08 ± 22.59 µm thick for the TEAOM and 116.60 ± 15.95 µm thick for the TENOM (</w:t>
      </w:r>
      <w:r w:rsidR="00AF3980">
        <w:rPr>
          <w:rFonts w:ascii="Arial" w:hAnsi="Arial" w:cs="Arial"/>
          <w:color w:val="595959" w:themeColor="text1" w:themeTint="A6"/>
        </w:rPr>
        <w:t>results shown in appendix,</w:t>
      </w:r>
      <w:r w:rsidRPr="004E06B5">
        <w:rPr>
          <w:rFonts w:ascii="Arial" w:hAnsi="Arial" w:cs="Arial"/>
          <w:color w:val="595959" w:themeColor="text1" w:themeTint="A6"/>
        </w:rPr>
        <w:t xml:space="preserve"> Figure 7.</w:t>
      </w:r>
      <w:r w:rsidR="00E84280">
        <w:rPr>
          <w:rFonts w:ascii="Arial" w:hAnsi="Arial" w:cs="Arial"/>
          <w:color w:val="595959" w:themeColor="text1" w:themeTint="A6"/>
        </w:rPr>
        <w:t>5</w:t>
      </w:r>
      <w:r w:rsidRPr="004E06B5">
        <w:rPr>
          <w:rFonts w:ascii="Arial" w:hAnsi="Arial" w:cs="Arial"/>
          <w:color w:val="595959" w:themeColor="text1" w:themeTint="A6"/>
        </w:rPr>
        <w:t xml:space="preserve">) in TEAOM models and there was an apparent lack of defined cell layers within the epithelia. H&amp;E analysis revealed the loss of a defined basal compartment as seen in the TENOM model and loss of polarisation. Keratin pearls were observed, indicating abnormalities in epithelial cell differentiation (Figure 5.8 A-B; red boxes). Invasion into the matrix layer below </w:t>
      </w:r>
      <w:r w:rsidR="00DD798B">
        <w:rPr>
          <w:rFonts w:ascii="Arial" w:hAnsi="Arial" w:cs="Arial"/>
          <w:color w:val="595959" w:themeColor="text1" w:themeTint="A6"/>
        </w:rPr>
        <w:t>was</w:t>
      </w:r>
      <w:r w:rsidRPr="004E06B5">
        <w:rPr>
          <w:rFonts w:ascii="Arial" w:hAnsi="Arial" w:cs="Arial"/>
          <w:color w:val="595959" w:themeColor="text1" w:themeTint="A6"/>
        </w:rPr>
        <w:t xml:space="preserve"> evident (Figure 5.8 B; blue arrow) as well as tumour ‘islets’ formation beginning to develop (Figure 5.8 B: black arrows). </w:t>
      </w:r>
    </w:p>
    <w:p w14:paraId="76D6B836"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2665DDB0"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2CF67C56"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070CA917"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0BBF9387"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4F8B500C"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2E8ACA6E"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1D84B149"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27C03958"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1464B8F7" w14:textId="77777777" w:rsidR="004E06B5" w:rsidRPr="004E06B5" w:rsidRDefault="004E06B5" w:rsidP="004E06B5">
      <w:pPr>
        <w:tabs>
          <w:tab w:val="left" w:pos="1350"/>
        </w:tabs>
        <w:spacing w:line="480" w:lineRule="auto"/>
        <w:jc w:val="both"/>
        <w:rPr>
          <w:rFonts w:ascii="Arial" w:hAnsi="Arial" w:cs="Arial"/>
          <w:color w:val="595959" w:themeColor="text1" w:themeTint="A6"/>
        </w:rPr>
      </w:pPr>
      <w:r w:rsidRPr="004E06B5">
        <w:rPr>
          <w:rFonts w:ascii="Arial" w:hAnsi="Arial" w:cs="Arial"/>
          <w:noProof/>
          <w:color w:val="595959" w:themeColor="text1" w:themeTint="A6"/>
          <w:lang w:eastAsia="zh-CN"/>
        </w:rPr>
        <w:lastRenderedPageBreak/>
        <w:drawing>
          <wp:anchor distT="0" distB="0" distL="114300" distR="114300" simplePos="0" relativeHeight="251658418" behindDoc="0" locked="0" layoutInCell="1" allowOverlap="1" wp14:anchorId="592FEB89" wp14:editId="74F4F14B">
            <wp:simplePos x="0" y="0"/>
            <wp:positionH relativeFrom="column">
              <wp:posOffset>-76200</wp:posOffset>
            </wp:positionH>
            <wp:positionV relativeFrom="paragraph">
              <wp:posOffset>-66675</wp:posOffset>
            </wp:positionV>
            <wp:extent cx="447675" cy="342900"/>
            <wp:effectExtent l="0" t="0" r="0" b="0"/>
            <wp:wrapNone/>
            <wp:docPr id="5356" name="Picture 5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447675" cy="342900"/>
                    </a:xfrm>
                    <a:prstGeom prst="rect">
                      <a:avLst/>
                    </a:prstGeom>
                    <a:noFill/>
                  </pic:spPr>
                </pic:pic>
              </a:graphicData>
            </a:graphic>
          </wp:anchor>
        </w:drawing>
      </w:r>
      <w:r w:rsidRPr="004E06B5">
        <w:rPr>
          <w:rFonts w:ascii="Arial" w:hAnsi="Arial" w:cs="Arial"/>
          <w:noProof/>
          <w:color w:val="595959" w:themeColor="text1" w:themeTint="A6"/>
          <w:lang w:eastAsia="zh-CN"/>
        </w:rPr>
        <mc:AlternateContent>
          <mc:Choice Requires="wps">
            <w:drawing>
              <wp:anchor distT="0" distB="0" distL="114300" distR="114300" simplePos="0" relativeHeight="251658420" behindDoc="0" locked="0" layoutInCell="1" allowOverlap="1" wp14:anchorId="27220E56" wp14:editId="73D9C966">
                <wp:simplePos x="0" y="0"/>
                <wp:positionH relativeFrom="column">
                  <wp:posOffset>723900</wp:posOffset>
                </wp:positionH>
                <wp:positionV relativeFrom="paragraph">
                  <wp:posOffset>9525</wp:posOffset>
                </wp:positionV>
                <wp:extent cx="954156" cy="914400"/>
                <wp:effectExtent l="0" t="0" r="17780" b="19050"/>
                <wp:wrapNone/>
                <wp:docPr id="2135" name="Rectangle 2135"/>
                <wp:cNvGraphicFramePr/>
                <a:graphic xmlns:a="http://schemas.openxmlformats.org/drawingml/2006/main">
                  <a:graphicData uri="http://schemas.microsoft.com/office/word/2010/wordprocessingShape">
                    <wps:wsp>
                      <wps:cNvSpPr/>
                      <wps:spPr>
                        <a:xfrm>
                          <a:off x="0" y="0"/>
                          <a:ext cx="954156" cy="9144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EDD474" id="Rectangle 2135" o:spid="_x0000_s1026" style="position:absolute;margin-left:57pt;margin-top:.75pt;width:75.15pt;height:1in;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" filled="f" strokecolor="windowText" strokeweight="1pt"/>
            </w:pict>
          </mc:Fallback>
        </mc:AlternateContent>
      </w:r>
      <w:r w:rsidRPr="004E06B5">
        <w:rPr>
          <w:rFonts w:ascii="Arial" w:hAnsi="Arial" w:cs="Arial"/>
          <w:noProof/>
          <w:color w:val="595959" w:themeColor="text1" w:themeTint="A6"/>
          <w:lang w:eastAsia="zh-CN"/>
        </w:rPr>
        <w:drawing>
          <wp:anchor distT="0" distB="0" distL="114300" distR="114300" simplePos="0" relativeHeight="251658414" behindDoc="0" locked="0" layoutInCell="1" allowOverlap="1" wp14:anchorId="139394F0" wp14:editId="05103CE1">
            <wp:simplePos x="0" y="0"/>
            <wp:positionH relativeFrom="column">
              <wp:posOffset>0</wp:posOffset>
            </wp:positionH>
            <wp:positionV relativeFrom="paragraph">
              <wp:posOffset>9525</wp:posOffset>
            </wp:positionV>
            <wp:extent cx="4883150" cy="3005455"/>
            <wp:effectExtent l="0" t="0" r="0" b="4445"/>
            <wp:wrapNone/>
            <wp:docPr id="5357" name="Picture 5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4883150" cy="3005455"/>
                    </a:xfrm>
                    <a:prstGeom prst="rect">
                      <a:avLst/>
                    </a:prstGeom>
                    <a:noFill/>
                  </pic:spPr>
                </pic:pic>
              </a:graphicData>
            </a:graphic>
          </wp:anchor>
        </w:drawing>
      </w:r>
    </w:p>
    <w:p w14:paraId="7718A6F5" w14:textId="77777777" w:rsidR="004E06B5" w:rsidRPr="004E06B5" w:rsidRDefault="004E06B5" w:rsidP="004E06B5">
      <w:pPr>
        <w:tabs>
          <w:tab w:val="left" w:pos="1350"/>
        </w:tabs>
        <w:spacing w:line="480" w:lineRule="auto"/>
        <w:jc w:val="both"/>
        <w:rPr>
          <w:rFonts w:ascii="Arial" w:hAnsi="Arial" w:cs="Arial"/>
          <w:color w:val="595959" w:themeColor="text1" w:themeTint="A6"/>
        </w:rPr>
      </w:pPr>
      <w:r w:rsidRPr="004E06B5">
        <w:rPr>
          <w:rFonts w:ascii="Arial" w:hAnsi="Arial" w:cs="Arial"/>
          <w:noProof/>
          <w:color w:val="595959" w:themeColor="text1" w:themeTint="A6"/>
          <w:lang w:eastAsia="zh-CN"/>
        </w:rPr>
        <mc:AlternateContent>
          <mc:Choice Requires="wps">
            <w:drawing>
              <wp:anchor distT="0" distB="0" distL="114300" distR="114300" simplePos="0" relativeHeight="251658415" behindDoc="0" locked="0" layoutInCell="1" allowOverlap="1" wp14:anchorId="72F9EF86" wp14:editId="5AFC29BA">
                <wp:simplePos x="0" y="0"/>
                <wp:positionH relativeFrom="column">
                  <wp:posOffset>2562225</wp:posOffset>
                </wp:positionH>
                <wp:positionV relativeFrom="paragraph">
                  <wp:posOffset>72390</wp:posOffset>
                </wp:positionV>
                <wp:extent cx="352425" cy="247650"/>
                <wp:effectExtent l="0" t="0" r="28575" b="19050"/>
                <wp:wrapNone/>
                <wp:docPr id="2136" name="Rectangle 2136"/>
                <wp:cNvGraphicFramePr/>
                <a:graphic xmlns:a="http://schemas.openxmlformats.org/drawingml/2006/main">
                  <a:graphicData uri="http://schemas.microsoft.com/office/word/2010/wordprocessingShape">
                    <wps:wsp>
                      <wps:cNvSpPr/>
                      <wps:spPr>
                        <a:xfrm>
                          <a:off x="0" y="0"/>
                          <a:ext cx="352425" cy="24765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20480C" id="Rectangle 2136" o:spid="_x0000_s1026" style="position:absolute;margin-left:201.75pt;margin-top:5.7pt;width:27.75pt;height:19.5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" filled="f" strokecolor="red" strokeweight="1pt"/>
            </w:pict>
          </mc:Fallback>
        </mc:AlternateContent>
      </w:r>
    </w:p>
    <w:p w14:paraId="07C9ECEF" w14:textId="77777777" w:rsidR="004E06B5" w:rsidRPr="004E06B5" w:rsidRDefault="004E06B5" w:rsidP="004E06B5">
      <w:pPr>
        <w:tabs>
          <w:tab w:val="left" w:pos="1350"/>
        </w:tabs>
        <w:spacing w:line="480" w:lineRule="auto"/>
        <w:jc w:val="both"/>
        <w:rPr>
          <w:rFonts w:ascii="Arial" w:hAnsi="Arial" w:cs="Arial"/>
          <w:color w:val="595959" w:themeColor="text1" w:themeTint="A6"/>
        </w:rPr>
      </w:pPr>
      <w:r w:rsidRPr="004E06B5">
        <w:rPr>
          <w:rFonts w:ascii="Arial" w:hAnsi="Arial" w:cs="Arial"/>
          <w:noProof/>
          <w:color w:val="595959" w:themeColor="text1" w:themeTint="A6"/>
          <w:lang w:eastAsia="zh-CN"/>
        </w:rPr>
        <mc:AlternateContent>
          <mc:Choice Requires="wps">
            <w:drawing>
              <wp:anchor distT="0" distB="0" distL="114300" distR="114300" simplePos="0" relativeHeight="251658423" behindDoc="0" locked="0" layoutInCell="1" allowOverlap="1" wp14:anchorId="7A1D0ED1" wp14:editId="16D9A1EF">
                <wp:simplePos x="0" y="0"/>
                <wp:positionH relativeFrom="column">
                  <wp:posOffset>737235</wp:posOffset>
                </wp:positionH>
                <wp:positionV relativeFrom="paragraph">
                  <wp:posOffset>78105</wp:posOffset>
                </wp:positionV>
                <wp:extent cx="91440" cy="2743200"/>
                <wp:effectExtent l="0" t="0" r="22860" b="19050"/>
                <wp:wrapNone/>
                <wp:docPr id="2137" name="Straight Connector 2137"/>
                <wp:cNvGraphicFramePr/>
                <a:graphic xmlns:a="http://schemas.openxmlformats.org/drawingml/2006/main">
                  <a:graphicData uri="http://schemas.microsoft.com/office/word/2010/wordprocessingShape">
                    <wps:wsp>
                      <wps:cNvCnPr/>
                      <wps:spPr>
                        <a:xfrm>
                          <a:off x="0" y="0"/>
                          <a:ext cx="91440" cy="274320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1B2E4AC" id="Straight Connector 2137" o:spid="_x0000_s1026" style="position:absolute;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8.05pt,6.15pt" to="65.25pt,22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" strokecolor="windowText" strokeweight=".5pt">
                <v:stroke joinstyle="miter"/>
              </v:line>
            </w:pict>
          </mc:Fallback>
        </mc:AlternateContent>
      </w:r>
      <w:r w:rsidRPr="004E06B5">
        <w:rPr>
          <w:rFonts w:ascii="Arial" w:hAnsi="Arial" w:cs="Arial"/>
          <w:noProof/>
          <w:color w:val="595959" w:themeColor="text1" w:themeTint="A6"/>
          <w:lang w:eastAsia="zh-CN"/>
        </w:rPr>
        <mc:AlternateContent>
          <mc:Choice Requires="wps">
            <w:drawing>
              <wp:anchor distT="0" distB="0" distL="114300" distR="114300" simplePos="0" relativeHeight="251658422" behindDoc="0" locked="0" layoutInCell="1" allowOverlap="1" wp14:anchorId="526CA388" wp14:editId="36260DBD">
                <wp:simplePos x="0" y="0"/>
                <wp:positionH relativeFrom="column">
                  <wp:posOffset>1666874</wp:posOffset>
                </wp:positionH>
                <wp:positionV relativeFrom="paragraph">
                  <wp:posOffset>78104</wp:posOffset>
                </wp:positionV>
                <wp:extent cx="3895725" cy="2733675"/>
                <wp:effectExtent l="0" t="0" r="28575" b="28575"/>
                <wp:wrapNone/>
                <wp:docPr id="2138" name="Straight Connector 2138"/>
                <wp:cNvGraphicFramePr/>
                <a:graphic xmlns:a="http://schemas.openxmlformats.org/drawingml/2006/main">
                  <a:graphicData uri="http://schemas.microsoft.com/office/word/2010/wordprocessingShape">
                    <wps:wsp>
                      <wps:cNvCnPr/>
                      <wps:spPr>
                        <a:xfrm>
                          <a:off x="0" y="0"/>
                          <a:ext cx="3895725" cy="2733675"/>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02F9738" id="Straight Connector 2138" o:spid="_x0000_s1026" style="position:absolute;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1.25pt,6.15pt" to="438pt,22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" strokecolor="windowText" strokeweight=".5pt">
                <v:stroke joinstyle="miter"/>
              </v:line>
            </w:pict>
          </mc:Fallback>
        </mc:AlternateContent>
      </w:r>
    </w:p>
    <w:p w14:paraId="68933DE6"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73BA9FC8"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5990A5D4"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1D369EB1"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5372BCA0"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73BB152C" w14:textId="77777777" w:rsidR="004E06B5" w:rsidRPr="004E06B5" w:rsidRDefault="004E06B5" w:rsidP="004E06B5">
      <w:pPr>
        <w:tabs>
          <w:tab w:val="left" w:pos="1350"/>
        </w:tabs>
        <w:spacing w:line="480" w:lineRule="auto"/>
        <w:jc w:val="both"/>
        <w:rPr>
          <w:rFonts w:ascii="Arial" w:hAnsi="Arial" w:cs="Arial"/>
          <w:color w:val="595959" w:themeColor="text1" w:themeTint="A6"/>
        </w:rPr>
      </w:pPr>
      <w:r w:rsidRPr="004E06B5">
        <w:rPr>
          <w:rFonts w:ascii="Arial" w:hAnsi="Arial" w:cs="Arial"/>
          <w:noProof/>
          <w:color w:val="595959" w:themeColor="text1" w:themeTint="A6"/>
          <w:lang w:eastAsia="zh-CN"/>
        </w:rPr>
        <w:drawing>
          <wp:anchor distT="0" distB="0" distL="114300" distR="114300" simplePos="0" relativeHeight="251658405" behindDoc="0" locked="0" layoutInCell="1" allowOverlap="1" wp14:anchorId="6D2ED0D3" wp14:editId="6CE9E32D">
            <wp:simplePos x="0" y="0"/>
            <wp:positionH relativeFrom="column">
              <wp:posOffset>800100</wp:posOffset>
            </wp:positionH>
            <wp:positionV relativeFrom="paragraph">
              <wp:posOffset>274320</wp:posOffset>
            </wp:positionV>
            <wp:extent cx="4801235" cy="3620135"/>
            <wp:effectExtent l="0" t="0" r="0" b="0"/>
            <wp:wrapNone/>
            <wp:docPr id="5358" name="Picture 5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801235" cy="3620135"/>
                    </a:xfrm>
                    <a:prstGeom prst="rect">
                      <a:avLst/>
                    </a:prstGeom>
                    <a:noFill/>
                  </pic:spPr>
                </pic:pic>
              </a:graphicData>
            </a:graphic>
          </wp:anchor>
        </w:drawing>
      </w:r>
    </w:p>
    <w:p w14:paraId="6B282B06"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7F0770B3" w14:textId="77777777" w:rsidR="004E06B5" w:rsidRPr="004E06B5" w:rsidRDefault="004E06B5" w:rsidP="004E06B5">
      <w:pPr>
        <w:tabs>
          <w:tab w:val="left" w:pos="1350"/>
        </w:tabs>
        <w:spacing w:line="480" w:lineRule="auto"/>
        <w:jc w:val="both"/>
        <w:rPr>
          <w:rFonts w:ascii="Arial" w:hAnsi="Arial" w:cs="Arial"/>
          <w:color w:val="595959" w:themeColor="text1" w:themeTint="A6"/>
        </w:rPr>
      </w:pPr>
      <w:r w:rsidRPr="004E06B5">
        <w:rPr>
          <w:rFonts w:ascii="Arial" w:hAnsi="Arial" w:cs="Arial"/>
          <w:noProof/>
          <w:color w:val="595959" w:themeColor="text1" w:themeTint="A6"/>
          <w:lang w:eastAsia="zh-CN"/>
        </w:rPr>
        <mc:AlternateContent>
          <mc:Choice Requires="wps">
            <w:drawing>
              <wp:anchor distT="0" distB="0" distL="114300" distR="114300" simplePos="0" relativeHeight="251658442" behindDoc="0" locked="0" layoutInCell="1" allowOverlap="1" wp14:anchorId="10795824" wp14:editId="63BD152E">
                <wp:simplePos x="0" y="0"/>
                <wp:positionH relativeFrom="column">
                  <wp:posOffset>5076825</wp:posOffset>
                </wp:positionH>
                <wp:positionV relativeFrom="paragraph">
                  <wp:posOffset>8890</wp:posOffset>
                </wp:positionV>
                <wp:extent cx="285750" cy="390525"/>
                <wp:effectExtent l="0" t="0" r="19050" b="28575"/>
                <wp:wrapNone/>
                <wp:docPr id="2139" name="Rectangle 2139"/>
                <wp:cNvGraphicFramePr/>
                <a:graphic xmlns:a="http://schemas.openxmlformats.org/drawingml/2006/main">
                  <a:graphicData uri="http://schemas.microsoft.com/office/word/2010/wordprocessingShape">
                    <wps:wsp>
                      <wps:cNvSpPr/>
                      <wps:spPr>
                        <a:xfrm>
                          <a:off x="0" y="0"/>
                          <a:ext cx="285750" cy="390525"/>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67F59F" id="Rectangle 2139" o:spid="_x0000_s1026" style="position:absolute;margin-left:399.75pt;margin-top:.7pt;width:22.5pt;height:30.75pt;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" filled="f" strokecolor="red" strokeweight="1pt"/>
            </w:pict>
          </mc:Fallback>
        </mc:AlternateContent>
      </w:r>
      <w:r w:rsidRPr="004E06B5">
        <w:rPr>
          <w:rFonts w:ascii="Arial" w:hAnsi="Arial" w:cs="Arial"/>
          <w:noProof/>
          <w:color w:val="595959" w:themeColor="text1" w:themeTint="A6"/>
          <w:lang w:eastAsia="zh-CN"/>
        </w:rPr>
        <mc:AlternateContent>
          <mc:Choice Requires="wps">
            <w:drawing>
              <wp:anchor distT="0" distB="0" distL="114300" distR="114300" simplePos="0" relativeHeight="251658427" behindDoc="0" locked="0" layoutInCell="1" allowOverlap="1" wp14:anchorId="51515D6A" wp14:editId="67E26BD6">
                <wp:simplePos x="0" y="0"/>
                <wp:positionH relativeFrom="column">
                  <wp:posOffset>4543425</wp:posOffset>
                </wp:positionH>
                <wp:positionV relativeFrom="paragraph">
                  <wp:posOffset>24130</wp:posOffset>
                </wp:positionV>
                <wp:extent cx="285750" cy="314325"/>
                <wp:effectExtent l="0" t="0" r="19050" b="28575"/>
                <wp:wrapNone/>
                <wp:docPr id="213" name="Rectangle 213"/>
                <wp:cNvGraphicFramePr/>
                <a:graphic xmlns:a="http://schemas.openxmlformats.org/drawingml/2006/main">
                  <a:graphicData uri="http://schemas.microsoft.com/office/word/2010/wordprocessingShape">
                    <wps:wsp>
                      <wps:cNvSpPr/>
                      <wps:spPr>
                        <a:xfrm>
                          <a:off x="0" y="0"/>
                          <a:ext cx="285750" cy="314325"/>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FCAC20" id="Rectangle 213" o:spid="_x0000_s1026" style="position:absolute;margin-left:357.75pt;margin-top:1.9pt;width:22.5pt;height:24.75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" filled="f" strokecolor="red" strokeweight="1pt"/>
            </w:pict>
          </mc:Fallback>
        </mc:AlternateContent>
      </w:r>
    </w:p>
    <w:p w14:paraId="5B7B760A"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2A6C56F1"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19503851"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358D29F5"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038F6E21"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30809E76"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514BF0BB" w14:textId="77777777" w:rsidR="004E06B5" w:rsidRPr="004E06B5" w:rsidRDefault="004E06B5" w:rsidP="004E06B5">
      <w:pPr>
        <w:tabs>
          <w:tab w:val="left" w:pos="1350"/>
        </w:tabs>
        <w:spacing w:line="480" w:lineRule="auto"/>
        <w:jc w:val="both"/>
        <w:rPr>
          <w:rFonts w:ascii="Arial" w:hAnsi="Arial" w:cs="Arial"/>
          <w:color w:val="595959" w:themeColor="text1" w:themeTint="A6"/>
        </w:rPr>
      </w:pPr>
      <w:r w:rsidRPr="004E06B5">
        <w:rPr>
          <w:rFonts w:ascii="Arial" w:hAnsi="Arial" w:cs="Arial"/>
          <w:noProof/>
          <w:color w:val="595959" w:themeColor="text1" w:themeTint="A6"/>
          <w:sz w:val="24"/>
          <w:szCs w:val="24"/>
          <w:lang w:eastAsia="zh-CN"/>
        </w:rPr>
        <mc:AlternateContent>
          <mc:Choice Requires="wps">
            <w:drawing>
              <wp:anchor distT="0" distB="0" distL="114300" distR="114300" simplePos="0" relativeHeight="251658395" behindDoc="0" locked="0" layoutInCell="1" allowOverlap="1" wp14:anchorId="0947B31D" wp14:editId="744FE0AF">
                <wp:simplePos x="0" y="0"/>
                <wp:positionH relativeFrom="margin">
                  <wp:posOffset>0</wp:posOffset>
                </wp:positionH>
                <wp:positionV relativeFrom="paragraph">
                  <wp:posOffset>116840</wp:posOffset>
                </wp:positionV>
                <wp:extent cx="5724525" cy="1533525"/>
                <wp:effectExtent l="0" t="0" r="9525" b="9525"/>
                <wp:wrapNone/>
                <wp:docPr id="2140" name="Text Box 2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1533525"/>
                        </a:xfrm>
                        <a:prstGeom prst="rect">
                          <a:avLst/>
                        </a:prstGeom>
                        <a:solidFill>
                          <a:srgbClr val="FFFFFF"/>
                        </a:solidFill>
                        <a:ln w="9525">
                          <a:noFill/>
                          <a:miter lim="800000"/>
                          <a:headEnd/>
                          <a:tailEnd/>
                        </a:ln>
                      </wps:spPr>
                      <wps:txbx>
                        <w:txbxContent>
                          <w:p w14:paraId="7B72EF5C" w14:textId="77777777" w:rsidR="008A47AC" w:rsidRPr="006B7937" w:rsidRDefault="008A47AC" w:rsidP="004E06B5">
                            <w:pPr>
                              <w:pStyle w:val="Caption"/>
                              <w:keepNext/>
                              <w:jc w:val="both"/>
                              <w:rPr>
                                <w:rFonts w:ascii="Arial Narrow" w:hAnsi="Arial Narrow"/>
                                <w:b/>
                                <w:i w:val="0"/>
                                <w:sz w:val="24"/>
                                <w:szCs w:val="24"/>
                              </w:rPr>
                            </w:pPr>
                            <w:r w:rsidRPr="006B7937">
                              <w:rPr>
                                <w:rFonts w:ascii="Arial Narrow" w:hAnsi="Arial Narrow"/>
                                <w:b/>
                                <w:i w:val="0"/>
                                <w:color w:val="595959" w:themeColor="text1" w:themeTint="A6"/>
                                <w:sz w:val="24"/>
                                <w:szCs w:val="24"/>
                              </w:rPr>
                              <w:t>Figure</w:t>
                            </w:r>
                            <w:r>
                              <w:rPr>
                                <w:rFonts w:ascii="Arial Narrow" w:hAnsi="Arial Narrow"/>
                                <w:b/>
                                <w:i w:val="0"/>
                                <w:color w:val="595959" w:themeColor="text1" w:themeTint="A6"/>
                                <w:sz w:val="24"/>
                                <w:szCs w:val="24"/>
                              </w:rPr>
                              <w:t xml:space="preserve"> 5.8 Representative H&amp;E images of tissue-engineered atypical oral mucosa (TEAOM) model</w:t>
                            </w:r>
                          </w:p>
                          <w:p w14:paraId="0355882C" w14:textId="77777777" w:rsidR="008A47AC" w:rsidRPr="00A708E4" w:rsidRDefault="008A47AC" w:rsidP="004E06B5">
                            <w:pPr>
                              <w:pStyle w:val="NormalWeb"/>
                              <w:spacing w:after="200" w:line="276" w:lineRule="auto"/>
                              <w:jc w:val="both"/>
                            </w:pPr>
                            <w:r w:rsidRPr="00575592">
                              <w:rPr>
                                <w:rFonts w:ascii="Arial Narrow" w:eastAsia="SimSun" w:hAnsi="Arial Narrow" w:cs="Arial"/>
                                <w:color w:val="595959"/>
                                <w:kern w:val="24"/>
                                <w:sz w:val="22"/>
                                <w:szCs w:val="22"/>
                              </w:rPr>
                              <w:t>The addition</w:t>
                            </w:r>
                            <w:r>
                              <w:rPr>
                                <w:rFonts w:ascii="Arial Narrow" w:eastAsia="SimSun" w:hAnsi="Arial Narrow" w:cs="Arial"/>
                                <w:color w:val="595959"/>
                                <w:kern w:val="24"/>
                                <w:sz w:val="22"/>
                                <w:szCs w:val="22"/>
                              </w:rPr>
                              <w:t xml:space="preserve"> and culture</w:t>
                            </w:r>
                            <w:r w:rsidRPr="00575592">
                              <w:rPr>
                                <w:rFonts w:ascii="Arial Narrow" w:eastAsia="SimSun" w:hAnsi="Arial Narrow" w:cs="Arial"/>
                                <w:color w:val="595959"/>
                                <w:kern w:val="24"/>
                                <w:sz w:val="22"/>
                                <w:szCs w:val="22"/>
                              </w:rPr>
                              <w:t xml:space="preserve"> of FNB6 cells</w:t>
                            </w:r>
                            <w:r>
                              <w:rPr>
                                <w:rFonts w:ascii="Arial Narrow" w:eastAsia="SimSun" w:hAnsi="Arial Narrow" w:cs="Arial"/>
                                <w:color w:val="595959"/>
                                <w:kern w:val="24"/>
                                <w:sz w:val="22"/>
                                <w:szCs w:val="22"/>
                              </w:rPr>
                              <w:t xml:space="preserve"> on CAF-DM </w:t>
                            </w:r>
                            <w:r w:rsidRPr="00575592">
                              <w:rPr>
                                <w:rFonts w:ascii="Arial Narrow" w:eastAsia="SimSun" w:hAnsi="Arial Narrow" w:cs="Arial"/>
                                <w:color w:val="595959"/>
                                <w:kern w:val="24"/>
                                <w:sz w:val="22"/>
                                <w:szCs w:val="22"/>
                              </w:rPr>
                              <w:t xml:space="preserve">produced </w:t>
                            </w:r>
                            <w:r>
                              <w:rPr>
                                <w:rFonts w:ascii="Arial Narrow" w:eastAsia="SimSun" w:hAnsi="Arial Narrow" w:cs="Arial"/>
                                <w:color w:val="595959"/>
                                <w:kern w:val="24"/>
                                <w:sz w:val="22"/>
                                <w:szCs w:val="22"/>
                              </w:rPr>
                              <w:t>an atypical oral mucosa</w:t>
                            </w:r>
                            <w:r w:rsidRPr="00575592">
                              <w:rPr>
                                <w:rFonts w:ascii="Arial Narrow" w:eastAsia="SimSun" w:hAnsi="Arial Narrow" w:cs="Arial"/>
                                <w:color w:val="595959"/>
                                <w:kern w:val="24"/>
                                <w:sz w:val="22"/>
                                <w:szCs w:val="22"/>
                              </w:rPr>
                              <w:t>.</w:t>
                            </w:r>
                            <w:r>
                              <w:rPr>
                                <w:rFonts w:ascii="Arial Narrow" w:eastAsia="SimSun" w:hAnsi="Arial Narrow" w:cs="Arial"/>
                                <w:color w:val="595959"/>
                                <w:kern w:val="24"/>
                                <w:sz w:val="22"/>
                                <w:szCs w:val="22"/>
                              </w:rPr>
                              <w:t xml:space="preserve"> H&amp;E staining demonstrated a </w:t>
                            </w:r>
                            <w:r w:rsidRPr="00FF740A">
                              <w:rPr>
                                <w:rFonts w:ascii="Arial Narrow" w:eastAsia="SimSun" w:hAnsi="Arial Narrow" w:cs="Arial"/>
                                <w:color w:val="595959"/>
                                <w:kern w:val="24"/>
                                <w:sz w:val="22"/>
                                <w:szCs w:val="22"/>
                              </w:rPr>
                              <w:t xml:space="preserve">loss of a defined basal </w:t>
                            </w:r>
                            <w:r>
                              <w:rPr>
                                <w:rFonts w:ascii="Arial Narrow" w:eastAsia="SimSun" w:hAnsi="Arial Narrow" w:cs="Arial"/>
                                <w:color w:val="595959"/>
                                <w:kern w:val="24"/>
                                <w:sz w:val="22"/>
                                <w:szCs w:val="22"/>
                              </w:rPr>
                              <w:t>layer (A)</w:t>
                            </w:r>
                            <w:r w:rsidRPr="00FF740A">
                              <w:rPr>
                                <w:rFonts w:ascii="Arial Narrow" w:eastAsia="SimSun" w:hAnsi="Arial Narrow" w:cs="Arial"/>
                                <w:color w:val="595959"/>
                                <w:kern w:val="24"/>
                                <w:sz w:val="22"/>
                                <w:szCs w:val="22"/>
                              </w:rPr>
                              <w:t>, evidenced by lack of densely packed oval shaped cells lining the matrix layer below</w:t>
                            </w:r>
                            <w:r>
                              <w:rPr>
                                <w:rFonts w:ascii="Arial Narrow" w:eastAsia="SimSun" w:hAnsi="Arial Narrow" w:cs="Arial"/>
                                <w:color w:val="595959"/>
                                <w:kern w:val="24"/>
                                <w:sz w:val="22"/>
                                <w:szCs w:val="22"/>
                              </w:rPr>
                              <w:t>, as well as keratin pearls (red boxes) Scale bar =200 µm. I</w:t>
                            </w:r>
                            <w:r w:rsidRPr="00FF740A">
                              <w:rPr>
                                <w:rFonts w:ascii="Arial Narrow" w:eastAsia="SimSun" w:hAnsi="Arial Narrow" w:cs="Arial"/>
                                <w:color w:val="595959"/>
                                <w:kern w:val="24"/>
                                <w:sz w:val="22"/>
                                <w:szCs w:val="22"/>
                              </w:rPr>
                              <w:t>nvasion into the matrix layer below is evident (</w:t>
                            </w:r>
                            <w:r>
                              <w:rPr>
                                <w:rFonts w:ascii="Arial Narrow" w:eastAsia="SimSun" w:hAnsi="Arial Narrow" w:cs="Arial"/>
                                <w:color w:val="595959"/>
                                <w:kern w:val="24"/>
                                <w:sz w:val="22"/>
                                <w:szCs w:val="22"/>
                              </w:rPr>
                              <w:t>b</w:t>
                            </w:r>
                            <w:r w:rsidRPr="00FF740A">
                              <w:rPr>
                                <w:rFonts w:ascii="Arial Narrow" w:eastAsia="SimSun" w:hAnsi="Arial Narrow" w:cs="Arial"/>
                                <w:color w:val="595959"/>
                                <w:kern w:val="24"/>
                                <w:sz w:val="22"/>
                                <w:szCs w:val="22"/>
                              </w:rPr>
                              <w:t xml:space="preserve">lue arrow) </w:t>
                            </w:r>
                            <w:r>
                              <w:rPr>
                                <w:rFonts w:ascii="Arial Narrow" w:eastAsia="SimSun" w:hAnsi="Arial Narrow" w:cs="Arial"/>
                                <w:color w:val="595959"/>
                                <w:kern w:val="24"/>
                                <w:sz w:val="22"/>
                                <w:szCs w:val="22"/>
                              </w:rPr>
                              <w:t xml:space="preserve">and tumour ‘islets’ formed </w:t>
                            </w:r>
                            <w:r w:rsidRPr="00FF740A">
                              <w:rPr>
                                <w:rFonts w:ascii="Arial Narrow" w:eastAsia="SimSun" w:hAnsi="Arial Narrow" w:cs="Arial"/>
                                <w:color w:val="595959"/>
                                <w:kern w:val="24"/>
                                <w:sz w:val="22"/>
                                <w:szCs w:val="22"/>
                              </w:rPr>
                              <w:t>(</w:t>
                            </w:r>
                            <w:r>
                              <w:rPr>
                                <w:rFonts w:ascii="Arial Narrow" w:eastAsia="SimSun" w:hAnsi="Arial Narrow" w:cs="Arial"/>
                                <w:color w:val="595959"/>
                                <w:kern w:val="24"/>
                                <w:sz w:val="22"/>
                                <w:szCs w:val="22"/>
                              </w:rPr>
                              <w:t>b</w:t>
                            </w:r>
                            <w:r w:rsidRPr="00FF740A">
                              <w:rPr>
                                <w:rFonts w:ascii="Arial Narrow" w:eastAsia="SimSun" w:hAnsi="Arial Narrow" w:cs="Arial"/>
                                <w:color w:val="595959"/>
                                <w:kern w:val="24"/>
                                <w:sz w:val="22"/>
                                <w:szCs w:val="22"/>
                              </w:rPr>
                              <w:t>lack arrows)</w:t>
                            </w:r>
                            <w:r>
                              <w:rPr>
                                <w:rFonts w:ascii="Arial Narrow" w:eastAsia="SimSun" w:hAnsi="Arial Narrow" w:cs="Arial"/>
                                <w:color w:val="595959"/>
                                <w:kern w:val="24"/>
                                <w:sz w:val="22"/>
                                <w:szCs w:val="22"/>
                              </w:rPr>
                              <w:t xml:space="preserve"> (B) Scale bar =100 µm (</w:t>
                            </w:r>
                            <w:r w:rsidRPr="00E72F77">
                              <w:rPr>
                                <w:rFonts w:ascii="Arial Narrow" w:eastAsia="SimSun" w:hAnsi="Arial Narrow" w:cs="Arial"/>
                                <w:color w:val="595959" w:themeColor="text1" w:themeTint="A6"/>
                                <w:kern w:val="24"/>
                                <w:sz w:val="22"/>
                                <w:szCs w:val="22"/>
                              </w:rPr>
                              <w:t>N=</w:t>
                            </w:r>
                            <w:r>
                              <w:rPr>
                                <w:rFonts w:ascii="Arial Narrow" w:eastAsia="SimSun" w:hAnsi="Arial Narrow" w:cs="Arial"/>
                                <w:color w:val="595959" w:themeColor="text1" w:themeTint="A6"/>
                                <w:kern w:val="24"/>
                                <w:sz w:val="22"/>
                                <w:szCs w:val="22"/>
                              </w:rPr>
                              <w:t>3</w:t>
                            </w:r>
                            <w:r w:rsidRPr="00E72F77">
                              <w:rPr>
                                <w:rFonts w:ascii="Arial Narrow" w:eastAsia="SimSun" w:hAnsi="Arial Narrow" w:cs="Arial"/>
                                <w:color w:val="595959" w:themeColor="text1" w:themeTint="A6"/>
                                <w:kern w:val="24"/>
                                <w:sz w:val="22"/>
                                <w:szCs w:val="22"/>
                              </w:rPr>
                              <w:t>, n=</w:t>
                            </w:r>
                            <w:r>
                              <w:rPr>
                                <w:rFonts w:ascii="Arial Narrow" w:eastAsia="SimSun" w:hAnsi="Arial Narrow" w:cs="Arial"/>
                                <w:color w:val="595959" w:themeColor="text1" w:themeTint="A6"/>
                                <w:kern w:val="24"/>
                                <w:sz w:val="22"/>
                                <w:szCs w:val="22"/>
                              </w:rPr>
                              <w:t>3</w:t>
                            </w:r>
                            <w:r w:rsidRPr="00E72F77">
                              <w:rPr>
                                <w:rFonts w:ascii="Arial Narrow" w:eastAsia="SimSun" w:hAnsi="Arial Narrow" w:cs="Arial"/>
                                <w:color w:val="595959" w:themeColor="text1" w:themeTint="A6"/>
                                <w:kern w:val="24"/>
                                <w:sz w:val="22"/>
                                <w:szCs w:val="2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47B31D" id="Text Box 2140" o:spid="_x0000_s1182" type="#_x0000_t202" style="position:absolute;left:0;text-align:left;margin-left:0;margin-top:9.2pt;width:450.75pt;height:120.75pt;z-index:25165839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" stroked="f">
                <v:textbox>
                  <w:txbxContent>
                    <w:p w14:paraId="7B72EF5C" w14:textId="77777777" w:rsidR="008A47AC" w:rsidRPr="006B7937" w:rsidRDefault="008A47AC" w:rsidP="004E06B5">
                      <w:pPr>
                        <w:pStyle w:val="Caption"/>
                        <w:keepNext/>
                        <w:jc w:val="both"/>
                        <w:rPr>
                          <w:rFonts w:ascii="Arial Narrow" w:hAnsi="Arial Narrow"/>
                          <w:b/>
                          <w:i w:val="0"/>
                          <w:sz w:val="24"/>
                          <w:szCs w:val="24"/>
                        </w:rPr>
                      </w:pPr>
                      <w:r w:rsidRPr="006B7937">
                        <w:rPr>
                          <w:rFonts w:ascii="Arial Narrow" w:hAnsi="Arial Narrow"/>
                          <w:b/>
                          <w:i w:val="0"/>
                          <w:color w:val="595959" w:themeColor="text1" w:themeTint="A6"/>
                          <w:sz w:val="24"/>
                          <w:szCs w:val="24"/>
                        </w:rPr>
                        <w:t>Figure</w:t>
                      </w:r>
                      <w:r>
                        <w:rPr>
                          <w:rFonts w:ascii="Arial Narrow" w:hAnsi="Arial Narrow"/>
                          <w:b/>
                          <w:i w:val="0"/>
                          <w:color w:val="595959" w:themeColor="text1" w:themeTint="A6"/>
                          <w:sz w:val="24"/>
                          <w:szCs w:val="24"/>
                        </w:rPr>
                        <w:t xml:space="preserve"> 5.8 Representative H&amp;E images of tissue-engineered atypical oral mucosa (TEAOM) model</w:t>
                      </w:r>
                    </w:p>
                    <w:p w14:paraId="0355882C" w14:textId="77777777" w:rsidR="008A47AC" w:rsidRPr="00A708E4" w:rsidRDefault="008A47AC" w:rsidP="004E06B5">
                      <w:pPr>
                        <w:pStyle w:val="NormalWeb"/>
                        <w:spacing w:after="200" w:line="276" w:lineRule="auto"/>
                        <w:jc w:val="both"/>
                      </w:pPr>
                      <w:r w:rsidRPr="00575592">
                        <w:rPr>
                          <w:rFonts w:ascii="Arial Narrow" w:eastAsia="SimSun" w:hAnsi="Arial Narrow" w:cs="Arial"/>
                          <w:color w:val="595959"/>
                          <w:kern w:val="24"/>
                          <w:sz w:val="22"/>
                          <w:szCs w:val="22"/>
                        </w:rPr>
                        <w:t>The addition</w:t>
                      </w:r>
                      <w:r>
                        <w:rPr>
                          <w:rFonts w:ascii="Arial Narrow" w:eastAsia="SimSun" w:hAnsi="Arial Narrow" w:cs="Arial"/>
                          <w:color w:val="595959"/>
                          <w:kern w:val="24"/>
                          <w:sz w:val="22"/>
                          <w:szCs w:val="22"/>
                        </w:rPr>
                        <w:t xml:space="preserve"> and culture</w:t>
                      </w:r>
                      <w:r w:rsidRPr="00575592">
                        <w:rPr>
                          <w:rFonts w:ascii="Arial Narrow" w:eastAsia="SimSun" w:hAnsi="Arial Narrow" w:cs="Arial"/>
                          <w:color w:val="595959"/>
                          <w:kern w:val="24"/>
                          <w:sz w:val="22"/>
                          <w:szCs w:val="22"/>
                        </w:rPr>
                        <w:t xml:space="preserve"> of FNB6 cells</w:t>
                      </w:r>
                      <w:r>
                        <w:rPr>
                          <w:rFonts w:ascii="Arial Narrow" w:eastAsia="SimSun" w:hAnsi="Arial Narrow" w:cs="Arial"/>
                          <w:color w:val="595959"/>
                          <w:kern w:val="24"/>
                          <w:sz w:val="22"/>
                          <w:szCs w:val="22"/>
                        </w:rPr>
                        <w:t xml:space="preserve"> on CAF-DM </w:t>
                      </w:r>
                      <w:r w:rsidRPr="00575592">
                        <w:rPr>
                          <w:rFonts w:ascii="Arial Narrow" w:eastAsia="SimSun" w:hAnsi="Arial Narrow" w:cs="Arial"/>
                          <w:color w:val="595959"/>
                          <w:kern w:val="24"/>
                          <w:sz w:val="22"/>
                          <w:szCs w:val="22"/>
                        </w:rPr>
                        <w:t xml:space="preserve">produced </w:t>
                      </w:r>
                      <w:r>
                        <w:rPr>
                          <w:rFonts w:ascii="Arial Narrow" w:eastAsia="SimSun" w:hAnsi="Arial Narrow" w:cs="Arial"/>
                          <w:color w:val="595959"/>
                          <w:kern w:val="24"/>
                          <w:sz w:val="22"/>
                          <w:szCs w:val="22"/>
                        </w:rPr>
                        <w:t>an atypical oral mucosa</w:t>
                      </w:r>
                      <w:r w:rsidRPr="00575592">
                        <w:rPr>
                          <w:rFonts w:ascii="Arial Narrow" w:eastAsia="SimSun" w:hAnsi="Arial Narrow" w:cs="Arial"/>
                          <w:color w:val="595959"/>
                          <w:kern w:val="24"/>
                          <w:sz w:val="22"/>
                          <w:szCs w:val="22"/>
                        </w:rPr>
                        <w:t>.</w:t>
                      </w:r>
                      <w:r>
                        <w:rPr>
                          <w:rFonts w:ascii="Arial Narrow" w:eastAsia="SimSun" w:hAnsi="Arial Narrow" w:cs="Arial"/>
                          <w:color w:val="595959"/>
                          <w:kern w:val="24"/>
                          <w:sz w:val="22"/>
                          <w:szCs w:val="22"/>
                        </w:rPr>
                        <w:t xml:space="preserve"> H&amp;E staining demonstrated a </w:t>
                      </w:r>
                      <w:r w:rsidRPr="00FF740A">
                        <w:rPr>
                          <w:rFonts w:ascii="Arial Narrow" w:eastAsia="SimSun" w:hAnsi="Arial Narrow" w:cs="Arial"/>
                          <w:color w:val="595959"/>
                          <w:kern w:val="24"/>
                          <w:sz w:val="22"/>
                          <w:szCs w:val="22"/>
                        </w:rPr>
                        <w:t xml:space="preserve">loss of a defined basal </w:t>
                      </w:r>
                      <w:r>
                        <w:rPr>
                          <w:rFonts w:ascii="Arial Narrow" w:eastAsia="SimSun" w:hAnsi="Arial Narrow" w:cs="Arial"/>
                          <w:color w:val="595959"/>
                          <w:kern w:val="24"/>
                          <w:sz w:val="22"/>
                          <w:szCs w:val="22"/>
                        </w:rPr>
                        <w:t>layer (A)</w:t>
                      </w:r>
                      <w:r w:rsidRPr="00FF740A">
                        <w:rPr>
                          <w:rFonts w:ascii="Arial Narrow" w:eastAsia="SimSun" w:hAnsi="Arial Narrow" w:cs="Arial"/>
                          <w:color w:val="595959"/>
                          <w:kern w:val="24"/>
                          <w:sz w:val="22"/>
                          <w:szCs w:val="22"/>
                        </w:rPr>
                        <w:t>, evidenced by lack of densely packed oval shaped cells lining the matrix layer below</w:t>
                      </w:r>
                      <w:r>
                        <w:rPr>
                          <w:rFonts w:ascii="Arial Narrow" w:eastAsia="SimSun" w:hAnsi="Arial Narrow" w:cs="Arial"/>
                          <w:color w:val="595959"/>
                          <w:kern w:val="24"/>
                          <w:sz w:val="22"/>
                          <w:szCs w:val="22"/>
                        </w:rPr>
                        <w:t>, as well as keratin pearls (red boxes) Scale bar =200 µm. I</w:t>
                      </w:r>
                      <w:r w:rsidRPr="00FF740A">
                        <w:rPr>
                          <w:rFonts w:ascii="Arial Narrow" w:eastAsia="SimSun" w:hAnsi="Arial Narrow" w:cs="Arial"/>
                          <w:color w:val="595959"/>
                          <w:kern w:val="24"/>
                          <w:sz w:val="22"/>
                          <w:szCs w:val="22"/>
                        </w:rPr>
                        <w:t>nvasion into the matrix layer below is evident (</w:t>
                      </w:r>
                      <w:r>
                        <w:rPr>
                          <w:rFonts w:ascii="Arial Narrow" w:eastAsia="SimSun" w:hAnsi="Arial Narrow" w:cs="Arial"/>
                          <w:color w:val="595959"/>
                          <w:kern w:val="24"/>
                          <w:sz w:val="22"/>
                          <w:szCs w:val="22"/>
                        </w:rPr>
                        <w:t>b</w:t>
                      </w:r>
                      <w:r w:rsidRPr="00FF740A">
                        <w:rPr>
                          <w:rFonts w:ascii="Arial Narrow" w:eastAsia="SimSun" w:hAnsi="Arial Narrow" w:cs="Arial"/>
                          <w:color w:val="595959"/>
                          <w:kern w:val="24"/>
                          <w:sz w:val="22"/>
                          <w:szCs w:val="22"/>
                        </w:rPr>
                        <w:t xml:space="preserve">lue arrow) </w:t>
                      </w:r>
                      <w:r>
                        <w:rPr>
                          <w:rFonts w:ascii="Arial Narrow" w:eastAsia="SimSun" w:hAnsi="Arial Narrow" w:cs="Arial"/>
                          <w:color w:val="595959"/>
                          <w:kern w:val="24"/>
                          <w:sz w:val="22"/>
                          <w:szCs w:val="22"/>
                        </w:rPr>
                        <w:t xml:space="preserve">and tumour ‘islets’ formed </w:t>
                      </w:r>
                      <w:r w:rsidRPr="00FF740A">
                        <w:rPr>
                          <w:rFonts w:ascii="Arial Narrow" w:eastAsia="SimSun" w:hAnsi="Arial Narrow" w:cs="Arial"/>
                          <w:color w:val="595959"/>
                          <w:kern w:val="24"/>
                          <w:sz w:val="22"/>
                          <w:szCs w:val="22"/>
                        </w:rPr>
                        <w:t>(</w:t>
                      </w:r>
                      <w:r>
                        <w:rPr>
                          <w:rFonts w:ascii="Arial Narrow" w:eastAsia="SimSun" w:hAnsi="Arial Narrow" w:cs="Arial"/>
                          <w:color w:val="595959"/>
                          <w:kern w:val="24"/>
                          <w:sz w:val="22"/>
                          <w:szCs w:val="22"/>
                        </w:rPr>
                        <w:t>b</w:t>
                      </w:r>
                      <w:r w:rsidRPr="00FF740A">
                        <w:rPr>
                          <w:rFonts w:ascii="Arial Narrow" w:eastAsia="SimSun" w:hAnsi="Arial Narrow" w:cs="Arial"/>
                          <w:color w:val="595959"/>
                          <w:kern w:val="24"/>
                          <w:sz w:val="22"/>
                          <w:szCs w:val="22"/>
                        </w:rPr>
                        <w:t>lack arrows)</w:t>
                      </w:r>
                      <w:r>
                        <w:rPr>
                          <w:rFonts w:ascii="Arial Narrow" w:eastAsia="SimSun" w:hAnsi="Arial Narrow" w:cs="Arial"/>
                          <w:color w:val="595959"/>
                          <w:kern w:val="24"/>
                          <w:sz w:val="22"/>
                          <w:szCs w:val="22"/>
                        </w:rPr>
                        <w:t xml:space="preserve"> (B) Scale bar =100 µm (</w:t>
                      </w:r>
                      <w:r w:rsidRPr="00E72F77">
                        <w:rPr>
                          <w:rFonts w:ascii="Arial Narrow" w:eastAsia="SimSun" w:hAnsi="Arial Narrow" w:cs="Arial"/>
                          <w:color w:val="595959" w:themeColor="text1" w:themeTint="A6"/>
                          <w:kern w:val="24"/>
                          <w:sz w:val="22"/>
                          <w:szCs w:val="22"/>
                        </w:rPr>
                        <w:t>N=</w:t>
                      </w:r>
                      <w:r>
                        <w:rPr>
                          <w:rFonts w:ascii="Arial Narrow" w:eastAsia="SimSun" w:hAnsi="Arial Narrow" w:cs="Arial"/>
                          <w:color w:val="595959" w:themeColor="text1" w:themeTint="A6"/>
                          <w:kern w:val="24"/>
                          <w:sz w:val="22"/>
                          <w:szCs w:val="22"/>
                        </w:rPr>
                        <w:t>3</w:t>
                      </w:r>
                      <w:r w:rsidRPr="00E72F77">
                        <w:rPr>
                          <w:rFonts w:ascii="Arial Narrow" w:eastAsia="SimSun" w:hAnsi="Arial Narrow" w:cs="Arial"/>
                          <w:color w:val="595959" w:themeColor="text1" w:themeTint="A6"/>
                          <w:kern w:val="24"/>
                          <w:sz w:val="22"/>
                          <w:szCs w:val="22"/>
                        </w:rPr>
                        <w:t>, n=</w:t>
                      </w:r>
                      <w:r>
                        <w:rPr>
                          <w:rFonts w:ascii="Arial Narrow" w:eastAsia="SimSun" w:hAnsi="Arial Narrow" w:cs="Arial"/>
                          <w:color w:val="595959" w:themeColor="text1" w:themeTint="A6"/>
                          <w:kern w:val="24"/>
                          <w:sz w:val="22"/>
                          <w:szCs w:val="22"/>
                        </w:rPr>
                        <w:t>3</w:t>
                      </w:r>
                      <w:r w:rsidRPr="00E72F77">
                        <w:rPr>
                          <w:rFonts w:ascii="Arial Narrow" w:eastAsia="SimSun" w:hAnsi="Arial Narrow" w:cs="Arial"/>
                          <w:color w:val="595959" w:themeColor="text1" w:themeTint="A6"/>
                          <w:kern w:val="24"/>
                          <w:sz w:val="22"/>
                          <w:szCs w:val="22"/>
                        </w:rPr>
                        <w:t>).</w:t>
                      </w:r>
                    </w:p>
                  </w:txbxContent>
                </v:textbox>
                <w10:wrap anchorx="margin"/>
              </v:shape>
            </w:pict>
          </mc:Fallback>
        </mc:AlternateContent>
      </w:r>
    </w:p>
    <w:p w14:paraId="695F03EF"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7D26C508" w14:textId="37558267" w:rsidR="004E06B5" w:rsidRDefault="004E06B5" w:rsidP="004E06B5">
      <w:pPr>
        <w:tabs>
          <w:tab w:val="left" w:pos="1350"/>
        </w:tabs>
        <w:spacing w:line="480" w:lineRule="auto"/>
        <w:jc w:val="both"/>
        <w:rPr>
          <w:rFonts w:ascii="Arial" w:hAnsi="Arial" w:cs="Arial"/>
          <w:color w:val="595959" w:themeColor="text1" w:themeTint="A6"/>
        </w:rPr>
      </w:pPr>
    </w:p>
    <w:p w14:paraId="6678717F" w14:textId="77777777" w:rsidR="00982EED" w:rsidRPr="004E06B5" w:rsidRDefault="00982EED" w:rsidP="004E06B5">
      <w:pPr>
        <w:tabs>
          <w:tab w:val="left" w:pos="1350"/>
        </w:tabs>
        <w:spacing w:line="480" w:lineRule="auto"/>
        <w:jc w:val="both"/>
        <w:rPr>
          <w:rFonts w:ascii="Arial" w:hAnsi="Arial" w:cs="Arial"/>
          <w:color w:val="595959" w:themeColor="text1" w:themeTint="A6"/>
        </w:rPr>
      </w:pPr>
    </w:p>
    <w:p w14:paraId="5361C29C" w14:textId="33FACDCF" w:rsidR="004E06B5" w:rsidRDefault="004E06B5" w:rsidP="00171A51">
      <w:pPr>
        <w:pStyle w:val="Heading4"/>
        <w:spacing w:line="480" w:lineRule="auto"/>
        <w:jc w:val="both"/>
        <w:rPr>
          <w:rFonts w:ascii="Arial" w:hAnsi="Arial" w:cs="Arial"/>
          <w:color w:val="595959" w:themeColor="text1" w:themeTint="A6"/>
        </w:rPr>
      </w:pPr>
      <w:bookmarkStart w:id="458" w:name="_Toc34208455"/>
      <w:r w:rsidRPr="004E06B5">
        <w:rPr>
          <w:rFonts w:ascii="Arial" w:hAnsi="Arial" w:cs="Arial"/>
          <w:color w:val="595959" w:themeColor="text1" w:themeTint="A6"/>
        </w:rPr>
        <w:lastRenderedPageBreak/>
        <w:t>5.3.1.3 Generation of a tissue-engineered, full-thickness oral squamous cell carcinoma model</w:t>
      </w:r>
      <w:bookmarkEnd w:id="458"/>
    </w:p>
    <w:p w14:paraId="37B63D71" w14:textId="77777777" w:rsidR="00171A51" w:rsidRPr="00171A51" w:rsidRDefault="00171A51" w:rsidP="00171A51"/>
    <w:p w14:paraId="6873BA81" w14:textId="3B4103A7" w:rsidR="004E06B5" w:rsidRPr="004E06B5" w:rsidRDefault="004E06B5" w:rsidP="004E06B5">
      <w:pPr>
        <w:tabs>
          <w:tab w:val="left" w:pos="1350"/>
        </w:tabs>
        <w:spacing w:line="480" w:lineRule="auto"/>
        <w:jc w:val="both"/>
        <w:rPr>
          <w:rFonts w:ascii="Arial" w:hAnsi="Arial" w:cs="Arial"/>
          <w:color w:val="595959" w:themeColor="text1" w:themeTint="A6"/>
        </w:rPr>
      </w:pPr>
      <w:r w:rsidRPr="004E06B5">
        <w:rPr>
          <w:rFonts w:ascii="Arial" w:hAnsi="Arial" w:cs="Arial"/>
          <w:color w:val="595959" w:themeColor="text1" w:themeTint="A6"/>
        </w:rPr>
        <w:t>To investigate if CAF-DM could support OSCC growth to model cancer progression an H357 were cultured on 28</w:t>
      </w:r>
      <w:r w:rsidR="00C97DD6">
        <w:rPr>
          <w:rFonts w:ascii="Arial" w:hAnsi="Arial" w:cs="Arial"/>
          <w:color w:val="595959" w:themeColor="text1" w:themeTint="A6"/>
        </w:rPr>
        <w:t>-</w:t>
      </w:r>
      <w:r w:rsidRPr="004E06B5">
        <w:rPr>
          <w:rFonts w:ascii="Arial" w:hAnsi="Arial" w:cs="Arial"/>
          <w:color w:val="595959" w:themeColor="text1" w:themeTint="A6"/>
        </w:rPr>
        <w:t xml:space="preserve">day CAF-DM. The resultant tissue-engineered OSCC model (TESCCM) demonstrated a CAF-rich populated dense matrix, with CAF orientation altering in proximity to the epithelial cells (Figure 5.9 A). More fusiform cells are seen closer to the epithelia surrounded by linear stromal fibres running parallel to the elongated cells and more rounded CAF appearance is evident with greater distance from the H357 cells (Figure 5.9 C; black dashed box). Histologically, H357 cells exhibited a highly disorganised epithelia with no stratification as seen in the TENOM and to a lesser extent the TEAOM models, and there was a distinct lack of cellular polarisation with cell invasion visible (Figure 5.9 B; red box). There is evidence of atypical mitosis (Figure 5.9 C; black box), loss of epithelial cell cohesion and an increase nucleus to cytoplasmic ratio.  </w:t>
      </w:r>
    </w:p>
    <w:p w14:paraId="3AC6CCEB"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77B015FB"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39482A61"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208EB02B"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1D092ECD"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04552566"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51887300"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7AB0A2A2"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655C26AC"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1B447E36" w14:textId="46ADEC3D" w:rsidR="004E06B5" w:rsidRDefault="004E06B5" w:rsidP="004E06B5">
      <w:pPr>
        <w:tabs>
          <w:tab w:val="left" w:pos="1350"/>
        </w:tabs>
        <w:spacing w:line="480" w:lineRule="auto"/>
        <w:jc w:val="both"/>
        <w:rPr>
          <w:rFonts w:ascii="Arial" w:hAnsi="Arial" w:cs="Arial"/>
          <w:color w:val="595959" w:themeColor="text1" w:themeTint="A6"/>
        </w:rPr>
      </w:pPr>
    </w:p>
    <w:p w14:paraId="194CB881" w14:textId="77777777" w:rsidR="000B0D86" w:rsidRPr="004E06B5" w:rsidRDefault="000B0D86" w:rsidP="004E06B5">
      <w:pPr>
        <w:tabs>
          <w:tab w:val="left" w:pos="1350"/>
        </w:tabs>
        <w:spacing w:line="480" w:lineRule="auto"/>
        <w:jc w:val="both"/>
        <w:rPr>
          <w:rFonts w:ascii="Arial" w:hAnsi="Arial" w:cs="Arial"/>
          <w:color w:val="595959" w:themeColor="text1" w:themeTint="A6"/>
        </w:rPr>
      </w:pPr>
    </w:p>
    <w:p w14:paraId="2DAA9C69"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053F23DE" w14:textId="0811CE36" w:rsidR="004E06B5" w:rsidRPr="004E06B5" w:rsidRDefault="004E06B5" w:rsidP="004E06B5">
      <w:pPr>
        <w:tabs>
          <w:tab w:val="left" w:pos="1350"/>
        </w:tabs>
        <w:spacing w:line="480" w:lineRule="auto"/>
        <w:jc w:val="both"/>
        <w:rPr>
          <w:rFonts w:ascii="Arial" w:hAnsi="Arial" w:cs="Arial"/>
          <w:color w:val="595959" w:themeColor="text1" w:themeTint="A6"/>
        </w:rPr>
      </w:pPr>
      <w:r w:rsidRPr="004E06B5">
        <w:rPr>
          <w:rFonts w:ascii="Arial" w:hAnsi="Arial" w:cs="Arial"/>
          <w:noProof/>
          <w:color w:val="595959" w:themeColor="text1" w:themeTint="A6"/>
          <w:lang w:eastAsia="zh-CN"/>
        </w:rPr>
        <mc:AlternateContent>
          <mc:Choice Requires="wps">
            <w:drawing>
              <wp:anchor distT="0" distB="0" distL="114300" distR="114300" simplePos="0" relativeHeight="251658385" behindDoc="0" locked="0" layoutInCell="1" allowOverlap="1" wp14:anchorId="695257FC" wp14:editId="469CB7DA">
                <wp:simplePos x="0" y="0"/>
                <wp:positionH relativeFrom="column">
                  <wp:posOffset>3143249</wp:posOffset>
                </wp:positionH>
                <wp:positionV relativeFrom="paragraph">
                  <wp:posOffset>9525</wp:posOffset>
                </wp:positionV>
                <wp:extent cx="2009775" cy="819150"/>
                <wp:effectExtent l="0" t="0" r="28575" b="19050"/>
                <wp:wrapNone/>
                <wp:docPr id="219" name="Rectangle 219"/>
                <wp:cNvGraphicFramePr/>
                <a:graphic xmlns:a="http://schemas.openxmlformats.org/drawingml/2006/main">
                  <a:graphicData uri="http://schemas.microsoft.com/office/word/2010/wordprocessingShape">
                    <wps:wsp>
                      <wps:cNvSpPr/>
                      <wps:spPr>
                        <a:xfrm>
                          <a:off x="0" y="0"/>
                          <a:ext cx="2009775" cy="81915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A4743E" id="Rectangle 219" o:spid="_x0000_s1026" style="position:absolute;margin-left:247.5pt;margin-top:.75pt;width:158.25pt;height:64.5pt;z-index:2516583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" filled="f" strokecolor="windowText" strokeweight="1pt"/>
            </w:pict>
          </mc:Fallback>
        </mc:AlternateContent>
      </w:r>
      <w:r w:rsidRPr="004E06B5">
        <w:rPr>
          <w:noProof/>
          <w:lang w:eastAsia="zh-CN"/>
        </w:rPr>
        <mc:AlternateContent>
          <mc:Choice Requires="wps">
            <w:drawing>
              <wp:anchor distT="0" distB="0" distL="114300" distR="114300" simplePos="0" relativeHeight="251658380" behindDoc="0" locked="0" layoutInCell="1" allowOverlap="1" wp14:anchorId="677F7F2C" wp14:editId="33C2E433">
                <wp:simplePos x="0" y="0"/>
                <wp:positionH relativeFrom="column">
                  <wp:posOffset>9525</wp:posOffset>
                </wp:positionH>
                <wp:positionV relativeFrom="paragraph">
                  <wp:posOffset>5715</wp:posOffset>
                </wp:positionV>
                <wp:extent cx="443230" cy="343535"/>
                <wp:effectExtent l="0" t="0" r="0" b="0"/>
                <wp:wrapNone/>
                <wp:docPr id="208" name="TextBox 21"/>
                <wp:cNvGraphicFramePr/>
                <a:graphic xmlns:a="http://schemas.openxmlformats.org/drawingml/2006/main">
                  <a:graphicData uri="http://schemas.microsoft.com/office/word/2010/wordprocessingShape">
                    <wps:wsp>
                      <wps:cNvSpPr txBox="1"/>
                      <wps:spPr>
                        <a:xfrm>
                          <a:off x="0" y="0"/>
                          <a:ext cx="443230" cy="343535"/>
                        </a:xfrm>
                        <a:prstGeom prst="rect">
                          <a:avLst/>
                        </a:prstGeom>
                        <a:noFill/>
                      </wps:spPr>
                      <wps:txbx>
                        <w:txbxContent>
                          <w:p w14:paraId="0355BB42" w14:textId="77777777" w:rsidR="008A47AC" w:rsidRDefault="008A47AC" w:rsidP="004E06B5">
                            <w:pPr>
                              <w:pStyle w:val="NormalWeb"/>
                              <w:spacing w:after="0"/>
                              <w:jc w:val="center"/>
                            </w:pPr>
                            <w:r>
                              <w:rPr>
                                <w:rFonts w:asciiTheme="minorHAnsi" w:hAnsi="Calibri" w:cstheme="minorBidi"/>
                                <w:b/>
                                <w:bCs/>
                                <w:color w:val="000000" w:themeColor="text1"/>
                                <w:kern w:val="24"/>
                                <w:sz w:val="36"/>
                                <w:szCs w:val="36"/>
                              </w:rPr>
                              <w:t>A</w:t>
                            </w:r>
                          </w:p>
                        </w:txbxContent>
                      </wps:txbx>
                      <wps:bodyPr wrap="square" rtlCol="0">
                        <a:noAutofit/>
                      </wps:bodyPr>
                    </wps:wsp>
                  </a:graphicData>
                </a:graphic>
              </wp:anchor>
            </w:drawing>
          </mc:Choice>
          <mc:Fallback>
            <w:pict>
              <v:shape w14:anchorId="677F7F2C" id="TextBox 21" o:spid="_x0000_s1183" type="#_x0000_t202" style="position:absolute;left:0;text-align:left;margin-left:.75pt;margin-top:.45pt;width:34.9pt;height:27.05pt;z-index:2516583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" filled="f" stroked="f">
                <v:textbox>
                  <w:txbxContent>
                    <w:p w14:paraId="0355BB42" w14:textId="77777777" w:rsidR="008A47AC" w:rsidRDefault="008A47AC" w:rsidP="004E06B5">
                      <w:pPr>
                        <w:pStyle w:val="NormalWeb"/>
                        <w:spacing w:after="0"/>
                        <w:jc w:val="center"/>
                      </w:pPr>
                      <w:r>
                        <w:rPr>
                          <w:rFonts w:asciiTheme="minorHAnsi" w:hAnsi="Calibri" w:cstheme="minorBidi"/>
                          <w:b/>
                          <w:bCs/>
                          <w:color w:val="000000" w:themeColor="text1"/>
                          <w:kern w:val="24"/>
                          <w:sz w:val="36"/>
                          <w:szCs w:val="36"/>
                        </w:rPr>
                        <w:t>A</w:t>
                      </w:r>
                    </w:p>
                  </w:txbxContent>
                </v:textbox>
              </v:shape>
            </w:pict>
          </mc:Fallback>
        </mc:AlternateContent>
      </w:r>
      <w:r w:rsidR="00464728">
        <w:rPr>
          <w:rFonts w:ascii="Arial" w:hAnsi="Arial" w:cs="Arial"/>
          <w:noProof/>
          <w:color w:val="595959" w:themeColor="text1" w:themeTint="A6"/>
        </w:rPr>
        <w:drawing>
          <wp:anchor distT="0" distB="0" distL="114300" distR="114300" simplePos="0" relativeHeight="251653115" behindDoc="0" locked="0" layoutInCell="1" allowOverlap="1" wp14:anchorId="110F5633" wp14:editId="06498370">
            <wp:simplePos x="0" y="0"/>
            <wp:positionH relativeFrom="column">
              <wp:posOffset>0</wp:posOffset>
            </wp:positionH>
            <wp:positionV relativeFrom="paragraph">
              <wp:posOffset>-3810</wp:posOffset>
            </wp:positionV>
            <wp:extent cx="6718300" cy="1718945"/>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6718300" cy="1718945"/>
                    </a:xfrm>
                    <a:prstGeom prst="rect">
                      <a:avLst/>
                    </a:prstGeom>
                    <a:noFill/>
                  </pic:spPr>
                </pic:pic>
              </a:graphicData>
            </a:graphic>
          </wp:anchor>
        </w:drawing>
      </w:r>
    </w:p>
    <w:p w14:paraId="624FA635" w14:textId="77777777" w:rsidR="004E06B5" w:rsidRPr="004E06B5" w:rsidRDefault="004E06B5" w:rsidP="004E06B5">
      <w:pPr>
        <w:tabs>
          <w:tab w:val="left" w:pos="1350"/>
        </w:tabs>
        <w:spacing w:line="480" w:lineRule="auto"/>
        <w:jc w:val="both"/>
        <w:rPr>
          <w:rFonts w:ascii="Arial" w:hAnsi="Arial" w:cs="Arial"/>
          <w:color w:val="595959" w:themeColor="text1" w:themeTint="A6"/>
        </w:rPr>
      </w:pPr>
      <w:r w:rsidRPr="004E06B5">
        <w:rPr>
          <w:rFonts w:ascii="Arial" w:hAnsi="Arial" w:cs="Arial"/>
          <w:noProof/>
          <w:color w:val="595959" w:themeColor="text1" w:themeTint="A6"/>
          <w:lang w:eastAsia="zh-CN"/>
        </w:rPr>
        <mc:AlternateContent>
          <mc:Choice Requires="wps">
            <w:drawing>
              <wp:anchor distT="0" distB="0" distL="114300" distR="114300" simplePos="0" relativeHeight="251658377" behindDoc="0" locked="0" layoutInCell="1" allowOverlap="1" wp14:anchorId="7EC5506D" wp14:editId="56B93D16">
                <wp:simplePos x="0" y="0"/>
                <wp:positionH relativeFrom="column">
                  <wp:posOffset>114299</wp:posOffset>
                </wp:positionH>
                <wp:positionV relativeFrom="paragraph">
                  <wp:posOffset>405766</wp:posOffset>
                </wp:positionV>
                <wp:extent cx="3048000" cy="1635760"/>
                <wp:effectExtent l="0" t="0" r="19050" b="21590"/>
                <wp:wrapNone/>
                <wp:docPr id="198" name="Straight Connector 198"/>
                <wp:cNvGraphicFramePr/>
                <a:graphic xmlns:a="http://schemas.openxmlformats.org/drawingml/2006/main">
                  <a:graphicData uri="http://schemas.microsoft.com/office/word/2010/wordprocessingShape">
                    <wps:wsp>
                      <wps:cNvCnPr/>
                      <wps:spPr>
                        <a:xfrm flipH="1">
                          <a:off x="0" y="0"/>
                          <a:ext cx="3048000" cy="163576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AD13271" id="Straight Connector 198" o:spid="_x0000_s1026" style="position:absolute;flip:x;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pt,31.95pt" to="249pt,16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" strokecolor="windowText" strokeweight=".5pt">
                <v:stroke joinstyle="miter"/>
              </v:line>
            </w:pict>
          </mc:Fallback>
        </mc:AlternateContent>
      </w:r>
      <w:r w:rsidRPr="004E06B5">
        <w:rPr>
          <w:rFonts w:ascii="Arial" w:hAnsi="Arial" w:cs="Arial"/>
          <w:noProof/>
          <w:color w:val="595959" w:themeColor="text1" w:themeTint="A6"/>
          <w:lang w:eastAsia="zh-CN"/>
        </w:rPr>
        <mc:AlternateContent>
          <mc:Choice Requires="wps">
            <w:drawing>
              <wp:anchor distT="0" distB="0" distL="114300" distR="114300" simplePos="0" relativeHeight="251658378" behindDoc="0" locked="0" layoutInCell="1" allowOverlap="1" wp14:anchorId="32147653" wp14:editId="1B69568D">
                <wp:simplePos x="0" y="0"/>
                <wp:positionH relativeFrom="column">
                  <wp:posOffset>3286125</wp:posOffset>
                </wp:positionH>
                <wp:positionV relativeFrom="paragraph">
                  <wp:posOffset>396240</wp:posOffset>
                </wp:positionV>
                <wp:extent cx="1866900" cy="1666875"/>
                <wp:effectExtent l="0" t="0" r="19050" b="28575"/>
                <wp:wrapNone/>
                <wp:docPr id="199" name="Straight Connector 199"/>
                <wp:cNvGraphicFramePr/>
                <a:graphic xmlns:a="http://schemas.openxmlformats.org/drawingml/2006/main">
                  <a:graphicData uri="http://schemas.microsoft.com/office/word/2010/wordprocessingShape">
                    <wps:wsp>
                      <wps:cNvCnPr/>
                      <wps:spPr>
                        <a:xfrm flipH="1">
                          <a:off x="0" y="0"/>
                          <a:ext cx="1866900" cy="1666875"/>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F771B96" id="Straight Connector 199" o:spid="_x0000_s1026" style="position:absolute;flip:x;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8.75pt,31.2pt" to="405.75pt,16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" strokecolor="windowText" strokeweight=".5pt">
                <v:stroke joinstyle="miter"/>
              </v:line>
            </w:pict>
          </mc:Fallback>
        </mc:AlternateContent>
      </w:r>
    </w:p>
    <w:p w14:paraId="24A81FB0"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60D47402" w14:textId="77777777" w:rsidR="004E06B5" w:rsidRPr="004E06B5" w:rsidRDefault="004E06B5" w:rsidP="004E06B5">
      <w:pPr>
        <w:tabs>
          <w:tab w:val="left" w:pos="1350"/>
        </w:tabs>
        <w:spacing w:line="480" w:lineRule="auto"/>
        <w:jc w:val="both"/>
        <w:rPr>
          <w:rFonts w:ascii="Arial" w:hAnsi="Arial" w:cs="Arial"/>
          <w:color w:val="595959" w:themeColor="text1" w:themeTint="A6"/>
        </w:rPr>
      </w:pPr>
      <w:r w:rsidRPr="004E06B5">
        <w:rPr>
          <w:rFonts w:ascii="Arial" w:hAnsi="Arial" w:cs="Arial"/>
          <w:noProof/>
          <w:color w:val="595959" w:themeColor="text1" w:themeTint="A6"/>
          <w:lang w:eastAsia="zh-CN"/>
        </w:rPr>
        <mc:AlternateContent>
          <mc:Choice Requires="wps">
            <w:drawing>
              <wp:anchor distT="45720" distB="45720" distL="114300" distR="114300" simplePos="0" relativeHeight="251658390" behindDoc="0" locked="0" layoutInCell="1" allowOverlap="1" wp14:anchorId="2A4799E1" wp14:editId="332A25BB">
                <wp:simplePos x="0" y="0"/>
                <wp:positionH relativeFrom="column">
                  <wp:posOffset>352425</wp:posOffset>
                </wp:positionH>
                <wp:positionV relativeFrom="paragraph">
                  <wp:posOffset>140970</wp:posOffset>
                </wp:positionV>
                <wp:extent cx="628650" cy="266700"/>
                <wp:effectExtent l="0" t="0" r="0" b="0"/>
                <wp:wrapSquare wrapText="bothSides"/>
                <wp:docPr id="21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650" cy="266700"/>
                        </a:xfrm>
                        <a:prstGeom prst="rect">
                          <a:avLst/>
                        </a:prstGeom>
                        <a:noFill/>
                        <a:ln w="9525">
                          <a:noFill/>
                          <a:miter lim="800000"/>
                          <a:headEnd/>
                          <a:tailEnd/>
                        </a:ln>
                      </wps:spPr>
                      <wps:txbx>
                        <w:txbxContent>
                          <w:p w14:paraId="0AFD7A18" w14:textId="77777777" w:rsidR="008A47AC" w:rsidRPr="008F013B" w:rsidRDefault="008A47AC" w:rsidP="004E06B5">
                            <w:pPr>
                              <w:jc w:val="center"/>
                              <w:rPr>
                                <w:rFonts w:asciiTheme="minorBidi" w:hAnsiTheme="minorBidi"/>
                                <w:sz w:val="20"/>
                                <w:szCs w:val="20"/>
                              </w:rPr>
                            </w:pPr>
                            <w:r w:rsidRPr="008F013B">
                              <w:rPr>
                                <w:rFonts w:asciiTheme="minorBidi" w:hAnsiTheme="minorBidi"/>
                                <w:sz w:val="20"/>
                                <w:szCs w:val="20"/>
                              </w:rPr>
                              <w:t>200 µm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4799E1" id="_x0000_s1184" type="#_x0000_t202" style="position:absolute;left:0;text-align:left;margin-left:27.75pt;margin-top:11.1pt;width:49.5pt;height:21pt;z-index:25165839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" filled="f" stroked="f">
                <v:textbox>
                  <w:txbxContent>
                    <w:p w14:paraId="0AFD7A18" w14:textId="77777777" w:rsidR="008A47AC" w:rsidRPr="008F013B" w:rsidRDefault="008A47AC" w:rsidP="004E06B5">
                      <w:pPr>
                        <w:jc w:val="center"/>
                        <w:rPr>
                          <w:rFonts w:asciiTheme="minorBidi" w:hAnsiTheme="minorBidi"/>
                          <w:sz w:val="20"/>
                          <w:szCs w:val="20"/>
                        </w:rPr>
                      </w:pPr>
                      <w:r w:rsidRPr="008F013B">
                        <w:rPr>
                          <w:rFonts w:asciiTheme="minorBidi" w:hAnsiTheme="minorBidi"/>
                          <w:sz w:val="20"/>
                          <w:szCs w:val="20"/>
                        </w:rPr>
                        <w:t>200 µm</w:t>
                      </w:r>
                    </w:p>
                  </w:txbxContent>
                </v:textbox>
                <w10:wrap type="square"/>
              </v:shape>
            </w:pict>
          </mc:Fallback>
        </mc:AlternateContent>
      </w:r>
      <w:r w:rsidRPr="004E06B5">
        <w:rPr>
          <w:rFonts w:ascii="Arial" w:hAnsi="Arial" w:cs="Arial"/>
          <w:noProof/>
          <w:color w:val="595959" w:themeColor="text1" w:themeTint="A6"/>
          <w:lang w:eastAsia="zh-CN"/>
        </w:rPr>
        <mc:AlternateContent>
          <mc:Choice Requires="wps">
            <w:drawing>
              <wp:anchor distT="0" distB="0" distL="114300" distR="114300" simplePos="0" relativeHeight="251658387" behindDoc="0" locked="0" layoutInCell="1" allowOverlap="1" wp14:anchorId="18331F4A" wp14:editId="72F64DD9">
                <wp:simplePos x="0" y="0"/>
                <wp:positionH relativeFrom="column">
                  <wp:posOffset>152400</wp:posOffset>
                </wp:positionH>
                <wp:positionV relativeFrom="paragraph">
                  <wp:posOffset>360045</wp:posOffset>
                </wp:positionV>
                <wp:extent cx="1047750" cy="0"/>
                <wp:effectExtent l="0" t="19050" r="19050" b="19050"/>
                <wp:wrapNone/>
                <wp:docPr id="2142" name="Straight Connector 3"/>
                <wp:cNvGraphicFramePr/>
                <a:graphic xmlns:a="http://schemas.openxmlformats.org/drawingml/2006/main">
                  <a:graphicData uri="http://schemas.microsoft.com/office/word/2010/wordprocessingShape">
                    <wps:wsp>
                      <wps:cNvCnPr/>
                      <wps:spPr>
                        <a:xfrm>
                          <a:off x="0" y="0"/>
                          <a:ext cx="1047750" cy="0"/>
                        </a:xfrm>
                        <a:prstGeom prst="line">
                          <a:avLst/>
                        </a:prstGeom>
                        <a:noFill/>
                        <a:ln w="28575" cap="flat" cmpd="sng" algn="ctr">
                          <a:solidFill>
                            <a:sysClr val="windowText" lastClr="000000"/>
                          </a:solidFill>
                          <a:prstDash val="solid"/>
                          <a:miter lim="800000"/>
                        </a:ln>
                        <a:effectLst/>
                      </wps:spPr>
                      <wps:bodyPr/>
                    </wps:wsp>
                  </a:graphicData>
                </a:graphic>
                <wp14:sizeRelH relativeFrom="margin">
                  <wp14:pctWidth>0</wp14:pctWidth>
                </wp14:sizeRelH>
              </wp:anchor>
            </w:drawing>
          </mc:Choice>
          <mc:Fallback>
            <w:pict>
              <v:line w14:anchorId="239CE566" id="Straight Connector 3" o:spid="_x0000_s1026" style="position:absolute;z-index:251859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pt,28.35pt" to="94.5pt,2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" strokecolor="windowText" strokeweight="2.25pt">
                <v:stroke joinstyle="miter"/>
              </v:line>
            </w:pict>
          </mc:Fallback>
        </mc:AlternateContent>
      </w:r>
    </w:p>
    <w:p w14:paraId="51735F18"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52140AE9" w14:textId="77777777" w:rsidR="004E06B5" w:rsidRPr="004E06B5" w:rsidRDefault="004E06B5" w:rsidP="004E06B5">
      <w:pPr>
        <w:tabs>
          <w:tab w:val="left" w:pos="1350"/>
        </w:tabs>
        <w:spacing w:line="480" w:lineRule="auto"/>
        <w:jc w:val="both"/>
        <w:rPr>
          <w:rFonts w:ascii="Arial" w:hAnsi="Arial" w:cs="Arial"/>
          <w:color w:val="595959" w:themeColor="text1" w:themeTint="A6"/>
        </w:rPr>
      </w:pPr>
      <w:r w:rsidRPr="004E06B5">
        <w:rPr>
          <w:rFonts w:ascii="Arial" w:hAnsi="Arial" w:cs="Arial"/>
          <w:noProof/>
          <w:color w:val="595959" w:themeColor="text1" w:themeTint="A6"/>
          <w:lang w:eastAsia="zh-CN"/>
        </w:rPr>
        <w:drawing>
          <wp:anchor distT="0" distB="0" distL="114300" distR="114300" simplePos="0" relativeHeight="251658437" behindDoc="0" locked="0" layoutInCell="1" allowOverlap="1" wp14:anchorId="58AD6082" wp14:editId="6E1572A5">
            <wp:simplePos x="0" y="0"/>
            <wp:positionH relativeFrom="column">
              <wp:posOffset>0</wp:posOffset>
            </wp:positionH>
            <wp:positionV relativeFrom="paragraph">
              <wp:posOffset>361950</wp:posOffset>
            </wp:positionV>
            <wp:extent cx="447675" cy="342900"/>
            <wp:effectExtent l="0" t="0" r="0" b="0"/>
            <wp:wrapNone/>
            <wp:docPr id="5360" name="Picture 5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447675" cy="342900"/>
                    </a:xfrm>
                    <a:prstGeom prst="rect">
                      <a:avLst/>
                    </a:prstGeom>
                    <a:noFill/>
                  </pic:spPr>
                </pic:pic>
              </a:graphicData>
            </a:graphic>
            <wp14:sizeRelH relativeFrom="page">
              <wp14:pctWidth>0</wp14:pctWidth>
            </wp14:sizeRelH>
            <wp14:sizeRelV relativeFrom="page">
              <wp14:pctHeight>0</wp14:pctHeight>
            </wp14:sizeRelV>
          </wp:anchor>
        </w:drawing>
      </w:r>
      <w:r w:rsidRPr="004E06B5">
        <w:rPr>
          <w:rFonts w:ascii="Arial" w:hAnsi="Arial" w:cs="Arial"/>
          <w:noProof/>
          <w:color w:val="595959" w:themeColor="text1" w:themeTint="A6"/>
          <w:lang w:eastAsia="zh-CN"/>
        </w:rPr>
        <w:drawing>
          <wp:anchor distT="0" distB="0" distL="114300" distR="114300" simplePos="0" relativeHeight="251658430" behindDoc="0" locked="0" layoutInCell="1" allowOverlap="1" wp14:anchorId="042D0AAD" wp14:editId="47DC04AC">
            <wp:simplePos x="0" y="0"/>
            <wp:positionH relativeFrom="column">
              <wp:posOffset>47625</wp:posOffset>
            </wp:positionH>
            <wp:positionV relativeFrom="paragraph">
              <wp:posOffset>361950</wp:posOffset>
            </wp:positionV>
            <wp:extent cx="3322320" cy="2585085"/>
            <wp:effectExtent l="0" t="0" r="0" b="5715"/>
            <wp:wrapNone/>
            <wp:docPr id="5361" name="Picture 5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322320" cy="2585085"/>
                    </a:xfrm>
                    <a:prstGeom prst="rect">
                      <a:avLst/>
                    </a:prstGeom>
                    <a:noFill/>
                  </pic:spPr>
                </pic:pic>
              </a:graphicData>
            </a:graphic>
          </wp:anchor>
        </w:drawing>
      </w:r>
      <w:r w:rsidRPr="004E06B5">
        <w:rPr>
          <w:noProof/>
          <w:lang w:eastAsia="zh-CN"/>
        </w:rPr>
        <mc:AlternateContent>
          <mc:Choice Requires="wps">
            <w:drawing>
              <wp:anchor distT="0" distB="0" distL="114300" distR="114300" simplePos="0" relativeHeight="251658381" behindDoc="0" locked="0" layoutInCell="1" allowOverlap="1" wp14:anchorId="32F36C91" wp14:editId="5EAC2781">
                <wp:simplePos x="0" y="0"/>
                <wp:positionH relativeFrom="column">
                  <wp:posOffset>85725</wp:posOffset>
                </wp:positionH>
                <wp:positionV relativeFrom="paragraph">
                  <wp:posOffset>386715</wp:posOffset>
                </wp:positionV>
                <wp:extent cx="443230" cy="343535"/>
                <wp:effectExtent l="0" t="0" r="0" b="0"/>
                <wp:wrapNone/>
                <wp:docPr id="211" name="TextBox 21"/>
                <wp:cNvGraphicFramePr/>
                <a:graphic xmlns:a="http://schemas.openxmlformats.org/drawingml/2006/main">
                  <a:graphicData uri="http://schemas.microsoft.com/office/word/2010/wordprocessingShape">
                    <wps:wsp>
                      <wps:cNvSpPr txBox="1"/>
                      <wps:spPr>
                        <a:xfrm>
                          <a:off x="0" y="0"/>
                          <a:ext cx="443230" cy="343535"/>
                        </a:xfrm>
                        <a:prstGeom prst="rect">
                          <a:avLst/>
                        </a:prstGeom>
                        <a:noFill/>
                      </wps:spPr>
                      <wps:txbx>
                        <w:txbxContent>
                          <w:p w14:paraId="39419727" w14:textId="77777777" w:rsidR="008A47AC" w:rsidRDefault="008A47AC" w:rsidP="004E06B5">
                            <w:pPr>
                              <w:pStyle w:val="NormalWeb"/>
                              <w:spacing w:after="0"/>
                              <w:jc w:val="center"/>
                            </w:pPr>
                            <w:r>
                              <w:rPr>
                                <w:rFonts w:asciiTheme="minorHAnsi" w:hAnsi="Calibri" w:cstheme="minorBidi"/>
                                <w:b/>
                                <w:bCs/>
                                <w:color w:val="000000" w:themeColor="text1"/>
                                <w:kern w:val="24"/>
                                <w:sz w:val="36"/>
                                <w:szCs w:val="36"/>
                              </w:rPr>
                              <w:t>B</w:t>
                            </w:r>
                            <w:r w:rsidRPr="00BB1D46">
                              <w:rPr>
                                <w:rFonts w:asciiTheme="minorHAnsi" w:hAnsi="Calibri" w:cstheme="minorBidi"/>
                                <w:b/>
                                <w:bCs/>
                                <w:noProof/>
                                <w:color w:val="000000" w:themeColor="text1"/>
                                <w:kern w:val="24"/>
                                <w:sz w:val="36"/>
                                <w:szCs w:val="36"/>
                                <w:lang w:eastAsia="zh-CN"/>
                              </w:rPr>
                              <w:drawing>
                                <wp:inline distT="0" distB="0" distL="0" distR="0" wp14:anchorId="245081FF" wp14:editId="3F97CA69">
                                  <wp:extent cx="260350" cy="19939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60350" cy="199390"/>
                                          </a:xfrm>
                                          <a:prstGeom prst="rect">
                                            <a:avLst/>
                                          </a:prstGeom>
                                          <a:noFill/>
                                          <a:ln>
                                            <a:noFill/>
                                          </a:ln>
                                        </pic:spPr>
                                      </pic:pic>
                                    </a:graphicData>
                                  </a:graphic>
                                </wp:inline>
                              </w:drawing>
                            </w:r>
                          </w:p>
                        </w:txbxContent>
                      </wps:txbx>
                      <wps:bodyPr wrap="square" rtlCol="0">
                        <a:noAutofit/>
                      </wps:bodyPr>
                    </wps:wsp>
                  </a:graphicData>
                </a:graphic>
              </wp:anchor>
            </w:drawing>
          </mc:Choice>
          <mc:Fallback>
            <w:pict>
              <v:shape w14:anchorId="32F36C91" id="_x0000_s1185" type="#_x0000_t202" style="position:absolute;left:0;text-align:left;margin-left:6.75pt;margin-top:30.45pt;width:34.9pt;height:27.05pt;z-index:25165838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" filled="f" stroked="f">
                <v:textbox>
                  <w:txbxContent>
                    <w:p w14:paraId="39419727" w14:textId="77777777" w:rsidR="008A47AC" w:rsidRDefault="008A47AC" w:rsidP="004E06B5">
                      <w:pPr>
                        <w:pStyle w:val="NormalWeb"/>
                        <w:spacing w:after="0"/>
                        <w:jc w:val="center"/>
                      </w:pPr>
                      <w:r>
                        <w:rPr>
                          <w:rFonts w:asciiTheme="minorHAnsi" w:hAnsi="Calibri" w:cstheme="minorBidi"/>
                          <w:b/>
                          <w:bCs/>
                          <w:color w:val="000000" w:themeColor="text1"/>
                          <w:kern w:val="24"/>
                          <w:sz w:val="36"/>
                          <w:szCs w:val="36"/>
                        </w:rPr>
                        <w:t>B</w:t>
                      </w:r>
                      <w:r w:rsidRPr="00BB1D46">
                        <w:rPr>
                          <w:rFonts w:asciiTheme="minorHAnsi" w:hAnsi="Calibri" w:cstheme="minorBidi"/>
                          <w:b/>
                          <w:bCs/>
                          <w:noProof/>
                          <w:color w:val="000000" w:themeColor="text1"/>
                          <w:kern w:val="24"/>
                          <w:sz w:val="36"/>
                          <w:szCs w:val="36"/>
                          <w:lang w:eastAsia="zh-CN"/>
                        </w:rPr>
                        <w:drawing>
                          <wp:inline distT="0" distB="0" distL="0" distR="0" wp14:anchorId="245081FF" wp14:editId="3F97CA69">
                            <wp:extent cx="260350" cy="19939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60350" cy="199390"/>
                                    </a:xfrm>
                                    <a:prstGeom prst="rect">
                                      <a:avLst/>
                                    </a:prstGeom>
                                    <a:noFill/>
                                    <a:ln>
                                      <a:noFill/>
                                    </a:ln>
                                  </pic:spPr>
                                </pic:pic>
                              </a:graphicData>
                            </a:graphic>
                          </wp:inline>
                        </w:drawing>
                      </w:r>
                    </w:p>
                  </w:txbxContent>
                </v:textbox>
              </v:shape>
            </w:pict>
          </mc:Fallback>
        </mc:AlternateContent>
      </w:r>
    </w:p>
    <w:p w14:paraId="65F37BC3"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48DFCFFD" w14:textId="77777777" w:rsidR="004E06B5" w:rsidRPr="004E06B5" w:rsidRDefault="004E06B5" w:rsidP="004E06B5">
      <w:pPr>
        <w:tabs>
          <w:tab w:val="left" w:pos="1350"/>
        </w:tabs>
        <w:spacing w:line="480" w:lineRule="auto"/>
        <w:jc w:val="both"/>
        <w:rPr>
          <w:rFonts w:ascii="Arial" w:hAnsi="Arial" w:cs="Arial"/>
          <w:color w:val="595959" w:themeColor="text1" w:themeTint="A6"/>
        </w:rPr>
      </w:pPr>
      <w:r w:rsidRPr="004E06B5">
        <w:rPr>
          <w:rFonts w:ascii="Arial" w:hAnsi="Arial" w:cs="Arial"/>
          <w:noProof/>
          <w:color w:val="595959" w:themeColor="text1" w:themeTint="A6"/>
          <w:lang w:eastAsia="zh-CN"/>
        </w:rPr>
        <w:drawing>
          <wp:anchor distT="0" distB="0" distL="114300" distR="114300" simplePos="0" relativeHeight="251658436" behindDoc="0" locked="0" layoutInCell="1" allowOverlap="1" wp14:anchorId="60905725" wp14:editId="0D7464B8">
            <wp:simplePos x="0" y="0"/>
            <wp:positionH relativeFrom="column">
              <wp:posOffset>3467100</wp:posOffset>
            </wp:positionH>
            <wp:positionV relativeFrom="paragraph">
              <wp:posOffset>11430</wp:posOffset>
            </wp:positionV>
            <wp:extent cx="2266950" cy="1543050"/>
            <wp:effectExtent l="0" t="0" r="0" b="0"/>
            <wp:wrapNone/>
            <wp:docPr id="5362" name="Picture 5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266950" cy="1543050"/>
                    </a:xfrm>
                    <a:prstGeom prst="rect">
                      <a:avLst/>
                    </a:prstGeom>
                    <a:noFill/>
                  </pic:spPr>
                </pic:pic>
              </a:graphicData>
            </a:graphic>
          </wp:anchor>
        </w:drawing>
      </w:r>
    </w:p>
    <w:p w14:paraId="4D3B092E"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6CDC159B"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5235CABA" w14:textId="77777777" w:rsidR="004E06B5" w:rsidRPr="004E06B5" w:rsidRDefault="004E06B5" w:rsidP="004E06B5">
      <w:pPr>
        <w:tabs>
          <w:tab w:val="left" w:pos="1350"/>
        </w:tabs>
        <w:spacing w:line="480" w:lineRule="auto"/>
        <w:jc w:val="both"/>
        <w:rPr>
          <w:rFonts w:ascii="Arial" w:hAnsi="Arial" w:cs="Arial"/>
          <w:color w:val="595959" w:themeColor="text1" w:themeTint="A6"/>
        </w:rPr>
      </w:pPr>
      <w:r w:rsidRPr="004E06B5">
        <w:rPr>
          <w:rFonts w:ascii="Arial" w:hAnsi="Arial" w:cs="Arial"/>
          <w:noProof/>
          <w:color w:val="595959" w:themeColor="text1" w:themeTint="A6"/>
          <w:lang w:eastAsia="zh-CN"/>
        </w:rPr>
        <mc:AlternateContent>
          <mc:Choice Requires="wps">
            <w:drawing>
              <wp:anchor distT="45720" distB="45720" distL="114300" distR="114300" simplePos="0" relativeHeight="251658434" behindDoc="0" locked="0" layoutInCell="1" allowOverlap="1" wp14:anchorId="7AEE26CD" wp14:editId="4548AD0D">
                <wp:simplePos x="0" y="0"/>
                <wp:positionH relativeFrom="column">
                  <wp:posOffset>2351709</wp:posOffset>
                </wp:positionH>
                <wp:positionV relativeFrom="paragraph">
                  <wp:posOffset>412750</wp:posOffset>
                </wp:positionV>
                <wp:extent cx="628650" cy="266700"/>
                <wp:effectExtent l="0" t="0" r="0" b="0"/>
                <wp:wrapSquare wrapText="bothSides"/>
                <wp:docPr id="21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650" cy="266700"/>
                        </a:xfrm>
                        <a:prstGeom prst="rect">
                          <a:avLst/>
                        </a:prstGeom>
                        <a:noFill/>
                        <a:ln w="9525">
                          <a:noFill/>
                          <a:miter lim="800000"/>
                          <a:headEnd/>
                          <a:tailEnd/>
                        </a:ln>
                      </wps:spPr>
                      <wps:txbx>
                        <w:txbxContent>
                          <w:p w14:paraId="3D3CEF84" w14:textId="77777777" w:rsidR="008A47AC" w:rsidRPr="008F013B" w:rsidRDefault="008A47AC" w:rsidP="004E06B5">
                            <w:pPr>
                              <w:jc w:val="center"/>
                              <w:rPr>
                                <w:rFonts w:asciiTheme="minorBidi" w:hAnsiTheme="minorBidi"/>
                                <w:sz w:val="20"/>
                                <w:szCs w:val="20"/>
                              </w:rPr>
                            </w:pPr>
                            <w:r>
                              <w:rPr>
                                <w:rFonts w:asciiTheme="minorBidi" w:hAnsiTheme="minorBidi"/>
                                <w:sz w:val="20"/>
                                <w:szCs w:val="20"/>
                              </w:rPr>
                              <w:t>1</w:t>
                            </w:r>
                            <w:r w:rsidRPr="008F013B">
                              <w:rPr>
                                <w:rFonts w:asciiTheme="minorBidi" w:hAnsiTheme="minorBidi"/>
                                <w:sz w:val="20"/>
                                <w:szCs w:val="20"/>
                              </w:rPr>
                              <w:t>00 µm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EE26CD" id="_x0000_s1186" type="#_x0000_t202" style="position:absolute;left:0;text-align:left;margin-left:185.15pt;margin-top:32.5pt;width:49.5pt;height:21pt;z-index:25165843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" filled="f" stroked="f">
                <v:textbox>
                  <w:txbxContent>
                    <w:p w14:paraId="3D3CEF84" w14:textId="77777777" w:rsidR="008A47AC" w:rsidRPr="008F013B" w:rsidRDefault="008A47AC" w:rsidP="004E06B5">
                      <w:pPr>
                        <w:jc w:val="center"/>
                        <w:rPr>
                          <w:rFonts w:asciiTheme="minorBidi" w:hAnsiTheme="minorBidi"/>
                          <w:sz w:val="20"/>
                          <w:szCs w:val="20"/>
                        </w:rPr>
                      </w:pPr>
                      <w:r>
                        <w:rPr>
                          <w:rFonts w:asciiTheme="minorBidi" w:hAnsiTheme="minorBidi"/>
                          <w:sz w:val="20"/>
                          <w:szCs w:val="20"/>
                        </w:rPr>
                        <w:t>1</w:t>
                      </w:r>
                      <w:r w:rsidRPr="008F013B">
                        <w:rPr>
                          <w:rFonts w:asciiTheme="minorBidi" w:hAnsiTheme="minorBidi"/>
                          <w:sz w:val="20"/>
                          <w:szCs w:val="20"/>
                        </w:rPr>
                        <w:t>00 µm</w:t>
                      </w:r>
                    </w:p>
                  </w:txbxContent>
                </v:textbox>
                <w10:wrap type="square"/>
              </v:shape>
            </w:pict>
          </mc:Fallback>
        </mc:AlternateContent>
      </w:r>
    </w:p>
    <w:p w14:paraId="74AF1F4D" w14:textId="77777777" w:rsidR="004E06B5" w:rsidRPr="004E06B5" w:rsidRDefault="004E06B5" w:rsidP="004E06B5">
      <w:pPr>
        <w:tabs>
          <w:tab w:val="left" w:pos="1350"/>
        </w:tabs>
        <w:spacing w:line="480" w:lineRule="auto"/>
        <w:jc w:val="both"/>
        <w:rPr>
          <w:rFonts w:ascii="Arial" w:hAnsi="Arial" w:cs="Arial"/>
          <w:color w:val="595959" w:themeColor="text1" w:themeTint="A6"/>
        </w:rPr>
      </w:pPr>
      <w:r w:rsidRPr="004E06B5">
        <w:rPr>
          <w:rFonts w:ascii="Arial" w:hAnsi="Arial" w:cs="Arial"/>
          <w:noProof/>
          <w:color w:val="595959" w:themeColor="text1" w:themeTint="A6"/>
          <w:lang w:eastAsia="zh-CN"/>
        </w:rPr>
        <mc:AlternateContent>
          <mc:Choice Requires="wps">
            <w:drawing>
              <wp:anchor distT="0" distB="0" distL="114300" distR="114300" simplePos="0" relativeHeight="251658432" behindDoc="0" locked="0" layoutInCell="1" allowOverlap="1" wp14:anchorId="2811F038" wp14:editId="1023AD22">
                <wp:simplePos x="0" y="0"/>
                <wp:positionH relativeFrom="column">
                  <wp:posOffset>2127222</wp:posOffset>
                </wp:positionH>
                <wp:positionV relativeFrom="paragraph">
                  <wp:posOffset>222002</wp:posOffset>
                </wp:positionV>
                <wp:extent cx="1047750" cy="0"/>
                <wp:effectExtent l="0" t="19050" r="19050" b="19050"/>
                <wp:wrapNone/>
                <wp:docPr id="192" name="Straight Connector 3"/>
                <wp:cNvGraphicFramePr/>
                <a:graphic xmlns:a="http://schemas.openxmlformats.org/drawingml/2006/main">
                  <a:graphicData uri="http://schemas.microsoft.com/office/word/2010/wordprocessingShape">
                    <wps:wsp>
                      <wps:cNvCnPr/>
                      <wps:spPr>
                        <a:xfrm>
                          <a:off x="0" y="0"/>
                          <a:ext cx="1047750" cy="0"/>
                        </a:xfrm>
                        <a:prstGeom prst="line">
                          <a:avLst/>
                        </a:prstGeom>
                        <a:noFill/>
                        <a:ln w="28575" cap="flat" cmpd="sng" algn="ctr">
                          <a:solidFill>
                            <a:sysClr val="windowText" lastClr="000000"/>
                          </a:solidFill>
                          <a:prstDash val="solid"/>
                          <a:miter lim="800000"/>
                        </a:ln>
                        <a:effectLst/>
                      </wps:spPr>
                      <wps:bodyPr/>
                    </wps:wsp>
                  </a:graphicData>
                </a:graphic>
                <wp14:sizeRelH relativeFrom="margin">
                  <wp14:pctWidth>0</wp14:pctWidth>
                </wp14:sizeRelH>
              </wp:anchor>
            </w:drawing>
          </mc:Choice>
          <mc:Fallback>
            <w:pict>
              <v:line w14:anchorId="3E95DF14" id="Straight Connector 3" o:spid="_x0000_s1026" style="position:absolute;z-index:2519060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67.5pt,17.5pt" to="250pt,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" strokecolor="windowText" strokeweight="2.25pt">
                <v:stroke joinstyle="miter"/>
              </v:line>
            </w:pict>
          </mc:Fallback>
        </mc:AlternateContent>
      </w:r>
    </w:p>
    <w:p w14:paraId="7D50D617"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213219C8"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1A13D704"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062C6144" w14:textId="77777777" w:rsidR="004E06B5" w:rsidRPr="004E06B5" w:rsidRDefault="004E06B5" w:rsidP="004E06B5">
      <w:pPr>
        <w:tabs>
          <w:tab w:val="left" w:pos="1350"/>
        </w:tabs>
        <w:spacing w:line="480" w:lineRule="auto"/>
        <w:jc w:val="both"/>
        <w:rPr>
          <w:rFonts w:ascii="Arial" w:hAnsi="Arial" w:cs="Arial"/>
          <w:color w:val="595959" w:themeColor="text1" w:themeTint="A6"/>
        </w:rPr>
      </w:pPr>
      <w:r w:rsidRPr="004E06B5">
        <w:rPr>
          <w:rFonts w:ascii="Arial" w:hAnsi="Arial" w:cs="Arial"/>
          <w:noProof/>
          <w:color w:val="595959" w:themeColor="text1" w:themeTint="A6"/>
          <w:sz w:val="24"/>
          <w:szCs w:val="24"/>
          <w:lang w:eastAsia="zh-CN"/>
        </w:rPr>
        <mc:AlternateContent>
          <mc:Choice Requires="wps">
            <w:drawing>
              <wp:anchor distT="0" distB="0" distL="114300" distR="114300" simplePos="0" relativeHeight="251658386" behindDoc="0" locked="0" layoutInCell="1" allowOverlap="1" wp14:anchorId="588AA931" wp14:editId="43B5A9EC">
                <wp:simplePos x="0" y="0"/>
                <wp:positionH relativeFrom="margin">
                  <wp:posOffset>0</wp:posOffset>
                </wp:positionH>
                <wp:positionV relativeFrom="paragraph">
                  <wp:posOffset>10160</wp:posOffset>
                </wp:positionV>
                <wp:extent cx="5734050" cy="1409700"/>
                <wp:effectExtent l="0" t="0" r="0" b="0"/>
                <wp:wrapNone/>
                <wp:docPr id="193" name="Text Box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1409700"/>
                        </a:xfrm>
                        <a:prstGeom prst="rect">
                          <a:avLst/>
                        </a:prstGeom>
                        <a:solidFill>
                          <a:srgbClr val="FFFFFF"/>
                        </a:solidFill>
                        <a:ln w="9525">
                          <a:noFill/>
                          <a:miter lim="800000"/>
                          <a:headEnd/>
                          <a:tailEnd/>
                        </a:ln>
                      </wps:spPr>
                      <wps:txbx>
                        <w:txbxContent>
                          <w:p w14:paraId="65BD7ED5" w14:textId="77777777" w:rsidR="008A47AC" w:rsidRPr="00D40A72" w:rsidRDefault="008A47AC" w:rsidP="004E06B5">
                            <w:pPr>
                              <w:pStyle w:val="Caption"/>
                              <w:keepNext/>
                              <w:jc w:val="both"/>
                              <w:rPr>
                                <w:rFonts w:ascii="Arial Narrow" w:hAnsi="Arial Narrow"/>
                                <w:b/>
                                <w:i w:val="0"/>
                                <w:color w:val="595959" w:themeColor="text1" w:themeTint="A6"/>
                                <w:sz w:val="22"/>
                                <w:szCs w:val="22"/>
                              </w:rPr>
                            </w:pPr>
                            <w:r w:rsidRPr="00D40A72">
                              <w:rPr>
                                <w:rFonts w:ascii="Arial Narrow" w:hAnsi="Arial Narrow"/>
                                <w:b/>
                                <w:i w:val="0"/>
                                <w:color w:val="595959" w:themeColor="text1" w:themeTint="A6"/>
                                <w:sz w:val="22"/>
                                <w:szCs w:val="22"/>
                              </w:rPr>
                              <w:t>Figure 5.9. Representative H&amp;E images of tissue-engineered oral squamous cell carcinoma mucosa model (TESCCM)</w:t>
                            </w:r>
                          </w:p>
                          <w:p w14:paraId="31B79017" w14:textId="77777777" w:rsidR="008A47AC" w:rsidRPr="00A708E4" w:rsidRDefault="008A47AC" w:rsidP="004E06B5">
                            <w:pPr>
                              <w:pStyle w:val="NormalWeb"/>
                              <w:spacing w:after="200" w:line="276" w:lineRule="auto"/>
                              <w:jc w:val="both"/>
                            </w:pPr>
                            <w:r>
                              <w:rPr>
                                <w:rFonts w:ascii="Arial Narrow" w:eastAsia="SimSun" w:hAnsi="Arial Narrow" w:cs="Arial"/>
                                <w:color w:val="595959"/>
                                <w:kern w:val="24"/>
                                <w:sz w:val="22"/>
                                <w:szCs w:val="22"/>
                              </w:rPr>
                              <w:t>T</w:t>
                            </w:r>
                            <w:r w:rsidRPr="00575592">
                              <w:rPr>
                                <w:rFonts w:ascii="Arial Narrow" w:eastAsia="SimSun" w:hAnsi="Arial Narrow" w:cs="Arial"/>
                                <w:color w:val="595959"/>
                                <w:kern w:val="24"/>
                                <w:sz w:val="22"/>
                                <w:szCs w:val="22"/>
                              </w:rPr>
                              <w:t xml:space="preserve">he addition of </w:t>
                            </w:r>
                            <w:r>
                              <w:rPr>
                                <w:rFonts w:ascii="Arial Narrow" w:eastAsia="SimSun" w:hAnsi="Arial Narrow" w:cs="Arial"/>
                                <w:color w:val="595959"/>
                                <w:kern w:val="24"/>
                                <w:sz w:val="22"/>
                                <w:szCs w:val="22"/>
                              </w:rPr>
                              <w:t>H357</w:t>
                            </w:r>
                            <w:r w:rsidRPr="00575592">
                              <w:rPr>
                                <w:rFonts w:ascii="Arial Narrow" w:eastAsia="SimSun" w:hAnsi="Arial Narrow" w:cs="Arial"/>
                                <w:color w:val="595959"/>
                                <w:kern w:val="24"/>
                                <w:sz w:val="22"/>
                                <w:szCs w:val="22"/>
                              </w:rPr>
                              <w:t xml:space="preserve"> cells </w:t>
                            </w:r>
                            <w:r>
                              <w:rPr>
                                <w:rFonts w:ascii="Arial Narrow" w:eastAsia="SimSun" w:hAnsi="Arial Narrow" w:cs="Arial"/>
                                <w:color w:val="595959"/>
                                <w:kern w:val="24"/>
                                <w:sz w:val="22"/>
                                <w:szCs w:val="22"/>
                              </w:rPr>
                              <w:t xml:space="preserve">to CAF-DM </w:t>
                            </w:r>
                            <w:r w:rsidRPr="00575592">
                              <w:rPr>
                                <w:rFonts w:ascii="Arial Narrow" w:eastAsia="SimSun" w:hAnsi="Arial Narrow" w:cs="Arial"/>
                                <w:color w:val="595959"/>
                                <w:kern w:val="24"/>
                                <w:sz w:val="22"/>
                                <w:szCs w:val="22"/>
                              </w:rPr>
                              <w:t xml:space="preserve">produced </w:t>
                            </w:r>
                            <w:r>
                              <w:rPr>
                                <w:rFonts w:ascii="Arial Narrow" w:eastAsia="SimSun" w:hAnsi="Arial Narrow" w:cs="Arial"/>
                                <w:color w:val="595959"/>
                                <w:kern w:val="24"/>
                                <w:sz w:val="22"/>
                                <w:szCs w:val="22"/>
                              </w:rPr>
                              <w:t>a disordered OSCC model (A); highlighted</w:t>
                            </w:r>
                            <w:r w:rsidRPr="00FF740A">
                              <w:rPr>
                                <w:rFonts w:ascii="Arial Narrow" w:eastAsia="SimSun" w:hAnsi="Arial Narrow" w:cs="Arial"/>
                                <w:color w:val="595959"/>
                                <w:kern w:val="24"/>
                                <w:sz w:val="22"/>
                                <w:szCs w:val="22"/>
                              </w:rPr>
                              <w:t xml:space="preserve"> </w:t>
                            </w:r>
                            <w:r>
                              <w:rPr>
                                <w:rFonts w:ascii="Arial Narrow" w:eastAsia="SimSun" w:hAnsi="Arial Narrow" w:cs="Arial"/>
                                <w:color w:val="595959"/>
                                <w:kern w:val="24"/>
                                <w:sz w:val="22"/>
                                <w:szCs w:val="22"/>
                              </w:rPr>
                              <w:t xml:space="preserve">by </w:t>
                            </w:r>
                            <w:r w:rsidRPr="00FF740A">
                              <w:rPr>
                                <w:rFonts w:ascii="Arial Narrow" w:eastAsia="SimSun" w:hAnsi="Arial Narrow" w:cs="Arial"/>
                                <w:color w:val="595959"/>
                                <w:kern w:val="24"/>
                                <w:sz w:val="22"/>
                                <w:szCs w:val="22"/>
                              </w:rPr>
                              <w:t>loss of a defined basal compartment</w:t>
                            </w:r>
                            <w:r>
                              <w:rPr>
                                <w:rFonts w:ascii="Arial Narrow" w:eastAsia="SimSun" w:hAnsi="Arial Narrow" w:cs="Arial"/>
                                <w:color w:val="595959"/>
                                <w:kern w:val="24"/>
                                <w:sz w:val="22"/>
                                <w:szCs w:val="22"/>
                              </w:rPr>
                              <w:t xml:space="preserve">s in most areas, loss of cell polarisation, increased mitotic index (C- black boxes) and epithelial </w:t>
                            </w:r>
                            <w:r w:rsidRPr="00FF740A">
                              <w:rPr>
                                <w:rFonts w:ascii="Arial Narrow" w:eastAsia="SimSun" w:hAnsi="Arial Narrow" w:cs="Arial"/>
                                <w:color w:val="595959"/>
                                <w:kern w:val="24"/>
                                <w:sz w:val="22"/>
                                <w:szCs w:val="22"/>
                              </w:rPr>
                              <w:t>cells</w:t>
                            </w:r>
                            <w:r>
                              <w:rPr>
                                <w:rFonts w:ascii="Arial Narrow" w:eastAsia="SimSun" w:hAnsi="Arial Narrow" w:cs="Arial"/>
                                <w:color w:val="595959"/>
                                <w:kern w:val="24"/>
                                <w:sz w:val="22"/>
                                <w:szCs w:val="22"/>
                              </w:rPr>
                              <w:t xml:space="preserve"> i</w:t>
                            </w:r>
                            <w:r w:rsidRPr="00FF740A">
                              <w:rPr>
                                <w:rFonts w:ascii="Arial Narrow" w:eastAsia="SimSun" w:hAnsi="Arial Narrow" w:cs="Arial"/>
                                <w:color w:val="595959"/>
                                <w:kern w:val="24"/>
                                <w:sz w:val="22"/>
                                <w:szCs w:val="22"/>
                              </w:rPr>
                              <w:t>nva</w:t>
                            </w:r>
                            <w:r>
                              <w:rPr>
                                <w:rFonts w:ascii="Arial Narrow" w:eastAsia="SimSun" w:hAnsi="Arial Narrow" w:cs="Arial"/>
                                <w:color w:val="595959"/>
                                <w:kern w:val="24"/>
                                <w:sz w:val="22"/>
                                <w:szCs w:val="22"/>
                              </w:rPr>
                              <w:t>ding</w:t>
                            </w:r>
                            <w:r w:rsidRPr="00FF740A">
                              <w:rPr>
                                <w:rFonts w:ascii="Arial Narrow" w:eastAsia="SimSun" w:hAnsi="Arial Narrow" w:cs="Arial"/>
                                <w:color w:val="595959"/>
                                <w:kern w:val="24"/>
                                <w:sz w:val="22"/>
                                <w:szCs w:val="22"/>
                              </w:rPr>
                              <w:t xml:space="preserve"> into the matrix layer below</w:t>
                            </w:r>
                            <w:r>
                              <w:rPr>
                                <w:rFonts w:ascii="Arial Narrow" w:eastAsia="SimSun" w:hAnsi="Arial Narrow" w:cs="Arial"/>
                                <w:color w:val="595959"/>
                                <w:kern w:val="24"/>
                                <w:sz w:val="22"/>
                                <w:szCs w:val="22"/>
                              </w:rPr>
                              <w:t xml:space="preserve"> (B, red box). CAF morphology becomes more elongated when in close proximity to OSCC epithelial cells (C black dotted box) </w:t>
                            </w:r>
                            <w:r w:rsidRPr="00E72F77">
                              <w:rPr>
                                <w:rFonts w:ascii="Arial Narrow" w:eastAsia="SimSun" w:hAnsi="Arial Narrow" w:cs="Arial"/>
                                <w:color w:val="595959" w:themeColor="text1" w:themeTint="A6"/>
                                <w:kern w:val="24"/>
                                <w:sz w:val="22"/>
                                <w:szCs w:val="22"/>
                              </w:rPr>
                              <w:t>(N=</w:t>
                            </w:r>
                            <w:r>
                              <w:rPr>
                                <w:rFonts w:ascii="Arial Narrow" w:eastAsia="SimSun" w:hAnsi="Arial Narrow" w:cs="Arial"/>
                                <w:color w:val="595959" w:themeColor="text1" w:themeTint="A6"/>
                                <w:kern w:val="24"/>
                                <w:sz w:val="22"/>
                                <w:szCs w:val="22"/>
                              </w:rPr>
                              <w:t>3</w:t>
                            </w:r>
                            <w:r w:rsidRPr="00E72F77">
                              <w:rPr>
                                <w:rFonts w:ascii="Arial Narrow" w:eastAsia="SimSun" w:hAnsi="Arial Narrow" w:cs="Arial"/>
                                <w:color w:val="595959" w:themeColor="text1" w:themeTint="A6"/>
                                <w:kern w:val="24"/>
                                <w:sz w:val="22"/>
                                <w:szCs w:val="22"/>
                              </w:rPr>
                              <w:t>, n=</w:t>
                            </w:r>
                            <w:r>
                              <w:rPr>
                                <w:rFonts w:ascii="Arial Narrow" w:eastAsia="SimSun" w:hAnsi="Arial Narrow" w:cs="Arial"/>
                                <w:color w:val="595959" w:themeColor="text1" w:themeTint="A6"/>
                                <w:kern w:val="24"/>
                                <w:sz w:val="22"/>
                                <w:szCs w:val="22"/>
                              </w:rPr>
                              <w:t>3</w:t>
                            </w:r>
                            <w:r w:rsidRPr="00E72F77">
                              <w:rPr>
                                <w:rFonts w:ascii="Arial Narrow" w:eastAsia="SimSun" w:hAnsi="Arial Narrow" w:cs="Arial"/>
                                <w:color w:val="595959" w:themeColor="text1" w:themeTint="A6"/>
                                <w:kern w:val="24"/>
                                <w:sz w:val="22"/>
                                <w:szCs w:val="22"/>
                              </w:rPr>
                              <w:t>).</w:t>
                            </w:r>
                          </w:p>
                          <w:p w14:paraId="6A1F8C9B" w14:textId="77777777" w:rsidR="008A47AC" w:rsidRPr="00BB1D46" w:rsidRDefault="008A47AC" w:rsidP="004E06B5"/>
                          <w:p w14:paraId="576216BC" w14:textId="77777777" w:rsidR="008A47AC" w:rsidRDefault="008A47AC" w:rsidP="004E06B5">
                            <w:pPr>
                              <w:pStyle w:val="NormalWeb"/>
                              <w:spacing w:after="200"/>
                              <w:jc w:val="both"/>
                              <w:rPr>
                                <w:rFonts w:ascii="Arial Narrow" w:eastAsia="SimSun" w:hAnsi="Arial Narrow" w:cs="Arial"/>
                                <w:color w:val="595959" w:themeColor="text1" w:themeTint="A6"/>
                                <w:kern w:val="24"/>
                                <w:sz w:val="22"/>
                                <w:szCs w:val="22"/>
                              </w:rPr>
                            </w:pPr>
                            <w:r w:rsidRPr="00E72F77">
                              <w:rPr>
                                <w:rFonts w:ascii="Arial Narrow" w:eastAsia="SimSun" w:hAnsi="Arial Narrow" w:cs="Arial"/>
                                <w:color w:val="595959" w:themeColor="text1" w:themeTint="A6"/>
                                <w:kern w:val="24"/>
                                <w:sz w:val="22"/>
                                <w:szCs w:val="22"/>
                              </w:rPr>
                              <w:t xml:space="preserve"> </w:t>
                            </w:r>
                          </w:p>
                          <w:p w14:paraId="690F10DF" w14:textId="77777777" w:rsidR="008A47AC" w:rsidRDefault="008A47AC" w:rsidP="004E06B5">
                            <w:pPr>
                              <w:pStyle w:val="NormalWeb"/>
                              <w:spacing w:after="200"/>
                              <w:jc w:val="both"/>
                              <w:rPr>
                                <w:rFonts w:ascii="Arial Narrow" w:eastAsia="SimSun" w:hAnsi="Arial Narrow" w:cs="Arial"/>
                                <w:color w:val="595959" w:themeColor="text1" w:themeTint="A6"/>
                                <w:kern w:val="24"/>
                                <w:sz w:val="22"/>
                                <w:szCs w:val="22"/>
                              </w:rPr>
                            </w:pPr>
                          </w:p>
                          <w:p w14:paraId="02072E68" w14:textId="77777777" w:rsidR="008A47AC" w:rsidRPr="009C15E0" w:rsidRDefault="008A47AC" w:rsidP="004E06B5">
                            <w:pPr>
                              <w:pStyle w:val="NormalWeb"/>
                              <w:spacing w:after="200"/>
                              <w:jc w:val="both"/>
                              <w:rPr>
                                <w:rFonts w:ascii="Arial Narrow" w:eastAsia="SimSun" w:hAnsi="Arial Narrow" w:cs="Arial"/>
                                <w:color w:val="595959" w:themeColor="text1" w:themeTint="A6"/>
                                <w:kern w:val="24"/>
                                <w:sz w:val="22"/>
                                <w:szCs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8AA931" id="Text Box 193" o:spid="_x0000_s1187" type="#_x0000_t202" style="position:absolute;left:0;text-align:left;margin-left:0;margin-top:.8pt;width:451.5pt;height:111pt;z-index:25165838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" stroked="f">
                <v:textbox>
                  <w:txbxContent>
                    <w:p w14:paraId="65BD7ED5" w14:textId="77777777" w:rsidR="008A47AC" w:rsidRPr="00D40A72" w:rsidRDefault="008A47AC" w:rsidP="004E06B5">
                      <w:pPr>
                        <w:pStyle w:val="Caption"/>
                        <w:keepNext/>
                        <w:jc w:val="both"/>
                        <w:rPr>
                          <w:rFonts w:ascii="Arial Narrow" w:hAnsi="Arial Narrow"/>
                          <w:b/>
                          <w:i w:val="0"/>
                          <w:color w:val="595959" w:themeColor="text1" w:themeTint="A6"/>
                          <w:sz w:val="22"/>
                          <w:szCs w:val="22"/>
                        </w:rPr>
                      </w:pPr>
                      <w:r w:rsidRPr="00D40A72">
                        <w:rPr>
                          <w:rFonts w:ascii="Arial Narrow" w:hAnsi="Arial Narrow"/>
                          <w:b/>
                          <w:i w:val="0"/>
                          <w:color w:val="595959" w:themeColor="text1" w:themeTint="A6"/>
                          <w:sz w:val="22"/>
                          <w:szCs w:val="22"/>
                        </w:rPr>
                        <w:t>Figure 5.9. Representative H&amp;E images of tissue-engineered oral squamous cell carcinoma mucosa model (TESCCM)</w:t>
                      </w:r>
                    </w:p>
                    <w:p w14:paraId="31B79017" w14:textId="77777777" w:rsidR="008A47AC" w:rsidRPr="00A708E4" w:rsidRDefault="008A47AC" w:rsidP="004E06B5">
                      <w:pPr>
                        <w:pStyle w:val="NormalWeb"/>
                        <w:spacing w:after="200" w:line="276" w:lineRule="auto"/>
                        <w:jc w:val="both"/>
                      </w:pPr>
                      <w:r>
                        <w:rPr>
                          <w:rFonts w:ascii="Arial Narrow" w:eastAsia="SimSun" w:hAnsi="Arial Narrow" w:cs="Arial"/>
                          <w:color w:val="595959"/>
                          <w:kern w:val="24"/>
                          <w:sz w:val="22"/>
                          <w:szCs w:val="22"/>
                        </w:rPr>
                        <w:t>T</w:t>
                      </w:r>
                      <w:r w:rsidRPr="00575592">
                        <w:rPr>
                          <w:rFonts w:ascii="Arial Narrow" w:eastAsia="SimSun" w:hAnsi="Arial Narrow" w:cs="Arial"/>
                          <w:color w:val="595959"/>
                          <w:kern w:val="24"/>
                          <w:sz w:val="22"/>
                          <w:szCs w:val="22"/>
                        </w:rPr>
                        <w:t xml:space="preserve">he addition of </w:t>
                      </w:r>
                      <w:r>
                        <w:rPr>
                          <w:rFonts w:ascii="Arial Narrow" w:eastAsia="SimSun" w:hAnsi="Arial Narrow" w:cs="Arial"/>
                          <w:color w:val="595959"/>
                          <w:kern w:val="24"/>
                          <w:sz w:val="22"/>
                          <w:szCs w:val="22"/>
                        </w:rPr>
                        <w:t>H357</w:t>
                      </w:r>
                      <w:r w:rsidRPr="00575592">
                        <w:rPr>
                          <w:rFonts w:ascii="Arial Narrow" w:eastAsia="SimSun" w:hAnsi="Arial Narrow" w:cs="Arial"/>
                          <w:color w:val="595959"/>
                          <w:kern w:val="24"/>
                          <w:sz w:val="22"/>
                          <w:szCs w:val="22"/>
                        </w:rPr>
                        <w:t xml:space="preserve"> cells </w:t>
                      </w:r>
                      <w:r>
                        <w:rPr>
                          <w:rFonts w:ascii="Arial Narrow" w:eastAsia="SimSun" w:hAnsi="Arial Narrow" w:cs="Arial"/>
                          <w:color w:val="595959"/>
                          <w:kern w:val="24"/>
                          <w:sz w:val="22"/>
                          <w:szCs w:val="22"/>
                        </w:rPr>
                        <w:t xml:space="preserve">to CAF-DM </w:t>
                      </w:r>
                      <w:r w:rsidRPr="00575592">
                        <w:rPr>
                          <w:rFonts w:ascii="Arial Narrow" w:eastAsia="SimSun" w:hAnsi="Arial Narrow" w:cs="Arial"/>
                          <w:color w:val="595959"/>
                          <w:kern w:val="24"/>
                          <w:sz w:val="22"/>
                          <w:szCs w:val="22"/>
                        </w:rPr>
                        <w:t xml:space="preserve">produced </w:t>
                      </w:r>
                      <w:r>
                        <w:rPr>
                          <w:rFonts w:ascii="Arial Narrow" w:eastAsia="SimSun" w:hAnsi="Arial Narrow" w:cs="Arial"/>
                          <w:color w:val="595959"/>
                          <w:kern w:val="24"/>
                          <w:sz w:val="22"/>
                          <w:szCs w:val="22"/>
                        </w:rPr>
                        <w:t>a disordered OSCC model (A); highlighted</w:t>
                      </w:r>
                      <w:r w:rsidRPr="00FF740A">
                        <w:rPr>
                          <w:rFonts w:ascii="Arial Narrow" w:eastAsia="SimSun" w:hAnsi="Arial Narrow" w:cs="Arial"/>
                          <w:color w:val="595959"/>
                          <w:kern w:val="24"/>
                          <w:sz w:val="22"/>
                          <w:szCs w:val="22"/>
                        </w:rPr>
                        <w:t xml:space="preserve"> </w:t>
                      </w:r>
                      <w:r>
                        <w:rPr>
                          <w:rFonts w:ascii="Arial Narrow" w:eastAsia="SimSun" w:hAnsi="Arial Narrow" w:cs="Arial"/>
                          <w:color w:val="595959"/>
                          <w:kern w:val="24"/>
                          <w:sz w:val="22"/>
                          <w:szCs w:val="22"/>
                        </w:rPr>
                        <w:t xml:space="preserve">by </w:t>
                      </w:r>
                      <w:r w:rsidRPr="00FF740A">
                        <w:rPr>
                          <w:rFonts w:ascii="Arial Narrow" w:eastAsia="SimSun" w:hAnsi="Arial Narrow" w:cs="Arial"/>
                          <w:color w:val="595959"/>
                          <w:kern w:val="24"/>
                          <w:sz w:val="22"/>
                          <w:szCs w:val="22"/>
                        </w:rPr>
                        <w:t>loss of a defined basal compartment</w:t>
                      </w:r>
                      <w:r>
                        <w:rPr>
                          <w:rFonts w:ascii="Arial Narrow" w:eastAsia="SimSun" w:hAnsi="Arial Narrow" w:cs="Arial"/>
                          <w:color w:val="595959"/>
                          <w:kern w:val="24"/>
                          <w:sz w:val="22"/>
                          <w:szCs w:val="22"/>
                        </w:rPr>
                        <w:t xml:space="preserve">s in most areas, loss of cell polarisation, increased mitotic index (C- black boxes) and epithelial </w:t>
                      </w:r>
                      <w:r w:rsidRPr="00FF740A">
                        <w:rPr>
                          <w:rFonts w:ascii="Arial Narrow" w:eastAsia="SimSun" w:hAnsi="Arial Narrow" w:cs="Arial"/>
                          <w:color w:val="595959"/>
                          <w:kern w:val="24"/>
                          <w:sz w:val="22"/>
                          <w:szCs w:val="22"/>
                        </w:rPr>
                        <w:t>cells</w:t>
                      </w:r>
                      <w:r>
                        <w:rPr>
                          <w:rFonts w:ascii="Arial Narrow" w:eastAsia="SimSun" w:hAnsi="Arial Narrow" w:cs="Arial"/>
                          <w:color w:val="595959"/>
                          <w:kern w:val="24"/>
                          <w:sz w:val="22"/>
                          <w:szCs w:val="22"/>
                        </w:rPr>
                        <w:t xml:space="preserve"> i</w:t>
                      </w:r>
                      <w:r w:rsidRPr="00FF740A">
                        <w:rPr>
                          <w:rFonts w:ascii="Arial Narrow" w:eastAsia="SimSun" w:hAnsi="Arial Narrow" w:cs="Arial"/>
                          <w:color w:val="595959"/>
                          <w:kern w:val="24"/>
                          <w:sz w:val="22"/>
                          <w:szCs w:val="22"/>
                        </w:rPr>
                        <w:t>nva</w:t>
                      </w:r>
                      <w:r>
                        <w:rPr>
                          <w:rFonts w:ascii="Arial Narrow" w:eastAsia="SimSun" w:hAnsi="Arial Narrow" w:cs="Arial"/>
                          <w:color w:val="595959"/>
                          <w:kern w:val="24"/>
                          <w:sz w:val="22"/>
                          <w:szCs w:val="22"/>
                        </w:rPr>
                        <w:t>ding</w:t>
                      </w:r>
                      <w:r w:rsidRPr="00FF740A">
                        <w:rPr>
                          <w:rFonts w:ascii="Arial Narrow" w:eastAsia="SimSun" w:hAnsi="Arial Narrow" w:cs="Arial"/>
                          <w:color w:val="595959"/>
                          <w:kern w:val="24"/>
                          <w:sz w:val="22"/>
                          <w:szCs w:val="22"/>
                        </w:rPr>
                        <w:t xml:space="preserve"> into the matrix layer below</w:t>
                      </w:r>
                      <w:r>
                        <w:rPr>
                          <w:rFonts w:ascii="Arial Narrow" w:eastAsia="SimSun" w:hAnsi="Arial Narrow" w:cs="Arial"/>
                          <w:color w:val="595959"/>
                          <w:kern w:val="24"/>
                          <w:sz w:val="22"/>
                          <w:szCs w:val="22"/>
                        </w:rPr>
                        <w:t xml:space="preserve"> (B, red box). CAF morphology becomes more elongated when </w:t>
                      </w:r>
                      <w:proofErr w:type="gramStart"/>
                      <w:r>
                        <w:rPr>
                          <w:rFonts w:ascii="Arial Narrow" w:eastAsia="SimSun" w:hAnsi="Arial Narrow" w:cs="Arial"/>
                          <w:color w:val="595959"/>
                          <w:kern w:val="24"/>
                          <w:sz w:val="22"/>
                          <w:szCs w:val="22"/>
                        </w:rPr>
                        <w:t>in close proximity to</w:t>
                      </w:r>
                      <w:proofErr w:type="gramEnd"/>
                      <w:r>
                        <w:rPr>
                          <w:rFonts w:ascii="Arial Narrow" w:eastAsia="SimSun" w:hAnsi="Arial Narrow" w:cs="Arial"/>
                          <w:color w:val="595959"/>
                          <w:kern w:val="24"/>
                          <w:sz w:val="22"/>
                          <w:szCs w:val="22"/>
                        </w:rPr>
                        <w:t xml:space="preserve"> OSCC epithelial cells (C black dotted box) </w:t>
                      </w:r>
                      <w:r w:rsidRPr="00E72F77">
                        <w:rPr>
                          <w:rFonts w:ascii="Arial Narrow" w:eastAsia="SimSun" w:hAnsi="Arial Narrow" w:cs="Arial"/>
                          <w:color w:val="595959" w:themeColor="text1" w:themeTint="A6"/>
                          <w:kern w:val="24"/>
                          <w:sz w:val="22"/>
                          <w:szCs w:val="22"/>
                        </w:rPr>
                        <w:t>(N=</w:t>
                      </w:r>
                      <w:r>
                        <w:rPr>
                          <w:rFonts w:ascii="Arial Narrow" w:eastAsia="SimSun" w:hAnsi="Arial Narrow" w:cs="Arial"/>
                          <w:color w:val="595959" w:themeColor="text1" w:themeTint="A6"/>
                          <w:kern w:val="24"/>
                          <w:sz w:val="22"/>
                          <w:szCs w:val="22"/>
                        </w:rPr>
                        <w:t>3</w:t>
                      </w:r>
                      <w:r w:rsidRPr="00E72F77">
                        <w:rPr>
                          <w:rFonts w:ascii="Arial Narrow" w:eastAsia="SimSun" w:hAnsi="Arial Narrow" w:cs="Arial"/>
                          <w:color w:val="595959" w:themeColor="text1" w:themeTint="A6"/>
                          <w:kern w:val="24"/>
                          <w:sz w:val="22"/>
                          <w:szCs w:val="22"/>
                        </w:rPr>
                        <w:t>, n=</w:t>
                      </w:r>
                      <w:r>
                        <w:rPr>
                          <w:rFonts w:ascii="Arial Narrow" w:eastAsia="SimSun" w:hAnsi="Arial Narrow" w:cs="Arial"/>
                          <w:color w:val="595959" w:themeColor="text1" w:themeTint="A6"/>
                          <w:kern w:val="24"/>
                          <w:sz w:val="22"/>
                          <w:szCs w:val="22"/>
                        </w:rPr>
                        <w:t>3</w:t>
                      </w:r>
                      <w:r w:rsidRPr="00E72F77">
                        <w:rPr>
                          <w:rFonts w:ascii="Arial Narrow" w:eastAsia="SimSun" w:hAnsi="Arial Narrow" w:cs="Arial"/>
                          <w:color w:val="595959" w:themeColor="text1" w:themeTint="A6"/>
                          <w:kern w:val="24"/>
                          <w:sz w:val="22"/>
                          <w:szCs w:val="22"/>
                        </w:rPr>
                        <w:t>).</w:t>
                      </w:r>
                    </w:p>
                    <w:p w14:paraId="6A1F8C9B" w14:textId="77777777" w:rsidR="008A47AC" w:rsidRPr="00BB1D46" w:rsidRDefault="008A47AC" w:rsidP="004E06B5"/>
                    <w:p w14:paraId="576216BC" w14:textId="77777777" w:rsidR="008A47AC" w:rsidRDefault="008A47AC" w:rsidP="004E06B5">
                      <w:pPr>
                        <w:pStyle w:val="NormalWeb"/>
                        <w:spacing w:after="200"/>
                        <w:jc w:val="both"/>
                        <w:rPr>
                          <w:rFonts w:ascii="Arial Narrow" w:eastAsia="SimSun" w:hAnsi="Arial Narrow" w:cs="Arial"/>
                          <w:color w:val="595959" w:themeColor="text1" w:themeTint="A6"/>
                          <w:kern w:val="24"/>
                          <w:sz w:val="22"/>
                          <w:szCs w:val="22"/>
                        </w:rPr>
                      </w:pPr>
                      <w:r w:rsidRPr="00E72F77">
                        <w:rPr>
                          <w:rFonts w:ascii="Arial Narrow" w:eastAsia="SimSun" w:hAnsi="Arial Narrow" w:cs="Arial"/>
                          <w:color w:val="595959" w:themeColor="text1" w:themeTint="A6"/>
                          <w:kern w:val="24"/>
                          <w:sz w:val="22"/>
                          <w:szCs w:val="22"/>
                        </w:rPr>
                        <w:t xml:space="preserve"> </w:t>
                      </w:r>
                    </w:p>
                    <w:p w14:paraId="690F10DF" w14:textId="77777777" w:rsidR="008A47AC" w:rsidRDefault="008A47AC" w:rsidP="004E06B5">
                      <w:pPr>
                        <w:pStyle w:val="NormalWeb"/>
                        <w:spacing w:after="200"/>
                        <w:jc w:val="both"/>
                        <w:rPr>
                          <w:rFonts w:ascii="Arial Narrow" w:eastAsia="SimSun" w:hAnsi="Arial Narrow" w:cs="Arial"/>
                          <w:color w:val="595959" w:themeColor="text1" w:themeTint="A6"/>
                          <w:kern w:val="24"/>
                          <w:sz w:val="22"/>
                          <w:szCs w:val="22"/>
                        </w:rPr>
                      </w:pPr>
                    </w:p>
                    <w:p w14:paraId="02072E68" w14:textId="77777777" w:rsidR="008A47AC" w:rsidRPr="009C15E0" w:rsidRDefault="008A47AC" w:rsidP="004E06B5">
                      <w:pPr>
                        <w:pStyle w:val="NormalWeb"/>
                        <w:spacing w:after="200"/>
                        <w:jc w:val="both"/>
                        <w:rPr>
                          <w:rFonts w:ascii="Arial Narrow" w:eastAsia="SimSun" w:hAnsi="Arial Narrow" w:cs="Arial"/>
                          <w:color w:val="595959" w:themeColor="text1" w:themeTint="A6"/>
                          <w:kern w:val="24"/>
                          <w:sz w:val="22"/>
                          <w:szCs w:val="22"/>
                        </w:rPr>
                      </w:pPr>
                    </w:p>
                  </w:txbxContent>
                </v:textbox>
                <w10:wrap anchorx="margin"/>
              </v:shape>
            </w:pict>
          </mc:Fallback>
        </mc:AlternateContent>
      </w:r>
    </w:p>
    <w:p w14:paraId="6F9C12A4"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51840C79"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51DF5134"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64694D9B" w14:textId="77777777" w:rsidR="00982EED" w:rsidRDefault="00982EED" w:rsidP="004E06B5">
      <w:pPr>
        <w:tabs>
          <w:tab w:val="left" w:pos="1350"/>
        </w:tabs>
        <w:spacing w:line="480" w:lineRule="auto"/>
        <w:jc w:val="both"/>
        <w:rPr>
          <w:rFonts w:ascii="Arial" w:hAnsi="Arial" w:cs="Arial"/>
          <w:color w:val="595959" w:themeColor="text1" w:themeTint="A6"/>
        </w:rPr>
      </w:pPr>
    </w:p>
    <w:p w14:paraId="3709C0D1" w14:textId="655FD737" w:rsidR="004E06B5" w:rsidRDefault="004E06B5" w:rsidP="00171A51">
      <w:pPr>
        <w:pStyle w:val="Heading4"/>
        <w:rPr>
          <w:rFonts w:ascii="Arial" w:hAnsi="Arial" w:cs="Arial"/>
          <w:color w:val="595959" w:themeColor="text1" w:themeTint="A6"/>
        </w:rPr>
      </w:pPr>
      <w:bookmarkStart w:id="459" w:name="_Toc34208456"/>
      <w:r w:rsidRPr="004E06B5">
        <w:rPr>
          <w:rFonts w:ascii="Arial" w:hAnsi="Arial" w:cs="Arial"/>
          <w:color w:val="595959" w:themeColor="text1" w:themeTint="A6"/>
        </w:rPr>
        <w:t>5.3.1.4 Analysis of the structural integrity of tissue-engineered oral mucosa models</w:t>
      </w:r>
      <w:bookmarkEnd w:id="459"/>
    </w:p>
    <w:p w14:paraId="28D0378B" w14:textId="77777777" w:rsidR="00171A51" w:rsidRPr="00171A51" w:rsidRDefault="00171A51" w:rsidP="00171A51"/>
    <w:p w14:paraId="0C36E7A6" w14:textId="77777777" w:rsidR="004E06B5" w:rsidRPr="004E06B5" w:rsidRDefault="004E06B5" w:rsidP="004E06B5">
      <w:pPr>
        <w:tabs>
          <w:tab w:val="left" w:pos="1530"/>
        </w:tabs>
        <w:spacing w:line="480" w:lineRule="auto"/>
        <w:jc w:val="both"/>
        <w:rPr>
          <w:rFonts w:ascii="Arial" w:hAnsi="Arial" w:cs="Arial"/>
          <w:color w:val="595959" w:themeColor="text1" w:themeTint="A6"/>
        </w:rPr>
      </w:pPr>
      <w:r w:rsidRPr="004E06B5">
        <w:rPr>
          <w:rFonts w:ascii="Arial" w:hAnsi="Arial" w:cs="Arial"/>
          <w:color w:val="595959" w:themeColor="text1" w:themeTint="A6"/>
        </w:rPr>
        <w:t>TEER analysis was used to assess changes in barrier function in the different models generated (TENOM, TEAOM, and TESCCM). The addition of FNB6 drastically increased the resistance found in the FDM derived from both NOF and CAF (Figure 5.10). TENOM models incorporating NOF-DM with FNB6 averaged a resistance of 155.83 ± 10.57 Ω.cm</w:t>
      </w:r>
      <w:r w:rsidRPr="004E06B5">
        <w:rPr>
          <w:rFonts w:ascii="Arial" w:hAnsi="Arial" w:cs="Arial"/>
          <w:color w:val="595959" w:themeColor="text1" w:themeTint="A6"/>
          <w:vertAlign w:val="superscript"/>
        </w:rPr>
        <w:t>2</w:t>
      </w:r>
      <w:r w:rsidRPr="004E06B5">
        <w:rPr>
          <w:rFonts w:ascii="Arial" w:hAnsi="Arial" w:cs="Arial"/>
          <w:color w:val="595959" w:themeColor="text1" w:themeTint="A6"/>
        </w:rPr>
        <w:t xml:space="preserve"> throughout the culture time, which is over double the resistance calculated for just the NOF-DM alone. The TEAOM model with CAF-DM and FNB6 in comparison had an average resistance of 129.67 ± 22.03 Ω.cm</w:t>
      </w:r>
      <w:r w:rsidRPr="004E06B5">
        <w:rPr>
          <w:rFonts w:ascii="Arial" w:hAnsi="Arial" w:cs="Arial"/>
          <w:color w:val="595959" w:themeColor="text1" w:themeTint="A6"/>
          <w:vertAlign w:val="superscript"/>
        </w:rPr>
        <w:t>2</w:t>
      </w:r>
      <w:r w:rsidRPr="004E06B5">
        <w:rPr>
          <w:rFonts w:ascii="Arial" w:hAnsi="Arial" w:cs="Arial"/>
          <w:color w:val="595959" w:themeColor="text1" w:themeTint="A6"/>
        </w:rPr>
        <w:t>.</w:t>
      </w:r>
    </w:p>
    <w:p w14:paraId="316176FD" w14:textId="1837A092" w:rsidR="004E06B5" w:rsidRPr="004E06B5" w:rsidRDefault="004E06B5" w:rsidP="004E06B5">
      <w:pPr>
        <w:tabs>
          <w:tab w:val="left" w:pos="1350"/>
        </w:tabs>
        <w:spacing w:line="480" w:lineRule="auto"/>
        <w:jc w:val="both"/>
        <w:rPr>
          <w:rFonts w:ascii="Arial" w:hAnsi="Arial" w:cs="Arial"/>
          <w:color w:val="595959" w:themeColor="text1" w:themeTint="A6"/>
        </w:rPr>
      </w:pPr>
      <w:r w:rsidRPr="004E06B5">
        <w:rPr>
          <w:rFonts w:ascii="Arial" w:hAnsi="Arial" w:cs="Arial"/>
          <w:color w:val="595959" w:themeColor="text1" w:themeTint="A6"/>
        </w:rPr>
        <w:t>The integrity of the TESCCM generated by the culture of the OSCC cell-line H357 on CAF-DM, was also investigated (Figure 5.10) initially showed an increase in tissue resistance as expected compared to CAF-DM alone to 117.5 ± 11.03 Ω.cm</w:t>
      </w:r>
      <w:r w:rsidRPr="004E06B5">
        <w:rPr>
          <w:rFonts w:ascii="Arial" w:hAnsi="Arial" w:cs="Arial"/>
          <w:color w:val="595959" w:themeColor="text1" w:themeTint="A6"/>
          <w:vertAlign w:val="superscript"/>
        </w:rPr>
        <w:t>2</w:t>
      </w:r>
      <w:r w:rsidRPr="004E06B5">
        <w:rPr>
          <w:rFonts w:ascii="Arial" w:hAnsi="Arial" w:cs="Arial"/>
          <w:color w:val="595959" w:themeColor="text1" w:themeTint="A6"/>
        </w:rPr>
        <w:t xml:space="preserve">. However, there was a </w:t>
      </w:r>
      <w:r w:rsidR="003C1DBA">
        <w:rPr>
          <w:rFonts w:ascii="Arial" w:hAnsi="Arial" w:cs="Arial"/>
          <w:color w:val="595959" w:themeColor="text1" w:themeTint="A6"/>
        </w:rPr>
        <w:t xml:space="preserve">reduction in </w:t>
      </w:r>
      <w:r w:rsidRPr="004E06B5">
        <w:rPr>
          <w:rFonts w:ascii="Arial" w:hAnsi="Arial" w:cs="Arial"/>
          <w:color w:val="595959" w:themeColor="text1" w:themeTint="A6"/>
        </w:rPr>
        <w:t>resistance to 86.50 ±13.84 Ω .cm</w:t>
      </w:r>
      <w:r w:rsidRPr="004E06B5">
        <w:rPr>
          <w:rFonts w:ascii="Arial" w:hAnsi="Arial" w:cs="Arial"/>
          <w:color w:val="595959" w:themeColor="text1" w:themeTint="A6"/>
          <w:vertAlign w:val="superscript"/>
        </w:rPr>
        <w:t>2</w:t>
      </w:r>
      <w:r w:rsidRPr="004E06B5">
        <w:rPr>
          <w:rFonts w:ascii="Arial" w:hAnsi="Arial" w:cs="Arial"/>
          <w:color w:val="595959" w:themeColor="text1" w:themeTint="A6"/>
        </w:rPr>
        <w:t xml:space="preserve"> by day 4 which decreased further to 68.3 ± 2.87 Ω.cm</w:t>
      </w:r>
      <w:r w:rsidRPr="004E06B5">
        <w:rPr>
          <w:rFonts w:ascii="Arial" w:hAnsi="Arial" w:cs="Arial"/>
          <w:color w:val="595959" w:themeColor="text1" w:themeTint="A6"/>
          <w:vertAlign w:val="superscript"/>
        </w:rPr>
        <w:t>2</w:t>
      </w:r>
      <w:r w:rsidRPr="004E06B5">
        <w:rPr>
          <w:rFonts w:ascii="Arial" w:hAnsi="Arial" w:cs="Arial"/>
          <w:color w:val="595959" w:themeColor="text1" w:themeTint="A6"/>
        </w:rPr>
        <w:t xml:space="preserve"> by day 12. Overall ANOVA with Dunnett’s multiple comparison, indicated that the mean TEER for TESCCM was significantly lower (p=0.0004) than for TENOM, with a mean TEER of 86.48 ± 22.05 Ω.cm</w:t>
      </w:r>
      <w:r w:rsidRPr="004E06B5">
        <w:rPr>
          <w:rFonts w:ascii="Arial" w:hAnsi="Arial" w:cs="Arial"/>
          <w:color w:val="595959" w:themeColor="text1" w:themeTint="A6"/>
          <w:vertAlign w:val="superscript"/>
        </w:rPr>
        <w:t>2</w:t>
      </w:r>
      <w:r w:rsidRPr="004E06B5">
        <w:rPr>
          <w:rFonts w:ascii="Arial" w:hAnsi="Arial" w:cs="Arial"/>
          <w:color w:val="595959" w:themeColor="text1" w:themeTint="A6"/>
        </w:rPr>
        <w:t xml:space="preserve"> indicating a loss in integrity of the epithelium in the TESCCM.</w:t>
      </w:r>
    </w:p>
    <w:p w14:paraId="031E9DC8" w14:textId="77777777" w:rsidR="004E06B5" w:rsidRPr="004E06B5" w:rsidRDefault="004E06B5" w:rsidP="004E06B5">
      <w:pPr>
        <w:tabs>
          <w:tab w:val="left" w:pos="1350"/>
        </w:tabs>
        <w:spacing w:line="480" w:lineRule="auto"/>
        <w:jc w:val="both"/>
        <w:rPr>
          <w:rFonts w:ascii="Arial" w:hAnsi="Arial" w:cs="Arial"/>
          <w:noProof/>
          <w:color w:val="595959" w:themeColor="text1" w:themeTint="A6"/>
          <w:lang w:eastAsia="zh-CN"/>
        </w:rPr>
      </w:pPr>
      <w:r w:rsidRPr="004E06B5">
        <w:rPr>
          <w:rFonts w:ascii="Arial" w:hAnsi="Arial" w:cs="Arial"/>
          <w:noProof/>
          <w:color w:val="595959" w:themeColor="text1" w:themeTint="A6"/>
          <w:sz w:val="24"/>
          <w:szCs w:val="24"/>
          <w:lang w:eastAsia="zh-CN"/>
        </w:rPr>
        <mc:AlternateContent>
          <mc:Choice Requires="wps">
            <w:drawing>
              <wp:anchor distT="0" distB="0" distL="114300" distR="114300" simplePos="0" relativeHeight="251658392" behindDoc="0" locked="0" layoutInCell="1" allowOverlap="1" wp14:anchorId="6C9E3527" wp14:editId="2B44A1E5">
                <wp:simplePos x="0" y="0"/>
                <wp:positionH relativeFrom="margin">
                  <wp:posOffset>95250</wp:posOffset>
                </wp:positionH>
                <wp:positionV relativeFrom="paragraph">
                  <wp:posOffset>2639060</wp:posOffset>
                </wp:positionV>
                <wp:extent cx="5629275" cy="904875"/>
                <wp:effectExtent l="0" t="0" r="9525" b="9525"/>
                <wp:wrapNone/>
                <wp:docPr id="1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29275" cy="904875"/>
                        </a:xfrm>
                        <a:prstGeom prst="rect">
                          <a:avLst/>
                        </a:prstGeom>
                        <a:solidFill>
                          <a:srgbClr val="FFFFFF"/>
                        </a:solidFill>
                        <a:ln w="9525">
                          <a:noFill/>
                          <a:miter lim="800000"/>
                          <a:headEnd/>
                          <a:tailEnd/>
                        </a:ln>
                      </wps:spPr>
                      <wps:txbx>
                        <w:txbxContent>
                          <w:p w14:paraId="688BF4C4" w14:textId="77777777" w:rsidR="008A47AC" w:rsidRDefault="008A47AC" w:rsidP="004E06B5">
                            <w:pPr>
                              <w:pStyle w:val="NormalWeb"/>
                              <w:spacing w:after="200"/>
                              <w:jc w:val="both"/>
                              <w:rPr>
                                <w:rFonts w:ascii="Arial Narrow" w:eastAsia="SimSun" w:hAnsi="Arial Narrow" w:cs="Arial"/>
                                <w:b/>
                                <w:bCs/>
                                <w:i/>
                                <w:color w:val="595959"/>
                                <w:kern w:val="24"/>
                                <w:sz w:val="22"/>
                                <w:szCs w:val="22"/>
                              </w:rPr>
                            </w:pPr>
                            <w:r>
                              <w:rPr>
                                <w:rFonts w:ascii="Arial Narrow" w:eastAsia="SimSun" w:hAnsi="Arial Narrow" w:cs="Arial"/>
                                <w:b/>
                                <w:bCs/>
                                <w:color w:val="595959"/>
                                <w:kern w:val="24"/>
                                <w:sz w:val="22"/>
                                <w:szCs w:val="22"/>
                              </w:rPr>
                              <w:t xml:space="preserve">Figure 5.10 Analysis of tissue-engineered oral mucosa model integrity </w:t>
                            </w:r>
                            <w:r w:rsidRPr="00A40702">
                              <w:rPr>
                                <w:rFonts w:ascii="Arial Narrow" w:eastAsia="SimSun" w:hAnsi="Arial Narrow" w:cs="Arial"/>
                                <w:b/>
                                <w:bCs/>
                                <w:i/>
                                <w:color w:val="595959"/>
                                <w:kern w:val="24"/>
                                <w:sz w:val="22"/>
                                <w:szCs w:val="22"/>
                              </w:rPr>
                              <w:t>in vitro</w:t>
                            </w:r>
                          </w:p>
                          <w:p w14:paraId="5C39EAC1" w14:textId="77777777" w:rsidR="008A47AC" w:rsidRPr="00374051" w:rsidRDefault="008A47AC" w:rsidP="004E06B5">
                            <w:pPr>
                              <w:pStyle w:val="NormalWeb"/>
                              <w:spacing w:after="200" w:line="276" w:lineRule="auto"/>
                              <w:jc w:val="both"/>
                              <w:rPr>
                                <w:rFonts w:ascii="Arial Narrow" w:hAnsi="Arial Narrow"/>
                                <w:color w:val="595959" w:themeColor="text1" w:themeTint="A6"/>
                                <w:sz w:val="22"/>
                              </w:rPr>
                            </w:pPr>
                            <w:r>
                              <w:rPr>
                                <w:rFonts w:ascii="Arial Narrow" w:hAnsi="Arial Narrow"/>
                                <w:color w:val="595959" w:themeColor="text1" w:themeTint="A6"/>
                                <w:sz w:val="22"/>
                              </w:rPr>
                              <w:t>T</w:t>
                            </w:r>
                            <w:r w:rsidRPr="00EA59C5">
                              <w:rPr>
                                <w:rFonts w:ascii="Arial Narrow" w:hAnsi="Arial Narrow"/>
                                <w:color w:val="595959" w:themeColor="text1" w:themeTint="A6"/>
                                <w:sz w:val="22"/>
                              </w:rPr>
                              <w:t xml:space="preserve">issue </w:t>
                            </w:r>
                            <w:r>
                              <w:rPr>
                                <w:rFonts w:ascii="Arial Narrow" w:hAnsi="Arial Narrow"/>
                                <w:color w:val="595959" w:themeColor="text1" w:themeTint="A6"/>
                                <w:sz w:val="22"/>
                              </w:rPr>
                              <w:t>resistance was calculated with the addition of keratinoctyes to established FDM by measuring the transepithelial electrical resistance over 12 days. Data presented in TENOM (circle), TEAOM (square) models and TESCCM (star) over 12 days (N=3, N=3).</w:t>
                            </w:r>
                          </w:p>
                          <w:p w14:paraId="34EFE001" w14:textId="77777777" w:rsidR="008A47AC" w:rsidRDefault="008A47AC" w:rsidP="004E06B5">
                            <w:pPr>
                              <w:pStyle w:val="NormalWeb"/>
                              <w:spacing w:after="200"/>
                              <w:jc w:val="both"/>
                              <w:rPr>
                                <w:rFonts w:ascii="Arial Narrow" w:eastAsia="SimSun" w:hAnsi="Arial Narrow" w:cs="Arial"/>
                                <w:color w:val="595959"/>
                                <w:kern w:val="24"/>
                                <w:sz w:val="22"/>
                                <w:szCs w:val="22"/>
                              </w:rPr>
                            </w:pPr>
                          </w:p>
                          <w:p w14:paraId="717163CC" w14:textId="77777777" w:rsidR="008A47AC" w:rsidRDefault="008A47AC" w:rsidP="004E06B5">
                            <w:pPr>
                              <w:pStyle w:val="NormalWeb"/>
                              <w:spacing w:after="200"/>
                              <w:jc w:val="both"/>
                            </w:pPr>
                          </w:p>
                          <w:p w14:paraId="260E765B" w14:textId="77777777" w:rsidR="008A47AC" w:rsidRDefault="008A47AC" w:rsidP="004E06B5">
                            <w:pPr>
                              <w:pStyle w:val="NormalWeb"/>
                              <w:spacing w:after="200"/>
                              <w:jc w:val="both"/>
                            </w:pPr>
                          </w:p>
                          <w:p w14:paraId="13DF549B" w14:textId="77777777" w:rsidR="008A47AC" w:rsidRDefault="008A47AC" w:rsidP="004E06B5">
                            <w:pPr>
                              <w:pStyle w:val="NormalWeb"/>
                              <w:spacing w:after="200"/>
                              <w:jc w:val="both"/>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9E3527" id="_x0000_s1188" type="#_x0000_t202" style="position:absolute;left:0;text-align:left;margin-left:7.5pt;margin-top:207.8pt;width:443.25pt;height:71.25pt;z-index:251658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" stroked="f">
                <v:textbox>
                  <w:txbxContent>
                    <w:p w14:paraId="688BF4C4" w14:textId="77777777" w:rsidR="008A47AC" w:rsidRDefault="008A47AC" w:rsidP="004E06B5">
                      <w:pPr>
                        <w:pStyle w:val="NormalWeb"/>
                        <w:spacing w:after="200"/>
                        <w:jc w:val="both"/>
                        <w:rPr>
                          <w:rFonts w:ascii="Arial Narrow" w:eastAsia="SimSun" w:hAnsi="Arial Narrow" w:cs="Arial"/>
                          <w:b/>
                          <w:bCs/>
                          <w:i/>
                          <w:color w:val="595959"/>
                          <w:kern w:val="24"/>
                          <w:sz w:val="22"/>
                          <w:szCs w:val="22"/>
                        </w:rPr>
                      </w:pPr>
                      <w:r>
                        <w:rPr>
                          <w:rFonts w:ascii="Arial Narrow" w:eastAsia="SimSun" w:hAnsi="Arial Narrow" w:cs="Arial"/>
                          <w:b/>
                          <w:bCs/>
                          <w:color w:val="595959"/>
                          <w:kern w:val="24"/>
                          <w:sz w:val="22"/>
                          <w:szCs w:val="22"/>
                        </w:rPr>
                        <w:t xml:space="preserve">Figure 5.10 Analysis of tissue-engineered oral mucosa model integrity </w:t>
                      </w:r>
                      <w:r w:rsidRPr="00A40702">
                        <w:rPr>
                          <w:rFonts w:ascii="Arial Narrow" w:eastAsia="SimSun" w:hAnsi="Arial Narrow" w:cs="Arial"/>
                          <w:b/>
                          <w:bCs/>
                          <w:i/>
                          <w:color w:val="595959"/>
                          <w:kern w:val="24"/>
                          <w:sz w:val="22"/>
                          <w:szCs w:val="22"/>
                        </w:rPr>
                        <w:t>in vitro</w:t>
                      </w:r>
                    </w:p>
                    <w:p w14:paraId="5C39EAC1" w14:textId="77777777" w:rsidR="008A47AC" w:rsidRPr="00374051" w:rsidRDefault="008A47AC" w:rsidP="004E06B5">
                      <w:pPr>
                        <w:pStyle w:val="NormalWeb"/>
                        <w:spacing w:after="200" w:line="276" w:lineRule="auto"/>
                        <w:jc w:val="both"/>
                        <w:rPr>
                          <w:rFonts w:ascii="Arial Narrow" w:hAnsi="Arial Narrow"/>
                          <w:color w:val="595959" w:themeColor="text1" w:themeTint="A6"/>
                          <w:sz w:val="22"/>
                        </w:rPr>
                      </w:pPr>
                      <w:r>
                        <w:rPr>
                          <w:rFonts w:ascii="Arial Narrow" w:hAnsi="Arial Narrow"/>
                          <w:color w:val="595959" w:themeColor="text1" w:themeTint="A6"/>
                          <w:sz w:val="22"/>
                        </w:rPr>
                        <w:t>T</w:t>
                      </w:r>
                      <w:r w:rsidRPr="00EA59C5">
                        <w:rPr>
                          <w:rFonts w:ascii="Arial Narrow" w:hAnsi="Arial Narrow"/>
                          <w:color w:val="595959" w:themeColor="text1" w:themeTint="A6"/>
                          <w:sz w:val="22"/>
                        </w:rPr>
                        <w:t xml:space="preserve">issue </w:t>
                      </w:r>
                      <w:r>
                        <w:rPr>
                          <w:rFonts w:ascii="Arial Narrow" w:hAnsi="Arial Narrow"/>
                          <w:color w:val="595959" w:themeColor="text1" w:themeTint="A6"/>
                          <w:sz w:val="22"/>
                        </w:rPr>
                        <w:t xml:space="preserve">resistance was calculated with the addition of </w:t>
                      </w:r>
                      <w:proofErr w:type="spellStart"/>
                      <w:r>
                        <w:rPr>
                          <w:rFonts w:ascii="Arial Narrow" w:hAnsi="Arial Narrow"/>
                          <w:color w:val="595959" w:themeColor="text1" w:themeTint="A6"/>
                          <w:sz w:val="22"/>
                        </w:rPr>
                        <w:t>keratinoctyes</w:t>
                      </w:r>
                      <w:proofErr w:type="spellEnd"/>
                      <w:r>
                        <w:rPr>
                          <w:rFonts w:ascii="Arial Narrow" w:hAnsi="Arial Narrow"/>
                          <w:color w:val="595959" w:themeColor="text1" w:themeTint="A6"/>
                          <w:sz w:val="22"/>
                        </w:rPr>
                        <w:t xml:space="preserve"> to established FDM by measuring the transepithelial electrical resistance over 12 days. Data presented in TENOM (circle), TEAOM (square) models and TESCCM (star) over 12 days (N=3, N=3).</w:t>
                      </w:r>
                    </w:p>
                    <w:p w14:paraId="34EFE001" w14:textId="77777777" w:rsidR="008A47AC" w:rsidRDefault="008A47AC" w:rsidP="004E06B5">
                      <w:pPr>
                        <w:pStyle w:val="NormalWeb"/>
                        <w:spacing w:after="200"/>
                        <w:jc w:val="both"/>
                        <w:rPr>
                          <w:rFonts w:ascii="Arial Narrow" w:eastAsia="SimSun" w:hAnsi="Arial Narrow" w:cs="Arial"/>
                          <w:color w:val="595959"/>
                          <w:kern w:val="24"/>
                          <w:sz w:val="22"/>
                          <w:szCs w:val="22"/>
                        </w:rPr>
                      </w:pPr>
                    </w:p>
                    <w:p w14:paraId="717163CC" w14:textId="77777777" w:rsidR="008A47AC" w:rsidRDefault="008A47AC" w:rsidP="004E06B5">
                      <w:pPr>
                        <w:pStyle w:val="NormalWeb"/>
                        <w:spacing w:after="200"/>
                        <w:jc w:val="both"/>
                      </w:pPr>
                    </w:p>
                    <w:p w14:paraId="260E765B" w14:textId="77777777" w:rsidR="008A47AC" w:rsidRDefault="008A47AC" w:rsidP="004E06B5">
                      <w:pPr>
                        <w:pStyle w:val="NormalWeb"/>
                        <w:spacing w:after="200"/>
                        <w:jc w:val="both"/>
                      </w:pPr>
                    </w:p>
                    <w:p w14:paraId="13DF549B" w14:textId="77777777" w:rsidR="008A47AC" w:rsidRDefault="008A47AC" w:rsidP="004E06B5">
                      <w:pPr>
                        <w:pStyle w:val="NormalWeb"/>
                        <w:spacing w:after="200"/>
                        <w:jc w:val="both"/>
                      </w:pPr>
                    </w:p>
                  </w:txbxContent>
                </v:textbox>
                <w10:wrap anchorx="margin"/>
              </v:shape>
            </w:pict>
          </mc:Fallback>
        </mc:AlternateContent>
      </w:r>
      <w:r w:rsidRPr="004E06B5">
        <w:rPr>
          <w:rFonts w:ascii="Arial" w:hAnsi="Arial" w:cs="Arial"/>
          <w:noProof/>
          <w:color w:val="595959" w:themeColor="text1" w:themeTint="A6"/>
          <w:lang w:eastAsia="zh-CN"/>
        </w:rPr>
        <w:drawing>
          <wp:anchor distT="0" distB="0" distL="114300" distR="114300" simplePos="0" relativeHeight="251658443" behindDoc="0" locked="0" layoutInCell="1" allowOverlap="1" wp14:anchorId="5937730E" wp14:editId="03039BE5">
            <wp:simplePos x="0" y="0"/>
            <wp:positionH relativeFrom="column">
              <wp:posOffset>0</wp:posOffset>
            </wp:positionH>
            <wp:positionV relativeFrom="paragraph">
              <wp:posOffset>635</wp:posOffset>
            </wp:positionV>
            <wp:extent cx="5736590" cy="2529840"/>
            <wp:effectExtent l="0" t="0" r="0" b="0"/>
            <wp:wrapNone/>
            <wp:docPr id="5363" name="Picture 5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736590" cy="2529840"/>
                    </a:xfrm>
                    <a:prstGeom prst="rect">
                      <a:avLst/>
                    </a:prstGeom>
                    <a:noFill/>
                  </pic:spPr>
                </pic:pic>
              </a:graphicData>
            </a:graphic>
          </wp:anchor>
        </w:drawing>
      </w:r>
    </w:p>
    <w:p w14:paraId="4897BB47" w14:textId="77777777" w:rsidR="004E06B5" w:rsidRPr="004E06B5" w:rsidRDefault="004E06B5" w:rsidP="004E06B5">
      <w:pPr>
        <w:tabs>
          <w:tab w:val="left" w:pos="1350"/>
        </w:tabs>
        <w:spacing w:line="480" w:lineRule="auto"/>
        <w:jc w:val="both"/>
        <w:rPr>
          <w:rFonts w:ascii="Arial" w:hAnsi="Arial" w:cs="Arial"/>
          <w:noProof/>
          <w:color w:val="595959" w:themeColor="text1" w:themeTint="A6"/>
          <w:lang w:eastAsia="zh-CN"/>
        </w:rPr>
      </w:pPr>
    </w:p>
    <w:p w14:paraId="7FF8606B" w14:textId="79378B7C" w:rsidR="004E06B5" w:rsidRPr="004E06B5" w:rsidRDefault="004E06B5" w:rsidP="004E06B5">
      <w:pPr>
        <w:tabs>
          <w:tab w:val="left" w:pos="1350"/>
        </w:tabs>
        <w:spacing w:line="480" w:lineRule="auto"/>
        <w:jc w:val="both"/>
        <w:rPr>
          <w:rFonts w:ascii="Arial" w:hAnsi="Arial" w:cs="Arial"/>
          <w:noProof/>
          <w:color w:val="595959" w:themeColor="text1" w:themeTint="A6"/>
          <w:lang w:eastAsia="zh-CN"/>
        </w:rPr>
      </w:pPr>
    </w:p>
    <w:p w14:paraId="7697E09A" w14:textId="77777777" w:rsidR="004E06B5" w:rsidRPr="004E06B5" w:rsidRDefault="004E06B5" w:rsidP="004E06B5">
      <w:pPr>
        <w:tabs>
          <w:tab w:val="left" w:pos="1350"/>
        </w:tabs>
        <w:spacing w:line="480" w:lineRule="auto"/>
        <w:jc w:val="both"/>
        <w:rPr>
          <w:rFonts w:ascii="Arial" w:hAnsi="Arial" w:cs="Arial"/>
          <w:noProof/>
          <w:color w:val="595959" w:themeColor="text1" w:themeTint="A6"/>
          <w:lang w:eastAsia="zh-CN"/>
        </w:rPr>
      </w:pPr>
    </w:p>
    <w:p w14:paraId="3B907E57" w14:textId="77777777" w:rsidR="004E06B5" w:rsidRPr="004E06B5" w:rsidRDefault="004E06B5" w:rsidP="004E06B5">
      <w:pPr>
        <w:tabs>
          <w:tab w:val="left" w:pos="1350"/>
        </w:tabs>
        <w:spacing w:line="480" w:lineRule="auto"/>
        <w:jc w:val="both"/>
        <w:rPr>
          <w:rFonts w:ascii="Arial" w:hAnsi="Arial" w:cs="Arial"/>
          <w:noProof/>
          <w:color w:val="595959" w:themeColor="text1" w:themeTint="A6"/>
          <w:lang w:eastAsia="zh-CN"/>
        </w:rPr>
      </w:pPr>
    </w:p>
    <w:p w14:paraId="314B95F7" w14:textId="77777777" w:rsidR="004E06B5" w:rsidRPr="004E06B5" w:rsidRDefault="004E06B5" w:rsidP="004E06B5">
      <w:pPr>
        <w:tabs>
          <w:tab w:val="left" w:pos="1350"/>
        </w:tabs>
        <w:spacing w:line="480" w:lineRule="auto"/>
        <w:jc w:val="both"/>
        <w:rPr>
          <w:rFonts w:ascii="Arial" w:hAnsi="Arial" w:cs="Arial"/>
          <w:noProof/>
          <w:color w:val="595959" w:themeColor="text1" w:themeTint="A6"/>
          <w:lang w:eastAsia="zh-CN"/>
        </w:rPr>
      </w:pPr>
    </w:p>
    <w:p w14:paraId="3BC4EDB6"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0CE035D0"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5BDFA321" w14:textId="77777777" w:rsidR="00982EED" w:rsidRDefault="00982EED" w:rsidP="004E06B5">
      <w:pPr>
        <w:tabs>
          <w:tab w:val="left" w:pos="1350"/>
        </w:tabs>
        <w:spacing w:line="480" w:lineRule="auto"/>
        <w:jc w:val="both"/>
        <w:rPr>
          <w:rFonts w:ascii="Arial" w:hAnsi="Arial" w:cs="Arial"/>
          <w:color w:val="595959" w:themeColor="text1" w:themeTint="A6"/>
        </w:rPr>
      </w:pPr>
    </w:p>
    <w:p w14:paraId="2C2BC6D5" w14:textId="56EF8BD0" w:rsidR="004E06B5" w:rsidRDefault="004E06B5" w:rsidP="00171A51">
      <w:pPr>
        <w:pStyle w:val="Heading3"/>
        <w:rPr>
          <w:rFonts w:ascii="Arial" w:hAnsi="Arial" w:cs="Arial"/>
          <w:color w:val="595959" w:themeColor="text1" w:themeTint="A6"/>
        </w:rPr>
      </w:pPr>
      <w:bookmarkStart w:id="460" w:name="_Toc34208457"/>
      <w:r w:rsidRPr="004E06B5">
        <w:rPr>
          <w:rFonts w:ascii="Arial" w:hAnsi="Arial" w:cs="Arial"/>
          <w:color w:val="595959" w:themeColor="text1" w:themeTint="A6"/>
        </w:rPr>
        <w:t>5.3.3 Characterisation tissue-engineered oral mucosa models</w:t>
      </w:r>
      <w:bookmarkEnd w:id="460"/>
      <w:r w:rsidRPr="004E06B5">
        <w:rPr>
          <w:rFonts w:ascii="Arial" w:hAnsi="Arial" w:cs="Arial"/>
          <w:color w:val="595959" w:themeColor="text1" w:themeTint="A6"/>
        </w:rPr>
        <w:t xml:space="preserve"> </w:t>
      </w:r>
    </w:p>
    <w:p w14:paraId="3ED38CDE" w14:textId="77777777" w:rsidR="00171A51" w:rsidRPr="00171A51" w:rsidRDefault="00171A51" w:rsidP="00171A51"/>
    <w:p w14:paraId="267797DF" w14:textId="77777777" w:rsidR="004E06B5" w:rsidRPr="004E06B5" w:rsidRDefault="004E06B5" w:rsidP="00171A51">
      <w:pPr>
        <w:pStyle w:val="Heading4"/>
        <w:spacing w:line="480" w:lineRule="auto"/>
        <w:jc w:val="both"/>
        <w:rPr>
          <w:rFonts w:ascii="Arial" w:hAnsi="Arial" w:cs="Arial"/>
          <w:color w:val="595959" w:themeColor="text1" w:themeTint="A6"/>
        </w:rPr>
      </w:pPr>
      <w:bookmarkStart w:id="461" w:name="_Toc34208458"/>
      <w:r w:rsidRPr="004E06B5">
        <w:rPr>
          <w:rFonts w:ascii="Arial" w:hAnsi="Arial" w:cs="Arial"/>
          <w:color w:val="595959" w:themeColor="text1" w:themeTint="A6"/>
        </w:rPr>
        <w:t>5.3.3.1 Immunohistochemical analysis of epithelial markers in TENOM, TEAOM, and TESCCM</w:t>
      </w:r>
      <w:bookmarkEnd w:id="461"/>
    </w:p>
    <w:p w14:paraId="550A0C38" w14:textId="17523ADD" w:rsidR="004E06B5" w:rsidRDefault="004E06B5" w:rsidP="00703E52">
      <w:pPr>
        <w:pStyle w:val="Heading5"/>
        <w:rPr>
          <w:rFonts w:ascii="Arial" w:hAnsi="Arial" w:cs="Arial"/>
          <w:color w:val="595959" w:themeColor="text1" w:themeTint="A6"/>
        </w:rPr>
      </w:pPr>
      <w:bookmarkStart w:id="462" w:name="_Toc34208459"/>
      <w:r w:rsidRPr="004E06B5">
        <w:rPr>
          <w:rFonts w:ascii="Arial" w:hAnsi="Arial" w:cs="Arial"/>
          <w:color w:val="595959" w:themeColor="text1" w:themeTint="A6"/>
        </w:rPr>
        <w:t>5.3.3.1.1 E-cadherin</w:t>
      </w:r>
      <w:bookmarkEnd w:id="462"/>
    </w:p>
    <w:p w14:paraId="48A8EEB3" w14:textId="77777777" w:rsidR="00703E52" w:rsidRPr="00703E52" w:rsidRDefault="00703E52" w:rsidP="00703E52"/>
    <w:p w14:paraId="7D83A1BF" w14:textId="7F26B036" w:rsidR="004E06B5" w:rsidRPr="004E06B5" w:rsidRDefault="004E06B5" w:rsidP="004E06B5">
      <w:pPr>
        <w:tabs>
          <w:tab w:val="left" w:pos="1350"/>
        </w:tabs>
        <w:spacing w:line="480" w:lineRule="auto"/>
        <w:jc w:val="both"/>
        <w:rPr>
          <w:rFonts w:ascii="Arial" w:hAnsi="Arial" w:cs="Arial"/>
          <w:color w:val="595959" w:themeColor="text1" w:themeTint="A6"/>
        </w:rPr>
      </w:pPr>
      <w:r w:rsidRPr="004E06B5">
        <w:rPr>
          <w:rFonts w:ascii="Arial" w:hAnsi="Arial" w:cs="Arial"/>
          <w:color w:val="595959" w:themeColor="text1" w:themeTint="A6"/>
        </w:rPr>
        <w:t>An anti-E-cadherin antibody stain</w:t>
      </w:r>
      <w:r w:rsidR="00B62A36">
        <w:rPr>
          <w:rFonts w:ascii="Arial" w:hAnsi="Arial" w:cs="Arial"/>
          <w:color w:val="595959" w:themeColor="text1" w:themeTint="A6"/>
        </w:rPr>
        <w:t>ed</w:t>
      </w:r>
      <w:r w:rsidRPr="004E06B5">
        <w:rPr>
          <w:rFonts w:ascii="Arial" w:hAnsi="Arial" w:cs="Arial"/>
          <w:color w:val="595959" w:themeColor="text1" w:themeTint="A6"/>
        </w:rPr>
        <w:t xml:space="preserve"> for epithelial cadherin (E-cadherin); a cell-cell adhesion glycoprotein found throughout the normal oral mucosa with lack of expression and function linked to cancer progression. In the TENOM staining was clearly evident in the cell-cell junctions throughout the epithelium and most prominently found in the basal layer (Figure 5.11 A). In the TEAOM model, although staining was evident throughout the epithelium the staining was less clearly defined as compared to the TENOM (Figure 5.11 B) and even more so in the TESCCM where there was a distinct loss of defined staining at the cell-cell junctions (Figure 5.11 C). Semi-quantitative analysis of TEAOM stained sections (0.18 ± 0.01) supported the loss of staining in these models compare to TENOM 0.29 ± 0.07, a statistically significant decrease in intensity was observed in the TESCCM (0.14 ± 0.03, p=0.0176) compared to TENOM models (Figure 5.11 D).</w:t>
      </w:r>
    </w:p>
    <w:p w14:paraId="3DE121AF"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00D615D0"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300F7ADF"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5CE97A3A"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0402F7C6"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00E829EB"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659CDEAE"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4E17AFE6"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7DC3E511"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5F37A733"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75162A43"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6E604B44" w14:textId="77777777" w:rsidR="004E06B5" w:rsidRPr="004E06B5" w:rsidRDefault="004E06B5" w:rsidP="004E06B5">
      <w:pPr>
        <w:tabs>
          <w:tab w:val="left" w:pos="1350"/>
        </w:tabs>
        <w:spacing w:line="480" w:lineRule="auto"/>
        <w:jc w:val="both"/>
        <w:rPr>
          <w:rFonts w:ascii="Arial" w:hAnsi="Arial" w:cs="Arial"/>
          <w:color w:val="595959" w:themeColor="text1" w:themeTint="A6"/>
        </w:rPr>
      </w:pPr>
      <w:r w:rsidRPr="004E06B5">
        <w:rPr>
          <w:rFonts w:ascii="Arial" w:hAnsi="Arial" w:cs="Arial"/>
          <w:noProof/>
          <w:color w:val="595959" w:themeColor="text1" w:themeTint="A6"/>
          <w:lang w:eastAsia="zh-CN"/>
        </w:rPr>
        <w:drawing>
          <wp:anchor distT="0" distB="0" distL="114300" distR="114300" simplePos="0" relativeHeight="251658440" behindDoc="0" locked="0" layoutInCell="1" allowOverlap="1" wp14:anchorId="70EC2B6A" wp14:editId="4FA6794E">
            <wp:simplePos x="0" y="0"/>
            <wp:positionH relativeFrom="column">
              <wp:posOffset>0</wp:posOffset>
            </wp:positionH>
            <wp:positionV relativeFrom="paragraph">
              <wp:posOffset>40005</wp:posOffset>
            </wp:positionV>
            <wp:extent cx="5925820" cy="4986655"/>
            <wp:effectExtent l="0" t="0" r="0" b="4445"/>
            <wp:wrapNone/>
            <wp:docPr id="5364" name="Picture 5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925820" cy="4986655"/>
                    </a:xfrm>
                    <a:prstGeom prst="rect">
                      <a:avLst/>
                    </a:prstGeom>
                    <a:noFill/>
                  </pic:spPr>
                </pic:pic>
              </a:graphicData>
            </a:graphic>
          </wp:anchor>
        </w:drawing>
      </w:r>
    </w:p>
    <w:p w14:paraId="7F346483"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1800FCB0"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78EAB297" w14:textId="3322CC3B" w:rsidR="004E06B5" w:rsidRPr="004E06B5" w:rsidRDefault="001B0CEA" w:rsidP="004E06B5">
      <w:pPr>
        <w:tabs>
          <w:tab w:val="left" w:pos="1350"/>
        </w:tabs>
        <w:spacing w:line="480" w:lineRule="auto"/>
        <w:jc w:val="both"/>
        <w:rPr>
          <w:rFonts w:ascii="Arial" w:hAnsi="Arial" w:cs="Arial"/>
          <w:color w:val="595959" w:themeColor="text1" w:themeTint="A6"/>
        </w:rPr>
      </w:pPr>
      <w:r>
        <w:rPr>
          <w:rFonts w:ascii="Arial" w:hAnsi="Arial" w:cs="Arial"/>
          <w:noProof/>
          <w:color w:val="595959" w:themeColor="text1" w:themeTint="A6"/>
        </w:rPr>
        <mc:AlternateContent>
          <mc:Choice Requires="wps">
            <w:drawing>
              <wp:anchor distT="0" distB="0" distL="114300" distR="114300" simplePos="0" relativeHeight="251686155" behindDoc="0" locked="0" layoutInCell="1" allowOverlap="1" wp14:anchorId="7EE9F3AD" wp14:editId="07822F4D">
                <wp:simplePos x="0" y="0"/>
                <wp:positionH relativeFrom="column">
                  <wp:posOffset>2409190</wp:posOffset>
                </wp:positionH>
                <wp:positionV relativeFrom="paragraph">
                  <wp:posOffset>263508</wp:posOffset>
                </wp:positionV>
                <wp:extent cx="340995" cy="4445"/>
                <wp:effectExtent l="0" t="0" r="20955" b="33655"/>
                <wp:wrapNone/>
                <wp:docPr id="5574" name="Straight Connector 5574"/>
                <wp:cNvGraphicFramePr/>
                <a:graphic xmlns:a="http://schemas.openxmlformats.org/drawingml/2006/main">
                  <a:graphicData uri="http://schemas.microsoft.com/office/word/2010/wordprocessingShape">
                    <wps:wsp>
                      <wps:cNvCnPr/>
                      <wps:spPr>
                        <a:xfrm flipV="1">
                          <a:off x="0" y="0"/>
                          <a:ext cx="340995" cy="4445"/>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4B8BE270" id="Straight Connector 5574" o:spid="_x0000_s1026" style="position:absolute;flip:y;z-index:251686155;visibility:visible;mso-wrap-style:square;mso-wrap-distance-left:9pt;mso-wrap-distance-top:0;mso-wrap-distance-right:9pt;mso-wrap-distance-bottom:0;mso-position-horizontal:absolute;mso-position-horizontal-relative:text;mso-position-vertical:absolute;mso-position-vertical-relative:text" from="189.7pt,20.75pt" to="216.55pt,2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" strokecolor="black [3200]" strokeweight="1.5pt">
                <v:stroke joinstyle="miter"/>
              </v:line>
            </w:pict>
          </mc:Fallback>
        </mc:AlternateContent>
      </w:r>
    </w:p>
    <w:p w14:paraId="5ED25612" w14:textId="42863EC4" w:rsidR="004E06B5" w:rsidRPr="004E06B5" w:rsidRDefault="004E06B5" w:rsidP="004E06B5">
      <w:pPr>
        <w:tabs>
          <w:tab w:val="left" w:pos="1350"/>
        </w:tabs>
        <w:spacing w:line="480" w:lineRule="auto"/>
        <w:jc w:val="both"/>
        <w:rPr>
          <w:rFonts w:ascii="Arial" w:hAnsi="Arial" w:cs="Arial"/>
          <w:color w:val="595959" w:themeColor="text1" w:themeTint="A6"/>
        </w:rPr>
      </w:pPr>
    </w:p>
    <w:p w14:paraId="463CDD43" w14:textId="3E001659" w:rsidR="004E06B5" w:rsidRPr="004E06B5" w:rsidRDefault="004E06B5" w:rsidP="004E06B5">
      <w:pPr>
        <w:tabs>
          <w:tab w:val="left" w:pos="1350"/>
        </w:tabs>
        <w:spacing w:line="480" w:lineRule="auto"/>
        <w:jc w:val="both"/>
        <w:rPr>
          <w:rFonts w:ascii="Arial" w:hAnsi="Arial" w:cs="Arial"/>
          <w:color w:val="595959" w:themeColor="text1" w:themeTint="A6"/>
        </w:rPr>
      </w:pPr>
    </w:p>
    <w:p w14:paraId="28011C52" w14:textId="6CC15E88" w:rsidR="004E06B5" w:rsidRPr="004E06B5" w:rsidRDefault="004E06B5" w:rsidP="004E06B5">
      <w:pPr>
        <w:tabs>
          <w:tab w:val="left" w:pos="1350"/>
        </w:tabs>
        <w:spacing w:line="480" w:lineRule="auto"/>
        <w:jc w:val="both"/>
        <w:rPr>
          <w:rFonts w:ascii="Arial" w:hAnsi="Arial" w:cs="Arial"/>
          <w:color w:val="595959" w:themeColor="text1" w:themeTint="A6"/>
        </w:rPr>
      </w:pPr>
    </w:p>
    <w:p w14:paraId="4DA84C7B" w14:textId="209BC79D" w:rsidR="004E06B5" w:rsidRPr="004E06B5" w:rsidRDefault="00C4789F" w:rsidP="004E06B5">
      <w:pPr>
        <w:tabs>
          <w:tab w:val="left" w:pos="1350"/>
        </w:tabs>
        <w:spacing w:line="480" w:lineRule="auto"/>
        <w:jc w:val="both"/>
        <w:rPr>
          <w:rFonts w:ascii="Arial" w:hAnsi="Arial" w:cs="Arial"/>
          <w:color w:val="595959" w:themeColor="text1" w:themeTint="A6"/>
        </w:rPr>
      </w:pPr>
      <w:r>
        <w:rPr>
          <w:rFonts w:ascii="Arial" w:hAnsi="Arial" w:cs="Arial"/>
          <w:noProof/>
          <w:color w:val="595959" w:themeColor="text1" w:themeTint="A6"/>
        </w:rPr>
        <mc:AlternateContent>
          <mc:Choice Requires="wps">
            <w:drawing>
              <wp:anchor distT="0" distB="0" distL="114300" distR="114300" simplePos="0" relativeHeight="251688203" behindDoc="0" locked="0" layoutInCell="1" allowOverlap="1" wp14:anchorId="39AE6071" wp14:editId="22A3A980">
                <wp:simplePos x="0" y="0"/>
                <wp:positionH relativeFrom="column">
                  <wp:posOffset>2408006</wp:posOffset>
                </wp:positionH>
                <wp:positionV relativeFrom="paragraph">
                  <wp:posOffset>310841</wp:posOffset>
                </wp:positionV>
                <wp:extent cx="341194" cy="4550"/>
                <wp:effectExtent l="0" t="0" r="20955" b="33655"/>
                <wp:wrapNone/>
                <wp:docPr id="5576" name="Straight Connector 5576"/>
                <wp:cNvGraphicFramePr/>
                <a:graphic xmlns:a="http://schemas.openxmlformats.org/drawingml/2006/main">
                  <a:graphicData uri="http://schemas.microsoft.com/office/word/2010/wordprocessingShape">
                    <wps:wsp>
                      <wps:cNvCnPr/>
                      <wps:spPr>
                        <a:xfrm flipV="1">
                          <a:off x="0" y="0"/>
                          <a:ext cx="341194" cy="455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349B4AD0" id="Straight Connector 5576" o:spid="_x0000_s1026" style="position:absolute;flip:y;z-index:251688203;visibility:visible;mso-wrap-style:square;mso-wrap-distance-left:9pt;mso-wrap-distance-top:0;mso-wrap-distance-right:9pt;mso-wrap-distance-bottom:0;mso-position-horizontal:absolute;mso-position-horizontal-relative:text;mso-position-vertical:absolute;mso-position-vertical-relative:text" from="189.6pt,24.5pt" to="216.45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" strokecolor="black [3200]" strokeweight="1.5pt">
                <v:stroke joinstyle="miter"/>
              </v:line>
            </w:pict>
          </mc:Fallback>
        </mc:AlternateContent>
      </w:r>
    </w:p>
    <w:p w14:paraId="4C8AEA97" w14:textId="6AA7640C" w:rsidR="004E06B5" w:rsidRPr="004E06B5" w:rsidRDefault="004E06B5" w:rsidP="004E06B5">
      <w:pPr>
        <w:tabs>
          <w:tab w:val="left" w:pos="1350"/>
        </w:tabs>
        <w:spacing w:line="480" w:lineRule="auto"/>
        <w:jc w:val="both"/>
        <w:rPr>
          <w:rFonts w:ascii="Arial" w:hAnsi="Arial" w:cs="Arial"/>
          <w:color w:val="595959" w:themeColor="text1" w:themeTint="A6"/>
        </w:rPr>
      </w:pPr>
    </w:p>
    <w:p w14:paraId="08568FE1" w14:textId="00565B29" w:rsidR="004E06B5" w:rsidRPr="004E06B5" w:rsidRDefault="004E06B5" w:rsidP="004E06B5">
      <w:pPr>
        <w:tabs>
          <w:tab w:val="left" w:pos="1350"/>
        </w:tabs>
        <w:spacing w:line="480" w:lineRule="auto"/>
        <w:jc w:val="both"/>
        <w:rPr>
          <w:rFonts w:ascii="Arial" w:hAnsi="Arial" w:cs="Arial"/>
          <w:color w:val="595959" w:themeColor="text1" w:themeTint="A6"/>
        </w:rPr>
      </w:pPr>
    </w:p>
    <w:p w14:paraId="7BDA693A" w14:textId="12F7319F" w:rsidR="004E06B5" w:rsidRPr="004E06B5" w:rsidRDefault="004E06B5" w:rsidP="004E06B5">
      <w:pPr>
        <w:tabs>
          <w:tab w:val="left" w:pos="1350"/>
        </w:tabs>
        <w:spacing w:line="480" w:lineRule="auto"/>
        <w:jc w:val="both"/>
        <w:rPr>
          <w:rFonts w:ascii="Arial" w:hAnsi="Arial" w:cs="Arial"/>
          <w:color w:val="595959" w:themeColor="text1" w:themeTint="A6"/>
        </w:rPr>
      </w:pPr>
    </w:p>
    <w:p w14:paraId="0503C2A5" w14:textId="499D431A" w:rsidR="004E06B5" w:rsidRPr="004E06B5" w:rsidRDefault="00D562F6" w:rsidP="004E06B5">
      <w:pPr>
        <w:tabs>
          <w:tab w:val="left" w:pos="1350"/>
        </w:tabs>
        <w:spacing w:line="480" w:lineRule="auto"/>
        <w:jc w:val="both"/>
        <w:rPr>
          <w:rFonts w:ascii="Arial" w:hAnsi="Arial" w:cs="Arial"/>
          <w:color w:val="595959" w:themeColor="text1" w:themeTint="A6"/>
        </w:rPr>
      </w:pPr>
      <w:r>
        <w:rPr>
          <w:rFonts w:ascii="Arial" w:hAnsi="Arial" w:cs="Arial"/>
          <w:noProof/>
          <w:color w:val="595959" w:themeColor="text1" w:themeTint="A6"/>
        </w:rPr>
        <mc:AlternateContent>
          <mc:Choice Requires="wps">
            <w:drawing>
              <wp:anchor distT="0" distB="0" distL="114300" distR="114300" simplePos="0" relativeHeight="251690251" behindDoc="0" locked="0" layoutInCell="1" allowOverlap="1" wp14:anchorId="4151F234" wp14:editId="669A7AB2">
                <wp:simplePos x="0" y="0"/>
                <wp:positionH relativeFrom="column">
                  <wp:posOffset>2385506</wp:posOffset>
                </wp:positionH>
                <wp:positionV relativeFrom="paragraph">
                  <wp:posOffset>236666</wp:posOffset>
                </wp:positionV>
                <wp:extent cx="341194" cy="4550"/>
                <wp:effectExtent l="0" t="0" r="20955" b="33655"/>
                <wp:wrapNone/>
                <wp:docPr id="5598" name="Straight Connector 5598"/>
                <wp:cNvGraphicFramePr/>
                <a:graphic xmlns:a="http://schemas.openxmlformats.org/drawingml/2006/main">
                  <a:graphicData uri="http://schemas.microsoft.com/office/word/2010/wordprocessingShape">
                    <wps:wsp>
                      <wps:cNvCnPr/>
                      <wps:spPr>
                        <a:xfrm flipV="1">
                          <a:off x="0" y="0"/>
                          <a:ext cx="341194" cy="455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544C0A6D" id="Straight Connector 5598" o:spid="_x0000_s1026" style="position:absolute;flip:y;z-index:251690251;visibility:visible;mso-wrap-style:square;mso-wrap-distance-left:9pt;mso-wrap-distance-top:0;mso-wrap-distance-right:9pt;mso-wrap-distance-bottom:0;mso-position-horizontal:absolute;mso-position-horizontal-relative:text;mso-position-vertical:absolute;mso-position-vertical-relative:text" from="187.85pt,18.65pt" to="214.7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" strokecolor="black [3200]" strokeweight="1.5pt">
                <v:stroke joinstyle="miter"/>
              </v:line>
            </w:pict>
          </mc:Fallback>
        </mc:AlternateContent>
      </w:r>
    </w:p>
    <w:p w14:paraId="7C4EEF0E" w14:textId="11D8E80D" w:rsidR="004E06B5" w:rsidRPr="004E06B5" w:rsidRDefault="004E06B5" w:rsidP="004E06B5">
      <w:pPr>
        <w:tabs>
          <w:tab w:val="left" w:pos="1350"/>
        </w:tabs>
        <w:spacing w:line="480" w:lineRule="auto"/>
        <w:jc w:val="both"/>
        <w:rPr>
          <w:rFonts w:ascii="Arial" w:hAnsi="Arial" w:cs="Arial"/>
          <w:color w:val="595959" w:themeColor="text1" w:themeTint="A6"/>
        </w:rPr>
      </w:pPr>
      <w:r w:rsidRPr="004E06B5">
        <w:rPr>
          <w:rFonts w:ascii="Arial" w:hAnsi="Arial" w:cs="Arial"/>
          <w:noProof/>
          <w:color w:val="595959" w:themeColor="text1" w:themeTint="A6"/>
          <w:lang w:eastAsia="zh-CN"/>
        </w:rPr>
        <mc:AlternateContent>
          <mc:Choice Requires="wps">
            <w:drawing>
              <wp:anchor distT="0" distB="0" distL="114300" distR="114300" simplePos="0" relativeHeight="251658384" behindDoc="0" locked="0" layoutInCell="1" allowOverlap="1" wp14:anchorId="55A47437" wp14:editId="3384EB47">
                <wp:simplePos x="0" y="0"/>
                <wp:positionH relativeFrom="column">
                  <wp:posOffset>0</wp:posOffset>
                </wp:positionH>
                <wp:positionV relativeFrom="paragraph">
                  <wp:posOffset>193675</wp:posOffset>
                </wp:positionV>
                <wp:extent cx="5724525" cy="1743075"/>
                <wp:effectExtent l="0" t="0" r="9525" b="9525"/>
                <wp:wrapNone/>
                <wp:docPr id="197" name="Text Box 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1743075"/>
                        </a:xfrm>
                        <a:prstGeom prst="rect">
                          <a:avLst/>
                        </a:prstGeom>
                        <a:solidFill>
                          <a:srgbClr val="FFFFFF"/>
                        </a:solidFill>
                        <a:ln w="9525">
                          <a:noFill/>
                          <a:miter lim="800000"/>
                          <a:headEnd/>
                          <a:tailEnd/>
                        </a:ln>
                      </wps:spPr>
                      <wps:txbx>
                        <w:txbxContent>
                          <w:p w14:paraId="79BD8616" w14:textId="77777777" w:rsidR="008A47AC" w:rsidRPr="006B7937" w:rsidRDefault="008A47AC" w:rsidP="004E06B5">
                            <w:pPr>
                              <w:pStyle w:val="Caption"/>
                              <w:keepNext/>
                              <w:jc w:val="both"/>
                              <w:rPr>
                                <w:rFonts w:ascii="Arial Narrow" w:hAnsi="Arial Narrow"/>
                                <w:b/>
                                <w:i w:val="0"/>
                                <w:sz w:val="24"/>
                                <w:szCs w:val="24"/>
                              </w:rPr>
                            </w:pPr>
                            <w:r w:rsidRPr="006B7937">
                              <w:rPr>
                                <w:rFonts w:ascii="Arial Narrow" w:hAnsi="Arial Narrow"/>
                                <w:b/>
                                <w:i w:val="0"/>
                                <w:color w:val="595959" w:themeColor="text1" w:themeTint="A6"/>
                                <w:sz w:val="24"/>
                                <w:szCs w:val="24"/>
                              </w:rPr>
                              <w:t>Figure</w:t>
                            </w:r>
                            <w:r>
                              <w:rPr>
                                <w:rFonts w:ascii="Arial Narrow" w:hAnsi="Arial Narrow"/>
                                <w:b/>
                                <w:i w:val="0"/>
                                <w:color w:val="595959" w:themeColor="text1" w:themeTint="A6"/>
                                <w:sz w:val="24"/>
                                <w:szCs w:val="24"/>
                              </w:rPr>
                              <w:t xml:space="preserve"> 5.11 Immunohistochemical analysis of E-cadherin in tissue-engineered oral mucosa models</w:t>
                            </w:r>
                          </w:p>
                          <w:p w14:paraId="76CDFAA4" w14:textId="77777777" w:rsidR="008A47AC" w:rsidRPr="00B8170A" w:rsidRDefault="008A47AC" w:rsidP="004E06B5">
                            <w:pPr>
                              <w:pStyle w:val="NormalWeb"/>
                              <w:spacing w:after="200" w:line="276" w:lineRule="auto"/>
                              <w:jc w:val="both"/>
                            </w:pPr>
                            <w:bookmarkStart w:id="463" w:name="_Hlk16604191"/>
                            <w:bookmarkStart w:id="464" w:name="_Hlk16604192"/>
                            <w:r>
                              <w:rPr>
                                <w:rFonts w:ascii="Arial Narrow" w:eastAsia="SimSun" w:hAnsi="Arial Narrow" w:cs="Arial"/>
                                <w:color w:val="595959" w:themeColor="text1" w:themeTint="A6"/>
                                <w:kern w:val="24"/>
                                <w:sz w:val="22"/>
                                <w:szCs w:val="22"/>
                              </w:rPr>
                              <w:t xml:space="preserve">Full thickness tissue-engineered models were produced on FDM and cultured for 12 days at an air-to-liquid interface before being subjected to histological processing and immunohistochemical staining for E-cadherin (brown) and haematoxylin counterstain (blue). Representative images of TENOM (A), TEAOM (B) and TESCCM (C) and semi-quantitative analysis of the optical density of staining intensity (D). Data shows mean ± SD </w:t>
                            </w:r>
                            <w:r w:rsidRPr="00E72F77">
                              <w:rPr>
                                <w:rFonts w:ascii="Arial Narrow" w:eastAsia="SimSun" w:hAnsi="Arial Narrow" w:cs="Arial"/>
                                <w:color w:val="595959" w:themeColor="text1" w:themeTint="A6"/>
                                <w:kern w:val="24"/>
                                <w:sz w:val="22"/>
                                <w:szCs w:val="22"/>
                              </w:rPr>
                              <w:t>(N=</w:t>
                            </w:r>
                            <w:r>
                              <w:rPr>
                                <w:rFonts w:ascii="Arial Narrow" w:eastAsia="SimSun" w:hAnsi="Arial Narrow" w:cs="Arial"/>
                                <w:color w:val="595959" w:themeColor="text1" w:themeTint="A6"/>
                                <w:kern w:val="24"/>
                                <w:sz w:val="22"/>
                                <w:szCs w:val="22"/>
                              </w:rPr>
                              <w:t>3</w:t>
                            </w:r>
                            <w:r w:rsidRPr="00E72F77">
                              <w:rPr>
                                <w:rFonts w:ascii="Arial Narrow" w:eastAsia="SimSun" w:hAnsi="Arial Narrow" w:cs="Arial"/>
                                <w:color w:val="595959" w:themeColor="text1" w:themeTint="A6"/>
                                <w:kern w:val="24"/>
                                <w:sz w:val="22"/>
                                <w:szCs w:val="22"/>
                              </w:rPr>
                              <w:t>, n=</w:t>
                            </w:r>
                            <w:r>
                              <w:rPr>
                                <w:rFonts w:ascii="Arial Narrow" w:eastAsia="SimSun" w:hAnsi="Arial Narrow" w:cs="Arial"/>
                                <w:color w:val="595959" w:themeColor="text1" w:themeTint="A6"/>
                                <w:kern w:val="24"/>
                                <w:sz w:val="22"/>
                                <w:szCs w:val="22"/>
                              </w:rPr>
                              <w:t>2</w:t>
                            </w:r>
                            <w:r w:rsidRPr="00E72F77">
                              <w:rPr>
                                <w:rFonts w:ascii="Arial Narrow" w:eastAsia="SimSun" w:hAnsi="Arial Narrow" w:cs="Arial"/>
                                <w:color w:val="595959" w:themeColor="text1" w:themeTint="A6"/>
                                <w:kern w:val="24"/>
                                <w:sz w:val="22"/>
                                <w:szCs w:val="22"/>
                              </w:rPr>
                              <w:t>).</w:t>
                            </w:r>
                            <w:r>
                              <w:rPr>
                                <w:rFonts w:ascii="Arial Narrow" w:eastAsia="SimSun" w:hAnsi="Arial Narrow" w:cs="Arial"/>
                                <w:color w:val="595959" w:themeColor="text1" w:themeTint="A6"/>
                                <w:kern w:val="24"/>
                                <w:sz w:val="22"/>
                                <w:szCs w:val="22"/>
                              </w:rPr>
                              <w:t xml:space="preserve"> * p &lt;0.05, compared to TENOM as analysed by Kruskal-Wallis test with Dunn’s multiple comparison. Scale bar = 50 µm.</w:t>
                            </w:r>
                            <w:bookmarkEnd w:id="463"/>
                            <w:bookmarkEnd w:id="464"/>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A47437" id="Text Box 197" o:spid="_x0000_s1189" type="#_x0000_t202" style="position:absolute;left:0;text-align:left;margin-left:0;margin-top:15.25pt;width:450.75pt;height:137.25pt;z-index:25165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" stroked="f">
                <v:textbox>
                  <w:txbxContent>
                    <w:p w14:paraId="79BD8616" w14:textId="77777777" w:rsidR="008A47AC" w:rsidRPr="006B7937" w:rsidRDefault="008A47AC" w:rsidP="004E06B5">
                      <w:pPr>
                        <w:pStyle w:val="Caption"/>
                        <w:keepNext/>
                        <w:jc w:val="both"/>
                        <w:rPr>
                          <w:rFonts w:ascii="Arial Narrow" w:hAnsi="Arial Narrow"/>
                          <w:b/>
                          <w:i w:val="0"/>
                          <w:sz w:val="24"/>
                          <w:szCs w:val="24"/>
                        </w:rPr>
                      </w:pPr>
                      <w:r w:rsidRPr="006B7937">
                        <w:rPr>
                          <w:rFonts w:ascii="Arial Narrow" w:hAnsi="Arial Narrow"/>
                          <w:b/>
                          <w:i w:val="0"/>
                          <w:color w:val="595959" w:themeColor="text1" w:themeTint="A6"/>
                          <w:sz w:val="24"/>
                          <w:szCs w:val="24"/>
                        </w:rPr>
                        <w:t>Figure</w:t>
                      </w:r>
                      <w:r>
                        <w:rPr>
                          <w:rFonts w:ascii="Arial Narrow" w:hAnsi="Arial Narrow"/>
                          <w:b/>
                          <w:i w:val="0"/>
                          <w:color w:val="595959" w:themeColor="text1" w:themeTint="A6"/>
                          <w:sz w:val="24"/>
                          <w:szCs w:val="24"/>
                        </w:rPr>
                        <w:t xml:space="preserve"> 5.11 Immunohistochemical analysis of E-cadherin in tissue-engineered oral mucosa models</w:t>
                      </w:r>
                    </w:p>
                    <w:p w14:paraId="76CDFAA4" w14:textId="77777777" w:rsidR="008A47AC" w:rsidRPr="00B8170A" w:rsidRDefault="008A47AC" w:rsidP="004E06B5">
                      <w:pPr>
                        <w:pStyle w:val="NormalWeb"/>
                        <w:spacing w:after="200" w:line="276" w:lineRule="auto"/>
                        <w:jc w:val="both"/>
                      </w:pPr>
                      <w:bookmarkStart w:id="467" w:name="_Hlk16604191"/>
                      <w:bookmarkStart w:id="468" w:name="_Hlk16604192"/>
                      <w:r>
                        <w:rPr>
                          <w:rFonts w:ascii="Arial Narrow" w:eastAsia="SimSun" w:hAnsi="Arial Narrow" w:cs="Arial"/>
                          <w:color w:val="595959" w:themeColor="text1" w:themeTint="A6"/>
                          <w:kern w:val="24"/>
                          <w:sz w:val="22"/>
                          <w:szCs w:val="22"/>
                        </w:rPr>
                        <w:t xml:space="preserve">Full thickness tissue-engineered models were produced on FDM and cultured for 12 days at an air-to-liquid interface before being subjected to histological processing and immunohistochemical staining for E-cadherin (brown) and haematoxylin counterstain (blue). Representative images of TENOM (A), TEAOM (B) and TESCCM (C) and semi-quantitative analysis of the optical density of staining intensity (D). Data shows mean ± SD </w:t>
                      </w:r>
                      <w:r w:rsidRPr="00E72F77">
                        <w:rPr>
                          <w:rFonts w:ascii="Arial Narrow" w:eastAsia="SimSun" w:hAnsi="Arial Narrow" w:cs="Arial"/>
                          <w:color w:val="595959" w:themeColor="text1" w:themeTint="A6"/>
                          <w:kern w:val="24"/>
                          <w:sz w:val="22"/>
                          <w:szCs w:val="22"/>
                        </w:rPr>
                        <w:t>(N=</w:t>
                      </w:r>
                      <w:r>
                        <w:rPr>
                          <w:rFonts w:ascii="Arial Narrow" w:eastAsia="SimSun" w:hAnsi="Arial Narrow" w:cs="Arial"/>
                          <w:color w:val="595959" w:themeColor="text1" w:themeTint="A6"/>
                          <w:kern w:val="24"/>
                          <w:sz w:val="22"/>
                          <w:szCs w:val="22"/>
                        </w:rPr>
                        <w:t>3</w:t>
                      </w:r>
                      <w:r w:rsidRPr="00E72F77">
                        <w:rPr>
                          <w:rFonts w:ascii="Arial Narrow" w:eastAsia="SimSun" w:hAnsi="Arial Narrow" w:cs="Arial"/>
                          <w:color w:val="595959" w:themeColor="text1" w:themeTint="A6"/>
                          <w:kern w:val="24"/>
                          <w:sz w:val="22"/>
                          <w:szCs w:val="22"/>
                        </w:rPr>
                        <w:t>, n=</w:t>
                      </w:r>
                      <w:r>
                        <w:rPr>
                          <w:rFonts w:ascii="Arial Narrow" w:eastAsia="SimSun" w:hAnsi="Arial Narrow" w:cs="Arial"/>
                          <w:color w:val="595959" w:themeColor="text1" w:themeTint="A6"/>
                          <w:kern w:val="24"/>
                          <w:sz w:val="22"/>
                          <w:szCs w:val="22"/>
                        </w:rPr>
                        <w:t>2</w:t>
                      </w:r>
                      <w:r w:rsidRPr="00E72F77">
                        <w:rPr>
                          <w:rFonts w:ascii="Arial Narrow" w:eastAsia="SimSun" w:hAnsi="Arial Narrow" w:cs="Arial"/>
                          <w:color w:val="595959" w:themeColor="text1" w:themeTint="A6"/>
                          <w:kern w:val="24"/>
                          <w:sz w:val="22"/>
                          <w:szCs w:val="22"/>
                        </w:rPr>
                        <w:t>).</w:t>
                      </w:r>
                      <w:r>
                        <w:rPr>
                          <w:rFonts w:ascii="Arial Narrow" w:eastAsia="SimSun" w:hAnsi="Arial Narrow" w:cs="Arial"/>
                          <w:color w:val="595959" w:themeColor="text1" w:themeTint="A6"/>
                          <w:kern w:val="24"/>
                          <w:sz w:val="22"/>
                          <w:szCs w:val="22"/>
                        </w:rPr>
                        <w:t xml:space="preserve"> * p &lt;0.05, compared to TENOM as analysed by Kruskal-Wallis test with Dunn’s multiple comparison. Scale bar = 50 µm.</w:t>
                      </w:r>
                      <w:bookmarkEnd w:id="467"/>
                      <w:bookmarkEnd w:id="468"/>
                    </w:p>
                  </w:txbxContent>
                </v:textbox>
              </v:shape>
            </w:pict>
          </mc:Fallback>
        </mc:AlternateContent>
      </w:r>
    </w:p>
    <w:p w14:paraId="7B35F859" w14:textId="68D25184" w:rsidR="004E06B5" w:rsidRPr="004E06B5" w:rsidRDefault="004E06B5" w:rsidP="004E06B5">
      <w:pPr>
        <w:tabs>
          <w:tab w:val="left" w:pos="1350"/>
        </w:tabs>
        <w:spacing w:line="480" w:lineRule="auto"/>
        <w:jc w:val="both"/>
        <w:rPr>
          <w:rFonts w:ascii="Arial" w:hAnsi="Arial" w:cs="Arial"/>
          <w:color w:val="595959" w:themeColor="text1" w:themeTint="A6"/>
        </w:rPr>
      </w:pPr>
    </w:p>
    <w:p w14:paraId="60856FBB"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7A1C4D72" w14:textId="003E763E" w:rsidR="004E06B5" w:rsidRPr="004E06B5" w:rsidRDefault="004E06B5" w:rsidP="004E06B5">
      <w:pPr>
        <w:tabs>
          <w:tab w:val="left" w:pos="1350"/>
        </w:tabs>
        <w:spacing w:line="480" w:lineRule="auto"/>
        <w:jc w:val="both"/>
        <w:rPr>
          <w:rFonts w:ascii="Arial" w:hAnsi="Arial" w:cs="Arial"/>
          <w:color w:val="595959" w:themeColor="text1" w:themeTint="A6"/>
        </w:rPr>
      </w:pPr>
    </w:p>
    <w:p w14:paraId="2AD3F990" w14:textId="0C3CB67D" w:rsidR="004E06B5" w:rsidRPr="004E06B5" w:rsidRDefault="004E06B5" w:rsidP="004E06B5">
      <w:pPr>
        <w:tabs>
          <w:tab w:val="left" w:pos="1350"/>
        </w:tabs>
        <w:spacing w:line="480" w:lineRule="auto"/>
        <w:jc w:val="both"/>
        <w:rPr>
          <w:rFonts w:ascii="Arial" w:hAnsi="Arial" w:cs="Arial"/>
          <w:color w:val="595959" w:themeColor="text1" w:themeTint="A6"/>
        </w:rPr>
      </w:pPr>
    </w:p>
    <w:p w14:paraId="2119D990" w14:textId="4F03388C" w:rsidR="004E06B5" w:rsidRPr="004E06B5" w:rsidRDefault="004E06B5" w:rsidP="004E06B5">
      <w:pPr>
        <w:tabs>
          <w:tab w:val="left" w:pos="1350"/>
        </w:tabs>
        <w:spacing w:line="480" w:lineRule="auto"/>
        <w:jc w:val="both"/>
        <w:rPr>
          <w:rFonts w:ascii="Arial" w:hAnsi="Arial" w:cs="Arial"/>
          <w:color w:val="595959" w:themeColor="text1" w:themeTint="A6"/>
        </w:rPr>
      </w:pPr>
    </w:p>
    <w:p w14:paraId="77BC3164" w14:textId="2047EB17" w:rsidR="004E06B5" w:rsidRPr="004E06B5" w:rsidRDefault="004E06B5" w:rsidP="004E06B5">
      <w:pPr>
        <w:tabs>
          <w:tab w:val="left" w:pos="1350"/>
        </w:tabs>
        <w:spacing w:line="480" w:lineRule="auto"/>
        <w:jc w:val="both"/>
        <w:rPr>
          <w:rFonts w:ascii="Arial" w:hAnsi="Arial" w:cs="Arial"/>
          <w:color w:val="595959" w:themeColor="text1" w:themeTint="A6"/>
        </w:rPr>
      </w:pPr>
    </w:p>
    <w:p w14:paraId="09BFBF7E" w14:textId="5F6EECC3" w:rsidR="004E06B5" w:rsidRDefault="004E06B5" w:rsidP="00703E52">
      <w:pPr>
        <w:pStyle w:val="Heading5"/>
        <w:rPr>
          <w:rFonts w:ascii="Arial" w:hAnsi="Arial" w:cs="Arial"/>
          <w:color w:val="595959" w:themeColor="text1" w:themeTint="A6"/>
        </w:rPr>
      </w:pPr>
      <w:bookmarkStart w:id="465" w:name="_Toc34208460"/>
      <w:r w:rsidRPr="004E06B5">
        <w:rPr>
          <w:rFonts w:ascii="Arial" w:hAnsi="Arial" w:cs="Arial"/>
          <w:color w:val="595959" w:themeColor="text1" w:themeTint="A6"/>
        </w:rPr>
        <w:t>5.3.3.1.2 AE1/3</w:t>
      </w:r>
      <w:bookmarkEnd w:id="465"/>
    </w:p>
    <w:p w14:paraId="343BBC04" w14:textId="77777777" w:rsidR="00703E52" w:rsidRPr="00703E52" w:rsidRDefault="00703E52" w:rsidP="00703E52"/>
    <w:p w14:paraId="1C22097C" w14:textId="2A0D57FC" w:rsidR="004E06B5" w:rsidRPr="004E06B5" w:rsidRDefault="004E06B5" w:rsidP="004E06B5">
      <w:pPr>
        <w:tabs>
          <w:tab w:val="left" w:pos="1350"/>
        </w:tabs>
        <w:spacing w:line="480" w:lineRule="auto"/>
        <w:jc w:val="both"/>
        <w:rPr>
          <w:rFonts w:ascii="Arial" w:hAnsi="Arial" w:cs="Arial"/>
          <w:color w:val="595959" w:themeColor="text1" w:themeTint="A6"/>
        </w:rPr>
      </w:pPr>
      <w:r w:rsidRPr="004E06B5">
        <w:rPr>
          <w:rFonts w:ascii="Arial" w:hAnsi="Arial" w:cs="Arial"/>
          <w:color w:val="595959" w:themeColor="text1" w:themeTint="A6"/>
        </w:rPr>
        <w:t xml:space="preserve">The pan-cytokeratin antibody anti-AE1/3 detects CK1 - 8, 10, 14 - 16 and 19, but does not detect CK17 or CK18. Staining was exhibited throughout the thickness of the TENOM model with increased intensity in the lower third of the epithelium (Figure 5.12 A). In the TEAOM model AE1/3 staining was also visible throughout the epithelium, with a mean intensity of 0.70 ± 0.04 (Figure 5.12 B). This staining was less diffuse and displayed prominent gaps between cells; evidence of loss of junctional complexes and a ‘leaky’ epithelium. No significant difference is staining was detected for AE1/3 in TESCCM, with a mean staining intensity of 0.63 ± 0.13 (Figure 5.12 C +D). </w:t>
      </w:r>
    </w:p>
    <w:p w14:paraId="60D2A32D" w14:textId="29D896C0" w:rsidR="004E06B5" w:rsidRPr="004E06B5" w:rsidRDefault="004E06B5" w:rsidP="004E06B5">
      <w:pPr>
        <w:tabs>
          <w:tab w:val="left" w:pos="1350"/>
        </w:tabs>
        <w:spacing w:line="480" w:lineRule="auto"/>
        <w:jc w:val="both"/>
        <w:rPr>
          <w:rFonts w:ascii="Arial" w:hAnsi="Arial" w:cs="Arial"/>
          <w:color w:val="595959" w:themeColor="text1" w:themeTint="A6"/>
        </w:rPr>
      </w:pPr>
    </w:p>
    <w:p w14:paraId="0BCAD9FB" w14:textId="4C473953" w:rsidR="004E06B5" w:rsidRPr="004E06B5" w:rsidRDefault="004E06B5" w:rsidP="004E06B5">
      <w:pPr>
        <w:tabs>
          <w:tab w:val="left" w:pos="1350"/>
        </w:tabs>
        <w:spacing w:line="480" w:lineRule="auto"/>
        <w:jc w:val="both"/>
        <w:rPr>
          <w:rFonts w:ascii="Arial" w:hAnsi="Arial" w:cs="Arial"/>
          <w:color w:val="595959" w:themeColor="text1" w:themeTint="A6"/>
        </w:rPr>
      </w:pPr>
    </w:p>
    <w:p w14:paraId="0019237E" w14:textId="2EB2B24D" w:rsidR="004E06B5" w:rsidRPr="004E06B5" w:rsidRDefault="004E06B5" w:rsidP="004E06B5">
      <w:pPr>
        <w:tabs>
          <w:tab w:val="left" w:pos="1350"/>
        </w:tabs>
        <w:spacing w:line="480" w:lineRule="auto"/>
        <w:jc w:val="both"/>
        <w:rPr>
          <w:rFonts w:ascii="Arial" w:hAnsi="Arial" w:cs="Arial"/>
          <w:color w:val="595959" w:themeColor="text1" w:themeTint="A6"/>
        </w:rPr>
      </w:pPr>
    </w:p>
    <w:p w14:paraId="5F7339D1" w14:textId="0C076E08" w:rsidR="004E06B5" w:rsidRPr="004E06B5" w:rsidRDefault="004E06B5" w:rsidP="004E06B5">
      <w:pPr>
        <w:tabs>
          <w:tab w:val="left" w:pos="1350"/>
        </w:tabs>
        <w:spacing w:line="480" w:lineRule="auto"/>
        <w:jc w:val="both"/>
        <w:rPr>
          <w:rFonts w:ascii="Arial" w:hAnsi="Arial" w:cs="Arial"/>
          <w:color w:val="595959" w:themeColor="text1" w:themeTint="A6"/>
        </w:rPr>
      </w:pPr>
    </w:p>
    <w:p w14:paraId="627DE4BC"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12BCF7A9"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7675CF6E" w14:textId="352C7BEB" w:rsidR="004E06B5" w:rsidRPr="004E06B5" w:rsidRDefault="004E06B5" w:rsidP="004E06B5">
      <w:pPr>
        <w:tabs>
          <w:tab w:val="left" w:pos="1350"/>
        </w:tabs>
        <w:spacing w:line="480" w:lineRule="auto"/>
        <w:jc w:val="both"/>
        <w:rPr>
          <w:rFonts w:ascii="Arial" w:hAnsi="Arial" w:cs="Arial"/>
          <w:color w:val="595959" w:themeColor="text1" w:themeTint="A6"/>
        </w:rPr>
      </w:pPr>
    </w:p>
    <w:p w14:paraId="20A3A247" w14:textId="2E6C9D03" w:rsidR="004E06B5" w:rsidRPr="004E06B5" w:rsidRDefault="004E06B5" w:rsidP="004E06B5">
      <w:pPr>
        <w:tabs>
          <w:tab w:val="left" w:pos="1350"/>
        </w:tabs>
        <w:spacing w:line="480" w:lineRule="auto"/>
        <w:jc w:val="both"/>
        <w:rPr>
          <w:rFonts w:ascii="Arial" w:hAnsi="Arial" w:cs="Arial"/>
          <w:color w:val="595959" w:themeColor="text1" w:themeTint="A6"/>
        </w:rPr>
      </w:pPr>
    </w:p>
    <w:p w14:paraId="40954640" w14:textId="222F1872" w:rsidR="004E06B5" w:rsidRPr="004E06B5" w:rsidRDefault="004E06B5" w:rsidP="004E06B5">
      <w:pPr>
        <w:tabs>
          <w:tab w:val="left" w:pos="1350"/>
        </w:tabs>
        <w:spacing w:line="480" w:lineRule="auto"/>
        <w:jc w:val="both"/>
        <w:rPr>
          <w:rFonts w:ascii="Arial" w:hAnsi="Arial" w:cs="Arial"/>
          <w:color w:val="595959" w:themeColor="text1" w:themeTint="A6"/>
        </w:rPr>
      </w:pPr>
    </w:p>
    <w:p w14:paraId="39B4D187" w14:textId="3BC7CBAD" w:rsidR="004E06B5" w:rsidRPr="004E06B5" w:rsidRDefault="004E06B5" w:rsidP="004E06B5">
      <w:pPr>
        <w:tabs>
          <w:tab w:val="left" w:pos="1350"/>
        </w:tabs>
        <w:spacing w:line="480" w:lineRule="auto"/>
        <w:jc w:val="both"/>
        <w:rPr>
          <w:rFonts w:ascii="Arial" w:hAnsi="Arial" w:cs="Arial"/>
          <w:color w:val="595959" w:themeColor="text1" w:themeTint="A6"/>
        </w:rPr>
      </w:pPr>
    </w:p>
    <w:p w14:paraId="68D6FE6F"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1AEBD2BA" w14:textId="2B51322A" w:rsidR="004E06B5" w:rsidRPr="004E06B5" w:rsidRDefault="004E06B5" w:rsidP="004E06B5">
      <w:pPr>
        <w:tabs>
          <w:tab w:val="left" w:pos="1350"/>
        </w:tabs>
        <w:spacing w:line="480" w:lineRule="auto"/>
        <w:jc w:val="both"/>
        <w:rPr>
          <w:rFonts w:ascii="Arial" w:hAnsi="Arial" w:cs="Arial"/>
          <w:color w:val="595959" w:themeColor="text1" w:themeTint="A6"/>
        </w:rPr>
      </w:pPr>
    </w:p>
    <w:p w14:paraId="63FFDA59" w14:textId="5A32C1A8" w:rsidR="004E06B5" w:rsidRPr="004E06B5" w:rsidRDefault="004E06B5" w:rsidP="004E06B5">
      <w:pPr>
        <w:tabs>
          <w:tab w:val="left" w:pos="1350"/>
        </w:tabs>
        <w:spacing w:line="480" w:lineRule="auto"/>
        <w:jc w:val="both"/>
        <w:rPr>
          <w:rFonts w:ascii="Arial" w:hAnsi="Arial" w:cs="Arial"/>
          <w:color w:val="595959" w:themeColor="text1" w:themeTint="A6"/>
        </w:rPr>
      </w:pPr>
    </w:p>
    <w:p w14:paraId="69686BAF" w14:textId="445DF023" w:rsidR="004E06B5" w:rsidRPr="004E06B5" w:rsidRDefault="004E06B5" w:rsidP="004E06B5">
      <w:pPr>
        <w:tabs>
          <w:tab w:val="left" w:pos="1350"/>
        </w:tabs>
        <w:spacing w:line="480" w:lineRule="auto"/>
        <w:jc w:val="both"/>
        <w:rPr>
          <w:rFonts w:ascii="Arial" w:hAnsi="Arial" w:cs="Arial"/>
          <w:color w:val="595959" w:themeColor="text1" w:themeTint="A6"/>
        </w:rPr>
      </w:pPr>
    </w:p>
    <w:p w14:paraId="65F8133B" w14:textId="1410903D" w:rsidR="004E06B5" w:rsidRPr="004E06B5" w:rsidRDefault="009B024D" w:rsidP="004E06B5">
      <w:pPr>
        <w:tabs>
          <w:tab w:val="left" w:pos="1350"/>
        </w:tabs>
        <w:spacing w:line="480" w:lineRule="auto"/>
        <w:jc w:val="both"/>
        <w:rPr>
          <w:rFonts w:ascii="Arial" w:hAnsi="Arial" w:cs="Arial"/>
          <w:color w:val="595959" w:themeColor="text1" w:themeTint="A6"/>
        </w:rPr>
      </w:pPr>
      <w:r w:rsidRPr="004E06B5">
        <w:rPr>
          <w:rFonts w:ascii="Arial" w:hAnsi="Arial" w:cs="Arial"/>
          <w:noProof/>
          <w:color w:val="595959" w:themeColor="text1" w:themeTint="A6"/>
          <w:lang w:eastAsia="zh-CN"/>
        </w:rPr>
        <w:drawing>
          <wp:anchor distT="0" distB="0" distL="114300" distR="114300" simplePos="0" relativeHeight="251658444" behindDoc="0" locked="0" layoutInCell="1" allowOverlap="1" wp14:anchorId="4789D2E2" wp14:editId="3117ADE5">
            <wp:simplePos x="0" y="0"/>
            <wp:positionH relativeFrom="margin">
              <wp:align>right</wp:align>
            </wp:positionH>
            <wp:positionV relativeFrom="paragraph">
              <wp:posOffset>21250</wp:posOffset>
            </wp:positionV>
            <wp:extent cx="5734050" cy="4356100"/>
            <wp:effectExtent l="0" t="0" r="0" b="6350"/>
            <wp:wrapNone/>
            <wp:docPr id="5365" name="Picture 5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734050" cy="4356100"/>
                    </a:xfrm>
                    <a:prstGeom prst="rect">
                      <a:avLst/>
                    </a:prstGeom>
                    <a:noFill/>
                  </pic:spPr>
                </pic:pic>
              </a:graphicData>
            </a:graphic>
            <wp14:sizeRelH relativeFrom="margin">
              <wp14:pctWidth>0</wp14:pctWidth>
            </wp14:sizeRelH>
            <wp14:sizeRelV relativeFrom="margin">
              <wp14:pctHeight>0</wp14:pctHeight>
            </wp14:sizeRelV>
          </wp:anchor>
        </w:drawing>
      </w:r>
    </w:p>
    <w:p w14:paraId="7906A588" w14:textId="74D7C44F" w:rsidR="004E06B5" w:rsidRPr="004E06B5" w:rsidRDefault="004E06B5" w:rsidP="004E06B5">
      <w:pPr>
        <w:tabs>
          <w:tab w:val="left" w:pos="1350"/>
        </w:tabs>
        <w:spacing w:line="480" w:lineRule="auto"/>
        <w:jc w:val="both"/>
        <w:rPr>
          <w:rFonts w:ascii="Arial" w:hAnsi="Arial" w:cs="Arial"/>
          <w:color w:val="595959" w:themeColor="text1" w:themeTint="A6"/>
        </w:rPr>
      </w:pPr>
    </w:p>
    <w:p w14:paraId="0F095037" w14:textId="56FDBFD9" w:rsidR="004E06B5" w:rsidRPr="004E06B5" w:rsidRDefault="004E06B5" w:rsidP="004E06B5">
      <w:pPr>
        <w:tabs>
          <w:tab w:val="left" w:pos="1350"/>
        </w:tabs>
        <w:spacing w:line="480" w:lineRule="auto"/>
        <w:jc w:val="both"/>
        <w:rPr>
          <w:rFonts w:ascii="Arial" w:hAnsi="Arial" w:cs="Arial"/>
          <w:color w:val="595959" w:themeColor="text1" w:themeTint="A6"/>
        </w:rPr>
      </w:pPr>
    </w:p>
    <w:p w14:paraId="7357008E" w14:textId="60977C16" w:rsidR="004E06B5" w:rsidRPr="004E06B5" w:rsidRDefault="004E06B5" w:rsidP="004E06B5">
      <w:pPr>
        <w:tabs>
          <w:tab w:val="left" w:pos="1350"/>
        </w:tabs>
        <w:spacing w:line="480" w:lineRule="auto"/>
        <w:jc w:val="both"/>
        <w:rPr>
          <w:rFonts w:ascii="Arial" w:hAnsi="Arial" w:cs="Arial"/>
          <w:color w:val="595959" w:themeColor="text1" w:themeTint="A6"/>
        </w:rPr>
      </w:pPr>
    </w:p>
    <w:p w14:paraId="6BBD38BA"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55361C33"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17E4A845"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3A182D71"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4C9421BD"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69DF39C2"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33B7A91C"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27DF64A6"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4025071A" w14:textId="77777777" w:rsidR="004E06B5" w:rsidRPr="004E06B5" w:rsidRDefault="004E06B5" w:rsidP="004E06B5">
      <w:pPr>
        <w:tabs>
          <w:tab w:val="left" w:pos="1350"/>
        </w:tabs>
        <w:spacing w:line="480" w:lineRule="auto"/>
        <w:jc w:val="both"/>
        <w:rPr>
          <w:rFonts w:ascii="Arial" w:hAnsi="Arial" w:cs="Arial"/>
          <w:color w:val="595959" w:themeColor="text1" w:themeTint="A6"/>
        </w:rPr>
      </w:pPr>
      <w:r w:rsidRPr="004E06B5">
        <w:rPr>
          <w:rFonts w:ascii="Arial" w:hAnsi="Arial" w:cs="Arial"/>
          <w:noProof/>
          <w:color w:val="595959" w:themeColor="text1" w:themeTint="A6"/>
          <w:sz w:val="24"/>
          <w:szCs w:val="24"/>
          <w:lang w:eastAsia="zh-CN"/>
        </w:rPr>
        <mc:AlternateContent>
          <mc:Choice Requires="wps">
            <w:drawing>
              <wp:anchor distT="0" distB="0" distL="114300" distR="114300" simplePos="0" relativeHeight="251658382" behindDoc="0" locked="0" layoutInCell="1" allowOverlap="1" wp14:anchorId="033A303C" wp14:editId="2595E3C0">
                <wp:simplePos x="0" y="0"/>
                <wp:positionH relativeFrom="margin">
                  <wp:posOffset>0</wp:posOffset>
                </wp:positionH>
                <wp:positionV relativeFrom="paragraph">
                  <wp:posOffset>278130</wp:posOffset>
                </wp:positionV>
                <wp:extent cx="5734050" cy="1771650"/>
                <wp:effectExtent l="0" t="0" r="0" b="0"/>
                <wp:wrapNone/>
                <wp:docPr id="200" name="Text Box 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1771650"/>
                        </a:xfrm>
                        <a:prstGeom prst="rect">
                          <a:avLst/>
                        </a:prstGeom>
                        <a:solidFill>
                          <a:srgbClr val="FFFFFF"/>
                        </a:solidFill>
                        <a:ln w="9525">
                          <a:noFill/>
                          <a:miter lim="800000"/>
                          <a:headEnd/>
                          <a:tailEnd/>
                        </a:ln>
                      </wps:spPr>
                      <wps:txbx>
                        <w:txbxContent>
                          <w:p w14:paraId="57156122" w14:textId="77777777" w:rsidR="008A47AC" w:rsidRPr="006B7937" w:rsidRDefault="008A47AC" w:rsidP="004E06B5">
                            <w:pPr>
                              <w:pStyle w:val="Caption"/>
                              <w:keepNext/>
                              <w:jc w:val="both"/>
                              <w:rPr>
                                <w:rFonts w:ascii="Arial Narrow" w:hAnsi="Arial Narrow"/>
                                <w:b/>
                                <w:i w:val="0"/>
                                <w:sz w:val="24"/>
                                <w:szCs w:val="24"/>
                              </w:rPr>
                            </w:pPr>
                            <w:r w:rsidRPr="006B7937">
                              <w:rPr>
                                <w:rFonts w:ascii="Arial Narrow" w:hAnsi="Arial Narrow"/>
                                <w:b/>
                                <w:i w:val="0"/>
                                <w:color w:val="595959" w:themeColor="text1" w:themeTint="A6"/>
                                <w:sz w:val="24"/>
                                <w:szCs w:val="24"/>
                              </w:rPr>
                              <w:t>Figure</w:t>
                            </w:r>
                            <w:r>
                              <w:rPr>
                                <w:rFonts w:ascii="Arial Narrow" w:hAnsi="Arial Narrow"/>
                                <w:b/>
                                <w:i w:val="0"/>
                                <w:color w:val="595959" w:themeColor="text1" w:themeTint="A6"/>
                                <w:sz w:val="24"/>
                                <w:szCs w:val="24"/>
                              </w:rPr>
                              <w:t xml:space="preserve"> 5.12 Immunohistochemical analysis of AE1/3 in tissue-engineered oral mucosa models</w:t>
                            </w:r>
                          </w:p>
                          <w:p w14:paraId="6A3C436B" w14:textId="77777777" w:rsidR="008A47AC" w:rsidRPr="00B8170A" w:rsidRDefault="008A47AC" w:rsidP="004E06B5">
                            <w:pPr>
                              <w:pStyle w:val="NormalWeb"/>
                              <w:spacing w:after="200" w:line="276" w:lineRule="auto"/>
                              <w:jc w:val="both"/>
                            </w:pPr>
                            <w:bookmarkStart w:id="466" w:name="_Hlk16603566"/>
                            <w:bookmarkStart w:id="467" w:name="_Hlk16603567"/>
                            <w:r>
                              <w:rPr>
                                <w:rFonts w:ascii="Arial Narrow" w:eastAsia="SimSun" w:hAnsi="Arial Narrow" w:cs="Arial"/>
                                <w:color w:val="595959" w:themeColor="text1" w:themeTint="A6"/>
                                <w:kern w:val="24"/>
                                <w:sz w:val="22"/>
                                <w:szCs w:val="22"/>
                              </w:rPr>
                              <w:t xml:space="preserve">Full thickness tissue-engineered models were developed on FDM and cultured for 12 days at an air-to-liquid interface before being subjected to histological processing and immunohistochemical staining for AE1/3 (brown) and haematoxylin counterstain (blue). Representative images of AE1/3 staining observed in TENOM (A), TEAOM (B) and TESCCM (C) and semi-quantitative analysis of the optical density of staining intensity (D). Data shows mean ± SD </w:t>
                            </w:r>
                            <w:r w:rsidRPr="00E72F77">
                              <w:rPr>
                                <w:rFonts w:ascii="Arial Narrow" w:eastAsia="SimSun" w:hAnsi="Arial Narrow" w:cs="Arial"/>
                                <w:color w:val="595959" w:themeColor="text1" w:themeTint="A6"/>
                                <w:kern w:val="24"/>
                                <w:sz w:val="22"/>
                                <w:szCs w:val="22"/>
                              </w:rPr>
                              <w:t>(N=</w:t>
                            </w:r>
                            <w:r>
                              <w:rPr>
                                <w:rFonts w:ascii="Arial Narrow" w:eastAsia="SimSun" w:hAnsi="Arial Narrow" w:cs="Arial"/>
                                <w:color w:val="595959" w:themeColor="text1" w:themeTint="A6"/>
                                <w:kern w:val="24"/>
                                <w:sz w:val="22"/>
                                <w:szCs w:val="22"/>
                              </w:rPr>
                              <w:t>3</w:t>
                            </w:r>
                            <w:r w:rsidRPr="00E72F77">
                              <w:rPr>
                                <w:rFonts w:ascii="Arial Narrow" w:eastAsia="SimSun" w:hAnsi="Arial Narrow" w:cs="Arial"/>
                                <w:color w:val="595959" w:themeColor="text1" w:themeTint="A6"/>
                                <w:kern w:val="24"/>
                                <w:sz w:val="22"/>
                                <w:szCs w:val="22"/>
                              </w:rPr>
                              <w:t>, n=</w:t>
                            </w:r>
                            <w:r>
                              <w:rPr>
                                <w:rFonts w:ascii="Arial Narrow" w:eastAsia="SimSun" w:hAnsi="Arial Narrow" w:cs="Arial"/>
                                <w:color w:val="595959" w:themeColor="text1" w:themeTint="A6"/>
                                <w:kern w:val="24"/>
                                <w:sz w:val="22"/>
                                <w:szCs w:val="22"/>
                              </w:rPr>
                              <w:t>2</w:t>
                            </w:r>
                            <w:r w:rsidRPr="00E72F77">
                              <w:rPr>
                                <w:rFonts w:ascii="Arial Narrow" w:eastAsia="SimSun" w:hAnsi="Arial Narrow" w:cs="Arial"/>
                                <w:color w:val="595959" w:themeColor="text1" w:themeTint="A6"/>
                                <w:kern w:val="24"/>
                                <w:sz w:val="22"/>
                                <w:szCs w:val="22"/>
                              </w:rPr>
                              <w:t>).</w:t>
                            </w:r>
                            <w:r>
                              <w:rPr>
                                <w:rFonts w:ascii="Arial Narrow" w:eastAsia="SimSun" w:hAnsi="Arial Narrow" w:cs="Arial"/>
                                <w:color w:val="595959" w:themeColor="text1" w:themeTint="A6"/>
                                <w:kern w:val="24"/>
                                <w:sz w:val="22"/>
                                <w:szCs w:val="22"/>
                              </w:rPr>
                              <w:t xml:space="preserve"> </w:t>
                            </w:r>
                            <w:r w:rsidRPr="00286C01">
                              <w:rPr>
                                <w:rFonts w:ascii="Arial Narrow" w:eastAsia="SimSun" w:hAnsi="Arial Narrow" w:cs="Arial"/>
                                <w:i/>
                                <w:iCs/>
                                <w:color w:val="595959" w:themeColor="text1" w:themeTint="A6"/>
                                <w:kern w:val="24"/>
                                <w:sz w:val="22"/>
                                <w:szCs w:val="22"/>
                              </w:rPr>
                              <w:t>ns</w:t>
                            </w:r>
                            <w:r>
                              <w:rPr>
                                <w:rFonts w:ascii="Arial Narrow" w:eastAsia="SimSun" w:hAnsi="Arial Narrow" w:cs="Arial"/>
                                <w:i/>
                                <w:iCs/>
                                <w:color w:val="595959" w:themeColor="text1" w:themeTint="A6"/>
                                <w:kern w:val="24"/>
                                <w:sz w:val="22"/>
                                <w:szCs w:val="22"/>
                              </w:rPr>
                              <w:t xml:space="preserve"> </w:t>
                            </w:r>
                            <w:r>
                              <w:rPr>
                                <w:rFonts w:ascii="Arial Narrow" w:eastAsia="SimSun" w:hAnsi="Arial Narrow" w:cs="Arial"/>
                                <w:color w:val="595959" w:themeColor="text1" w:themeTint="A6"/>
                                <w:kern w:val="24"/>
                                <w:sz w:val="22"/>
                                <w:szCs w:val="22"/>
                              </w:rPr>
                              <w:t>compared to TENOM as analysed by Kruskal-Wallis test with Dunn’s multiple comparison. Scale bar = 50 µm.</w:t>
                            </w:r>
                            <w:bookmarkEnd w:id="466"/>
                            <w:bookmarkEnd w:id="467"/>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3A303C" id="Text Box 200" o:spid="_x0000_s1190" type="#_x0000_t202" style="position:absolute;left:0;text-align:left;margin-left:0;margin-top:21.9pt;width:451.5pt;height:139.5pt;z-index:25165838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" stroked="f">
                <v:textbox>
                  <w:txbxContent>
                    <w:p w14:paraId="57156122" w14:textId="77777777" w:rsidR="008A47AC" w:rsidRPr="006B7937" w:rsidRDefault="008A47AC" w:rsidP="004E06B5">
                      <w:pPr>
                        <w:pStyle w:val="Caption"/>
                        <w:keepNext/>
                        <w:jc w:val="both"/>
                        <w:rPr>
                          <w:rFonts w:ascii="Arial Narrow" w:hAnsi="Arial Narrow"/>
                          <w:b/>
                          <w:i w:val="0"/>
                          <w:sz w:val="24"/>
                          <w:szCs w:val="24"/>
                        </w:rPr>
                      </w:pPr>
                      <w:r w:rsidRPr="006B7937">
                        <w:rPr>
                          <w:rFonts w:ascii="Arial Narrow" w:hAnsi="Arial Narrow"/>
                          <w:b/>
                          <w:i w:val="0"/>
                          <w:color w:val="595959" w:themeColor="text1" w:themeTint="A6"/>
                          <w:sz w:val="24"/>
                          <w:szCs w:val="24"/>
                        </w:rPr>
                        <w:t>Figure</w:t>
                      </w:r>
                      <w:r>
                        <w:rPr>
                          <w:rFonts w:ascii="Arial Narrow" w:hAnsi="Arial Narrow"/>
                          <w:b/>
                          <w:i w:val="0"/>
                          <w:color w:val="595959" w:themeColor="text1" w:themeTint="A6"/>
                          <w:sz w:val="24"/>
                          <w:szCs w:val="24"/>
                        </w:rPr>
                        <w:t xml:space="preserve"> 5.12 Immunohistochemical analysis of AE1/3 in tissue-engineered oral mucosa models</w:t>
                      </w:r>
                    </w:p>
                    <w:p w14:paraId="6A3C436B" w14:textId="77777777" w:rsidR="008A47AC" w:rsidRPr="00B8170A" w:rsidRDefault="008A47AC" w:rsidP="004E06B5">
                      <w:pPr>
                        <w:pStyle w:val="NormalWeb"/>
                        <w:spacing w:after="200" w:line="276" w:lineRule="auto"/>
                        <w:jc w:val="both"/>
                      </w:pPr>
                      <w:bookmarkStart w:id="472" w:name="_Hlk16603566"/>
                      <w:bookmarkStart w:id="473" w:name="_Hlk16603567"/>
                      <w:r>
                        <w:rPr>
                          <w:rFonts w:ascii="Arial Narrow" w:eastAsia="SimSun" w:hAnsi="Arial Narrow" w:cs="Arial"/>
                          <w:color w:val="595959" w:themeColor="text1" w:themeTint="A6"/>
                          <w:kern w:val="24"/>
                          <w:sz w:val="22"/>
                          <w:szCs w:val="22"/>
                        </w:rPr>
                        <w:t xml:space="preserve">Full thickness tissue-engineered models were developed on FDM and cultured for 12 days at an air-to-liquid interface before being subjected to histological processing and immunohistochemical staining for AE1/3 (brown) and haematoxylin counterstain (blue). Representative images of AE1/3 staining observed in TENOM (A), TEAOM (B) and TESCCM (C) and semi-quantitative analysis of the optical density of staining intensity (D). Data shows mean ± SD </w:t>
                      </w:r>
                      <w:r w:rsidRPr="00E72F77">
                        <w:rPr>
                          <w:rFonts w:ascii="Arial Narrow" w:eastAsia="SimSun" w:hAnsi="Arial Narrow" w:cs="Arial"/>
                          <w:color w:val="595959" w:themeColor="text1" w:themeTint="A6"/>
                          <w:kern w:val="24"/>
                          <w:sz w:val="22"/>
                          <w:szCs w:val="22"/>
                        </w:rPr>
                        <w:t>(N=</w:t>
                      </w:r>
                      <w:r>
                        <w:rPr>
                          <w:rFonts w:ascii="Arial Narrow" w:eastAsia="SimSun" w:hAnsi="Arial Narrow" w:cs="Arial"/>
                          <w:color w:val="595959" w:themeColor="text1" w:themeTint="A6"/>
                          <w:kern w:val="24"/>
                          <w:sz w:val="22"/>
                          <w:szCs w:val="22"/>
                        </w:rPr>
                        <w:t>3</w:t>
                      </w:r>
                      <w:r w:rsidRPr="00E72F77">
                        <w:rPr>
                          <w:rFonts w:ascii="Arial Narrow" w:eastAsia="SimSun" w:hAnsi="Arial Narrow" w:cs="Arial"/>
                          <w:color w:val="595959" w:themeColor="text1" w:themeTint="A6"/>
                          <w:kern w:val="24"/>
                          <w:sz w:val="22"/>
                          <w:szCs w:val="22"/>
                        </w:rPr>
                        <w:t>, n=</w:t>
                      </w:r>
                      <w:r>
                        <w:rPr>
                          <w:rFonts w:ascii="Arial Narrow" w:eastAsia="SimSun" w:hAnsi="Arial Narrow" w:cs="Arial"/>
                          <w:color w:val="595959" w:themeColor="text1" w:themeTint="A6"/>
                          <w:kern w:val="24"/>
                          <w:sz w:val="22"/>
                          <w:szCs w:val="22"/>
                        </w:rPr>
                        <w:t>2</w:t>
                      </w:r>
                      <w:r w:rsidRPr="00E72F77">
                        <w:rPr>
                          <w:rFonts w:ascii="Arial Narrow" w:eastAsia="SimSun" w:hAnsi="Arial Narrow" w:cs="Arial"/>
                          <w:color w:val="595959" w:themeColor="text1" w:themeTint="A6"/>
                          <w:kern w:val="24"/>
                          <w:sz w:val="22"/>
                          <w:szCs w:val="22"/>
                        </w:rPr>
                        <w:t>).</w:t>
                      </w:r>
                      <w:r>
                        <w:rPr>
                          <w:rFonts w:ascii="Arial Narrow" w:eastAsia="SimSun" w:hAnsi="Arial Narrow" w:cs="Arial"/>
                          <w:color w:val="595959" w:themeColor="text1" w:themeTint="A6"/>
                          <w:kern w:val="24"/>
                          <w:sz w:val="22"/>
                          <w:szCs w:val="22"/>
                        </w:rPr>
                        <w:t xml:space="preserve"> </w:t>
                      </w:r>
                      <w:r w:rsidRPr="00286C01">
                        <w:rPr>
                          <w:rFonts w:ascii="Arial Narrow" w:eastAsia="SimSun" w:hAnsi="Arial Narrow" w:cs="Arial"/>
                          <w:i/>
                          <w:iCs/>
                          <w:color w:val="595959" w:themeColor="text1" w:themeTint="A6"/>
                          <w:kern w:val="24"/>
                          <w:sz w:val="22"/>
                          <w:szCs w:val="22"/>
                        </w:rPr>
                        <w:t>ns</w:t>
                      </w:r>
                      <w:r>
                        <w:rPr>
                          <w:rFonts w:ascii="Arial Narrow" w:eastAsia="SimSun" w:hAnsi="Arial Narrow" w:cs="Arial"/>
                          <w:i/>
                          <w:iCs/>
                          <w:color w:val="595959" w:themeColor="text1" w:themeTint="A6"/>
                          <w:kern w:val="24"/>
                          <w:sz w:val="22"/>
                          <w:szCs w:val="22"/>
                        </w:rPr>
                        <w:t xml:space="preserve"> </w:t>
                      </w:r>
                      <w:r>
                        <w:rPr>
                          <w:rFonts w:ascii="Arial Narrow" w:eastAsia="SimSun" w:hAnsi="Arial Narrow" w:cs="Arial"/>
                          <w:color w:val="595959" w:themeColor="text1" w:themeTint="A6"/>
                          <w:kern w:val="24"/>
                          <w:sz w:val="22"/>
                          <w:szCs w:val="22"/>
                        </w:rPr>
                        <w:t>compared to TENOM as analysed by Kruskal-Wallis test with Dunn’s multiple comparison. Scale bar = 50 µm.</w:t>
                      </w:r>
                      <w:bookmarkEnd w:id="472"/>
                      <w:bookmarkEnd w:id="473"/>
                    </w:p>
                  </w:txbxContent>
                </v:textbox>
                <w10:wrap anchorx="margin"/>
              </v:shape>
            </w:pict>
          </mc:Fallback>
        </mc:AlternateContent>
      </w:r>
    </w:p>
    <w:p w14:paraId="678E3F45"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571E1734"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386CF743"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4756A938"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62A6A80D"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2E89EB57"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7C1642AA"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7D0880B2"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4A3E2021" w14:textId="72A8C403" w:rsidR="004E06B5" w:rsidRDefault="004E06B5" w:rsidP="00703E52">
      <w:pPr>
        <w:pStyle w:val="Heading5"/>
        <w:rPr>
          <w:rFonts w:ascii="Arial" w:hAnsi="Arial" w:cs="Arial"/>
          <w:color w:val="595959" w:themeColor="text1" w:themeTint="A6"/>
        </w:rPr>
      </w:pPr>
      <w:bookmarkStart w:id="468" w:name="_Toc34208461"/>
      <w:r w:rsidRPr="004E06B5">
        <w:rPr>
          <w:rFonts w:ascii="Arial" w:hAnsi="Arial" w:cs="Arial"/>
          <w:color w:val="595959" w:themeColor="text1" w:themeTint="A6"/>
        </w:rPr>
        <w:t>5.3.3.1.3 Cytokeratin-14</w:t>
      </w:r>
      <w:bookmarkEnd w:id="468"/>
    </w:p>
    <w:p w14:paraId="4F7489C5" w14:textId="77777777" w:rsidR="00703E52" w:rsidRPr="00703E52" w:rsidRDefault="00703E52" w:rsidP="00703E52"/>
    <w:p w14:paraId="4C636861" w14:textId="77777777" w:rsidR="004E06B5" w:rsidRPr="004E06B5" w:rsidRDefault="004E06B5" w:rsidP="004E06B5">
      <w:pPr>
        <w:tabs>
          <w:tab w:val="left" w:pos="1350"/>
        </w:tabs>
        <w:spacing w:line="480" w:lineRule="auto"/>
        <w:jc w:val="both"/>
        <w:rPr>
          <w:rFonts w:ascii="Arial" w:hAnsi="Arial" w:cs="Arial"/>
          <w:color w:val="595959" w:themeColor="text1" w:themeTint="A6"/>
        </w:rPr>
      </w:pPr>
      <w:r w:rsidRPr="004E06B5">
        <w:rPr>
          <w:rFonts w:ascii="Arial" w:hAnsi="Arial" w:cs="Arial"/>
          <w:color w:val="595959" w:themeColor="text1" w:themeTint="A6"/>
        </w:rPr>
        <w:t xml:space="preserve">Anti-cytokeratin-14 (CK-14) stained for intermediate filaments; known to present in essentially all epithelial cells and in the neoplasms derived from them. Staining of anti-CK-14 was found exclusively in the epithelium for all models (Figure 5.13). Staining was more pronounced in the basal compartment of the TENOM (Figure 5.13 A), with more obvious gaps in expression in the basal cell of the TEAOM model (Figure 5.13 B). Again, the TESCCM showed staining in all epithelial cells but the expression was more diffuse (Figure 5.13 C). Quantification of CK-14 intensity indicated no significant difference in CK-14 between models (Figure 5.13 D). </w:t>
      </w:r>
    </w:p>
    <w:p w14:paraId="1CA83BA4"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7D04B35A"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38618D6A"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117AEFF5"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34543251"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1D1B1CA1"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3425FFBE"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30D0D8CB"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5719A322"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0D9442D2"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0BD4223F"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643287F4"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019676E8"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045C5EE7" w14:textId="2F4EE642" w:rsidR="004E06B5" w:rsidRDefault="004E06B5" w:rsidP="004E06B5">
      <w:pPr>
        <w:tabs>
          <w:tab w:val="left" w:pos="1350"/>
        </w:tabs>
        <w:spacing w:line="480" w:lineRule="auto"/>
        <w:jc w:val="both"/>
        <w:rPr>
          <w:rFonts w:ascii="Arial" w:hAnsi="Arial" w:cs="Arial"/>
          <w:color w:val="595959" w:themeColor="text1" w:themeTint="A6"/>
        </w:rPr>
      </w:pPr>
    </w:p>
    <w:p w14:paraId="00E45111" w14:textId="77777777" w:rsidR="000B0D86" w:rsidRPr="004E06B5" w:rsidRDefault="000B0D86" w:rsidP="004E06B5">
      <w:pPr>
        <w:tabs>
          <w:tab w:val="left" w:pos="1350"/>
        </w:tabs>
        <w:spacing w:line="480" w:lineRule="auto"/>
        <w:jc w:val="both"/>
        <w:rPr>
          <w:rFonts w:ascii="Arial" w:hAnsi="Arial" w:cs="Arial"/>
          <w:color w:val="595959" w:themeColor="text1" w:themeTint="A6"/>
        </w:rPr>
      </w:pPr>
    </w:p>
    <w:p w14:paraId="66B1755F" w14:textId="77777777" w:rsidR="004E06B5" w:rsidRPr="004E06B5" w:rsidRDefault="004E06B5" w:rsidP="004E06B5">
      <w:pPr>
        <w:tabs>
          <w:tab w:val="left" w:pos="1350"/>
        </w:tabs>
        <w:spacing w:line="480" w:lineRule="auto"/>
        <w:jc w:val="both"/>
        <w:rPr>
          <w:rFonts w:ascii="Arial" w:hAnsi="Arial" w:cs="Arial"/>
          <w:color w:val="595959" w:themeColor="text1" w:themeTint="A6"/>
        </w:rPr>
      </w:pPr>
      <w:r w:rsidRPr="004E06B5">
        <w:rPr>
          <w:rFonts w:ascii="Arial" w:hAnsi="Arial" w:cs="Arial"/>
          <w:noProof/>
          <w:color w:val="595959" w:themeColor="text1" w:themeTint="A6"/>
          <w:lang w:eastAsia="zh-CN"/>
        </w:rPr>
        <w:drawing>
          <wp:anchor distT="0" distB="0" distL="114300" distR="114300" simplePos="0" relativeHeight="251658421" behindDoc="0" locked="0" layoutInCell="1" allowOverlap="1" wp14:anchorId="7A32D705" wp14:editId="024F0A01">
            <wp:simplePos x="0" y="0"/>
            <wp:positionH relativeFrom="column">
              <wp:posOffset>0</wp:posOffset>
            </wp:positionH>
            <wp:positionV relativeFrom="paragraph">
              <wp:posOffset>13335</wp:posOffset>
            </wp:positionV>
            <wp:extent cx="5731510" cy="4675866"/>
            <wp:effectExtent l="0" t="0" r="0" b="0"/>
            <wp:wrapNone/>
            <wp:docPr id="5366" name="Picture 5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731510" cy="4675866"/>
                    </a:xfrm>
                    <a:prstGeom prst="rect">
                      <a:avLst/>
                    </a:prstGeom>
                    <a:noFill/>
                  </pic:spPr>
                </pic:pic>
              </a:graphicData>
            </a:graphic>
          </wp:anchor>
        </w:drawing>
      </w:r>
    </w:p>
    <w:p w14:paraId="40F09E5A"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69F7BF4E"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607300A8"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36ED0765"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3E4189C7"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734F7A32"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4B0FC760"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3760876A"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0D37C9AC"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30408EFF"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37BA995D"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0C9A5EA1"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192CF1CD"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6C44F87F"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2CFE14BA" w14:textId="77777777" w:rsidR="004E06B5" w:rsidRPr="004E06B5" w:rsidRDefault="004E06B5" w:rsidP="004E06B5">
      <w:pPr>
        <w:tabs>
          <w:tab w:val="left" w:pos="1350"/>
        </w:tabs>
        <w:spacing w:line="480" w:lineRule="auto"/>
        <w:jc w:val="both"/>
        <w:rPr>
          <w:rFonts w:ascii="Arial" w:hAnsi="Arial" w:cs="Arial"/>
          <w:color w:val="595959" w:themeColor="text1" w:themeTint="A6"/>
        </w:rPr>
      </w:pPr>
      <w:r w:rsidRPr="004E06B5">
        <w:rPr>
          <w:rFonts w:ascii="Arial" w:hAnsi="Arial" w:cs="Arial"/>
          <w:noProof/>
          <w:color w:val="595959" w:themeColor="text1" w:themeTint="A6"/>
          <w:sz w:val="24"/>
          <w:szCs w:val="24"/>
          <w:lang w:eastAsia="zh-CN"/>
        </w:rPr>
        <mc:AlternateContent>
          <mc:Choice Requires="wps">
            <w:drawing>
              <wp:anchor distT="0" distB="0" distL="114300" distR="114300" simplePos="0" relativeHeight="251658388" behindDoc="0" locked="0" layoutInCell="1" allowOverlap="1" wp14:anchorId="5DA51B63" wp14:editId="2D3F8641">
                <wp:simplePos x="0" y="0"/>
                <wp:positionH relativeFrom="margin">
                  <wp:posOffset>0</wp:posOffset>
                </wp:positionH>
                <wp:positionV relativeFrom="paragraph">
                  <wp:posOffset>10160</wp:posOffset>
                </wp:positionV>
                <wp:extent cx="5724525" cy="1962150"/>
                <wp:effectExtent l="0" t="0" r="9525" b="0"/>
                <wp:wrapNone/>
                <wp:docPr id="201" name="Text Box 2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1962150"/>
                        </a:xfrm>
                        <a:prstGeom prst="rect">
                          <a:avLst/>
                        </a:prstGeom>
                        <a:solidFill>
                          <a:srgbClr val="FFFFFF"/>
                        </a:solidFill>
                        <a:ln w="9525">
                          <a:noFill/>
                          <a:miter lim="800000"/>
                          <a:headEnd/>
                          <a:tailEnd/>
                        </a:ln>
                      </wps:spPr>
                      <wps:txbx>
                        <w:txbxContent>
                          <w:p w14:paraId="24F3598E" w14:textId="5E8923E5" w:rsidR="008A47AC" w:rsidRPr="006B7937" w:rsidRDefault="008A47AC" w:rsidP="004E06B5">
                            <w:pPr>
                              <w:pStyle w:val="Caption"/>
                              <w:keepNext/>
                              <w:jc w:val="both"/>
                              <w:rPr>
                                <w:rFonts w:ascii="Arial Narrow" w:hAnsi="Arial Narrow"/>
                                <w:b/>
                                <w:i w:val="0"/>
                                <w:sz w:val="24"/>
                                <w:szCs w:val="24"/>
                              </w:rPr>
                            </w:pPr>
                            <w:r w:rsidRPr="006B7937">
                              <w:rPr>
                                <w:rFonts w:ascii="Arial Narrow" w:hAnsi="Arial Narrow"/>
                                <w:b/>
                                <w:i w:val="0"/>
                                <w:color w:val="595959" w:themeColor="text1" w:themeTint="A6"/>
                                <w:sz w:val="24"/>
                                <w:szCs w:val="24"/>
                              </w:rPr>
                              <w:t>Figure</w:t>
                            </w:r>
                            <w:r>
                              <w:rPr>
                                <w:rFonts w:ascii="Arial Narrow" w:hAnsi="Arial Narrow"/>
                                <w:b/>
                                <w:i w:val="0"/>
                                <w:color w:val="595959" w:themeColor="text1" w:themeTint="A6"/>
                                <w:sz w:val="24"/>
                                <w:szCs w:val="24"/>
                              </w:rPr>
                              <w:t xml:space="preserve"> 5.13 Immunohistochemical analysis of cytokeratin-14 in tissue-engineered oral mucosa models</w:t>
                            </w:r>
                          </w:p>
                          <w:p w14:paraId="26BF75D4" w14:textId="77777777" w:rsidR="008A47AC" w:rsidRPr="00B8170A" w:rsidRDefault="008A47AC" w:rsidP="004E06B5">
                            <w:pPr>
                              <w:pStyle w:val="NormalWeb"/>
                              <w:spacing w:after="200" w:line="276" w:lineRule="auto"/>
                              <w:jc w:val="both"/>
                            </w:pPr>
                            <w:r>
                              <w:rPr>
                                <w:rFonts w:ascii="Arial Narrow" w:eastAsia="SimSun" w:hAnsi="Arial Narrow" w:cs="Arial"/>
                                <w:color w:val="595959" w:themeColor="text1" w:themeTint="A6"/>
                                <w:kern w:val="24"/>
                                <w:sz w:val="22"/>
                                <w:szCs w:val="22"/>
                              </w:rPr>
                              <w:t xml:space="preserve">Full thickness tissue-engineered models were developed on FDM and cultured for 12 days at an air-to-liquid interface before being subjected to histological processing and immunohistochemical staining for CK-14 (brown) and haematoxylin counterstain (blue). Representative images of CK-14 staining observed in TENOM (A), TEAOM (B) and TESCCM (C) and semi-quantitative analysis of the optical density of staining intensity (D). Data shows mean ± SD </w:t>
                            </w:r>
                            <w:r w:rsidRPr="00E72F77">
                              <w:rPr>
                                <w:rFonts w:ascii="Arial Narrow" w:eastAsia="SimSun" w:hAnsi="Arial Narrow" w:cs="Arial"/>
                                <w:color w:val="595959" w:themeColor="text1" w:themeTint="A6"/>
                                <w:kern w:val="24"/>
                                <w:sz w:val="22"/>
                                <w:szCs w:val="22"/>
                              </w:rPr>
                              <w:t>(N=</w:t>
                            </w:r>
                            <w:r>
                              <w:rPr>
                                <w:rFonts w:ascii="Arial Narrow" w:eastAsia="SimSun" w:hAnsi="Arial Narrow" w:cs="Arial"/>
                                <w:color w:val="595959" w:themeColor="text1" w:themeTint="A6"/>
                                <w:kern w:val="24"/>
                                <w:sz w:val="22"/>
                                <w:szCs w:val="22"/>
                              </w:rPr>
                              <w:t>3</w:t>
                            </w:r>
                            <w:r w:rsidRPr="00E72F77">
                              <w:rPr>
                                <w:rFonts w:ascii="Arial Narrow" w:eastAsia="SimSun" w:hAnsi="Arial Narrow" w:cs="Arial"/>
                                <w:color w:val="595959" w:themeColor="text1" w:themeTint="A6"/>
                                <w:kern w:val="24"/>
                                <w:sz w:val="22"/>
                                <w:szCs w:val="22"/>
                              </w:rPr>
                              <w:t>, n=</w:t>
                            </w:r>
                            <w:r>
                              <w:rPr>
                                <w:rFonts w:ascii="Arial Narrow" w:eastAsia="SimSun" w:hAnsi="Arial Narrow" w:cs="Arial"/>
                                <w:color w:val="595959" w:themeColor="text1" w:themeTint="A6"/>
                                <w:kern w:val="24"/>
                                <w:sz w:val="22"/>
                                <w:szCs w:val="22"/>
                              </w:rPr>
                              <w:t>2</w:t>
                            </w:r>
                            <w:r w:rsidRPr="00E72F77">
                              <w:rPr>
                                <w:rFonts w:ascii="Arial Narrow" w:eastAsia="SimSun" w:hAnsi="Arial Narrow" w:cs="Arial"/>
                                <w:color w:val="595959" w:themeColor="text1" w:themeTint="A6"/>
                                <w:kern w:val="24"/>
                                <w:sz w:val="22"/>
                                <w:szCs w:val="22"/>
                              </w:rPr>
                              <w:t>).</w:t>
                            </w:r>
                            <w:r>
                              <w:rPr>
                                <w:rFonts w:ascii="Arial Narrow" w:eastAsia="SimSun" w:hAnsi="Arial Narrow" w:cs="Arial"/>
                                <w:color w:val="595959" w:themeColor="text1" w:themeTint="A6"/>
                                <w:kern w:val="24"/>
                                <w:sz w:val="22"/>
                                <w:szCs w:val="22"/>
                              </w:rPr>
                              <w:t xml:space="preserve"> </w:t>
                            </w:r>
                            <w:r w:rsidRPr="00286C01">
                              <w:rPr>
                                <w:rFonts w:ascii="Arial Narrow" w:eastAsia="SimSun" w:hAnsi="Arial Narrow" w:cs="Arial"/>
                                <w:i/>
                                <w:iCs/>
                                <w:color w:val="595959" w:themeColor="text1" w:themeTint="A6"/>
                                <w:kern w:val="24"/>
                                <w:sz w:val="22"/>
                                <w:szCs w:val="22"/>
                              </w:rPr>
                              <w:t>ns</w:t>
                            </w:r>
                            <w:r>
                              <w:rPr>
                                <w:rFonts w:ascii="Arial Narrow" w:eastAsia="SimSun" w:hAnsi="Arial Narrow" w:cs="Arial"/>
                                <w:i/>
                                <w:iCs/>
                                <w:color w:val="595959" w:themeColor="text1" w:themeTint="A6"/>
                                <w:kern w:val="24"/>
                                <w:sz w:val="22"/>
                                <w:szCs w:val="22"/>
                              </w:rPr>
                              <w:t xml:space="preserve"> </w:t>
                            </w:r>
                            <w:r>
                              <w:rPr>
                                <w:rFonts w:ascii="Arial Narrow" w:eastAsia="SimSun" w:hAnsi="Arial Narrow" w:cs="Arial"/>
                                <w:color w:val="595959" w:themeColor="text1" w:themeTint="A6"/>
                                <w:kern w:val="24"/>
                                <w:sz w:val="22"/>
                                <w:szCs w:val="22"/>
                              </w:rPr>
                              <w:t>compared to TENOM as analysed by Kruskal-Wallis test with Dunn’s multiple comparison. Scale bar = 50 µm.</w:t>
                            </w:r>
                          </w:p>
                          <w:p w14:paraId="1A18064F" w14:textId="77777777" w:rsidR="008A47AC" w:rsidRPr="00B8170A" w:rsidRDefault="008A47AC" w:rsidP="004E06B5">
                            <w:pPr>
                              <w:pStyle w:val="NormalWeb"/>
                              <w:spacing w:after="200" w:line="276" w:lineRule="auto"/>
                              <w:jc w:val="both"/>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A51B63" id="Text Box 201" o:spid="_x0000_s1191" type="#_x0000_t202" style="position:absolute;left:0;text-align:left;margin-left:0;margin-top:.8pt;width:450.75pt;height:154.5pt;z-index:2516583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" stroked="f">
                <v:textbox>
                  <w:txbxContent>
                    <w:p w14:paraId="24F3598E" w14:textId="5E8923E5" w:rsidR="008A47AC" w:rsidRPr="006B7937" w:rsidRDefault="008A47AC" w:rsidP="004E06B5">
                      <w:pPr>
                        <w:pStyle w:val="Caption"/>
                        <w:keepNext/>
                        <w:jc w:val="both"/>
                        <w:rPr>
                          <w:rFonts w:ascii="Arial Narrow" w:hAnsi="Arial Narrow"/>
                          <w:b/>
                          <w:i w:val="0"/>
                          <w:sz w:val="24"/>
                          <w:szCs w:val="24"/>
                        </w:rPr>
                      </w:pPr>
                      <w:r w:rsidRPr="006B7937">
                        <w:rPr>
                          <w:rFonts w:ascii="Arial Narrow" w:hAnsi="Arial Narrow"/>
                          <w:b/>
                          <w:i w:val="0"/>
                          <w:color w:val="595959" w:themeColor="text1" w:themeTint="A6"/>
                          <w:sz w:val="24"/>
                          <w:szCs w:val="24"/>
                        </w:rPr>
                        <w:t>Figure</w:t>
                      </w:r>
                      <w:r>
                        <w:rPr>
                          <w:rFonts w:ascii="Arial Narrow" w:hAnsi="Arial Narrow"/>
                          <w:b/>
                          <w:i w:val="0"/>
                          <w:color w:val="595959" w:themeColor="text1" w:themeTint="A6"/>
                          <w:sz w:val="24"/>
                          <w:szCs w:val="24"/>
                        </w:rPr>
                        <w:t xml:space="preserve"> 5.13 Immunohistochemical analysis of cytokeratin-14 in tissue-engineered oral mucosa models</w:t>
                      </w:r>
                    </w:p>
                    <w:p w14:paraId="26BF75D4" w14:textId="77777777" w:rsidR="008A47AC" w:rsidRPr="00B8170A" w:rsidRDefault="008A47AC" w:rsidP="004E06B5">
                      <w:pPr>
                        <w:pStyle w:val="NormalWeb"/>
                        <w:spacing w:after="200" w:line="276" w:lineRule="auto"/>
                        <w:jc w:val="both"/>
                      </w:pPr>
                      <w:r>
                        <w:rPr>
                          <w:rFonts w:ascii="Arial Narrow" w:eastAsia="SimSun" w:hAnsi="Arial Narrow" w:cs="Arial"/>
                          <w:color w:val="595959" w:themeColor="text1" w:themeTint="A6"/>
                          <w:kern w:val="24"/>
                          <w:sz w:val="22"/>
                          <w:szCs w:val="22"/>
                        </w:rPr>
                        <w:t xml:space="preserve">Full thickness tissue-engineered models were developed on FDM and cultured for 12 days at an air-to-liquid interface before being subjected to histological processing and immunohistochemical staining for CK-14 (brown) and haematoxylin counterstain (blue). Representative images of CK-14 staining observed in TENOM (A), TEAOM (B) and TESCCM (C) and semi-quantitative analysis of the optical density of staining intensity (D). Data shows mean ± SD </w:t>
                      </w:r>
                      <w:r w:rsidRPr="00E72F77">
                        <w:rPr>
                          <w:rFonts w:ascii="Arial Narrow" w:eastAsia="SimSun" w:hAnsi="Arial Narrow" w:cs="Arial"/>
                          <w:color w:val="595959" w:themeColor="text1" w:themeTint="A6"/>
                          <w:kern w:val="24"/>
                          <w:sz w:val="22"/>
                          <w:szCs w:val="22"/>
                        </w:rPr>
                        <w:t>(N=</w:t>
                      </w:r>
                      <w:r>
                        <w:rPr>
                          <w:rFonts w:ascii="Arial Narrow" w:eastAsia="SimSun" w:hAnsi="Arial Narrow" w:cs="Arial"/>
                          <w:color w:val="595959" w:themeColor="text1" w:themeTint="A6"/>
                          <w:kern w:val="24"/>
                          <w:sz w:val="22"/>
                          <w:szCs w:val="22"/>
                        </w:rPr>
                        <w:t>3</w:t>
                      </w:r>
                      <w:r w:rsidRPr="00E72F77">
                        <w:rPr>
                          <w:rFonts w:ascii="Arial Narrow" w:eastAsia="SimSun" w:hAnsi="Arial Narrow" w:cs="Arial"/>
                          <w:color w:val="595959" w:themeColor="text1" w:themeTint="A6"/>
                          <w:kern w:val="24"/>
                          <w:sz w:val="22"/>
                          <w:szCs w:val="22"/>
                        </w:rPr>
                        <w:t>, n=</w:t>
                      </w:r>
                      <w:r>
                        <w:rPr>
                          <w:rFonts w:ascii="Arial Narrow" w:eastAsia="SimSun" w:hAnsi="Arial Narrow" w:cs="Arial"/>
                          <w:color w:val="595959" w:themeColor="text1" w:themeTint="A6"/>
                          <w:kern w:val="24"/>
                          <w:sz w:val="22"/>
                          <w:szCs w:val="22"/>
                        </w:rPr>
                        <w:t>2</w:t>
                      </w:r>
                      <w:r w:rsidRPr="00E72F77">
                        <w:rPr>
                          <w:rFonts w:ascii="Arial Narrow" w:eastAsia="SimSun" w:hAnsi="Arial Narrow" w:cs="Arial"/>
                          <w:color w:val="595959" w:themeColor="text1" w:themeTint="A6"/>
                          <w:kern w:val="24"/>
                          <w:sz w:val="22"/>
                          <w:szCs w:val="22"/>
                        </w:rPr>
                        <w:t>).</w:t>
                      </w:r>
                      <w:r>
                        <w:rPr>
                          <w:rFonts w:ascii="Arial Narrow" w:eastAsia="SimSun" w:hAnsi="Arial Narrow" w:cs="Arial"/>
                          <w:color w:val="595959" w:themeColor="text1" w:themeTint="A6"/>
                          <w:kern w:val="24"/>
                          <w:sz w:val="22"/>
                          <w:szCs w:val="22"/>
                        </w:rPr>
                        <w:t xml:space="preserve"> </w:t>
                      </w:r>
                      <w:r w:rsidRPr="00286C01">
                        <w:rPr>
                          <w:rFonts w:ascii="Arial Narrow" w:eastAsia="SimSun" w:hAnsi="Arial Narrow" w:cs="Arial"/>
                          <w:i/>
                          <w:iCs/>
                          <w:color w:val="595959" w:themeColor="text1" w:themeTint="A6"/>
                          <w:kern w:val="24"/>
                          <w:sz w:val="22"/>
                          <w:szCs w:val="22"/>
                        </w:rPr>
                        <w:t>ns</w:t>
                      </w:r>
                      <w:r>
                        <w:rPr>
                          <w:rFonts w:ascii="Arial Narrow" w:eastAsia="SimSun" w:hAnsi="Arial Narrow" w:cs="Arial"/>
                          <w:i/>
                          <w:iCs/>
                          <w:color w:val="595959" w:themeColor="text1" w:themeTint="A6"/>
                          <w:kern w:val="24"/>
                          <w:sz w:val="22"/>
                          <w:szCs w:val="22"/>
                        </w:rPr>
                        <w:t xml:space="preserve"> </w:t>
                      </w:r>
                      <w:r>
                        <w:rPr>
                          <w:rFonts w:ascii="Arial Narrow" w:eastAsia="SimSun" w:hAnsi="Arial Narrow" w:cs="Arial"/>
                          <w:color w:val="595959" w:themeColor="text1" w:themeTint="A6"/>
                          <w:kern w:val="24"/>
                          <w:sz w:val="22"/>
                          <w:szCs w:val="22"/>
                        </w:rPr>
                        <w:t>compared to TENOM as analysed by Kruskal-Wallis test with Dunn’s multiple comparison. Scale bar = 50 µm.</w:t>
                      </w:r>
                    </w:p>
                    <w:p w14:paraId="1A18064F" w14:textId="77777777" w:rsidR="008A47AC" w:rsidRPr="00B8170A" w:rsidRDefault="008A47AC" w:rsidP="004E06B5">
                      <w:pPr>
                        <w:pStyle w:val="NormalWeb"/>
                        <w:spacing w:after="200" w:line="276" w:lineRule="auto"/>
                        <w:jc w:val="both"/>
                      </w:pPr>
                    </w:p>
                  </w:txbxContent>
                </v:textbox>
                <w10:wrap anchorx="margin"/>
              </v:shape>
            </w:pict>
          </mc:Fallback>
        </mc:AlternateContent>
      </w:r>
    </w:p>
    <w:p w14:paraId="2A6DEF53"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56830F21"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6097470C" w14:textId="3F71EE23" w:rsidR="004E06B5" w:rsidRDefault="004E06B5" w:rsidP="004E06B5">
      <w:pPr>
        <w:tabs>
          <w:tab w:val="left" w:pos="1350"/>
        </w:tabs>
        <w:spacing w:line="480" w:lineRule="auto"/>
        <w:jc w:val="both"/>
        <w:rPr>
          <w:rFonts w:ascii="Arial" w:hAnsi="Arial" w:cs="Arial"/>
          <w:color w:val="595959" w:themeColor="text1" w:themeTint="A6"/>
        </w:rPr>
      </w:pPr>
    </w:p>
    <w:p w14:paraId="10C98CC2" w14:textId="77777777" w:rsidR="003E262D" w:rsidRPr="004E06B5" w:rsidRDefault="003E262D" w:rsidP="004E06B5">
      <w:pPr>
        <w:tabs>
          <w:tab w:val="left" w:pos="1350"/>
        </w:tabs>
        <w:spacing w:line="480" w:lineRule="auto"/>
        <w:jc w:val="both"/>
        <w:rPr>
          <w:rFonts w:ascii="Arial" w:hAnsi="Arial" w:cs="Arial"/>
          <w:color w:val="595959" w:themeColor="text1" w:themeTint="A6"/>
        </w:rPr>
      </w:pPr>
    </w:p>
    <w:p w14:paraId="268D88E1" w14:textId="1F29B25D" w:rsidR="004E06B5" w:rsidRDefault="004E06B5" w:rsidP="003E262D">
      <w:pPr>
        <w:pStyle w:val="Heading4"/>
        <w:rPr>
          <w:rFonts w:ascii="Arial" w:hAnsi="Arial" w:cs="Arial"/>
          <w:color w:val="595959" w:themeColor="text1" w:themeTint="A6"/>
        </w:rPr>
      </w:pPr>
      <w:bookmarkStart w:id="469" w:name="_Toc34208462"/>
      <w:r w:rsidRPr="004E06B5">
        <w:rPr>
          <w:rFonts w:ascii="Arial" w:hAnsi="Arial" w:cs="Arial"/>
          <w:color w:val="595959" w:themeColor="text1" w:themeTint="A6"/>
        </w:rPr>
        <w:t>5.3.3.2 Immunohistochemical analysis of ECM and stromal-cell markers</w:t>
      </w:r>
      <w:bookmarkEnd w:id="469"/>
    </w:p>
    <w:p w14:paraId="1DAC62FE" w14:textId="77777777" w:rsidR="003E262D" w:rsidRPr="003E262D" w:rsidRDefault="003E262D" w:rsidP="003E262D"/>
    <w:p w14:paraId="1EC8DA56" w14:textId="795E6F81" w:rsidR="004E06B5" w:rsidRDefault="004E06B5" w:rsidP="003E262D">
      <w:pPr>
        <w:pStyle w:val="Heading5"/>
        <w:rPr>
          <w:rFonts w:ascii="Arial" w:hAnsi="Arial" w:cs="Arial"/>
          <w:color w:val="595959" w:themeColor="text1" w:themeTint="A6"/>
        </w:rPr>
      </w:pPr>
      <w:bookmarkStart w:id="470" w:name="_Toc34208463"/>
      <w:r w:rsidRPr="004E06B5">
        <w:rPr>
          <w:rFonts w:ascii="Arial" w:hAnsi="Arial" w:cs="Arial"/>
          <w:color w:val="595959" w:themeColor="text1" w:themeTint="A6"/>
        </w:rPr>
        <w:t>5.3.3.2.1 Tenascin-C</w:t>
      </w:r>
      <w:bookmarkEnd w:id="470"/>
      <w:r w:rsidRPr="004E06B5">
        <w:rPr>
          <w:rFonts w:ascii="Arial" w:hAnsi="Arial" w:cs="Arial"/>
          <w:color w:val="595959" w:themeColor="text1" w:themeTint="A6"/>
        </w:rPr>
        <w:t xml:space="preserve"> </w:t>
      </w:r>
    </w:p>
    <w:p w14:paraId="36E8A1C6" w14:textId="77777777" w:rsidR="003E262D" w:rsidRPr="003E262D" w:rsidRDefault="003E262D" w:rsidP="003E262D"/>
    <w:p w14:paraId="1A6CCA5E" w14:textId="33DA9B38" w:rsidR="004E06B5" w:rsidRDefault="004E06B5" w:rsidP="004E06B5">
      <w:pPr>
        <w:tabs>
          <w:tab w:val="left" w:pos="1350"/>
        </w:tabs>
        <w:spacing w:line="480" w:lineRule="auto"/>
        <w:jc w:val="both"/>
        <w:rPr>
          <w:rFonts w:ascii="Arial" w:hAnsi="Arial" w:cs="Arial"/>
          <w:color w:val="595959" w:themeColor="text1" w:themeTint="A6"/>
        </w:rPr>
      </w:pPr>
      <w:r w:rsidRPr="004E06B5">
        <w:rPr>
          <w:rFonts w:ascii="Arial" w:hAnsi="Arial" w:cs="Arial"/>
          <w:color w:val="595959" w:themeColor="text1" w:themeTint="A6"/>
        </w:rPr>
        <w:t>Tenascin-C is a large extracellular matrix glycoprotein is associated with various cellular mechanisms such as adhesion modulation, motility, proliferation and differentiation. In the TENOM model; staining of TNC was found localised to the basement membrane only; where the protein it is known to bind fibronectin (Figure 5.1</w:t>
      </w:r>
      <w:r w:rsidR="00030650">
        <w:rPr>
          <w:rFonts w:ascii="Arial" w:hAnsi="Arial" w:cs="Arial"/>
          <w:color w:val="595959" w:themeColor="text1" w:themeTint="A6"/>
        </w:rPr>
        <w:t>4</w:t>
      </w:r>
      <w:r w:rsidRPr="004E06B5">
        <w:rPr>
          <w:rFonts w:ascii="Arial" w:hAnsi="Arial" w:cs="Arial"/>
          <w:color w:val="595959" w:themeColor="text1" w:themeTint="A6"/>
        </w:rPr>
        <w:t xml:space="preserve"> A</w:t>
      </w:r>
      <w:r w:rsidR="00E210EF">
        <w:rPr>
          <w:rFonts w:ascii="Arial" w:hAnsi="Arial" w:cs="Arial"/>
          <w:color w:val="595959" w:themeColor="text1" w:themeTint="A6"/>
        </w:rPr>
        <w:t>, black arrows</w:t>
      </w:r>
      <w:r w:rsidRPr="004E06B5">
        <w:rPr>
          <w:rFonts w:ascii="Arial" w:hAnsi="Arial" w:cs="Arial"/>
          <w:color w:val="595959" w:themeColor="text1" w:themeTint="A6"/>
        </w:rPr>
        <w:t>). The staining pattern changes dramatically in TEAOM model; where staining is clearly visible throughout the whole stromal compartment, mean intensity was 0.37 ± 0.10 (p=0.015) (Figure 5.1</w:t>
      </w:r>
      <w:r w:rsidR="00030650">
        <w:rPr>
          <w:rFonts w:ascii="Arial" w:hAnsi="Arial" w:cs="Arial"/>
          <w:color w:val="595959" w:themeColor="text1" w:themeTint="A6"/>
        </w:rPr>
        <w:t>4</w:t>
      </w:r>
      <w:r w:rsidRPr="004E06B5">
        <w:rPr>
          <w:rFonts w:ascii="Arial" w:hAnsi="Arial" w:cs="Arial"/>
          <w:color w:val="595959" w:themeColor="text1" w:themeTint="A6"/>
        </w:rPr>
        <w:t xml:space="preserve"> B +D) compared to the TENOM model, mean of 0.08 ± 0.02. For the TESCCM, the expression of TNC was observed within the matrix layer and not defined to the basement membrane but was not significantly altered compared to TENOM models (Figure 5.1</w:t>
      </w:r>
      <w:r w:rsidR="00030650">
        <w:rPr>
          <w:rFonts w:ascii="Arial" w:hAnsi="Arial" w:cs="Arial"/>
          <w:color w:val="595959" w:themeColor="text1" w:themeTint="A6"/>
        </w:rPr>
        <w:t>4</w:t>
      </w:r>
      <w:r w:rsidRPr="004E06B5">
        <w:rPr>
          <w:rFonts w:ascii="Arial" w:hAnsi="Arial" w:cs="Arial"/>
          <w:color w:val="595959" w:themeColor="text1" w:themeTint="A6"/>
        </w:rPr>
        <w:t xml:space="preserve"> C + D). </w:t>
      </w:r>
    </w:p>
    <w:p w14:paraId="37A07885" w14:textId="4612AB88" w:rsidR="008E0DEA" w:rsidRDefault="008E0DEA" w:rsidP="004E06B5">
      <w:pPr>
        <w:tabs>
          <w:tab w:val="left" w:pos="1350"/>
        </w:tabs>
        <w:spacing w:line="480" w:lineRule="auto"/>
        <w:jc w:val="both"/>
        <w:rPr>
          <w:rFonts w:ascii="Arial" w:hAnsi="Arial" w:cs="Arial"/>
          <w:color w:val="595959" w:themeColor="text1" w:themeTint="A6"/>
        </w:rPr>
      </w:pPr>
    </w:p>
    <w:p w14:paraId="554B6C9B" w14:textId="49924BE0" w:rsidR="008E0DEA" w:rsidRDefault="008E0DEA" w:rsidP="004E06B5">
      <w:pPr>
        <w:tabs>
          <w:tab w:val="left" w:pos="1350"/>
        </w:tabs>
        <w:spacing w:line="480" w:lineRule="auto"/>
        <w:jc w:val="both"/>
        <w:rPr>
          <w:rFonts w:ascii="Arial" w:hAnsi="Arial" w:cs="Arial"/>
          <w:color w:val="595959" w:themeColor="text1" w:themeTint="A6"/>
        </w:rPr>
      </w:pPr>
    </w:p>
    <w:p w14:paraId="0C75BADA" w14:textId="1B8DF4F2" w:rsidR="008E0DEA" w:rsidRDefault="008E0DEA" w:rsidP="004E06B5">
      <w:pPr>
        <w:tabs>
          <w:tab w:val="left" w:pos="1350"/>
        </w:tabs>
        <w:spacing w:line="480" w:lineRule="auto"/>
        <w:jc w:val="both"/>
        <w:rPr>
          <w:rFonts w:ascii="Arial" w:hAnsi="Arial" w:cs="Arial"/>
          <w:color w:val="595959" w:themeColor="text1" w:themeTint="A6"/>
        </w:rPr>
      </w:pPr>
    </w:p>
    <w:p w14:paraId="2FFAA0C9" w14:textId="3CF713B0" w:rsidR="008E0DEA" w:rsidRDefault="008E0DEA" w:rsidP="004E06B5">
      <w:pPr>
        <w:tabs>
          <w:tab w:val="left" w:pos="1350"/>
        </w:tabs>
        <w:spacing w:line="480" w:lineRule="auto"/>
        <w:jc w:val="both"/>
        <w:rPr>
          <w:rFonts w:ascii="Arial" w:hAnsi="Arial" w:cs="Arial"/>
          <w:color w:val="595959" w:themeColor="text1" w:themeTint="A6"/>
        </w:rPr>
      </w:pPr>
    </w:p>
    <w:p w14:paraId="6DBB2A84" w14:textId="405AF327" w:rsidR="008E0DEA" w:rsidRDefault="008E0DEA" w:rsidP="004E06B5">
      <w:pPr>
        <w:tabs>
          <w:tab w:val="left" w:pos="1350"/>
        </w:tabs>
        <w:spacing w:line="480" w:lineRule="auto"/>
        <w:jc w:val="both"/>
        <w:rPr>
          <w:rFonts w:ascii="Arial" w:hAnsi="Arial" w:cs="Arial"/>
          <w:color w:val="595959" w:themeColor="text1" w:themeTint="A6"/>
        </w:rPr>
      </w:pPr>
    </w:p>
    <w:p w14:paraId="7C2EF9E7" w14:textId="313611D9" w:rsidR="008E0DEA" w:rsidRDefault="008E0DEA" w:rsidP="004E06B5">
      <w:pPr>
        <w:tabs>
          <w:tab w:val="left" w:pos="1350"/>
        </w:tabs>
        <w:spacing w:line="480" w:lineRule="auto"/>
        <w:jc w:val="both"/>
        <w:rPr>
          <w:rFonts w:ascii="Arial" w:hAnsi="Arial" w:cs="Arial"/>
          <w:color w:val="595959" w:themeColor="text1" w:themeTint="A6"/>
        </w:rPr>
      </w:pPr>
    </w:p>
    <w:p w14:paraId="02578049" w14:textId="71E12AD0" w:rsidR="008E0DEA" w:rsidRDefault="008E0DEA" w:rsidP="004E06B5">
      <w:pPr>
        <w:tabs>
          <w:tab w:val="left" w:pos="1350"/>
        </w:tabs>
        <w:spacing w:line="480" w:lineRule="auto"/>
        <w:jc w:val="both"/>
        <w:rPr>
          <w:rFonts w:ascii="Arial" w:hAnsi="Arial" w:cs="Arial"/>
          <w:color w:val="595959" w:themeColor="text1" w:themeTint="A6"/>
        </w:rPr>
      </w:pPr>
    </w:p>
    <w:p w14:paraId="6634538A" w14:textId="0075CE25" w:rsidR="008E0DEA" w:rsidRDefault="008E0DEA" w:rsidP="004E06B5">
      <w:pPr>
        <w:tabs>
          <w:tab w:val="left" w:pos="1350"/>
        </w:tabs>
        <w:spacing w:line="480" w:lineRule="auto"/>
        <w:jc w:val="both"/>
        <w:rPr>
          <w:rFonts w:ascii="Arial" w:hAnsi="Arial" w:cs="Arial"/>
          <w:color w:val="595959" w:themeColor="text1" w:themeTint="A6"/>
        </w:rPr>
      </w:pPr>
    </w:p>
    <w:p w14:paraId="42722254" w14:textId="2F9BD5E5" w:rsidR="008E0DEA" w:rsidRDefault="008E0DEA" w:rsidP="004E06B5">
      <w:pPr>
        <w:tabs>
          <w:tab w:val="left" w:pos="1350"/>
        </w:tabs>
        <w:spacing w:line="480" w:lineRule="auto"/>
        <w:jc w:val="both"/>
        <w:rPr>
          <w:rFonts w:ascii="Arial" w:hAnsi="Arial" w:cs="Arial"/>
          <w:color w:val="595959" w:themeColor="text1" w:themeTint="A6"/>
        </w:rPr>
      </w:pPr>
    </w:p>
    <w:p w14:paraId="08698E48" w14:textId="54841CB3" w:rsidR="008E0DEA" w:rsidRDefault="008E0DEA" w:rsidP="004E06B5">
      <w:pPr>
        <w:tabs>
          <w:tab w:val="left" w:pos="1350"/>
        </w:tabs>
        <w:spacing w:line="480" w:lineRule="auto"/>
        <w:jc w:val="both"/>
        <w:rPr>
          <w:rFonts w:ascii="Arial" w:hAnsi="Arial" w:cs="Arial"/>
          <w:color w:val="595959" w:themeColor="text1" w:themeTint="A6"/>
        </w:rPr>
      </w:pPr>
    </w:p>
    <w:p w14:paraId="6B4DCFDF" w14:textId="232C9DD7" w:rsidR="008E0DEA" w:rsidRDefault="008E0DEA" w:rsidP="004E06B5">
      <w:pPr>
        <w:tabs>
          <w:tab w:val="left" w:pos="1350"/>
        </w:tabs>
        <w:spacing w:line="480" w:lineRule="auto"/>
        <w:jc w:val="both"/>
        <w:rPr>
          <w:rFonts w:ascii="Arial" w:hAnsi="Arial" w:cs="Arial"/>
          <w:color w:val="595959" w:themeColor="text1" w:themeTint="A6"/>
        </w:rPr>
      </w:pPr>
    </w:p>
    <w:p w14:paraId="01B01674" w14:textId="5B5A0F58" w:rsidR="008E0DEA" w:rsidRDefault="008E0DEA" w:rsidP="004E06B5">
      <w:pPr>
        <w:tabs>
          <w:tab w:val="left" w:pos="1350"/>
        </w:tabs>
        <w:spacing w:line="480" w:lineRule="auto"/>
        <w:jc w:val="both"/>
        <w:rPr>
          <w:rFonts w:ascii="Arial" w:hAnsi="Arial" w:cs="Arial"/>
          <w:color w:val="595959" w:themeColor="text1" w:themeTint="A6"/>
        </w:rPr>
      </w:pPr>
    </w:p>
    <w:p w14:paraId="290B8D72" w14:textId="0552BBC0" w:rsidR="008E0DEA" w:rsidRPr="004E06B5" w:rsidRDefault="008E0DEA" w:rsidP="004E06B5">
      <w:pPr>
        <w:tabs>
          <w:tab w:val="left" w:pos="1350"/>
        </w:tabs>
        <w:spacing w:line="480" w:lineRule="auto"/>
        <w:jc w:val="both"/>
        <w:rPr>
          <w:rFonts w:ascii="Arial" w:hAnsi="Arial" w:cs="Arial"/>
          <w:color w:val="595959" w:themeColor="text1" w:themeTint="A6"/>
        </w:rPr>
      </w:pPr>
      <w:r>
        <w:rPr>
          <w:rFonts w:ascii="Arial" w:hAnsi="Arial" w:cs="Arial"/>
          <w:noProof/>
          <w:color w:val="595959" w:themeColor="text1" w:themeTint="A6"/>
        </w:rPr>
        <w:drawing>
          <wp:anchor distT="0" distB="0" distL="114300" distR="114300" simplePos="0" relativeHeight="251692299" behindDoc="0" locked="0" layoutInCell="1" allowOverlap="1" wp14:anchorId="0DD5EA9B" wp14:editId="0A4F2CCC">
            <wp:simplePos x="0" y="0"/>
            <wp:positionH relativeFrom="margin">
              <wp:align>left</wp:align>
            </wp:positionH>
            <wp:positionV relativeFrom="paragraph">
              <wp:posOffset>0</wp:posOffset>
            </wp:positionV>
            <wp:extent cx="6102350" cy="4694555"/>
            <wp:effectExtent l="0" t="0" r="0" b="0"/>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6102350" cy="4694555"/>
                    </a:xfrm>
                    <a:prstGeom prst="rect">
                      <a:avLst/>
                    </a:prstGeom>
                    <a:noFill/>
                  </pic:spPr>
                </pic:pic>
              </a:graphicData>
            </a:graphic>
          </wp:anchor>
        </w:drawing>
      </w:r>
    </w:p>
    <w:p w14:paraId="5A9C49AB"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38C316F0"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2F53CBA8"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3CB8B709"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1552A74B"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1EE8A59D"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5E2648CE"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7DC3FFB1"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633528FA" w14:textId="335FCB10" w:rsidR="004E06B5" w:rsidRPr="004E06B5" w:rsidRDefault="004E06B5" w:rsidP="004E06B5">
      <w:pPr>
        <w:tabs>
          <w:tab w:val="left" w:pos="1350"/>
        </w:tabs>
        <w:spacing w:line="480" w:lineRule="auto"/>
        <w:jc w:val="both"/>
        <w:rPr>
          <w:rFonts w:ascii="Arial" w:hAnsi="Arial" w:cs="Arial"/>
          <w:color w:val="595959" w:themeColor="text1" w:themeTint="A6"/>
        </w:rPr>
      </w:pPr>
    </w:p>
    <w:p w14:paraId="0971EC72"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72887AEC" w14:textId="663CDA81" w:rsidR="004E06B5" w:rsidRPr="004E06B5" w:rsidRDefault="008E0DEA" w:rsidP="004E06B5">
      <w:pPr>
        <w:tabs>
          <w:tab w:val="left" w:pos="1350"/>
        </w:tabs>
        <w:spacing w:line="480" w:lineRule="auto"/>
        <w:jc w:val="both"/>
        <w:rPr>
          <w:rFonts w:ascii="Arial" w:hAnsi="Arial" w:cs="Arial"/>
          <w:color w:val="595959" w:themeColor="text1" w:themeTint="A6"/>
        </w:rPr>
      </w:pPr>
      <w:r w:rsidRPr="004E06B5">
        <w:rPr>
          <w:rFonts w:ascii="Arial" w:hAnsi="Arial" w:cs="Arial"/>
          <w:noProof/>
          <w:color w:val="595959" w:themeColor="text1" w:themeTint="A6"/>
          <w:sz w:val="24"/>
          <w:szCs w:val="24"/>
          <w:lang w:eastAsia="zh-CN"/>
        </w:rPr>
        <mc:AlternateContent>
          <mc:Choice Requires="wps">
            <w:drawing>
              <wp:anchor distT="0" distB="0" distL="114300" distR="114300" simplePos="0" relativeHeight="251658391" behindDoc="0" locked="0" layoutInCell="1" allowOverlap="1" wp14:anchorId="11C2B043" wp14:editId="4636891D">
                <wp:simplePos x="0" y="0"/>
                <wp:positionH relativeFrom="margin">
                  <wp:align>right</wp:align>
                </wp:positionH>
                <wp:positionV relativeFrom="paragraph">
                  <wp:posOffset>376745</wp:posOffset>
                </wp:positionV>
                <wp:extent cx="5734050" cy="1724025"/>
                <wp:effectExtent l="0" t="0" r="0" b="9525"/>
                <wp:wrapNone/>
                <wp:docPr id="209" name="Text Box 2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1724025"/>
                        </a:xfrm>
                        <a:prstGeom prst="rect">
                          <a:avLst/>
                        </a:prstGeom>
                        <a:solidFill>
                          <a:srgbClr val="FFFFFF"/>
                        </a:solidFill>
                        <a:ln w="9525">
                          <a:noFill/>
                          <a:miter lim="800000"/>
                          <a:headEnd/>
                          <a:tailEnd/>
                        </a:ln>
                      </wps:spPr>
                      <wps:txbx>
                        <w:txbxContent>
                          <w:p w14:paraId="26B6B255" w14:textId="46E7FAC3" w:rsidR="008A47AC" w:rsidRPr="006B7937" w:rsidRDefault="008A47AC" w:rsidP="004E06B5">
                            <w:pPr>
                              <w:pStyle w:val="Caption"/>
                              <w:keepNext/>
                              <w:jc w:val="both"/>
                              <w:rPr>
                                <w:rFonts w:ascii="Arial Narrow" w:hAnsi="Arial Narrow"/>
                                <w:b/>
                                <w:i w:val="0"/>
                                <w:sz w:val="24"/>
                                <w:szCs w:val="24"/>
                              </w:rPr>
                            </w:pPr>
                            <w:r w:rsidRPr="006B7937">
                              <w:rPr>
                                <w:rFonts w:ascii="Arial Narrow" w:hAnsi="Arial Narrow"/>
                                <w:b/>
                                <w:i w:val="0"/>
                                <w:color w:val="595959" w:themeColor="text1" w:themeTint="A6"/>
                                <w:sz w:val="24"/>
                                <w:szCs w:val="24"/>
                              </w:rPr>
                              <w:t>Figure</w:t>
                            </w:r>
                            <w:r>
                              <w:rPr>
                                <w:rFonts w:ascii="Arial Narrow" w:hAnsi="Arial Narrow"/>
                                <w:b/>
                                <w:i w:val="0"/>
                                <w:color w:val="595959" w:themeColor="text1" w:themeTint="A6"/>
                                <w:sz w:val="24"/>
                                <w:szCs w:val="24"/>
                              </w:rPr>
                              <w:t xml:space="preserve"> 5.14 Immunohistochemical analysis of tenascin-c in tissue-engineered oral mucosa models</w:t>
                            </w:r>
                          </w:p>
                          <w:p w14:paraId="49E4321B" w14:textId="6887CFBF" w:rsidR="008A47AC" w:rsidRPr="00B8170A" w:rsidRDefault="008A47AC" w:rsidP="004E06B5">
                            <w:pPr>
                              <w:pStyle w:val="NormalWeb"/>
                              <w:spacing w:after="200" w:line="276" w:lineRule="auto"/>
                              <w:jc w:val="both"/>
                            </w:pPr>
                            <w:r>
                              <w:rPr>
                                <w:rFonts w:ascii="Arial Narrow" w:eastAsia="SimSun" w:hAnsi="Arial Narrow" w:cs="Arial"/>
                                <w:color w:val="595959" w:themeColor="text1" w:themeTint="A6"/>
                                <w:kern w:val="24"/>
                                <w:sz w:val="22"/>
                                <w:szCs w:val="22"/>
                              </w:rPr>
                              <w:t xml:space="preserve">Full thickness tissue-engineered models were produced on FDM and cultured for 12 days at an air-to-liquid </w:t>
                            </w:r>
                            <w:r w:rsidRPr="00D92EDA">
                              <w:rPr>
                                <w:rFonts w:ascii="Arial Narrow" w:eastAsia="SimSun" w:hAnsi="Arial Narrow" w:cs="Arial"/>
                                <w:color w:val="595959" w:themeColor="text1" w:themeTint="A6"/>
                                <w:kern w:val="24"/>
                                <w:sz w:val="22"/>
                                <w:szCs w:val="22"/>
                              </w:rPr>
                              <w:t xml:space="preserve">interface before being subjected to histological processing and immunohistochemical staining for TNC (brown) and haematoxylin counterstain (blue). Representative images of TENOM (A). Black arrows indicate prominent staining at basement membrane. TEAOM </w:t>
                            </w:r>
                            <w:r>
                              <w:rPr>
                                <w:rFonts w:ascii="Arial Narrow" w:eastAsia="SimSun" w:hAnsi="Arial Narrow" w:cs="Arial"/>
                                <w:color w:val="595959" w:themeColor="text1" w:themeTint="A6"/>
                                <w:kern w:val="24"/>
                                <w:sz w:val="22"/>
                                <w:szCs w:val="22"/>
                              </w:rPr>
                              <w:t xml:space="preserve">(B) and TESCCM (C) and semi-quantitative analysis of the optical density of staining intensity (D). Data shows mean ± SD </w:t>
                            </w:r>
                            <w:r w:rsidRPr="00E72F77">
                              <w:rPr>
                                <w:rFonts w:ascii="Arial Narrow" w:eastAsia="SimSun" w:hAnsi="Arial Narrow" w:cs="Arial"/>
                                <w:color w:val="595959" w:themeColor="text1" w:themeTint="A6"/>
                                <w:kern w:val="24"/>
                                <w:sz w:val="22"/>
                                <w:szCs w:val="22"/>
                              </w:rPr>
                              <w:t>(N=</w:t>
                            </w:r>
                            <w:r>
                              <w:rPr>
                                <w:rFonts w:ascii="Arial Narrow" w:eastAsia="SimSun" w:hAnsi="Arial Narrow" w:cs="Arial"/>
                                <w:color w:val="595959" w:themeColor="text1" w:themeTint="A6"/>
                                <w:kern w:val="24"/>
                                <w:sz w:val="22"/>
                                <w:szCs w:val="22"/>
                              </w:rPr>
                              <w:t>3</w:t>
                            </w:r>
                            <w:r w:rsidRPr="00E72F77">
                              <w:rPr>
                                <w:rFonts w:ascii="Arial Narrow" w:eastAsia="SimSun" w:hAnsi="Arial Narrow" w:cs="Arial"/>
                                <w:color w:val="595959" w:themeColor="text1" w:themeTint="A6"/>
                                <w:kern w:val="24"/>
                                <w:sz w:val="22"/>
                                <w:szCs w:val="22"/>
                              </w:rPr>
                              <w:t>, n=</w:t>
                            </w:r>
                            <w:r>
                              <w:rPr>
                                <w:rFonts w:ascii="Arial Narrow" w:eastAsia="SimSun" w:hAnsi="Arial Narrow" w:cs="Arial"/>
                                <w:color w:val="595959" w:themeColor="text1" w:themeTint="A6"/>
                                <w:kern w:val="24"/>
                                <w:sz w:val="22"/>
                                <w:szCs w:val="22"/>
                              </w:rPr>
                              <w:t>2</w:t>
                            </w:r>
                            <w:r w:rsidRPr="00E72F77">
                              <w:rPr>
                                <w:rFonts w:ascii="Arial Narrow" w:eastAsia="SimSun" w:hAnsi="Arial Narrow" w:cs="Arial"/>
                                <w:color w:val="595959" w:themeColor="text1" w:themeTint="A6"/>
                                <w:kern w:val="24"/>
                                <w:sz w:val="22"/>
                                <w:szCs w:val="22"/>
                              </w:rPr>
                              <w:t>).</w:t>
                            </w:r>
                            <w:r>
                              <w:rPr>
                                <w:rFonts w:ascii="Arial Narrow" w:eastAsia="SimSun" w:hAnsi="Arial Narrow" w:cs="Arial"/>
                                <w:color w:val="595959" w:themeColor="text1" w:themeTint="A6"/>
                                <w:kern w:val="24"/>
                                <w:sz w:val="22"/>
                                <w:szCs w:val="22"/>
                              </w:rPr>
                              <w:t xml:space="preserve"> * p &lt;0.05, compared to TENOM as analysed by Kruskal-Wallis test with Dunn’s multiple comparison. Scale bar = 50 µm.</w:t>
                            </w:r>
                          </w:p>
                          <w:p w14:paraId="52631DBC" w14:textId="77777777" w:rsidR="008A47AC" w:rsidRPr="00B8170A" w:rsidRDefault="008A47AC" w:rsidP="004E06B5">
                            <w:pPr>
                              <w:pStyle w:val="NormalWeb"/>
                              <w:spacing w:after="200" w:line="276" w:lineRule="auto"/>
                              <w:jc w:val="both"/>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C2B043" id="Text Box 209" o:spid="_x0000_s1192" type="#_x0000_t202" style="position:absolute;left:0;text-align:left;margin-left:400.3pt;margin-top:29.65pt;width:451.5pt;height:135.75pt;z-index:251658391;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" stroked="f">
                <v:textbox>
                  <w:txbxContent>
                    <w:p w14:paraId="26B6B255" w14:textId="46E7FAC3" w:rsidR="008A47AC" w:rsidRPr="006B7937" w:rsidRDefault="008A47AC" w:rsidP="004E06B5">
                      <w:pPr>
                        <w:pStyle w:val="Caption"/>
                        <w:keepNext/>
                        <w:jc w:val="both"/>
                        <w:rPr>
                          <w:rFonts w:ascii="Arial Narrow" w:hAnsi="Arial Narrow"/>
                          <w:b/>
                          <w:i w:val="0"/>
                          <w:sz w:val="24"/>
                          <w:szCs w:val="24"/>
                        </w:rPr>
                      </w:pPr>
                      <w:r w:rsidRPr="006B7937">
                        <w:rPr>
                          <w:rFonts w:ascii="Arial Narrow" w:hAnsi="Arial Narrow"/>
                          <w:b/>
                          <w:i w:val="0"/>
                          <w:color w:val="595959" w:themeColor="text1" w:themeTint="A6"/>
                          <w:sz w:val="24"/>
                          <w:szCs w:val="24"/>
                        </w:rPr>
                        <w:t>Figure</w:t>
                      </w:r>
                      <w:r>
                        <w:rPr>
                          <w:rFonts w:ascii="Arial Narrow" w:hAnsi="Arial Narrow"/>
                          <w:b/>
                          <w:i w:val="0"/>
                          <w:color w:val="595959" w:themeColor="text1" w:themeTint="A6"/>
                          <w:sz w:val="24"/>
                          <w:szCs w:val="24"/>
                        </w:rPr>
                        <w:t xml:space="preserve"> 5.14 Immunohistochemical analysis of tenascin-c in tissue-engineered oral mucosa models</w:t>
                      </w:r>
                    </w:p>
                    <w:p w14:paraId="49E4321B" w14:textId="6887CFBF" w:rsidR="008A47AC" w:rsidRPr="00B8170A" w:rsidRDefault="008A47AC" w:rsidP="004E06B5">
                      <w:pPr>
                        <w:pStyle w:val="NormalWeb"/>
                        <w:spacing w:after="200" w:line="276" w:lineRule="auto"/>
                        <w:jc w:val="both"/>
                      </w:pPr>
                      <w:r>
                        <w:rPr>
                          <w:rFonts w:ascii="Arial Narrow" w:eastAsia="SimSun" w:hAnsi="Arial Narrow" w:cs="Arial"/>
                          <w:color w:val="595959" w:themeColor="text1" w:themeTint="A6"/>
                          <w:kern w:val="24"/>
                          <w:sz w:val="22"/>
                          <w:szCs w:val="22"/>
                        </w:rPr>
                        <w:t xml:space="preserve">Full thickness tissue-engineered models were produced on FDM and cultured for 12 days at an air-to-liquid </w:t>
                      </w:r>
                      <w:r w:rsidRPr="00D92EDA">
                        <w:rPr>
                          <w:rFonts w:ascii="Arial Narrow" w:eastAsia="SimSun" w:hAnsi="Arial Narrow" w:cs="Arial"/>
                          <w:color w:val="595959" w:themeColor="text1" w:themeTint="A6"/>
                          <w:kern w:val="24"/>
                          <w:sz w:val="22"/>
                          <w:szCs w:val="22"/>
                        </w:rPr>
                        <w:t xml:space="preserve">interface before being subjected to histological processing and immunohistochemical staining for TNC (brown) and haematoxylin counterstain (blue). Representative images of TENOM (A). Black arrows indicate prominent staining at basement membrane. TEAOM </w:t>
                      </w:r>
                      <w:r>
                        <w:rPr>
                          <w:rFonts w:ascii="Arial Narrow" w:eastAsia="SimSun" w:hAnsi="Arial Narrow" w:cs="Arial"/>
                          <w:color w:val="595959" w:themeColor="text1" w:themeTint="A6"/>
                          <w:kern w:val="24"/>
                          <w:sz w:val="22"/>
                          <w:szCs w:val="22"/>
                        </w:rPr>
                        <w:t xml:space="preserve">(B) and TESCCM (C) and semi-quantitative analysis of the optical density of staining intensity (D). Data shows mean ± SD </w:t>
                      </w:r>
                      <w:r w:rsidRPr="00E72F77">
                        <w:rPr>
                          <w:rFonts w:ascii="Arial Narrow" w:eastAsia="SimSun" w:hAnsi="Arial Narrow" w:cs="Arial"/>
                          <w:color w:val="595959" w:themeColor="text1" w:themeTint="A6"/>
                          <w:kern w:val="24"/>
                          <w:sz w:val="22"/>
                          <w:szCs w:val="22"/>
                        </w:rPr>
                        <w:t>(N=</w:t>
                      </w:r>
                      <w:r>
                        <w:rPr>
                          <w:rFonts w:ascii="Arial Narrow" w:eastAsia="SimSun" w:hAnsi="Arial Narrow" w:cs="Arial"/>
                          <w:color w:val="595959" w:themeColor="text1" w:themeTint="A6"/>
                          <w:kern w:val="24"/>
                          <w:sz w:val="22"/>
                          <w:szCs w:val="22"/>
                        </w:rPr>
                        <w:t>3</w:t>
                      </w:r>
                      <w:r w:rsidRPr="00E72F77">
                        <w:rPr>
                          <w:rFonts w:ascii="Arial Narrow" w:eastAsia="SimSun" w:hAnsi="Arial Narrow" w:cs="Arial"/>
                          <w:color w:val="595959" w:themeColor="text1" w:themeTint="A6"/>
                          <w:kern w:val="24"/>
                          <w:sz w:val="22"/>
                          <w:szCs w:val="22"/>
                        </w:rPr>
                        <w:t>, n=</w:t>
                      </w:r>
                      <w:r>
                        <w:rPr>
                          <w:rFonts w:ascii="Arial Narrow" w:eastAsia="SimSun" w:hAnsi="Arial Narrow" w:cs="Arial"/>
                          <w:color w:val="595959" w:themeColor="text1" w:themeTint="A6"/>
                          <w:kern w:val="24"/>
                          <w:sz w:val="22"/>
                          <w:szCs w:val="22"/>
                        </w:rPr>
                        <w:t>2</w:t>
                      </w:r>
                      <w:r w:rsidRPr="00E72F77">
                        <w:rPr>
                          <w:rFonts w:ascii="Arial Narrow" w:eastAsia="SimSun" w:hAnsi="Arial Narrow" w:cs="Arial"/>
                          <w:color w:val="595959" w:themeColor="text1" w:themeTint="A6"/>
                          <w:kern w:val="24"/>
                          <w:sz w:val="22"/>
                          <w:szCs w:val="22"/>
                        </w:rPr>
                        <w:t>).</w:t>
                      </w:r>
                      <w:r>
                        <w:rPr>
                          <w:rFonts w:ascii="Arial Narrow" w:eastAsia="SimSun" w:hAnsi="Arial Narrow" w:cs="Arial"/>
                          <w:color w:val="595959" w:themeColor="text1" w:themeTint="A6"/>
                          <w:kern w:val="24"/>
                          <w:sz w:val="22"/>
                          <w:szCs w:val="22"/>
                        </w:rPr>
                        <w:t xml:space="preserve"> * p &lt;0.05, compared to TENOM as analysed by Kruskal-Wallis test with Dunn’s multiple comparison. Scale bar = 50 µm.</w:t>
                      </w:r>
                    </w:p>
                    <w:p w14:paraId="52631DBC" w14:textId="77777777" w:rsidR="008A47AC" w:rsidRPr="00B8170A" w:rsidRDefault="008A47AC" w:rsidP="004E06B5">
                      <w:pPr>
                        <w:pStyle w:val="NormalWeb"/>
                        <w:spacing w:after="200" w:line="276" w:lineRule="auto"/>
                        <w:jc w:val="both"/>
                      </w:pPr>
                    </w:p>
                  </w:txbxContent>
                </v:textbox>
                <w10:wrap anchorx="margin"/>
              </v:shape>
            </w:pict>
          </mc:Fallback>
        </mc:AlternateContent>
      </w:r>
    </w:p>
    <w:p w14:paraId="78E0A1B2" w14:textId="1E954597" w:rsidR="004E06B5" w:rsidRPr="004E06B5" w:rsidRDefault="004E06B5" w:rsidP="004E06B5">
      <w:pPr>
        <w:tabs>
          <w:tab w:val="left" w:pos="1350"/>
        </w:tabs>
        <w:spacing w:line="480" w:lineRule="auto"/>
        <w:jc w:val="both"/>
        <w:rPr>
          <w:rFonts w:ascii="Arial" w:hAnsi="Arial" w:cs="Arial"/>
          <w:color w:val="595959" w:themeColor="text1" w:themeTint="A6"/>
        </w:rPr>
      </w:pPr>
    </w:p>
    <w:p w14:paraId="5CA83481" w14:textId="5D88DAC0" w:rsidR="004E06B5" w:rsidRPr="004E06B5" w:rsidRDefault="004E06B5" w:rsidP="004E06B5">
      <w:pPr>
        <w:tabs>
          <w:tab w:val="left" w:pos="1350"/>
        </w:tabs>
        <w:spacing w:line="480" w:lineRule="auto"/>
        <w:jc w:val="both"/>
        <w:rPr>
          <w:rFonts w:ascii="Arial" w:hAnsi="Arial" w:cs="Arial"/>
          <w:color w:val="595959" w:themeColor="text1" w:themeTint="A6"/>
        </w:rPr>
      </w:pPr>
    </w:p>
    <w:p w14:paraId="3BF32908"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7A79EE85"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32C0639F"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19BA959E"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260A937C" w14:textId="3D39BC09" w:rsidR="004E06B5" w:rsidRDefault="004E06B5" w:rsidP="004E06B5">
      <w:pPr>
        <w:tabs>
          <w:tab w:val="left" w:pos="1350"/>
        </w:tabs>
        <w:spacing w:line="480" w:lineRule="auto"/>
        <w:jc w:val="both"/>
        <w:rPr>
          <w:rFonts w:ascii="Arial" w:hAnsi="Arial" w:cs="Arial"/>
          <w:color w:val="595959" w:themeColor="text1" w:themeTint="A6"/>
        </w:rPr>
      </w:pPr>
    </w:p>
    <w:p w14:paraId="6AEF8374" w14:textId="0192DF59" w:rsidR="00EB3F80" w:rsidRDefault="00EB3F80" w:rsidP="004E06B5">
      <w:pPr>
        <w:tabs>
          <w:tab w:val="left" w:pos="1350"/>
        </w:tabs>
        <w:spacing w:line="480" w:lineRule="auto"/>
        <w:jc w:val="both"/>
        <w:rPr>
          <w:rFonts w:ascii="Arial" w:hAnsi="Arial" w:cs="Arial"/>
          <w:color w:val="595959" w:themeColor="text1" w:themeTint="A6"/>
        </w:rPr>
      </w:pPr>
    </w:p>
    <w:p w14:paraId="7A8F0383" w14:textId="77777777" w:rsidR="00EB3F80" w:rsidRPr="004E06B5" w:rsidRDefault="00EB3F80" w:rsidP="004E06B5">
      <w:pPr>
        <w:tabs>
          <w:tab w:val="left" w:pos="1350"/>
        </w:tabs>
        <w:spacing w:line="480" w:lineRule="auto"/>
        <w:jc w:val="both"/>
        <w:rPr>
          <w:rFonts w:ascii="Arial" w:hAnsi="Arial" w:cs="Arial"/>
          <w:color w:val="595959" w:themeColor="text1" w:themeTint="A6"/>
        </w:rPr>
      </w:pPr>
    </w:p>
    <w:p w14:paraId="7EC8C1A7" w14:textId="1592F0CA" w:rsidR="004E06B5" w:rsidRDefault="004E06B5" w:rsidP="003E262D">
      <w:pPr>
        <w:pStyle w:val="Heading5"/>
        <w:rPr>
          <w:rFonts w:ascii="Arial" w:hAnsi="Arial" w:cs="Arial"/>
          <w:color w:val="595959" w:themeColor="text1" w:themeTint="A6"/>
        </w:rPr>
      </w:pPr>
      <w:bookmarkStart w:id="471" w:name="_Toc34208464"/>
      <w:r w:rsidRPr="004E06B5">
        <w:rPr>
          <w:rFonts w:ascii="Arial" w:hAnsi="Arial" w:cs="Arial"/>
          <w:color w:val="595959" w:themeColor="text1" w:themeTint="A6"/>
        </w:rPr>
        <w:t>5.3.3.2.2 Vimentin</w:t>
      </w:r>
      <w:bookmarkEnd w:id="471"/>
    </w:p>
    <w:p w14:paraId="412C3047" w14:textId="77777777" w:rsidR="003E262D" w:rsidRPr="003E262D" w:rsidRDefault="003E262D" w:rsidP="003E262D"/>
    <w:p w14:paraId="76BA1A0D" w14:textId="43C767A0" w:rsidR="004E06B5" w:rsidRPr="004E06B5" w:rsidRDefault="004E06B5" w:rsidP="004E06B5">
      <w:pPr>
        <w:tabs>
          <w:tab w:val="left" w:pos="1350"/>
        </w:tabs>
        <w:spacing w:line="480" w:lineRule="auto"/>
        <w:jc w:val="both"/>
        <w:rPr>
          <w:rFonts w:ascii="Arial" w:hAnsi="Arial" w:cs="Arial"/>
          <w:color w:val="595959" w:themeColor="text1" w:themeTint="A6"/>
        </w:rPr>
      </w:pPr>
      <w:r w:rsidRPr="004E06B5">
        <w:rPr>
          <w:rFonts w:ascii="Arial" w:hAnsi="Arial" w:cs="Arial"/>
          <w:color w:val="595959" w:themeColor="text1" w:themeTint="A6"/>
        </w:rPr>
        <w:t>Vimentin is a 57 kDa protein and is a major constituent of the intermediate filament (IF) family of proteins. It is ubiquitously expressed in normal mesenchymal cells such as fibroblasts and this protein functions to maintain cellular integrity and provide resistance against stress. The expression of vimentin in tissue-engineered (TE) models was localised to fibroblasts found within the matrix layer (Figure 5.1</w:t>
      </w:r>
      <w:r w:rsidR="009D31E8">
        <w:rPr>
          <w:rFonts w:ascii="Arial" w:hAnsi="Arial" w:cs="Arial"/>
          <w:color w:val="595959" w:themeColor="text1" w:themeTint="A6"/>
        </w:rPr>
        <w:t>5</w:t>
      </w:r>
      <w:r w:rsidRPr="004E06B5">
        <w:rPr>
          <w:rFonts w:ascii="Arial" w:hAnsi="Arial" w:cs="Arial"/>
          <w:color w:val="595959" w:themeColor="text1" w:themeTint="A6"/>
        </w:rPr>
        <w:t xml:space="preserve"> A+B). There was an increased intensity of staining of vimentin in the TEAOM model, with a mean of 0.14 ± 0.03 specifically in the fibroblasts found in close proximity to the epithelium (Figure 5.1</w:t>
      </w:r>
      <w:r w:rsidR="00867B8A">
        <w:rPr>
          <w:rFonts w:ascii="Arial" w:hAnsi="Arial" w:cs="Arial"/>
          <w:color w:val="595959" w:themeColor="text1" w:themeTint="A6"/>
        </w:rPr>
        <w:t>5</w:t>
      </w:r>
      <w:r w:rsidRPr="004E06B5">
        <w:rPr>
          <w:rFonts w:ascii="Arial" w:hAnsi="Arial" w:cs="Arial"/>
          <w:color w:val="595959" w:themeColor="text1" w:themeTint="A6"/>
        </w:rPr>
        <w:t xml:space="preserve"> B). The TESCCM showed a distinct increased staining with a mean increase to 0.19 ± 0.02 compared to TENOM (p=0.0323) (Figure 5.1</w:t>
      </w:r>
      <w:r w:rsidR="009D31E8">
        <w:rPr>
          <w:rFonts w:ascii="Arial" w:hAnsi="Arial" w:cs="Arial"/>
          <w:color w:val="595959" w:themeColor="text1" w:themeTint="A6"/>
        </w:rPr>
        <w:t>5</w:t>
      </w:r>
      <w:r w:rsidRPr="004E06B5">
        <w:rPr>
          <w:rFonts w:ascii="Arial" w:hAnsi="Arial" w:cs="Arial"/>
          <w:color w:val="595959" w:themeColor="text1" w:themeTint="A6"/>
        </w:rPr>
        <w:t xml:space="preserve"> C-D). </w:t>
      </w:r>
    </w:p>
    <w:p w14:paraId="5C8664A0"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2ACF2A5D"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6898FC43"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5012854F"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719101E9"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63033C28"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0E27B5C2"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2474842F"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24FFB519"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00D35880"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46F6E6DD"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09038741"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676874D2"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2D567C93"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69F5D689" w14:textId="77777777" w:rsidR="004E06B5" w:rsidRPr="004E06B5" w:rsidRDefault="004E06B5" w:rsidP="004E06B5">
      <w:pPr>
        <w:tabs>
          <w:tab w:val="left" w:pos="1350"/>
        </w:tabs>
        <w:spacing w:line="480" w:lineRule="auto"/>
        <w:jc w:val="both"/>
        <w:rPr>
          <w:rFonts w:ascii="Arial" w:hAnsi="Arial" w:cs="Arial"/>
          <w:color w:val="595959" w:themeColor="text1" w:themeTint="A6"/>
        </w:rPr>
      </w:pPr>
      <w:r w:rsidRPr="004E06B5">
        <w:rPr>
          <w:rFonts w:ascii="Arial" w:hAnsi="Arial" w:cs="Arial"/>
          <w:noProof/>
          <w:color w:val="595959" w:themeColor="text1" w:themeTint="A6"/>
          <w:lang w:eastAsia="zh-CN"/>
        </w:rPr>
        <w:drawing>
          <wp:anchor distT="0" distB="0" distL="114300" distR="114300" simplePos="0" relativeHeight="251658424" behindDoc="0" locked="0" layoutInCell="1" allowOverlap="1" wp14:anchorId="53BB74E5" wp14:editId="4541A35B">
            <wp:simplePos x="0" y="0"/>
            <wp:positionH relativeFrom="column">
              <wp:posOffset>0</wp:posOffset>
            </wp:positionH>
            <wp:positionV relativeFrom="paragraph">
              <wp:posOffset>91440</wp:posOffset>
            </wp:positionV>
            <wp:extent cx="5734050" cy="4541442"/>
            <wp:effectExtent l="0" t="0" r="0" b="0"/>
            <wp:wrapNone/>
            <wp:docPr id="5368" name="Picture 5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741622" cy="4547439"/>
                    </a:xfrm>
                    <a:prstGeom prst="rect">
                      <a:avLst/>
                    </a:prstGeom>
                    <a:noFill/>
                  </pic:spPr>
                </pic:pic>
              </a:graphicData>
            </a:graphic>
            <wp14:sizeRelH relativeFrom="page">
              <wp14:pctWidth>0</wp14:pctWidth>
            </wp14:sizeRelH>
            <wp14:sizeRelV relativeFrom="page">
              <wp14:pctHeight>0</wp14:pctHeight>
            </wp14:sizeRelV>
          </wp:anchor>
        </w:drawing>
      </w:r>
    </w:p>
    <w:p w14:paraId="17343C62"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49FD43AF"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141A6060"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52F00782"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5D5CEEC0"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51402480"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24C519CB"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387B4BAD"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6D12F7E6"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0BBD1A69"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70AAD854"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6539F278"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7B17CB6B"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5AE3C24D" w14:textId="77777777" w:rsidR="004E06B5" w:rsidRPr="004E06B5" w:rsidRDefault="004E06B5" w:rsidP="004E06B5">
      <w:pPr>
        <w:tabs>
          <w:tab w:val="left" w:pos="1350"/>
        </w:tabs>
        <w:spacing w:line="480" w:lineRule="auto"/>
        <w:jc w:val="both"/>
        <w:rPr>
          <w:rFonts w:ascii="Arial" w:hAnsi="Arial" w:cs="Arial"/>
          <w:color w:val="595959" w:themeColor="text1" w:themeTint="A6"/>
        </w:rPr>
      </w:pPr>
      <w:r w:rsidRPr="004E06B5">
        <w:rPr>
          <w:rFonts w:ascii="Arial" w:hAnsi="Arial" w:cs="Arial"/>
          <w:noProof/>
          <w:color w:val="595959" w:themeColor="text1" w:themeTint="A6"/>
          <w:sz w:val="24"/>
          <w:szCs w:val="24"/>
          <w:lang w:eastAsia="zh-CN"/>
        </w:rPr>
        <mc:AlternateContent>
          <mc:Choice Requires="wps">
            <w:drawing>
              <wp:anchor distT="0" distB="0" distL="114300" distR="114300" simplePos="0" relativeHeight="251658399" behindDoc="0" locked="0" layoutInCell="1" allowOverlap="1" wp14:anchorId="2A75F6CE" wp14:editId="0224B6D3">
                <wp:simplePos x="0" y="0"/>
                <wp:positionH relativeFrom="margin">
                  <wp:posOffset>0</wp:posOffset>
                </wp:positionH>
                <wp:positionV relativeFrom="paragraph">
                  <wp:posOffset>10160</wp:posOffset>
                </wp:positionV>
                <wp:extent cx="5734050" cy="1800225"/>
                <wp:effectExtent l="0" t="0" r="0" b="9525"/>
                <wp:wrapNone/>
                <wp:docPr id="210" name="Text Box 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1800225"/>
                        </a:xfrm>
                        <a:prstGeom prst="rect">
                          <a:avLst/>
                        </a:prstGeom>
                        <a:solidFill>
                          <a:srgbClr val="FFFFFF"/>
                        </a:solidFill>
                        <a:ln w="9525">
                          <a:noFill/>
                          <a:miter lim="800000"/>
                          <a:headEnd/>
                          <a:tailEnd/>
                        </a:ln>
                      </wps:spPr>
                      <wps:txbx>
                        <w:txbxContent>
                          <w:p w14:paraId="3F788CAA" w14:textId="5157B40B" w:rsidR="008A47AC" w:rsidRPr="006B7937" w:rsidRDefault="008A47AC" w:rsidP="004E06B5">
                            <w:pPr>
                              <w:pStyle w:val="Caption"/>
                              <w:keepNext/>
                              <w:jc w:val="both"/>
                              <w:rPr>
                                <w:rFonts w:ascii="Arial Narrow" w:hAnsi="Arial Narrow"/>
                                <w:b/>
                                <w:i w:val="0"/>
                                <w:sz w:val="24"/>
                                <w:szCs w:val="24"/>
                              </w:rPr>
                            </w:pPr>
                            <w:r w:rsidRPr="006B7937">
                              <w:rPr>
                                <w:rFonts w:ascii="Arial Narrow" w:hAnsi="Arial Narrow"/>
                                <w:b/>
                                <w:i w:val="0"/>
                                <w:color w:val="595959" w:themeColor="text1" w:themeTint="A6"/>
                                <w:sz w:val="24"/>
                                <w:szCs w:val="24"/>
                              </w:rPr>
                              <w:t>Figure</w:t>
                            </w:r>
                            <w:r>
                              <w:rPr>
                                <w:rFonts w:ascii="Arial Narrow" w:hAnsi="Arial Narrow"/>
                                <w:b/>
                                <w:i w:val="0"/>
                                <w:color w:val="595959" w:themeColor="text1" w:themeTint="A6"/>
                                <w:sz w:val="24"/>
                                <w:szCs w:val="24"/>
                              </w:rPr>
                              <w:t xml:space="preserve"> 5.15 Immunohistochemical analysis of vimentin in tissue-engineered oral mucosa models</w:t>
                            </w:r>
                          </w:p>
                          <w:p w14:paraId="0EB927A8" w14:textId="77777777" w:rsidR="008A47AC" w:rsidRPr="00B8170A" w:rsidRDefault="008A47AC" w:rsidP="004E06B5">
                            <w:pPr>
                              <w:pStyle w:val="NormalWeb"/>
                              <w:spacing w:after="200" w:line="276" w:lineRule="auto"/>
                              <w:jc w:val="both"/>
                            </w:pPr>
                            <w:bookmarkStart w:id="472" w:name="_Hlk16604505"/>
                            <w:r>
                              <w:rPr>
                                <w:rFonts w:ascii="Arial Narrow" w:eastAsia="SimSun" w:hAnsi="Arial Narrow" w:cs="Arial"/>
                                <w:color w:val="595959" w:themeColor="text1" w:themeTint="A6"/>
                                <w:kern w:val="24"/>
                                <w:sz w:val="22"/>
                                <w:szCs w:val="22"/>
                              </w:rPr>
                              <w:t xml:space="preserve">Full thickness tissue-engineered models were produced on FDM and cultured for 12 days at an air-to-liquid interface before being subjected to histological processing and immunohistochemical staining for vimentin (brown) and haematoxylin counterstain (blue). Representative images of TENOM (A), TEAOM (B) and TESCCM (C) and semi-quantitative analysis of the optical density of staining intensity (D). Data shows mean ± SD </w:t>
                            </w:r>
                            <w:r w:rsidRPr="00E72F77">
                              <w:rPr>
                                <w:rFonts w:ascii="Arial Narrow" w:eastAsia="SimSun" w:hAnsi="Arial Narrow" w:cs="Arial"/>
                                <w:color w:val="595959" w:themeColor="text1" w:themeTint="A6"/>
                                <w:kern w:val="24"/>
                                <w:sz w:val="22"/>
                                <w:szCs w:val="22"/>
                              </w:rPr>
                              <w:t>(N=</w:t>
                            </w:r>
                            <w:r>
                              <w:rPr>
                                <w:rFonts w:ascii="Arial Narrow" w:eastAsia="SimSun" w:hAnsi="Arial Narrow" w:cs="Arial"/>
                                <w:color w:val="595959" w:themeColor="text1" w:themeTint="A6"/>
                                <w:kern w:val="24"/>
                                <w:sz w:val="22"/>
                                <w:szCs w:val="22"/>
                              </w:rPr>
                              <w:t>3</w:t>
                            </w:r>
                            <w:r w:rsidRPr="00E72F77">
                              <w:rPr>
                                <w:rFonts w:ascii="Arial Narrow" w:eastAsia="SimSun" w:hAnsi="Arial Narrow" w:cs="Arial"/>
                                <w:color w:val="595959" w:themeColor="text1" w:themeTint="A6"/>
                                <w:kern w:val="24"/>
                                <w:sz w:val="22"/>
                                <w:szCs w:val="22"/>
                              </w:rPr>
                              <w:t>, n=</w:t>
                            </w:r>
                            <w:r>
                              <w:rPr>
                                <w:rFonts w:ascii="Arial Narrow" w:eastAsia="SimSun" w:hAnsi="Arial Narrow" w:cs="Arial"/>
                                <w:color w:val="595959" w:themeColor="text1" w:themeTint="A6"/>
                                <w:kern w:val="24"/>
                                <w:sz w:val="22"/>
                                <w:szCs w:val="22"/>
                              </w:rPr>
                              <w:t>2</w:t>
                            </w:r>
                            <w:r w:rsidRPr="00E72F77">
                              <w:rPr>
                                <w:rFonts w:ascii="Arial Narrow" w:eastAsia="SimSun" w:hAnsi="Arial Narrow" w:cs="Arial"/>
                                <w:color w:val="595959" w:themeColor="text1" w:themeTint="A6"/>
                                <w:kern w:val="24"/>
                                <w:sz w:val="22"/>
                                <w:szCs w:val="22"/>
                              </w:rPr>
                              <w:t>).</w:t>
                            </w:r>
                            <w:r>
                              <w:rPr>
                                <w:rFonts w:ascii="Arial Narrow" w:eastAsia="SimSun" w:hAnsi="Arial Narrow" w:cs="Arial"/>
                                <w:color w:val="595959" w:themeColor="text1" w:themeTint="A6"/>
                                <w:kern w:val="24"/>
                                <w:sz w:val="22"/>
                                <w:szCs w:val="22"/>
                              </w:rPr>
                              <w:t xml:space="preserve"> * p &lt;0.05, compared to TENOM as analysed by Kruskal-Wallis test with Dunn’s multiple comparison. Scale bar = 50 µm.</w:t>
                            </w:r>
                          </w:p>
                          <w:bookmarkEnd w:id="472"/>
                          <w:p w14:paraId="70331FF6" w14:textId="77777777" w:rsidR="008A47AC" w:rsidRPr="00B8170A" w:rsidRDefault="008A47AC" w:rsidP="004E06B5">
                            <w:pPr>
                              <w:pStyle w:val="NormalWeb"/>
                              <w:spacing w:after="200" w:line="276" w:lineRule="auto"/>
                              <w:jc w:val="both"/>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75F6CE" id="Text Box 210" o:spid="_x0000_s1193" type="#_x0000_t202" style="position:absolute;left:0;text-align:left;margin-left:0;margin-top:.8pt;width:451.5pt;height:141.75pt;z-index:25165839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" stroked="f">
                <v:textbox>
                  <w:txbxContent>
                    <w:p w14:paraId="3F788CAA" w14:textId="5157B40B" w:rsidR="008A47AC" w:rsidRPr="006B7937" w:rsidRDefault="008A47AC" w:rsidP="004E06B5">
                      <w:pPr>
                        <w:pStyle w:val="Caption"/>
                        <w:keepNext/>
                        <w:jc w:val="both"/>
                        <w:rPr>
                          <w:rFonts w:ascii="Arial Narrow" w:hAnsi="Arial Narrow"/>
                          <w:b/>
                          <w:i w:val="0"/>
                          <w:sz w:val="24"/>
                          <w:szCs w:val="24"/>
                        </w:rPr>
                      </w:pPr>
                      <w:r w:rsidRPr="006B7937">
                        <w:rPr>
                          <w:rFonts w:ascii="Arial Narrow" w:hAnsi="Arial Narrow"/>
                          <w:b/>
                          <w:i w:val="0"/>
                          <w:color w:val="595959" w:themeColor="text1" w:themeTint="A6"/>
                          <w:sz w:val="24"/>
                          <w:szCs w:val="24"/>
                        </w:rPr>
                        <w:t>Figure</w:t>
                      </w:r>
                      <w:r>
                        <w:rPr>
                          <w:rFonts w:ascii="Arial Narrow" w:hAnsi="Arial Narrow"/>
                          <w:b/>
                          <w:i w:val="0"/>
                          <w:color w:val="595959" w:themeColor="text1" w:themeTint="A6"/>
                          <w:sz w:val="24"/>
                          <w:szCs w:val="24"/>
                        </w:rPr>
                        <w:t xml:space="preserve"> 5.15 Immunohistochemical analysis of vimentin in tissue-engineered oral mucosa models</w:t>
                      </w:r>
                    </w:p>
                    <w:p w14:paraId="0EB927A8" w14:textId="77777777" w:rsidR="008A47AC" w:rsidRPr="00B8170A" w:rsidRDefault="008A47AC" w:rsidP="004E06B5">
                      <w:pPr>
                        <w:pStyle w:val="NormalWeb"/>
                        <w:spacing w:after="200" w:line="276" w:lineRule="auto"/>
                        <w:jc w:val="both"/>
                      </w:pPr>
                      <w:bookmarkStart w:id="479" w:name="_Hlk16604505"/>
                      <w:r>
                        <w:rPr>
                          <w:rFonts w:ascii="Arial Narrow" w:eastAsia="SimSun" w:hAnsi="Arial Narrow" w:cs="Arial"/>
                          <w:color w:val="595959" w:themeColor="text1" w:themeTint="A6"/>
                          <w:kern w:val="24"/>
                          <w:sz w:val="22"/>
                          <w:szCs w:val="22"/>
                        </w:rPr>
                        <w:t xml:space="preserve">Full thickness tissue-engineered models were produced on FDM and cultured for 12 days at an air-to-liquid interface before being subjected to histological processing and immunohistochemical staining for vimentin (brown) and haematoxylin counterstain (blue). Representative images of TENOM (A), TEAOM (B) and TESCCM (C) and semi-quantitative analysis of the optical density of staining intensity (D). Data shows mean ± SD </w:t>
                      </w:r>
                      <w:r w:rsidRPr="00E72F77">
                        <w:rPr>
                          <w:rFonts w:ascii="Arial Narrow" w:eastAsia="SimSun" w:hAnsi="Arial Narrow" w:cs="Arial"/>
                          <w:color w:val="595959" w:themeColor="text1" w:themeTint="A6"/>
                          <w:kern w:val="24"/>
                          <w:sz w:val="22"/>
                          <w:szCs w:val="22"/>
                        </w:rPr>
                        <w:t>(N=</w:t>
                      </w:r>
                      <w:r>
                        <w:rPr>
                          <w:rFonts w:ascii="Arial Narrow" w:eastAsia="SimSun" w:hAnsi="Arial Narrow" w:cs="Arial"/>
                          <w:color w:val="595959" w:themeColor="text1" w:themeTint="A6"/>
                          <w:kern w:val="24"/>
                          <w:sz w:val="22"/>
                          <w:szCs w:val="22"/>
                        </w:rPr>
                        <w:t>3</w:t>
                      </w:r>
                      <w:r w:rsidRPr="00E72F77">
                        <w:rPr>
                          <w:rFonts w:ascii="Arial Narrow" w:eastAsia="SimSun" w:hAnsi="Arial Narrow" w:cs="Arial"/>
                          <w:color w:val="595959" w:themeColor="text1" w:themeTint="A6"/>
                          <w:kern w:val="24"/>
                          <w:sz w:val="22"/>
                          <w:szCs w:val="22"/>
                        </w:rPr>
                        <w:t>, n=</w:t>
                      </w:r>
                      <w:r>
                        <w:rPr>
                          <w:rFonts w:ascii="Arial Narrow" w:eastAsia="SimSun" w:hAnsi="Arial Narrow" w:cs="Arial"/>
                          <w:color w:val="595959" w:themeColor="text1" w:themeTint="A6"/>
                          <w:kern w:val="24"/>
                          <w:sz w:val="22"/>
                          <w:szCs w:val="22"/>
                        </w:rPr>
                        <w:t>2</w:t>
                      </w:r>
                      <w:r w:rsidRPr="00E72F77">
                        <w:rPr>
                          <w:rFonts w:ascii="Arial Narrow" w:eastAsia="SimSun" w:hAnsi="Arial Narrow" w:cs="Arial"/>
                          <w:color w:val="595959" w:themeColor="text1" w:themeTint="A6"/>
                          <w:kern w:val="24"/>
                          <w:sz w:val="22"/>
                          <w:szCs w:val="22"/>
                        </w:rPr>
                        <w:t>).</w:t>
                      </w:r>
                      <w:r>
                        <w:rPr>
                          <w:rFonts w:ascii="Arial Narrow" w:eastAsia="SimSun" w:hAnsi="Arial Narrow" w:cs="Arial"/>
                          <w:color w:val="595959" w:themeColor="text1" w:themeTint="A6"/>
                          <w:kern w:val="24"/>
                          <w:sz w:val="22"/>
                          <w:szCs w:val="22"/>
                        </w:rPr>
                        <w:t xml:space="preserve"> * p &lt;0.05, compared to TENOM as analysed by Kruskal-Wallis test with Dunn’s multiple comparison. Scale bar = 50 µm.</w:t>
                      </w:r>
                    </w:p>
                    <w:bookmarkEnd w:id="479"/>
                    <w:p w14:paraId="70331FF6" w14:textId="77777777" w:rsidR="008A47AC" w:rsidRPr="00B8170A" w:rsidRDefault="008A47AC" w:rsidP="004E06B5">
                      <w:pPr>
                        <w:pStyle w:val="NormalWeb"/>
                        <w:spacing w:after="200" w:line="276" w:lineRule="auto"/>
                        <w:jc w:val="both"/>
                      </w:pPr>
                    </w:p>
                  </w:txbxContent>
                </v:textbox>
                <w10:wrap anchorx="margin"/>
              </v:shape>
            </w:pict>
          </mc:Fallback>
        </mc:AlternateContent>
      </w:r>
    </w:p>
    <w:p w14:paraId="6EA1FCAE"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576790F3"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3B30B04A"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55E7E3F1"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3C208552"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46A75C6D" w14:textId="5744E4CA" w:rsidR="004E06B5" w:rsidRDefault="004E06B5" w:rsidP="003E262D">
      <w:pPr>
        <w:pStyle w:val="Heading5"/>
        <w:rPr>
          <w:rFonts w:ascii="Arial" w:hAnsi="Arial" w:cs="Arial"/>
          <w:color w:val="595959" w:themeColor="text1" w:themeTint="A6"/>
        </w:rPr>
      </w:pPr>
      <w:bookmarkStart w:id="473" w:name="_Toc34208465"/>
      <w:r w:rsidRPr="004E06B5">
        <w:rPr>
          <w:rFonts w:ascii="Arial" w:hAnsi="Arial" w:cs="Arial"/>
          <w:color w:val="595959" w:themeColor="text1" w:themeTint="A6"/>
        </w:rPr>
        <w:t>5.3.3.2.3 Fibronectin</w:t>
      </w:r>
      <w:bookmarkEnd w:id="473"/>
    </w:p>
    <w:p w14:paraId="090A00CA" w14:textId="77777777" w:rsidR="003E262D" w:rsidRPr="003E262D" w:rsidRDefault="003E262D" w:rsidP="003E262D"/>
    <w:p w14:paraId="1D919FEF" w14:textId="7F4FFFFD" w:rsidR="004E06B5" w:rsidRPr="004E06B5" w:rsidRDefault="004E06B5" w:rsidP="004E06B5">
      <w:pPr>
        <w:tabs>
          <w:tab w:val="left" w:pos="1350"/>
        </w:tabs>
        <w:spacing w:line="480" w:lineRule="auto"/>
        <w:jc w:val="both"/>
        <w:rPr>
          <w:rFonts w:ascii="Arial" w:hAnsi="Arial" w:cs="Arial"/>
          <w:color w:val="595959" w:themeColor="text1" w:themeTint="A6"/>
        </w:rPr>
      </w:pPr>
      <w:r w:rsidRPr="004E06B5">
        <w:rPr>
          <w:rFonts w:ascii="Arial" w:hAnsi="Arial" w:cs="Arial"/>
          <w:color w:val="595959" w:themeColor="text1" w:themeTint="A6"/>
        </w:rPr>
        <w:t>The ECM related protein fibronectin is a high molecular weight glycoprotein (440 kDa) that binds integrins (membrane spanning receptors). It is capable of binding various ECM components including collagen and proteoglycans. In these TEOM models weak staining was observed in the ECM nearest to the epithelium for TENOM model (Figure 5.17 A). In the TEAOM model (Figure 5.1</w:t>
      </w:r>
      <w:r w:rsidR="00026826">
        <w:rPr>
          <w:rFonts w:ascii="Arial" w:hAnsi="Arial" w:cs="Arial"/>
          <w:color w:val="595959" w:themeColor="text1" w:themeTint="A6"/>
        </w:rPr>
        <w:t>6</w:t>
      </w:r>
      <w:r w:rsidRPr="004E06B5">
        <w:rPr>
          <w:rFonts w:ascii="Arial" w:hAnsi="Arial" w:cs="Arial"/>
          <w:color w:val="595959" w:themeColor="text1" w:themeTint="A6"/>
        </w:rPr>
        <w:t xml:space="preserve"> B) and in TESCCM (5.1</w:t>
      </w:r>
      <w:r w:rsidR="00026826">
        <w:rPr>
          <w:rFonts w:ascii="Arial" w:hAnsi="Arial" w:cs="Arial"/>
          <w:color w:val="595959" w:themeColor="text1" w:themeTint="A6"/>
        </w:rPr>
        <w:t>6</w:t>
      </w:r>
      <w:r w:rsidRPr="004E06B5">
        <w:rPr>
          <w:rFonts w:ascii="Arial" w:hAnsi="Arial" w:cs="Arial"/>
          <w:color w:val="595959" w:themeColor="text1" w:themeTint="A6"/>
        </w:rPr>
        <w:t xml:space="preserve"> C) more intense staining was visible and found through-out the whole ECM compartment, suggest this protein changes with disease progression. There was a significant increase in staining intensity of FN1-EDA in the TESCCM model, with a mean optical density of 0.16 ± 0.01, p=0.0288 (Figure 5.1</w:t>
      </w:r>
      <w:r w:rsidR="00026826">
        <w:rPr>
          <w:rFonts w:ascii="Arial" w:hAnsi="Arial" w:cs="Arial"/>
          <w:color w:val="595959" w:themeColor="text1" w:themeTint="A6"/>
        </w:rPr>
        <w:t>6</w:t>
      </w:r>
      <w:r w:rsidRPr="004E06B5">
        <w:rPr>
          <w:rFonts w:ascii="Arial" w:hAnsi="Arial" w:cs="Arial"/>
          <w:color w:val="595959" w:themeColor="text1" w:themeTint="A6"/>
        </w:rPr>
        <w:t xml:space="preserve"> D).</w:t>
      </w:r>
    </w:p>
    <w:p w14:paraId="76B16199"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0DFA1941"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4EA79107"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0D739F26"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27AD33F9"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3AAF8FA7"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7C26DC58"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79E024A2"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26EA670B"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097FE525"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0A866F3F"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62667D35"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10DE325F"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373F315E"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0E55A83C" w14:textId="77777777" w:rsidR="004E06B5" w:rsidRPr="004E06B5" w:rsidRDefault="004E06B5" w:rsidP="004E06B5">
      <w:pPr>
        <w:tabs>
          <w:tab w:val="left" w:pos="1350"/>
        </w:tabs>
        <w:spacing w:line="480" w:lineRule="auto"/>
        <w:jc w:val="both"/>
        <w:rPr>
          <w:rFonts w:ascii="Arial" w:hAnsi="Arial" w:cs="Arial"/>
          <w:color w:val="595959" w:themeColor="text1" w:themeTint="A6"/>
        </w:rPr>
      </w:pPr>
      <w:r w:rsidRPr="004E06B5">
        <w:rPr>
          <w:rFonts w:ascii="Arial" w:hAnsi="Arial" w:cs="Arial"/>
          <w:noProof/>
          <w:color w:val="595959" w:themeColor="text1" w:themeTint="A6"/>
          <w:lang w:eastAsia="zh-CN"/>
        </w:rPr>
        <w:drawing>
          <wp:anchor distT="0" distB="0" distL="114300" distR="114300" simplePos="0" relativeHeight="251658426" behindDoc="0" locked="0" layoutInCell="1" allowOverlap="1" wp14:anchorId="6ACEE7F8" wp14:editId="55866B2F">
            <wp:simplePos x="0" y="0"/>
            <wp:positionH relativeFrom="column">
              <wp:posOffset>0</wp:posOffset>
            </wp:positionH>
            <wp:positionV relativeFrom="paragraph">
              <wp:posOffset>9524</wp:posOffset>
            </wp:positionV>
            <wp:extent cx="5727526" cy="4467225"/>
            <wp:effectExtent l="0" t="0" r="0" b="0"/>
            <wp:wrapNone/>
            <wp:docPr id="5369" name="Picture 5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791966" cy="4517486"/>
                    </a:xfrm>
                    <a:prstGeom prst="rect">
                      <a:avLst/>
                    </a:prstGeom>
                    <a:noFill/>
                  </pic:spPr>
                </pic:pic>
              </a:graphicData>
            </a:graphic>
            <wp14:sizeRelH relativeFrom="margin">
              <wp14:pctWidth>0</wp14:pctWidth>
            </wp14:sizeRelH>
            <wp14:sizeRelV relativeFrom="margin">
              <wp14:pctHeight>0</wp14:pctHeight>
            </wp14:sizeRelV>
          </wp:anchor>
        </w:drawing>
      </w:r>
    </w:p>
    <w:p w14:paraId="0723CB69"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033F24CF"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2873CC61"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7D745B09"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73D56925"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5D2F9A77"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0645A1F9"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38637FA9"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5C2544B1"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1CC93363"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6DC524D2"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3F226D8C"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26D16502"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4A1CCCB3"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4DE5DA19" w14:textId="77777777" w:rsidR="004E06B5" w:rsidRPr="004E06B5" w:rsidRDefault="004E06B5" w:rsidP="004E06B5">
      <w:pPr>
        <w:tabs>
          <w:tab w:val="left" w:pos="1350"/>
        </w:tabs>
        <w:spacing w:line="480" w:lineRule="auto"/>
        <w:jc w:val="both"/>
        <w:rPr>
          <w:rFonts w:ascii="Arial" w:hAnsi="Arial" w:cs="Arial"/>
          <w:color w:val="595959" w:themeColor="text1" w:themeTint="A6"/>
        </w:rPr>
      </w:pPr>
      <w:r w:rsidRPr="004E06B5">
        <w:rPr>
          <w:rFonts w:ascii="Arial" w:hAnsi="Arial" w:cs="Arial"/>
          <w:noProof/>
          <w:color w:val="595959" w:themeColor="text1" w:themeTint="A6"/>
          <w:sz w:val="24"/>
          <w:szCs w:val="24"/>
          <w:lang w:eastAsia="zh-CN"/>
        </w:rPr>
        <mc:AlternateContent>
          <mc:Choice Requires="wps">
            <w:drawing>
              <wp:anchor distT="0" distB="0" distL="114300" distR="114300" simplePos="0" relativeHeight="251658403" behindDoc="0" locked="0" layoutInCell="1" allowOverlap="1" wp14:anchorId="650490EC" wp14:editId="20CABC33">
                <wp:simplePos x="0" y="0"/>
                <wp:positionH relativeFrom="margin">
                  <wp:posOffset>0</wp:posOffset>
                </wp:positionH>
                <wp:positionV relativeFrom="paragraph">
                  <wp:posOffset>10160</wp:posOffset>
                </wp:positionV>
                <wp:extent cx="5727065" cy="1895475"/>
                <wp:effectExtent l="0" t="0" r="6985" b="9525"/>
                <wp:wrapNone/>
                <wp:docPr id="212" name="Text Box 2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7065" cy="1895475"/>
                        </a:xfrm>
                        <a:prstGeom prst="rect">
                          <a:avLst/>
                        </a:prstGeom>
                        <a:solidFill>
                          <a:srgbClr val="FFFFFF"/>
                        </a:solidFill>
                        <a:ln w="9525">
                          <a:noFill/>
                          <a:miter lim="800000"/>
                          <a:headEnd/>
                          <a:tailEnd/>
                        </a:ln>
                      </wps:spPr>
                      <wps:txbx>
                        <w:txbxContent>
                          <w:p w14:paraId="745E0897" w14:textId="0264840C" w:rsidR="008A47AC" w:rsidRPr="006B7937" w:rsidRDefault="008A47AC" w:rsidP="004E06B5">
                            <w:pPr>
                              <w:pStyle w:val="Caption"/>
                              <w:keepNext/>
                              <w:jc w:val="both"/>
                              <w:rPr>
                                <w:rFonts w:ascii="Arial Narrow" w:hAnsi="Arial Narrow"/>
                                <w:b/>
                                <w:i w:val="0"/>
                                <w:sz w:val="24"/>
                                <w:szCs w:val="24"/>
                              </w:rPr>
                            </w:pPr>
                            <w:r w:rsidRPr="006B7937">
                              <w:rPr>
                                <w:rFonts w:ascii="Arial Narrow" w:hAnsi="Arial Narrow"/>
                                <w:b/>
                                <w:i w:val="0"/>
                                <w:color w:val="595959" w:themeColor="text1" w:themeTint="A6"/>
                                <w:sz w:val="24"/>
                                <w:szCs w:val="24"/>
                              </w:rPr>
                              <w:t>Figure</w:t>
                            </w:r>
                            <w:r>
                              <w:rPr>
                                <w:rFonts w:ascii="Arial Narrow" w:hAnsi="Arial Narrow"/>
                                <w:b/>
                                <w:i w:val="0"/>
                                <w:color w:val="595959" w:themeColor="text1" w:themeTint="A6"/>
                                <w:sz w:val="24"/>
                                <w:szCs w:val="24"/>
                              </w:rPr>
                              <w:t xml:space="preserve"> 5.16 Immunohistochemical analysis of FN1-EDA in tissue-engineered oral mucosa models</w:t>
                            </w:r>
                          </w:p>
                          <w:p w14:paraId="567C7C2B" w14:textId="77777777" w:rsidR="008A47AC" w:rsidRPr="00B8170A" w:rsidRDefault="008A47AC" w:rsidP="004E06B5">
                            <w:pPr>
                              <w:pStyle w:val="NormalWeb"/>
                              <w:spacing w:after="200" w:line="276" w:lineRule="auto"/>
                              <w:jc w:val="both"/>
                            </w:pPr>
                            <w:bookmarkStart w:id="474" w:name="_Hlk16604755"/>
                            <w:r>
                              <w:rPr>
                                <w:rFonts w:ascii="Arial Narrow" w:eastAsia="SimSun" w:hAnsi="Arial Narrow" w:cs="Arial"/>
                                <w:color w:val="595959" w:themeColor="text1" w:themeTint="A6"/>
                                <w:kern w:val="24"/>
                                <w:sz w:val="22"/>
                                <w:szCs w:val="22"/>
                              </w:rPr>
                              <w:t xml:space="preserve">Full thickness tissue-engineered models were developed on FDM and cultured for 12 days at an air-to-liquid interface before being subjected to histological processing and immunohistochemical staining for FN1-EDA (brown) and haematoxylin counterstain (blue). Representative images of TENOM (A), TEAOM (B) and TESCCM (C) and semi-quantitative analysis of the optical density of staining intensity (D). Data shows mean ± SD </w:t>
                            </w:r>
                            <w:r w:rsidRPr="00E72F77">
                              <w:rPr>
                                <w:rFonts w:ascii="Arial Narrow" w:eastAsia="SimSun" w:hAnsi="Arial Narrow" w:cs="Arial"/>
                                <w:color w:val="595959" w:themeColor="text1" w:themeTint="A6"/>
                                <w:kern w:val="24"/>
                                <w:sz w:val="22"/>
                                <w:szCs w:val="22"/>
                              </w:rPr>
                              <w:t>(N=</w:t>
                            </w:r>
                            <w:r>
                              <w:rPr>
                                <w:rFonts w:ascii="Arial Narrow" w:eastAsia="SimSun" w:hAnsi="Arial Narrow" w:cs="Arial"/>
                                <w:color w:val="595959" w:themeColor="text1" w:themeTint="A6"/>
                                <w:kern w:val="24"/>
                                <w:sz w:val="22"/>
                                <w:szCs w:val="22"/>
                              </w:rPr>
                              <w:t>3</w:t>
                            </w:r>
                            <w:r w:rsidRPr="00E72F77">
                              <w:rPr>
                                <w:rFonts w:ascii="Arial Narrow" w:eastAsia="SimSun" w:hAnsi="Arial Narrow" w:cs="Arial"/>
                                <w:color w:val="595959" w:themeColor="text1" w:themeTint="A6"/>
                                <w:kern w:val="24"/>
                                <w:sz w:val="22"/>
                                <w:szCs w:val="22"/>
                              </w:rPr>
                              <w:t>, n=</w:t>
                            </w:r>
                            <w:r>
                              <w:rPr>
                                <w:rFonts w:ascii="Arial Narrow" w:eastAsia="SimSun" w:hAnsi="Arial Narrow" w:cs="Arial"/>
                                <w:color w:val="595959" w:themeColor="text1" w:themeTint="A6"/>
                                <w:kern w:val="24"/>
                                <w:sz w:val="22"/>
                                <w:szCs w:val="22"/>
                              </w:rPr>
                              <w:t>2</w:t>
                            </w:r>
                            <w:r w:rsidRPr="00E72F77">
                              <w:rPr>
                                <w:rFonts w:ascii="Arial Narrow" w:eastAsia="SimSun" w:hAnsi="Arial Narrow" w:cs="Arial"/>
                                <w:color w:val="595959" w:themeColor="text1" w:themeTint="A6"/>
                                <w:kern w:val="24"/>
                                <w:sz w:val="22"/>
                                <w:szCs w:val="22"/>
                              </w:rPr>
                              <w:t>).</w:t>
                            </w:r>
                            <w:r>
                              <w:rPr>
                                <w:rFonts w:ascii="Arial Narrow" w:eastAsia="SimSun" w:hAnsi="Arial Narrow" w:cs="Arial"/>
                                <w:color w:val="595959" w:themeColor="text1" w:themeTint="A6"/>
                                <w:kern w:val="24"/>
                                <w:sz w:val="22"/>
                                <w:szCs w:val="22"/>
                              </w:rPr>
                              <w:t xml:space="preserve"> * p &lt;0.05, compared to TENOM as analysed by Kruskal-Wallis test with Dunn’s multiple comparison. Scale bar = 50 µm.</w:t>
                            </w:r>
                          </w:p>
                          <w:bookmarkEnd w:id="474"/>
                          <w:p w14:paraId="00B46C72" w14:textId="77777777" w:rsidR="008A47AC" w:rsidRPr="00B8170A" w:rsidRDefault="008A47AC" w:rsidP="004E06B5">
                            <w:pPr>
                              <w:pStyle w:val="NormalWeb"/>
                              <w:spacing w:after="200" w:line="276" w:lineRule="auto"/>
                              <w:jc w:val="both"/>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0490EC" id="Text Box 212" o:spid="_x0000_s1194" type="#_x0000_t202" style="position:absolute;left:0;text-align:left;margin-left:0;margin-top:.8pt;width:450.95pt;height:149.25pt;z-index:25165840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" stroked="f">
                <v:textbox>
                  <w:txbxContent>
                    <w:p w14:paraId="745E0897" w14:textId="0264840C" w:rsidR="008A47AC" w:rsidRPr="006B7937" w:rsidRDefault="008A47AC" w:rsidP="004E06B5">
                      <w:pPr>
                        <w:pStyle w:val="Caption"/>
                        <w:keepNext/>
                        <w:jc w:val="both"/>
                        <w:rPr>
                          <w:rFonts w:ascii="Arial Narrow" w:hAnsi="Arial Narrow"/>
                          <w:b/>
                          <w:i w:val="0"/>
                          <w:sz w:val="24"/>
                          <w:szCs w:val="24"/>
                        </w:rPr>
                      </w:pPr>
                      <w:r w:rsidRPr="006B7937">
                        <w:rPr>
                          <w:rFonts w:ascii="Arial Narrow" w:hAnsi="Arial Narrow"/>
                          <w:b/>
                          <w:i w:val="0"/>
                          <w:color w:val="595959" w:themeColor="text1" w:themeTint="A6"/>
                          <w:sz w:val="24"/>
                          <w:szCs w:val="24"/>
                        </w:rPr>
                        <w:t>Figure</w:t>
                      </w:r>
                      <w:r>
                        <w:rPr>
                          <w:rFonts w:ascii="Arial Narrow" w:hAnsi="Arial Narrow"/>
                          <w:b/>
                          <w:i w:val="0"/>
                          <w:color w:val="595959" w:themeColor="text1" w:themeTint="A6"/>
                          <w:sz w:val="24"/>
                          <w:szCs w:val="24"/>
                        </w:rPr>
                        <w:t xml:space="preserve"> 5.16 Immunohistochemical analysis of FN1-EDA in tissue-engineered oral mucosa models</w:t>
                      </w:r>
                    </w:p>
                    <w:p w14:paraId="567C7C2B" w14:textId="77777777" w:rsidR="008A47AC" w:rsidRPr="00B8170A" w:rsidRDefault="008A47AC" w:rsidP="004E06B5">
                      <w:pPr>
                        <w:pStyle w:val="NormalWeb"/>
                        <w:spacing w:after="200" w:line="276" w:lineRule="auto"/>
                        <w:jc w:val="both"/>
                      </w:pPr>
                      <w:bookmarkStart w:id="482" w:name="_Hlk16604755"/>
                      <w:r>
                        <w:rPr>
                          <w:rFonts w:ascii="Arial Narrow" w:eastAsia="SimSun" w:hAnsi="Arial Narrow" w:cs="Arial"/>
                          <w:color w:val="595959" w:themeColor="text1" w:themeTint="A6"/>
                          <w:kern w:val="24"/>
                          <w:sz w:val="22"/>
                          <w:szCs w:val="22"/>
                        </w:rPr>
                        <w:t xml:space="preserve">Full thickness tissue-engineered models were developed on FDM and cultured for 12 days at an air-to-liquid interface before being subjected to histological processing and immunohistochemical staining for FN1-EDA (brown) and haematoxylin counterstain (blue). Representative images of TENOM (A), TEAOM (B) and TESCCM (C) and semi-quantitative analysis of the optical density of staining intensity (D). Data shows mean ± SD </w:t>
                      </w:r>
                      <w:r w:rsidRPr="00E72F77">
                        <w:rPr>
                          <w:rFonts w:ascii="Arial Narrow" w:eastAsia="SimSun" w:hAnsi="Arial Narrow" w:cs="Arial"/>
                          <w:color w:val="595959" w:themeColor="text1" w:themeTint="A6"/>
                          <w:kern w:val="24"/>
                          <w:sz w:val="22"/>
                          <w:szCs w:val="22"/>
                        </w:rPr>
                        <w:t>(N=</w:t>
                      </w:r>
                      <w:r>
                        <w:rPr>
                          <w:rFonts w:ascii="Arial Narrow" w:eastAsia="SimSun" w:hAnsi="Arial Narrow" w:cs="Arial"/>
                          <w:color w:val="595959" w:themeColor="text1" w:themeTint="A6"/>
                          <w:kern w:val="24"/>
                          <w:sz w:val="22"/>
                          <w:szCs w:val="22"/>
                        </w:rPr>
                        <w:t>3</w:t>
                      </w:r>
                      <w:r w:rsidRPr="00E72F77">
                        <w:rPr>
                          <w:rFonts w:ascii="Arial Narrow" w:eastAsia="SimSun" w:hAnsi="Arial Narrow" w:cs="Arial"/>
                          <w:color w:val="595959" w:themeColor="text1" w:themeTint="A6"/>
                          <w:kern w:val="24"/>
                          <w:sz w:val="22"/>
                          <w:szCs w:val="22"/>
                        </w:rPr>
                        <w:t>, n=</w:t>
                      </w:r>
                      <w:r>
                        <w:rPr>
                          <w:rFonts w:ascii="Arial Narrow" w:eastAsia="SimSun" w:hAnsi="Arial Narrow" w:cs="Arial"/>
                          <w:color w:val="595959" w:themeColor="text1" w:themeTint="A6"/>
                          <w:kern w:val="24"/>
                          <w:sz w:val="22"/>
                          <w:szCs w:val="22"/>
                        </w:rPr>
                        <w:t>2</w:t>
                      </w:r>
                      <w:r w:rsidRPr="00E72F77">
                        <w:rPr>
                          <w:rFonts w:ascii="Arial Narrow" w:eastAsia="SimSun" w:hAnsi="Arial Narrow" w:cs="Arial"/>
                          <w:color w:val="595959" w:themeColor="text1" w:themeTint="A6"/>
                          <w:kern w:val="24"/>
                          <w:sz w:val="22"/>
                          <w:szCs w:val="22"/>
                        </w:rPr>
                        <w:t>).</w:t>
                      </w:r>
                      <w:r>
                        <w:rPr>
                          <w:rFonts w:ascii="Arial Narrow" w:eastAsia="SimSun" w:hAnsi="Arial Narrow" w:cs="Arial"/>
                          <w:color w:val="595959" w:themeColor="text1" w:themeTint="A6"/>
                          <w:kern w:val="24"/>
                          <w:sz w:val="22"/>
                          <w:szCs w:val="22"/>
                        </w:rPr>
                        <w:t xml:space="preserve"> * p &lt;0.05, compared to TENOM as analysed by Kruskal-Wallis test with Dunn’s multiple comparison. Scale bar = 50 µm.</w:t>
                      </w:r>
                    </w:p>
                    <w:bookmarkEnd w:id="482"/>
                    <w:p w14:paraId="00B46C72" w14:textId="77777777" w:rsidR="008A47AC" w:rsidRPr="00B8170A" w:rsidRDefault="008A47AC" w:rsidP="004E06B5">
                      <w:pPr>
                        <w:pStyle w:val="NormalWeb"/>
                        <w:spacing w:after="200" w:line="276" w:lineRule="auto"/>
                        <w:jc w:val="both"/>
                      </w:pPr>
                    </w:p>
                  </w:txbxContent>
                </v:textbox>
                <w10:wrap anchorx="margin"/>
              </v:shape>
            </w:pict>
          </mc:Fallback>
        </mc:AlternateContent>
      </w:r>
    </w:p>
    <w:p w14:paraId="05ECE094"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6B704C07"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4E21A692"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7C001CF5"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2B63CEC1"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2EFF7D62" w14:textId="5FCCEBF8" w:rsidR="004E06B5" w:rsidRDefault="004E06B5" w:rsidP="003E262D">
      <w:pPr>
        <w:pStyle w:val="Heading5"/>
        <w:rPr>
          <w:rFonts w:ascii="Arial" w:hAnsi="Arial" w:cs="Arial"/>
          <w:color w:val="595959" w:themeColor="text1" w:themeTint="A6"/>
        </w:rPr>
      </w:pPr>
      <w:bookmarkStart w:id="475" w:name="_Toc34208466"/>
      <w:r w:rsidRPr="004E06B5">
        <w:rPr>
          <w:rFonts w:ascii="Arial" w:hAnsi="Arial" w:cs="Arial"/>
          <w:color w:val="595959" w:themeColor="text1" w:themeTint="A6"/>
        </w:rPr>
        <w:t>5.3.3.2.4 αSMA</w:t>
      </w:r>
      <w:bookmarkEnd w:id="475"/>
      <w:r w:rsidRPr="004E06B5">
        <w:rPr>
          <w:rFonts w:ascii="Arial" w:hAnsi="Arial" w:cs="Arial"/>
          <w:color w:val="595959" w:themeColor="text1" w:themeTint="A6"/>
        </w:rPr>
        <w:t xml:space="preserve"> </w:t>
      </w:r>
    </w:p>
    <w:p w14:paraId="538577D6" w14:textId="77777777" w:rsidR="003E262D" w:rsidRPr="003E262D" w:rsidRDefault="003E262D" w:rsidP="003E262D"/>
    <w:p w14:paraId="1A79E614" w14:textId="659F8876" w:rsidR="004E06B5" w:rsidRPr="004E06B5" w:rsidRDefault="004E06B5" w:rsidP="004E06B5">
      <w:pPr>
        <w:tabs>
          <w:tab w:val="left" w:pos="1350"/>
        </w:tabs>
        <w:spacing w:line="480" w:lineRule="auto"/>
        <w:jc w:val="both"/>
        <w:rPr>
          <w:rFonts w:ascii="Arial" w:hAnsi="Arial" w:cs="Arial"/>
          <w:color w:val="595959" w:themeColor="text1" w:themeTint="A6"/>
        </w:rPr>
      </w:pPr>
      <w:r w:rsidRPr="004E06B5">
        <w:rPr>
          <w:rFonts w:ascii="Arial" w:hAnsi="Arial" w:cs="Arial"/>
          <w:color w:val="595959" w:themeColor="text1" w:themeTint="A6"/>
        </w:rPr>
        <w:t xml:space="preserve">Another marker of stromal cells is αSMA. This is also a marker of activated fibroblasts </w:t>
      </w:r>
      <w:r w:rsidRPr="004E06B5">
        <w:rPr>
          <w:rFonts w:ascii="Arial" w:hAnsi="Arial" w:cs="Arial"/>
          <w:i/>
          <w:color w:val="595959" w:themeColor="text1" w:themeTint="A6"/>
        </w:rPr>
        <w:t>in vitro</w:t>
      </w:r>
      <w:r w:rsidRPr="004E06B5">
        <w:rPr>
          <w:rFonts w:ascii="Arial" w:hAnsi="Arial" w:cs="Arial"/>
          <w:color w:val="595959" w:themeColor="text1" w:themeTint="A6"/>
        </w:rPr>
        <w:t xml:space="preserve"> and </w:t>
      </w:r>
      <w:r w:rsidRPr="004E06B5">
        <w:rPr>
          <w:rFonts w:ascii="Arial" w:hAnsi="Arial" w:cs="Arial"/>
          <w:i/>
          <w:color w:val="595959" w:themeColor="text1" w:themeTint="A6"/>
        </w:rPr>
        <w:t>in vivo</w:t>
      </w:r>
      <w:r w:rsidRPr="004E06B5">
        <w:rPr>
          <w:rFonts w:ascii="Arial" w:hAnsi="Arial" w:cs="Arial"/>
          <w:color w:val="595959" w:themeColor="text1" w:themeTint="A6"/>
        </w:rPr>
        <w:t>.  Staining intensity of αSMA was altered when comparing TENOM models with TEAOM models and TESCCM (Figure 5.1</w:t>
      </w:r>
      <w:r w:rsidR="00A639A0">
        <w:rPr>
          <w:rFonts w:ascii="Arial" w:hAnsi="Arial" w:cs="Arial"/>
          <w:color w:val="595959" w:themeColor="text1" w:themeTint="A6"/>
        </w:rPr>
        <w:t>7</w:t>
      </w:r>
      <w:r w:rsidRPr="004E06B5">
        <w:rPr>
          <w:rFonts w:ascii="Arial" w:hAnsi="Arial" w:cs="Arial"/>
          <w:color w:val="595959" w:themeColor="text1" w:themeTint="A6"/>
        </w:rPr>
        <w:t>). Weak staining in was observed in the stroma of TENOM models, as well as the nucleus of fibroblasts within this layer. Dense, visible staining was also observed within the matrix layers of the TEAOM with a non-significant increase in staining from 0.07 ± 0.01 to 0.35 ± 0.06 (Figure 5.1</w:t>
      </w:r>
      <w:r w:rsidR="00A639A0">
        <w:rPr>
          <w:rFonts w:ascii="Arial" w:hAnsi="Arial" w:cs="Arial"/>
          <w:color w:val="595959" w:themeColor="text1" w:themeTint="A6"/>
        </w:rPr>
        <w:t>7</w:t>
      </w:r>
      <w:r w:rsidRPr="004E06B5">
        <w:rPr>
          <w:rFonts w:ascii="Arial" w:hAnsi="Arial" w:cs="Arial"/>
          <w:color w:val="595959" w:themeColor="text1" w:themeTint="A6"/>
        </w:rPr>
        <w:t xml:space="preserve"> B +D). There is also staining in the nuclei of epithelial basal cells which could indicate a phenotypic EMT-like change in the epithelial cells.  In the TESCCM, αSMA staining was significantly increased to 0.45 ± 0.10 (p=0.0219) (Figure 5.1</w:t>
      </w:r>
      <w:r w:rsidR="00BD5AD1">
        <w:rPr>
          <w:rFonts w:ascii="Arial" w:hAnsi="Arial" w:cs="Arial"/>
          <w:color w:val="595959" w:themeColor="text1" w:themeTint="A6"/>
        </w:rPr>
        <w:t>7</w:t>
      </w:r>
      <w:r w:rsidRPr="004E06B5">
        <w:rPr>
          <w:rFonts w:ascii="Arial" w:hAnsi="Arial" w:cs="Arial"/>
          <w:color w:val="595959" w:themeColor="text1" w:themeTint="A6"/>
        </w:rPr>
        <w:t xml:space="preserve"> C+D). Previous work has indicated that αSMA expression is also negatively associated with prognosis and an indicator of disease progression in OSCC and therefore consolidates these models as </w:t>
      </w:r>
      <w:r w:rsidRPr="004E06B5">
        <w:rPr>
          <w:rFonts w:ascii="Arial" w:hAnsi="Arial" w:cs="Arial"/>
          <w:i/>
          <w:color w:val="595959" w:themeColor="text1" w:themeTint="A6"/>
        </w:rPr>
        <w:t>in vitro</w:t>
      </w:r>
      <w:r w:rsidRPr="004E06B5">
        <w:rPr>
          <w:rFonts w:ascii="Arial" w:hAnsi="Arial" w:cs="Arial"/>
          <w:color w:val="595959" w:themeColor="text1" w:themeTint="A6"/>
        </w:rPr>
        <w:t xml:space="preserve"> mimetics for OSCC disease development. </w:t>
      </w:r>
    </w:p>
    <w:p w14:paraId="517C6010"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2B7E14A3"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1EEA8E5A"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2763E412"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3E31440E"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030CABCD"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18277B5E"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3DB478DA"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4F8D1A69"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733B1877"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3D2683C4"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0999DDD5"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6EDFEFDF" w14:textId="77777777" w:rsidR="004E06B5" w:rsidRPr="004E06B5" w:rsidRDefault="004E06B5" w:rsidP="004E06B5">
      <w:pPr>
        <w:tabs>
          <w:tab w:val="left" w:pos="1350"/>
        </w:tabs>
        <w:spacing w:line="480" w:lineRule="auto"/>
        <w:jc w:val="both"/>
        <w:rPr>
          <w:rFonts w:ascii="Arial" w:hAnsi="Arial" w:cs="Arial"/>
          <w:color w:val="595959" w:themeColor="text1" w:themeTint="A6"/>
        </w:rPr>
      </w:pPr>
      <w:r w:rsidRPr="004E06B5">
        <w:rPr>
          <w:rFonts w:ascii="Arial" w:hAnsi="Arial" w:cs="Arial"/>
          <w:noProof/>
          <w:color w:val="595959" w:themeColor="text1" w:themeTint="A6"/>
          <w:lang w:eastAsia="zh-CN"/>
        </w:rPr>
        <w:drawing>
          <wp:anchor distT="0" distB="0" distL="114300" distR="114300" simplePos="0" relativeHeight="251658445" behindDoc="0" locked="0" layoutInCell="1" allowOverlap="1" wp14:anchorId="467E987E" wp14:editId="1CA2BE01">
            <wp:simplePos x="0" y="0"/>
            <wp:positionH relativeFrom="column">
              <wp:posOffset>0</wp:posOffset>
            </wp:positionH>
            <wp:positionV relativeFrom="paragraph">
              <wp:posOffset>-1</wp:posOffset>
            </wp:positionV>
            <wp:extent cx="6259012" cy="5000625"/>
            <wp:effectExtent l="0" t="0" r="0" b="0"/>
            <wp:wrapNone/>
            <wp:docPr id="5370" name="Picture 5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6287258" cy="5023192"/>
                    </a:xfrm>
                    <a:prstGeom prst="rect">
                      <a:avLst/>
                    </a:prstGeom>
                    <a:noFill/>
                  </pic:spPr>
                </pic:pic>
              </a:graphicData>
            </a:graphic>
            <wp14:sizeRelH relativeFrom="margin">
              <wp14:pctWidth>0</wp14:pctWidth>
            </wp14:sizeRelH>
            <wp14:sizeRelV relativeFrom="margin">
              <wp14:pctHeight>0</wp14:pctHeight>
            </wp14:sizeRelV>
          </wp:anchor>
        </w:drawing>
      </w:r>
    </w:p>
    <w:p w14:paraId="20022065"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0CA18934"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2C194072"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5FCA23DD"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68CEB5F1"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5D26C487"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334E510D"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5E8829AD"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28B3B667"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11695E1E"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124C706E"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1981E309"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26EF9727" w14:textId="77777777" w:rsidR="004E06B5" w:rsidRPr="004E06B5" w:rsidRDefault="004E06B5" w:rsidP="004E06B5">
      <w:pPr>
        <w:tabs>
          <w:tab w:val="left" w:pos="1350"/>
        </w:tabs>
        <w:spacing w:line="480" w:lineRule="auto"/>
        <w:jc w:val="both"/>
        <w:rPr>
          <w:rFonts w:ascii="Arial" w:hAnsi="Arial" w:cs="Arial"/>
          <w:color w:val="595959" w:themeColor="text1" w:themeTint="A6"/>
        </w:rPr>
      </w:pPr>
      <w:r w:rsidRPr="004E06B5">
        <w:rPr>
          <w:rFonts w:ascii="Arial" w:hAnsi="Arial" w:cs="Arial"/>
          <w:noProof/>
          <w:color w:val="595959" w:themeColor="text1" w:themeTint="A6"/>
          <w:sz w:val="24"/>
          <w:szCs w:val="24"/>
          <w:lang w:eastAsia="zh-CN"/>
        </w:rPr>
        <mc:AlternateContent>
          <mc:Choice Requires="wps">
            <w:drawing>
              <wp:anchor distT="0" distB="0" distL="114300" distR="114300" simplePos="0" relativeHeight="251658394" behindDoc="0" locked="0" layoutInCell="1" allowOverlap="1" wp14:anchorId="61D42DAC" wp14:editId="2A5FFF29">
                <wp:simplePos x="0" y="0"/>
                <wp:positionH relativeFrom="margin">
                  <wp:posOffset>0</wp:posOffset>
                </wp:positionH>
                <wp:positionV relativeFrom="paragraph">
                  <wp:posOffset>8255</wp:posOffset>
                </wp:positionV>
                <wp:extent cx="5724525" cy="1828800"/>
                <wp:effectExtent l="0" t="0" r="9525" b="0"/>
                <wp:wrapNone/>
                <wp:docPr id="214" name="Text Box 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1828800"/>
                        </a:xfrm>
                        <a:prstGeom prst="rect">
                          <a:avLst/>
                        </a:prstGeom>
                        <a:solidFill>
                          <a:srgbClr val="FFFFFF"/>
                        </a:solidFill>
                        <a:ln w="9525">
                          <a:noFill/>
                          <a:miter lim="800000"/>
                          <a:headEnd/>
                          <a:tailEnd/>
                        </a:ln>
                      </wps:spPr>
                      <wps:txbx>
                        <w:txbxContent>
                          <w:p w14:paraId="24B0F754" w14:textId="3D351C0F" w:rsidR="008A47AC" w:rsidRPr="006B7937" w:rsidRDefault="008A47AC" w:rsidP="004E06B5">
                            <w:pPr>
                              <w:pStyle w:val="Caption"/>
                              <w:keepNext/>
                              <w:jc w:val="both"/>
                              <w:rPr>
                                <w:rFonts w:ascii="Arial Narrow" w:hAnsi="Arial Narrow"/>
                                <w:b/>
                                <w:i w:val="0"/>
                                <w:sz w:val="24"/>
                                <w:szCs w:val="24"/>
                              </w:rPr>
                            </w:pPr>
                            <w:r w:rsidRPr="006B7937">
                              <w:rPr>
                                <w:rFonts w:ascii="Arial Narrow" w:hAnsi="Arial Narrow"/>
                                <w:b/>
                                <w:i w:val="0"/>
                                <w:color w:val="595959" w:themeColor="text1" w:themeTint="A6"/>
                                <w:sz w:val="24"/>
                                <w:szCs w:val="24"/>
                              </w:rPr>
                              <w:t>Figure</w:t>
                            </w:r>
                            <w:r>
                              <w:rPr>
                                <w:rFonts w:ascii="Arial Narrow" w:hAnsi="Arial Narrow"/>
                                <w:b/>
                                <w:i w:val="0"/>
                                <w:color w:val="595959" w:themeColor="text1" w:themeTint="A6"/>
                                <w:sz w:val="24"/>
                                <w:szCs w:val="24"/>
                              </w:rPr>
                              <w:t xml:space="preserve"> 5.17 Immunohistochemical analysis of αSMA in tissue-engineered oral mucosa models</w:t>
                            </w:r>
                          </w:p>
                          <w:p w14:paraId="340D27E9" w14:textId="77777777" w:rsidR="008A47AC" w:rsidRPr="00B8170A" w:rsidRDefault="008A47AC" w:rsidP="004E06B5">
                            <w:pPr>
                              <w:pStyle w:val="NormalWeb"/>
                              <w:spacing w:after="200" w:line="276" w:lineRule="auto"/>
                              <w:jc w:val="both"/>
                            </w:pPr>
                            <w:r>
                              <w:rPr>
                                <w:rFonts w:ascii="Arial Narrow" w:eastAsia="SimSun" w:hAnsi="Arial Narrow" w:cs="Arial"/>
                                <w:color w:val="595959" w:themeColor="text1" w:themeTint="A6"/>
                                <w:kern w:val="24"/>
                                <w:sz w:val="22"/>
                                <w:szCs w:val="22"/>
                              </w:rPr>
                              <w:t xml:space="preserve">Full thickness tissue-engineered models were developed on FDM and cultured for 12 days at an air-to-liquid interface before being subjected to histological processing and immunohistochemical staining for αSMA (brown) and haematoxylin counterstain (blue). Representative images of TENOM (A), TEAOM (B) and TESCCM (C) and semi-quantitative analysis of the optical density of staining intensity (D). Data shows mean ± SD </w:t>
                            </w:r>
                            <w:r w:rsidRPr="00E72F77">
                              <w:rPr>
                                <w:rFonts w:ascii="Arial Narrow" w:eastAsia="SimSun" w:hAnsi="Arial Narrow" w:cs="Arial"/>
                                <w:color w:val="595959" w:themeColor="text1" w:themeTint="A6"/>
                                <w:kern w:val="24"/>
                                <w:sz w:val="22"/>
                                <w:szCs w:val="22"/>
                              </w:rPr>
                              <w:t>(N=</w:t>
                            </w:r>
                            <w:r>
                              <w:rPr>
                                <w:rFonts w:ascii="Arial Narrow" w:eastAsia="SimSun" w:hAnsi="Arial Narrow" w:cs="Arial"/>
                                <w:color w:val="595959" w:themeColor="text1" w:themeTint="A6"/>
                                <w:kern w:val="24"/>
                                <w:sz w:val="22"/>
                                <w:szCs w:val="22"/>
                              </w:rPr>
                              <w:t>3</w:t>
                            </w:r>
                            <w:r w:rsidRPr="00E72F77">
                              <w:rPr>
                                <w:rFonts w:ascii="Arial Narrow" w:eastAsia="SimSun" w:hAnsi="Arial Narrow" w:cs="Arial"/>
                                <w:color w:val="595959" w:themeColor="text1" w:themeTint="A6"/>
                                <w:kern w:val="24"/>
                                <w:sz w:val="22"/>
                                <w:szCs w:val="22"/>
                              </w:rPr>
                              <w:t>, n=</w:t>
                            </w:r>
                            <w:r>
                              <w:rPr>
                                <w:rFonts w:ascii="Arial Narrow" w:eastAsia="SimSun" w:hAnsi="Arial Narrow" w:cs="Arial"/>
                                <w:color w:val="595959" w:themeColor="text1" w:themeTint="A6"/>
                                <w:kern w:val="24"/>
                                <w:sz w:val="22"/>
                                <w:szCs w:val="22"/>
                              </w:rPr>
                              <w:t>2</w:t>
                            </w:r>
                            <w:r w:rsidRPr="00E72F77">
                              <w:rPr>
                                <w:rFonts w:ascii="Arial Narrow" w:eastAsia="SimSun" w:hAnsi="Arial Narrow" w:cs="Arial"/>
                                <w:color w:val="595959" w:themeColor="text1" w:themeTint="A6"/>
                                <w:kern w:val="24"/>
                                <w:sz w:val="22"/>
                                <w:szCs w:val="22"/>
                              </w:rPr>
                              <w:t>).</w:t>
                            </w:r>
                            <w:r>
                              <w:rPr>
                                <w:rFonts w:ascii="Arial Narrow" w:eastAsia="SimSun" w:hAnsi="Arial Narrow" w:cs="Arial"/>
                                <w:color w:val="595959" w:themeColor="text1" w:themeTint="A6"/>
                                <w:kern w:val="24"/>
                                <w:sz w:val="22"/>
                                <w:szCs w:val="22"/>
                              </w:rPr>
                              <w:t xml:space="preserve"> * p &lt;0.05, compared to TENOM as analysed by Kruskal-Wallis test with Dunn’s multiple comparison. Scale bar = 50 µm.</w:t>
                            </w:r>
                          </w:p>
                          <w:p w14:paraId="77C0E52E" w14:textId="77777777" w:rsidR="008A47AC" w:rsidRPr="00B8170A" w:rsidRDefault="008A47AC" w:rsidP="004E06B5">
                            <w:pPr>
                              <w:pStyle w:val="NormalWeb"/>
                              <w:spacing w:after="200" w:line="276" w:lineRule="auto"/>
                              <w:jc w:val="both"/>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D42DAC" id="Text Box 214" o:spid="_x0000_s1195" type="#_x0000_t202" style="position:absolute;left:0;text-align:left;margin-left:0;margin-top:.65pt;width:450.75pt;height:2in;z-index:25165839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" stroked="f">
                <v:textbox>
                  <w:txbxContent>
                    <w:p w14:paraId="24B0F754" w14:textId="3D351C0F" w:rsidR="008A47AC" w:rsidRPr="006B7937" w:rsidRDefault="008A47AC" w:rsidP="004E06B5">
                      <w:pPr>
                        <w:pStyle w:val="Caption"/>
                        <w:keepNext/>
                        <w:jc w:val="both"/>
                        <w:rPr>
                          <w:rFonts w:ascii="Arial Narrow" w:hAnsi="Arial Narrow"/>
                          <w:b/>
                          <w:i w:val="0"/>
                          <w:sz w:val="24"/>
                          <w:szCs w:val="24"/>
                        </w:rPr>
                      </w:pPr>
                      <w:r w:rsidRPr="006B7937">
                        <w:rPr>
                          <w:rFonts w:ascii="Arial Narrow" w:hAnsi="Arial Narrow"/>
                          <w:b/>
                          <w:i w:val="0"/>
                          <w:color w:val="595959" w:themeColor="text1" w:themeTint="A6"/>
                          <w:sz w:val="24"/>
                          <w:szCs w:val="24"/>
                        </w:rPr>
                        <w:t>Figure</w:t>
                      </w:r>
                      <w:r>
                        <w:rPr>
                          <w:rFonts w:ascii="Arial Narrow" w:hAnsi="Arial Narrow"/>
                          <w:b/>
                          <w:i w:val="0"/>
                          <w:color w:val="595959" w:themeColor="text1" w:themeTint="A6"/>
                          <w:sz w:val="24"/>
                          <w:szCs w:val="24"/>
                        </w:rPr>
                        <w:t xml:space="preserve"> 5.17 Immunohistochemical analysis of αSMA in tissue-engineered oral mucosa models</w:t>
                      </w:r>
                    </w:p>
                    <w:p w14:paraId="340D27E9" w14:textId="77777777" w:rsidR="008A47AC" w:rsidRPr="00B8170A" w:rsidRDefault="008A47AC" w:rsidP="004E06B5">
                      <w:pPr>
                        <w:pStyle w:val="NormalWeb"/>
                        <w:spacing w:after="200" w:line="276" w:lineRule="auto"/>
                        <w:jc w:val="both"/>
                      </w:pPr>
                      <w:r>
                        <w:rPr>
                          <w:rFonts w:ascii="Arial Narrow" w:eastAsia="SimSun" w:hAnsi="Arial Narrow" w:cs="Arial"/>
                          <w:color w:val="595959" w:themeColor="text1" w:themeTint="A6"/>
                          <w:kern w:val="24"/>
                          <w:sz w:val="22"/>
                          <w:szCs w:val="22"/>
                        </w:rPr>
                        <w:t xml:space="preserve">Full thickness tissue-engineered models were developed on FDM and cultured for 12 days at an air-to-liquid interface before being subjected to histological processing and immunohistochemical staining for αSMA (brown) and haematoxylin counterstain (blue). Representative images of TENOM (A), TEAOM (B) and TESCCM (C) and semi-quantitative analysis of the optical density of staining intensity (D). Data shows mean ± SD </w:t>
                      </w:r>
                      <w:r w:rsidRPr="00E72F77">
                        <w:rPr>
                          <w:rFonts w:ascii="Arial Narrow" w:eastAsia="SimSun" w:hAnsi="Arial Narrow" w:cs="Arial"/>
                          <w:color w:val="595959" w:themeColor="text1" w:themeTint="A6"/>
                          <w:kern w:val="24"/>
                          <w:sz w:val="22"/>
                          <w:szCs w:val="22"/>
                        </w:rPr>
                        <w:t>(N=</w:t>
                      </w:r>
                      <w:r>
                        <w:rPr>
                          <w:rFonts w:ascii="Arial Narrow" w:eastAsia="SimSun" w:hAnsi="Arial Narrow" w:cs="Arial"/>
                          <w:color w:val="595959" w:themeColor="text1" w:themeTint="A6"/>
                          <w:kern w:val="24"/>
                          <w:sz w:val="22"/>
                          <w:szCs w:val="22"/>
                        </w:rPr>
                        <w:t>3</w:t>
                      </w:r>
                      <w:r w:rsidRPr="00E72F77">
                        <w:rPr>
                          <w:rFonts w:ascii="Arial Narrow" w:eastAsia="SimSun" w:hAnsi="Arial Narrow" w:cs="Arial"/>
                          <w:color w:val="595959" w:themeColor="text1" w:themeTint="A6"/>
                          <w:kern w:val="24"/>
                          <w:sz w:val="22"/>
                          <w:szCs w:val="22"/>
                        </w:rPr>
                        <w:t>, n=</w:t>
                      </w:r>
                      <w:r>
                        <w:rPr>
                          <w:rFonts w:ascii="Arial Narrow" w:eastAsia="SimSun" w:hAnsi="Arial Narrow" w:cs="Arial"/>
                          <w:color w:val="595959" w:themeColor="text1" w:themeTint="A6"/>
                          <w:kern w:val="24"/>
                          <w:sz w:val="22"/>
                          <w:szCs w:val="22"/>
                        </w:rPr>
                        <w:t>2</w:t>
                      </w:r>
                      <w:r w:rsidRPr="00E72F77">
                        <w:rPr>
                          <w:rFonts w:ascii="Arial Narrow" w:eastAsia="SimSun" w:hAnsi="Arial Narrow" w:cs="Arial"/>
                          <w:color w:val="595959" w:themeColor="text1" w:themeTint="A6"/>
                          <w:kern w:val="24"/>
                          <w:sz w:val="22"/>
                          <w:szCs w:val="22"/>
                        </w:rPr>
                        <w:t>).</w:t>
                      </w:r>
                      <w:r>
                        <w:rPr>
                          <w:rFonts w:ascii="Arial Narrow" w:eastAsia="SimSun" w:hAnsi="Arial Narrow" w:cs="Arial"/>
                          <w:color w:val="595959" w:themeColor="text1" w:themeTint="A6"/>
                          <w:kern w:val="24"/>
                          <w:sz w:val="22"/>
                          <w:szCs w:val="22"/>
                        </w:rPr>
                        <w:t xml:space="preserve"> * p &lt;0.05, compared to TENOM as analysed by Kruskal-Wallis test with Dunn’s multiple comparison. Scale bar = 50 µm.</w:t>
                      </w:r>
                    </w:p>
                    <w:p w14:paraId="77C0E52E" w14:textId="77777777" w:rsidR="008A47AC" w:rsidRPr="00B8170A" w:rsidRDefault="008A47AC" w:rsidP="004E06B5">
                      <w:pPr>
                        <w:pStyle w:val="NormalWeb"/>
                        <w:spacing w:after="200" w:line="276" w:lineRule="auto"/>
                        <w:jc w:val="both"/>
                      </w:pPr>
                    </w:p>
                  </w:txbxContent>
                </v:textbox>
                <w10:wrap anchorx="margin"/>
              </v:shape>
            </w:pict>
          </mc:Fallback>
        </mc:AlternateContent>
      </w:r>
    </w:p>
    <w:p w14:paraId="50868690"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53E52285"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186A2ADA"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3BFA9B34"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1820E19A"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407B7DE7"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5C99E028" w14:textId="2F079C2C" w:rsidR="004E06B5" w:rsidRDefault="004E06B5" w:rsidP="009E1079">
      <w:pPr>
        <w:pStyle w:val="Heading5"/>
        <w:rPr>
          <w:rFonts w:ascii="Arial" w:hAnsi="Arial" w:cs="Arial"/>
          <w:color w:val="595959" w:themeColor="text1" w:themeTint="A6"/>
        </w:rPr>
      </w:pPr>
      <w:bookmarkStart w:id="476" w:name="_Toc34208467"/>
      <w:r w:rsidRPr="004E06B5">
        <w:rPr>
          <w:rFonts w:ascii="Arial" w:hAnsi="Arial" w:cs="Arial"/>
          <w:color w:val="595959" w:themeColor="text1" w:themeTint="A6"/>
        </w:rPr>
        <w:t>5.3.3.2.5 Versican</w:t>
      </w:r>
      <w:bookmarkEnd w:id="476"/>
    </w:p>
    <w:p w14:paraId="51FF1DE6" w14:textId="77777777" w:rsidR="009E1079" w:rsidRPr="009E1079" w:rsidRDefault="009E1079" w:rsidP="009E1079"/>
    <w:p w14:paraId="16394530" w14:textId="388BB386" w:rsidR="004E06B5" w:rsidRPr="004E06B5" w:rsidRDefault="004E06B5" w:rsidP="004E06B5">
      <w:pPr>
        <w:tabs>
          <w:tab w:val="left" w:pos="1350"/>
        </w:tabs>
        <w:spacing w:line="480" w:lineRule="auto"/>
        <w:jc w:val="both"/>
        <w:rPr>
          <w:rFonts w:ascii="Arial" w:hAnsi="Arial" w:cs="Arial"/>
          <w:color w:val="595959" w:themeColor="text1" w:themeTint="A6"/>
        </w:rPr>
      </w:pPr>
      <w:r w:rsidRPr="004E06B5">
        <w:rPr>
          <w:rFonts w:ascii="Arial" w:hAnsi="Arial" w:cs="Arial"/>
          <w:color w:val="595959" w:themeColor="text1" w:themeTint="A6"/>
        </w:rPr>
        <w:t>The large chondroitin sulphate</w:t>
      </w:r>
      <w:r w:rsidRPr="004E06B5">
        <w:rPr>
          <w:color w:val="595959" w:themeColor="text1" w:themeTint="A6"/>
        </w:rPr>
        <w:t xml:space="preserve"> </w:t>
      </w:r>
      <w:r w:rsidRPr="004E06B5">
        <w:rPr>
          <w:rFonts w:ascii="Arial" w:hAnsi="Arial" w:cs="Arial"/>
          <w:color w:val="595959" w:themeColor="text1" w:themeTint="A6"/>
        </w:rPr>
        <w:t>proteoglycan VCAN has roles in aiding ECM assembly, anti-adhesion, cell proliferation, migration and ECM remodelling. The expression of VCAN was observed in all TEOM models analysed and its staining localised to the ECM as well as H357 cells (Figure 5.1</w:t>
      </w:r>
      <w:r w:rsidR="00CC1F22">
        <w:rPr>
          <w:rFonts w:ascii="Arial" w:hAnsi="Arial" w:cs="Arial"/>
          <w:color w:val="595959" w:themeColor="text1" w:themeTint="A6"/>
        </w:rPr>
        <w:t>8</w:t>
      </w:r>
      <w:r w:rsidRPr="004E06B5">
        <w:rPr>
          <w:rFonts w:ascii="Arial" w:hAnsi="Arial" w:cs="Arial"/>
          <w:color w:val="595959" w:themeColor="text1" w:themeTint="A6"/>
        </w:rPr>
        <w:t xml:space="preserve"> A-C</w:t>
      </w:r>
      <w:r w:rsidR="00E210EF">
        <w:rPr>
          <w:rFonts w:ascii="Arial" w:hAnsi="Arial" w:cs="Arial"/>
          <w:color w:val="595959" w:themeColor="text1" w:themeTint="A6"/>
        </w:rPr>
        <w:t>, black arrows</w:t>
      </w:r>
      <w:r w:rsidRPr="004E06B5">
        <w:rPr>
          <w:rFonts w:ascii="Arial" w:hAnsi="Arial" w:cs="Arial"/>
          <w:color w:val="595959" w:themeColor="text1" w:themeTint="A6"/>
        </w:rPr>
        <w:t>). VCAN staining was significantly increased throughout the stroma of TEAOM model (p=0.0386) and had a mean staining intensity of 0.56 ± 0.05 (Figure 5.1</w:t>
      </w:r>
      <w:r w:rsidR="00CC1F22">
        <w:rPr>
          <w:rFonts w:ascii="Arial" w:hAnsi="Arial" w:cs="Arial"/>
          <w:color w:val="595959" w:themeColor="text1" w:themeTint="A6"/>
        </w:rPr>
        <w:t>8</w:t>
      </w:r>
      <w:r w:rsidRPr="004E06B5">
        <w:rPr>
          <w:rFonts w:ascii="Arial" w:hAnsi="Arial" w:cs="Arial"/>
          <w:color w:val="595959" w:themeColor="text1" w:themeTint="A6"/>
        </w:rPr>
        <w:t xml:space="preserve"> B+D). </w:t>
      </w:r>
      <w:r w:rsidR="00991B2E">
        <w:rPr>
          <w:rFonts w:ascii="Arial" w:hAnsi="Arial" w:cs="Arial"/>
          <w:color w:val="595959" w:themeColor="text1" w:themeTint="A6"/>
        </w:rPr>
        <w:t>No statistic</w:t>
      </w:r>
      <w:r w:rsidR="009C21FA">
        <w:rPr>
          <w:rFonts w:ascii="Arial" w:hAnsi="Arial" w:cs="Arial"/>
          <w:color w:val="595959" w:themeColor="text1" w:themeTint="A6"/>
        </w:rPr>
        <w:t xml:space="preserve">ally significant increase in </w:t>
      </w:r>
      <w:r w:rsidRPr="004E06B5">
        <w:rPr>
          <w:rFonts w:ascii="Arial" w:hAnsi="Arial" w:cs="Arial"/>
          <w:color w:val="595959" w:themeColor="text1" w:themeTint="A6"/>
        </w:rPr>
        <w:t>VCAN staining was observed in the TESCCM, mean of 0.46 ± 0.13, compared to the TENOM model which had a mean of 0.30 ± 0.01 indicating that VCAN abundance may change in OSCC disease progression.</w:t>
      </w:r>
    </w:p>
    <w:p w14:paraId="2E1FF012"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1A49ADC5"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179C2022"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5B89695A"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419B99F5"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096E13F0"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5EFFA00C"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0FABDF9A"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4FADD85B"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5B520ADA"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75772755"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772CD56C"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0E047FA8"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5DA20767"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2C02DD2D" w14:textId="6AF92A2A" w:rsidR="004E06B5" w:rsidRPr="004E06B5" w:rsidRDefault="00E210EF" w:rsidP="004E06B5">
      <w:pPr>
        <w:tabs>
          <w:tab w:val="left" w:pos="1350"/>
        </w:tabs>
        <w:spacing w:line="480" w:lineRule="auto"/>
        <w:jc w:val="both"/>
        <w:rPr>
          <w:rFonts w:ascii="Arial" w:hAnsi="Arial" w:cs="Arial"/>
          <w:color w:val="595959" w:themeColor="text1" w:themeTint="A6"/>
        </w:rPr>
      </w:pPr>
      <w:r>
        <w:rPr>
          <w:rFonts w:ascii="Arial" w:hAnsi="Arial" w:cs="Arial"/>
          <w:noProof/>
          <w:color w:val="595959" w:themeColor="text1" w:themeTint="A6"/>
        </w:rPr>
        <w:drawing>
          <wp:anchor distT="0" distB="0" distL="114300" distR="114300" simplePos="0" relativeHeight="251693323" behindDoc="0" locked="0" layoutInCell="1" allowOverlap="1" wp14:anchorId="2BA13B97" wp14:editId="0A0E64C6">
            <wp:simplePos x="0" y="0"/>
            <wp:positionH relativeFrom="column">
              <wp:posOffset>0</wp:posOffset>
            </wp:positionH>
            <wp:positionV relativeFrom="paragraph">
              <wp:posOffset>0</wp:posOffset>
            </wp:positionV>
            <wp:extent cx="5736590" cy="4828540"/>
            <wp:effectExtent l="0" t="0" r="0" b="0"/>
            <wp:wrapNone/>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736590" cy="4828540"/>
                    </a:xfrm>
                    <a:prstGeom prst="rect">
                      <a:avLst/>
                    </a:prstGeom>
                    <a:noFill/>
                  </pic:spPr>
                </pic:pic>
              </a:graphicData>
            </a:graphic>
          </wp:anchor>
        </w:drawing>
      </w:r>
    </w:p>
    <w:p w14:paraId="04EBCA43"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64BB27AE"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7AEE3904"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200E437E"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5E40081F"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598474D0"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49822A73"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21A36448"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144AE438"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1821E574"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676C53F4"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41DD960D"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6CD24577"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59BFD0C7"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2EB94786" w14:textId="77777777" w:rsidR="004E06B5" w:rsidRPr="004E06B5" w:rsidRDefault="004E06B5" w:rsidP="004E06B5">
      <w:pPr>
        <w:tabs>
          <w:tab w:val="left" w:pos="1350"/>
        </w:tabs>
        <w:spacing w:line="480" w:lineRule="auto"/>
        <w:jc w:val="both"/>
        <w:rPr>
          <w:rFonts w:ascii="Arial" w:hAnsi="Arial" w:cs="Arial"/>
          <w:color w:val="595959" w:themeColor="text1" w:themeTint="A6"/>
        </w:rPr>
      </w:pPr>
      <w:r w:rsidRPr="004E06B5">
        <w:rPr>
          <w:rFonts w:ascii="Arial" w:hAnsi="Arial" w:cs="Arial"/>
          <w:noProof/>
          <w:color w:val="595959" w:themeColor="text1" w:themeTint="A6"/>
          <w:sz w:val="24"/>
          <w:szCs w:val="24"/>
          <w:lang w:eastAsia="zh-CN"/>
        </w:rPr>
        <mc:AlternateContent>
          <mc:Choice Requires="wps">
            <w:drawing>
              <wp:anchor distT="0" distB="0" distL="114300" distR="114300" simplePos="0" relativeHeight="251658410" behindDoc="0" locked="0" layoutInCell="1" allowOverlap="1" wp14:anchorId="12638BE5" wp14:editId="26BEEDFB">
                <wp:simplePos x="0" y="0"/>
                <wp:positionH relativeFrom="margin">
                  <wp:posOffset>0</wp:posOffset>
                </wp:positionH>
                <wp:positionV relativeFrom="paragraph">
                  <wp:posOffset>10160</wp:posOffset>
                </wp:positionV>
                <wp:extent cx="5724525" cy="1790700"/>
                <wp:effectExtent l="0" t="0" r="9525" b="0"/>
                <wp:wrapNone/>
                <wp:docPr id="215" name="Text Box 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1790700"/>
                        </a:xfrm>
                        <a:prstGeom prst="rect">
                          <a:avLst/>
                        </a:prstGeom>
                        <a:solidFill>
                          <a:srgbClr val="FFFFFF"/>
                        </a:solidFill>
                        <a:ln w="9525">
                          <a:noFill/>
                          <a:miter lim="800000"/>
                          <a:headEnd/>
                          <a:tailEnd/>
                        </a:ln>
                      </wps:spPr>
                      <wps:txbx>
                        <w:txbxContent>
                          <w:p w14:paraId="3E24FB80" w14:textId="49730260" w:rsidR="008A47AC" w:rsidRPr="006B7937" w:rsidRDefault="008A47AC" w:rsidP="004E06B5">
                            <w:pPr>
                              <w:pStyle w:val="Caption"/>
                              <w:keepNext/>
                              <w:jc w:val="both"/>
                              <w:rPr>
                                <w:rFonts w:ascii="Arial Narrow" w:hAnsi="Arial Narrow"/>
                                <w:b/>
                                <w:i w:val="0"/>
                                <w:sz w:val="24"/>
                                <w:szCs w:val="24"/>
                              </w:rPr>
                            </w:pPr>
                            <w:r w:rsidRPr="006B7937">
                              <w:rPr>
                                <w:rFonts w:ascii="Arial Narrow" w:hAnsi="Arial Narrow"/>
                                <w:b/>
                                <w:i w:val="0"/>
                                <w:color w:val="595959" w:themeColor="text1" w:themeTint="A6"/>
                                <w:sz w:val="24"/>
                                <w:szCs w:val="24"/>
                              </w:rPr>
                              <w:t>Figure</w:t>
                            </w:r>
                            <w:r>
                              <w:rPr>
                                <w:rFonts w:ascii="Arial Narrow" w:hAnsi="Arial Narrow"/>
                                <w:b/>
                                <w:i w:val="0"/>
                                <w:color w:val="595959" w:themeColor="text1" w:themeTint="A6"/>
                                <w:sz w:val="24"/>
                                <w:szCs w:val="24"/>
                              </w:rPr>
                              <w:t xml:space="preserve"> 5.18 Immunohistochemical analysis of versican in tissue-engineered oral mucosa models</w:t>
                            </w:r>
                          </w:p>
                          <w:p w14:paraId="2BD14162" w14:textId="2052A8B5" w:rsidR="008A47AC" w:rsidRPr="00B8170A" w:rsidRDefault="008A47AC" w:rsidP="004E06B5">
                            <w:pPr>
                              <w:pStyle w:val="NormalWeb"/>
                              <w:spacing w:after="200" w:line="276" w:lineRule="auto"/>
                              <w:jc w:val="both"/>
                            </w:pPr>
                            <w:r>
                              <w:rPr>
                                <w:rFonts w:ascii="Arial Narrow" w:eastAsia="SimSun" w:hAnsi="Arial Narrow" w:cs="Arial"/>
                                <w:color w:val="595959" w:themeColor="text1" w:themeTint="A6"/>
                                <w:kern w:val="24"/>
                                <w:sz w:val="22"/>
                                <w:szCs w:val="22"/>
                              </w:rPr>
                              <w:t xml:space="preserve">Full thickness tissue-engineered models were developed on FDM and cultured for 12 days at an air-to-liquid interface before being subjected to histological processing and immunohistochemical staining for VCAN (brown) and haematoxylin counterstain (blue). Representative images of TENOM </w:t>
                            </w:r>
                            <w:r w:rsidRPr="00D92EDA">
                              <w:rPr>
                                <w:rFonts w:ascii="Arial Narrow" w:eastAsia="SimSun" w:hAnsi="Arial Narrow" w:cs="Arial"/>
                                <w:color w:val="595959" w:themeColor="text1" w:themeTint="A6"/>
                                <w:kern w:val="24"/>
                                <w:sz w:val="22"/>
                                <w:szCs w:val="22"/>
                              </w:rPr>
                              <w:t>(A), TEAOM (B) and TESCCM (C) and semi-quantitative analysis of the optical density of staining intensity (D). Black arrows show prominent staining in epithelial compartment. Data shows mean ± SD (N=3, n=2). * p &lt;0.05, compared to TENOM as analysed by Kruskal-Wallis test with Dunn’s multiple comparison. Scale bar = 50 µm</w:t>
                            </w:r>
                            <w:r>
                              <w:rPr>
                                <w:rFonts w:ascii="Arial Narrow" w:eastAsia="SimSun" w:hAnsi="Arial Narrow" w:cs="Arial"/>
                                <w:color w:val="595959" w:themeColor="text1" w:themeTint="A6"/>
                                <w:kern w:val="24"/>
                                <w:sz w:val="22"/>
                                <w:szCs w:val="22"/>
                              </w:rPr>
                              <w:t>.</w:t>
                            </w:r>
                          </w:p>
                          <w:p w14:paraId="15C604F3" w14:textId="77777777" w:rsidR="008A47AC" w:rsidRPr="00B8170A" w:rsidRDefault="008A47AC" w:rsidP="004E06B5">
                            <w:pPr>
                              <w:pStyle w:val="NormalWeb"/>
                              <w:spacing w:after="200" w:line="276" w:lineRule="auto"/>
                              <w:jc w:val="both"/>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638BE5" id="Text Box 215" o:spid="_x0000_s1196" type="#_x0000_t202" style="position:absolute;left:0;text-align:left;margin-left:0;margin-top:.8pt;width:450.75pt;height:141pt;z-index:25165841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" stroked="f">
                <v:textbox>
                  <w:txbxContent>
                    <w:p w14:paraId="3E24FB80" w14:textId="49730260" w:rsidR="008A47AC" w:rsidRPr="006B7937" w:rsidRDefault="008A47AC" w:rsidP="004E06B5">
                      <w:pPr>
                        <w:pStyle w:val="Caption"/>
                        <w:keepNext/>
                        <w:jc w:val="both"/>
                        <w:rPr>
                          <w:rFonts w:ascii="Arial Narrow" w:hAnsi="Arial Narrow"/>
                          <w:b/>
                          <w:i w:val="0"/>
                          <w:sz w:val="24"/>
                          <w:szCs w:val="24"/>
                        </w:rPr>
                      </w:pPr>
                      <w:r w:rsidRPr="006B7937">
                        <w:rPr>
                          <w:rFonts w:ascii="Arial Narrow" w:hAnsi="Arial Narrow"/>
                          <w:b/>
                          <w:i w:val="0"/>
                          <w:color w:val="595959" w:themeColor="text1" w:themeTint="A6"/>
                          <w:sz w:val="24"/>
                          <w:szCs w:val="24"/>
                        </w:rPr>
                        <w:t>Figure</w:t>
                      </w:r>
                      <w:r>
                        <w:rPr>
                          <w:rFonts w:ascii="Arial Narrow" w:hAnsi="Arial Narrow"/>
                          <w:b/>
                          <w:i w:val="0"/>
                          <w:color w:val="595959" w:themeColor="text1" w:themeTint="A6"/>
                          <w:sz w:val="24"/>
                          <w:szCs w:val="24"/>
                        </w:rPr>
                        <w:t xml:space="preserve"> 5.18 Immunohistochemical analysis of </w:t>
                      </w:r>
                      <w:proofErr w:type="spellStart"/>
                      <w:r>
                        <w:rPr>
                          <w:rFonts w:ascii="Arial Narrow" w:hAnsi="Arial Narrow"/>
                          <w:b/>
                          <w:i w:val="0"/>
                          <w:color w:val="595959" w:themeColor="text1" w:themeTint="A6"/>
                          <w:sz w:val="24"/>
                          <w:szCs w:val="24"/>
                        </w:rPr>
                        <w:t>versican</w:t>
                      </w:r>
                      <w:proofErr w:type="spellEnd"/>
                      <w:r>
                        <w:rPr>
                          <w:rFonts w:ascii="Arial Narrow" w:hAnsi="Arial Narrow"/>
                          <w:b/>
                          <w:i w:val="0"/>
                          <w:color w:val="595959" w:themeColor="text1" w:themeTint="A6"/>
                          <w:sz w:val="24"/>
                          <w:szCs w:val="24"/>
                        </w:rPr>
                        <w:t xml:space="preserve"> in tissue-engineered oral mucosa models</w:t>
                      </w:r>
                    </w:p>
                    <w:p w14:paraId="2BD14162" w14:textId="2052A8B5" w:rsidR="008A47AC" w:rsidRPr="00B8170A" w:rsidRDefault="008A47AC" w:rsidP="004E06B5">
                      <w:pPr>
                        <w:pStyle w:val="NormalWeb"/>
                        <w:spacing w:after="200" w:line="276" w:lineRule="auto"/>
                        <w:jc w:val="both"/>
                      </w:pPr>
                      <w:r>
                        <w:rPr>
                          <w:rFonts w:ascii="Arial Narrow" w:eastAsia="SimSun" w:hAnsi="Arial Narrow" w:cs="Arial"/>
                          <w:color w:val="595959" w:themeColor="text1" w:themeTint="A6"/>
                          <w:kern w:val="24"/>
                          <w:sz w:val="22"/>
                          <w:szCs w:val="22"/>
                        </w:rPr>
                        <w:t xml:space="preserve">Full thickness tissue-engineered models were developed on FDM and cultured for 12 days at an air-to-liquid interface before being subjected to histological processing and immunohistochemical staining for VCAN (brown) and haematoxylin counterstain (blue). Representative images of TENOM </w:t>
                      </w:r>
                      <w:r w:rsidRPr="00D92EDA">
                        <w:rPr>
                          <w:rFonts w:ascii="Arial Narrow" w:eastAsia="SimSun" w:hAnsi="Arial Narrow" w:cs="Arial"/>
                          <w:color w:val="595959" w:themeColor="text1" w:themeTint="A6"/>
                          <w:kern w:val="24"/>
                          <w:sz w:val="22"/>
                          <w:szCs w:val="22"/>
                        </w:rPr>
                        <w:t>(A), TEAOM (B) and TESCCM (C) and semi-quantitative analysis of the optical density of staining intensity (D). Black arrows show prominent staining in epithelial compartment. Data shows mean ± SD (N=3, n=2). * p &lt;0.05, compared to TENOM as analysed by Kruskal-Wallis test with Dunn’s multiple comparison. Scale bar = 50 µm</w:t>
                      </w:r>
                      <w:r>
                        <w:rPr>
                          <w:rFonts w:ascii="Arial Narrow" w:eastAsia="SimSun" w:hAnsi="Arial Narrow" w:cs="Arial"/>
                          <w:color w:val="595959" w:themeColor="text1" w:themeTint="A6"/>
                          <w:kern w:val="24"/>
                          <w:sz w:val="22"/>
                          <w:szCs w:val="22"/>
                        </w:rPr>
                        <w:t>.</w:t>
                      </w:r>
                    </w:p>
                    <w:p w14:paraId="15C604F3" w14:textId="77777777" w:rsidR="008A47AC" w:rsidRPr="00B8170A" w:rsidRDefault="008A47AC" w:rsidP="004E06B5">
                      <w:pPr>
                        <w:pStyle w:val="NormalWeb"/>
                        <w:spacing w:after="200" w:line="276" w:lineRule="auto"/>
                        <w:jc w:val="both"/>
                      </w:pPr>
                    </w:p>
                  </w:txbxContent>
                </v:textbox>
                <w10:wrap anchorx="margin"/>
              </v:shape>
            </w:pict>
          </mc:Fallback>
        </mc:AlternateContent>
      </w:r>
    </w:p>
    <w:p w14:paraId="14F9A25E"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47D6BCF3"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141B9716"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017FF48C"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24D55243"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26C19F0C" w14:textId="432AD932" w:rsidR="004E06B5" w:rsidRDefault="004E06B5" w:rsidP="009E1079">
      <w:pPr>
        <w:pStyle w:val="Heading5"/>
        <w:rPr>
          <w:rFonts w:ascii="Arial" w:hAnsi="Arial" w:cs="Arial"/>
          <w:color w:val="595959" w:themeColor="text1" w:themeTint="A6"/>
        </w:rPr>
      </w:pPr>
      <w:bookmarkStart w:id="477" w:name="_Toc34208468"/>
      <w:r w:rsidRPr="004E06B5">
        <w:rPr>
          <w:rFonts w:ascii="Arial" w:hAnsi="Arial" w:cs="Arial"/>
          <w:color w:val="595959" w:themeColor="text1" w:themeTint="A6"/>
        </w:rPr>
        <w:t>5.3.3.2.2 Collagen type 1</w:t>
      </w:r>
      <w:bookmarkEnd w:id="477"/>
    </w:p>
    <w:p w14:paraId="5DDB286E" w14:textId="77777777" w:rsidR="009E1079" w:rsidRPr="009E1079" w:rsidRDefault="009E1079" w:rsidP="009E1079"/>
    <w:p w14:paraId="6CFF5201" w14:textId="7EC0B8FB" w:rsidR="004E06B5" w:rsidRPr="004E06B5" w:rsidRDefault="004E06B5" w:rsidP="004E06B5">
      <w:pPr>
        <w:tabs>
          <w:tab w:val="left" w:pos="1350"/>
        </w:tabs>
        <w:spacing w:line="480" w:lineRule="auto"/>
        <w:jc w:val="both"/>
        <w:rPr>
          <w:rFonts w:ascii="Arial" w:hAnsi="Arial" w:cs="Arial"/>
          <w:color w:val="595959" w:themeColor="text1" w:themeTint="A6"/>
        </w:rPr>
      </w:pPr>
      <w:r w:rsidRPr="004E06B5">
        <w:rPr>
          <w:rFonts w:ascii="Arial" w:hAnsi="Arial" w:cs="Arial"/>
          <w:color w:val="595959" w:themeColor="text1" w:themeTint="A6"/>
        </w:rPr>
        <w:t>The most abundant protein found within the ECM is Collagen type 1. The staining of the subtype COL1A1 was analysed. Staining was clear in the basement compartment</w:t>
      </w:r>
      <w:r w:rsidR="00CD22DE">
        <w:rPr>
          <w:rFonts w:ascii="Arial" w:hAnsi="Arial" w:cs="Arial"/>
          <w:color w:val="595959" w:themeColor="text1" w:themeTint="A6"/>
        </w:rPr>
        <w:t xml:space="preserve"> </w:t>
      </w:r>
      <w:r w:rsidRPr="004E06B5">
        <w:rPr>
          <w:rFonts w:ascii="Arial" w:hAnsi="Arial" w:cs="Arial"/>
          <w:color w:val="595959" w:themeColor="text1" w:themeTint="A6"/>
        </w:rPr>
        <w:t xml:space="preserve">of TENOM </w:t>
      </w:r>
      <w:r w:rsidR="00CD22DE" w:rsidRPr="00D92EDA">
        <w:rPr>
          <w:rFonts w:ascii="Arial" w:hAnsi="Arial" w:cs="Arial"/>
          <w:color w:val="595959" w:themeColor="text1" w:themeTint="A6"/>
        </w:rPr>
        <w:t xml:space="preserve">(black arrows) </w:t>
      </w:r>
      <w:r w:rsidRPr="00D92EDA">
        <w:rPr>
          <w:rFonts w:ascii="Arial" w:hAnsi="Arial" w:cs="Arial"/>
          <w:color w:val="595959" w:themeColor="text1" w:themeTint="A6"/>
        </w:rPr>
        <w:t xml:space="preserve">and </w:t>
      </w:r>
      <w:r w:rsidRPr="004E06B5">
        <w:rPr>
          <w:rFonts w:ascii="Arial" w:hAnsi="Arial" w:cs="Arial"/>
          <w:color w:val="595959" w:themeColor="text1" w:themeTint="A6"/>
        </w:rPr>
        <w:t>was also observed in the fibroblast matrix layer, with a mean intensity 0.14 ± 0.02 (Figure 5.</w:t>
      </w:r>
      <w:r w:rsidR="009133B4">
        <w:rPr>
          <w:rFonts w:ascii="Arial" w:hAnsi="Arial" w:cs="Arial"/>
          <w:color w:val="595959" w:themeColor="text1" w:themeTint="A6"/>
        </w:rPr>
        <w:t>19</w:t>
      </w:r>
      <w:r w:rsidRPr="004E06B5">
        <w:rPr>
          <w:rFonts w:ascii="Arial" w:hAnsi="Arial" w:cs="Arial"/>
          <w:color w:val="595959" w:themeColor="text1" w:themeTint="A6"/>
        </w:rPr>
        <w:t xml:space="preserve"> A+D). In the TEAOM model there appears a more densely stained pattern throughout the </w:t>
      </w:r>
      <w:r w:rsidR="00CD22DE">
        <w:rPr>
          <w:rFonts w:ascii="Arial" w:hAnsi="Arial" w:cs="Arial"/>
          <w:color w:val="595959" w:themeColor="text1" w:themeTint="A6"/>
        </w:rPr>
        <w:t xml:space="preserve">stromal compartment </w:t>
      </w:r>
      <w:r w:rsidRPr="004E06B5">
        <w:rPr>
          <w:rFonts w:ascii="Arial" w:hAnsi="Arial" w:cs="Arial"/>
          <w:color w:val="595959" w:themeColor="text1" w:themeTint="A6"/>
        </w:rPr>
        <w:t>with a mean intensity of 0.30 ± 0.01 with a loss of basement membrane definition (Figure 5.</w:t>
      </w:r>
      <w:r w:rsidR="001F001A">
        <w:rPr>
          <w:rFonts w:ascii="Arial" w:hAnsi="Arial" w:cs="Arial"/>
          <w:color w:val="595959" w:themeColor="text1" w:themeTint="A6"/>
        </w:rPr>
        <w:t xml:space="preserve">19 </w:t>
      </w:r>
      <w:r w:rsidRPr="004E06B5">
        <w:rPr>
          <w:rFonts w:ascii="Arial" w:hAnsi="Arial" w:cs="Arial"/>
          <w:color w:val="595959" w:themeColor="text1" w:themeTint="A6"/>
        </w:rPr>
        <w:t>B+D). The TESCCM also exhibited staining throughout the ECM meshwork with a mean intensity of 0.30 ± 0.02 (Figure 5.</w:t>
      </w:r>
      <w:r w:rsidR="009133B4">
        <w:rPr>
          <w:rFonts w:ascii="Arial" w:hAnsi="Arial" w:cs="Arial"/>
          <w:color w:val="595959" w:themeColor="text1" w:themeTint="A6"/>
        </w:rPr>
        <w:t>19</w:t>
      </w:r>
      <w:r w:rsidRPr="004E06B5">
        <w:rPr>
          <w:rFonts w:ascii="Arial" w:hAnsi="Arial" w:cs="Arial"/>
          <w:color w:val="595959" w:themeColor="text1" w:themeTint="A6"/>
        </w:rPr>
        <w:t xml:space="preserve"> C+D) indicating COL1A1 expression changes in an OSCC progression model. </w:t>
      </w:r>
    </w:p>
    <w:p w14:paraId="19F9F33A"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24F4C7DF"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5DA47AA5"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0A01F478"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080C61FC"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5E17B179"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4E006040"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7F79434C"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6A17C8D2"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2D801734"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2606E37C"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7151CB5C" w14:textId="5A71F79F" w:rsidR="004E06B5" w:rsidRPr="004E06B5" w:rsidRDefault="004E06B5" w:rsidP="004E06B5">
      <w:pPr>
        <w:tabs>
          <w:tab w:val="left" w:pos="1350"/>
        </w:tabs>
        <w:spacing w:line="480" w:lineRule="auto"/>
        <w:jc w:val="both"/>
        <w:rPr>
          <w:rFonts w:ascii="Arial" w:hAnsi="Arial" w:cs="Arial"/>
          <w:color w:val="595959" w:themeColor="text1" w:themeTint="A6"/>
        </w:rPr>
      </w:pPr>
    </w:p>
    <w:p w14:paraId="69F374EA" w14:textId="0D46B9AC" w:rsidR="004E06B5" w:rsidRPr="004E06B5" w:rsidRDefault="004E06B5" w:rsidP="004E06B5">
      <w:pPr>
        <w:tabs>
          <w:tab w:val="left" w:pos="1350"/>
        </w:tabs>
        <w:spacing w:line="480" w:lineRule="auto"/>
        <w:jc w:val="both"/>
        <w:rPr>
          <w:rFonts w:ascii="Arial" w:hAnsi="Arial" w:cs="Arial"/>
          <w:color w:val="595959" w:themeColor="text1" w:themeTint="A6"/>
        </w:rPr>
      </w:pPr>
    </w:p>
    <w:p w14:paraId="3BD935CF" w14:textId="68048EE5" w:rsidR="004E06B5" w:rsidRPr="004E06B5" w:rsidRDefault="004E06B5" w:rsidP="004E06B5">
      <w:pPr>
        <w:tabs>
          <w:tab w:val="left" w:pos="1350"/>
        </w:tabs>
        <w:spacing w:line="480" w:lineRule="auto"/>
        <w:jc w:val="both"/>
        <w:rPr>
          <w:rFonts w:ascii="Arial" w:hAnsi="Arial" w:cs="Arial"/>
          <w:color w:val="595959" w:themeColor="text1" w:themeTint="A6"/>
        </w:rPr>
      </w:pPr>
    </w:p>
    <w:p w14:paraId="16F22942" w14:textId="129FEE21" w:rsidR="004E06B5" w:rsidRPr="004E06B5" w:rsidRDefault="004E06B5" w:rsidP="004E06B5">
      <w:pPr>
        <w:tabs>
          <w:tab w:val="left" w:pos="1350"/>
        </w:tabs>
        <w:spacing w:line="480" w:lineRule="auto"/>
        <w:jc w:val="both"/>
        <w:rPr>
          <w:rFonts w:ascii="Arial" w:hAnsi="Arial" w:cs="Arial"/>
          <w:color w:val="595959" w:themeColor="text1" w:themeTint="A6"/>
        </w:rPr>
      </w:pPr>
    </w:p>
    <w:p w14:paraId="2E220FF1" w14:textId="6135817A" w:rsidR="00CD22DE" w:rsidRDefault="00CD22DE" w:rsidP="004E06B5">
      <w:pPr>
        <w:tabs>
          <w:tab w:val="left" w:pos="1350"/>
        </w:tabs>
        <w:spacing w:line="480" w:lineRule="auto"/>
        <w:jc w:val="both"/>
        <w:rPr>
          <w:rFonts w:ascii="Arial" w:hAnsi="Arial" w:cs="Arial"/>
          <w:color w:val="595959" w:themeColor="text1" w:themeTint="A6"/>
        </w:rPr>
      </w:pPr>
      <w:r>
        <w:rPr>
          <w:rFonts w:ascii="Arial" w:hAnsi="Arial" w:cs="Arial"/>
          <w:noProof/>
          <w:color w:val="595959" w:themeColor="text1" w:themeTint="A6"/>
        </w:rPr>
        <w:drawing>
          <wp:anchor distT="0" distB="0" distL="114300" distR="114300" simplePos="0" relativeHeight="251694347" behindDoc="0" locked="0" layoutInCell="1" allowOverlap="1" wp14:anchorId="7BB85301" wp14:editId="5CB502AE">
            <wp:simplePos x="0" y="0"/>
            <wp:positionH relativeFrom="margin">
              <wp:align>left</wp:align>
            </wp:positionH>
            <wp:positionV relativeFrom="paragraph">
              <wp:posOffset>6549</wp:posOffset>
            </wp:positionV>
            <wp:extent cx="6254750" cy="4950460"/>
            <wp:effectExtent l="0" t="0" r="0" b="2540"/>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6254750" cy="4950460"/>
                    </a:xfrm>
                    <a:prstGeom prst="rect">
                      <a:avLst/>
                    </a:prstGeom>
                    <a:noFill/>
                  </pic:spPr>
                </pic:pic>
              </a:graphicData>
            </a:graphic>
          </wp:anchor>
        </w:drawing>
      </w:r>
    </w:p>
    <w:p w14:paraId="4DE4E112" w14:textId="77777777" w:rsidR="00CD22DE" w:rsidRDefault="00CD22DE" w:rsidP="004E06B5">
      <w:pPr>
        <w:tabs>
          <w:tab w:val="left" w:pos="1350"/>
        </w:tabs>
        <w:spacing w:line="480" w:lineRule="auto"/>
        <w:jc w:val="both"/>
        <w:rPr>
          <w:rFonts w:ascii="Arial" w:hAnsi="Arial" w:cs="Arial"/>
          <w:color w:val="595959" w:themeColor="text1" w:themeTint="A6"/>
        </w:rPr>
      </w:pPr>
    </w:p>
    <w:p w14:paraId="4157D488" w14:textId="77777777" w:rsidR="00CD22DE" w:rsidRDefault="00CD22DE" w:rsidP="004E06B5">
      <w:pPr>
        <w:tabs>
          <w:tab w:val="left" w:pos="1350"/>
        </w:tabs>
        <w:spacing w:line="480" w:lineRule="auto"/>
        <w:jc w:val="both"/>
        <w:rPr>
          <w:rFonts w:ascii="Arial" w:hAnsi="Arial" w:cs="Arial"/>
          <w:color w:val="595959" w:themeColor="text1" w:themeTint="A6"/>
        </w:rPr>
      </w:pPr>
    </w:p>
    <w:p w14:paraId="33B80457" w14:textId="77777777" w:rsidR="00CD22DE" w:rsidRDefault="00CD22DE" w:rsidP="004E06B5">
      <w:pPr>
        <w:tabs>
          <w:tab w:val="left" w:pos="1350"/>
        </w:tabs>
        <w:spacing w:line="480" w:lineRule="auto"/>
        <w:jc w:val="both"/>
        <w:rPr>
          <w:rFonts w:ascii="Arial" w:hAnsi="Arial" w:cs="Arial"/>
          <w:color w:val="595959" w:themeColor="text1" w:themeTint="A6"/>
        </w:rPr>
      </w:pPr>
    </w:p>
    <w:p w14:paraId="3B171F93" w14:textId="77777777" w:rsidR="00CD22DE" w:rsidRDefault="00CD22DE" w:rsidP="004E06B5">
      <w:pPr>
        <w:tabs>
          <w:tab w:val="left" w:pos="1350"/>
        </w:tabs>
        <w:spacing w:line="480" w:lineRule="auto"/>
        <w:jc w:val="both"/>
        <w:rPr>
          <w:rFonts w:ascii="Arial" w:hAnsi="Arial" w:cs="Arial"/>
          <w:color w:val="595959" w:themeColor="text1" w:themeTint="A6"/>
        </w:rPr>
      </w:pPr>
    </w:p>
    <w:p w14:paraId="39359299" w14:textId="77777777" w:rsidR="00CD22DE" w:rsidRDefault="00CD22DE" w:rsidP="004E06B5">
      <w:pPr>
        <w:tabs>
          <w:tab w:val="left" w:pos="1350"/>
        </w:tabs>
        <w:spacing w:line="480" w:lineRule="auto"/>
        <w:jc w:val="both"/>
        <w:rPr>
          <w:rFonts w:ascii="Arial" w:hAnsi="Arial" w:cs="Arial"/>
          <w:color w:val="595959" w:themeColor="text1" w:themeTint="A6"/>
        </w:rPr>
      </w:pPr>
    </w:p>
    <w:p w14:paraId="29FC1657" w14:textId="77777777" w:rsidR="00CD22DE" w:rsidRDefault="00CD22DE" w:rsidP="004E06B5">
      <w:pPr>
        <w:tabs>
          <w:tab w:val="left" w:pos="1350"/>
        </w:tabs>
        <w:spacing w:line="480" w:lineRule="auto"/>
        <w:jc w:val="both"/>
        <w:rPr>
          <w:rFonts w:ascii="Arial" w:hAnsi="Arial" w:cs="Arial"/>
          <w:color w:val="595959" w:themeColor="text1" w:themeTint="A6"/>
        </w:rPr>
      </w:pPr>
    </w:p>
    <w:p w14:paraId="4779CE90" w14:textId="77777777" w:rsidR="00CD22DE" w:rsidRDefault="00CD22DE" w:rsidP="004E06B5">
      <w:pPr>
        <w:tabs>
          <w:tab w:val="left" w:pos="1350"/>
        </w:tabs>
        <w:spacing w:line="480" w:lineRule="auto"/>
        <w:jc w:val="both"/>
        <w:rPr>
          <w:rFonts w:ascii="Arial" w:hAnsi="Arial" w:cs="Arial"/>
          <w:color w:val="595959" w:themeColor="text1" w:themeTint="A6"/>
        </w:rPr>
      </w:pPr>
    </w:p>
    <w:p w14:paraId="4ED85267" w14:textId="77777777" w:rsidR="00CD22DE" w:rsidRDefault="00CD22DE" w:rsidP="004E06B5">
      <w:pPr>
        <w:tabs>
          <w:tab w:val="left" w:pos="1350"/>
        </w:tabs>
        <w:spacing w:line="480" w:lineRule="auto"/>
        <w:jc w:val="both"/>
        <w:rPr>
          <w:rFonts w:ascii="Arial" w:hAnsi="Arial" w:cs="Arial"/>
          <w:color w:val="595959" w:themeColor="text1" w:themeTint="A6"/>
        </w:rPr>
      </w:pPr>
    </w:p>
    <w:p w14:paraId="3F8E2E3F" w14:textId="77777777" w:rsidR="00CD22DE" w:rsidRDefault="00CD22DE" w:rsidP="004E06B5">
      <w:pPr>
        <w:tabs>
          <w:tab w:val="left" w:pos="1350"/>
        </w:tabs>
        <w:spacing w:line="480" w:lineRule="auto"/>
        <w:jc w:val="both"/>
        <w:rPr>
          <w:rFonts w:ascii="Arial" w:hAnsi="Arial" w:cs="Arial"/>
          <w:color w:val="595959" w:themeColor="text1" w:themeTint="A6"/>
        </w:rPr>
      </w:pPr>
    </w:p>
    <w:p w14:paraId="72400C74" w14:textId="77777777" w:rsidR="00CD22DE" w:rsidRDefault="00CD22DE" w:rsidP="004E06B5">
      <w:pPr>
        <w:tabs>
          <w:tab w:val="left" w:pos="1350"/>
        </w:tabs>
        <w:spacing w:line="480" w:lineRule="auto"/>
        <w:jc w:val="both"/>
        <w:rPr>
          <w:rFonts w:ascii="Arial" w:hAnsi="Arial" w:cs="Arial"/>
          <w:color w:val="595959" w:themeColor="text1" w:themeTint="A6"/>
        </w:rPr>
      </w:pPr>
    </w:p>
    <w:p w14:paraId="63258165" w14:textId="38A96366" w:rsidR="004E06B5" w:rsidRPr="004E06B5" w:rsidRDefault="004E06B5" w:rsidP="004E06B5">
      <w:pPr>
        <w:tabs>
          <w:tab w:val="left" w:pos="1350"/>
        </w:tabs>
        <w:spacing w:line="480" w:lineRule="auto"/>
        <w:jc w:val="both"/>
        <w:rPr>
          <w:rFonts w:ascii="Arial" w:hAnsi="Arial" w:cs="Arial"/>
          <w:color w:val="595959" w:themeColor="text1" w:themeTint="A6"/>
        </w:rPr>
      </w:pPr>
    </w:p>
    <w:p w14:paraId="30E1F747"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67D834BC" w14:textId="7553EB8A" w:rsidR="004E06B5" w:rsidRPr="004E06B5" w:rsidRDefault="004E06B5" w:rsidP="004E06B5">
      <w:pPr>
        <w:tabs>
          <w:tab w:val="left" w:pos="1350"/>
        </w:tabs>
        <w:spacing w:line="480" w:lineRule="auto"/>
        <w:jc w:val="both"/>
        <w:rPr>
          <w:rFonts w:ascii="Arial" w:hAnsi="Arial" w:cs="Arial"/>
          <w:color w:val="595959" w:themeColor="text1" w:themeTint="A6"/>
        </w:rPr>
      </w:pPr>
    </w:p>
    <w:p w14:paraId="6C6BF73F" w14:textId="55570E34" w:rsidR="004E06B5" w:rsidRPr="004E06B5" w:rsidRDefault="00CD22DE" w:rsidP="004E06B5">
      <w:pPr>
        <w:tabs>
          <w:tab w:val="left" w:pos="1350"/>
        </w:tabs>
        <w:spacing w:line="480" w:lineRule="auto"/>
        <w:jc w:val="both"/>
        <w:rPr>
          <w:rFonts w:ascii="Arial" w:hAnsi="Arial" w:cs="Arial"/>
          <w:color w:val="595959" w:themeColor="text1" w:themeTint="A6"/>
        </w:rPr>
      </w:pPr>
      <w:r w:rsidRPr="004E06B5">
        <w:rPr>
          <w:rFonts w:ascii="Arial" w:hAnsi="Arial" w:cs="Arial"/>
          <w:noProof/>
          <w:color w:val="595959" w:themeColor="text1" w:themeTint="A6"/>
          <w:sz w:val="24"/>
          <w:szCs w:val="24"/>
          <w:lang w:eastAsia="zh-CN"/>
        </w:rPr>
        <mc:AlternateContent>
          <mc:Choice Requires="wps">
            <w:drawing>
              <wp:anchor distT="0" distB="0" distL="114300" distR="114300" simplePos="0" relativeHeight="251658416" behindDoc="0" locked="0" layoutInCell="1" allowOverlap="1" wp14:anchorId="4BDDAC69" wp14:editId="44603B87">
                <wp:simplePos x="0" y="0"/>
                <wp:positionH relativeFrom="margin">
                  <wp:align>right</wp:align>
                </wp:positionH>
                <wp:positionV relativeFrom="paragraph">
                  <wp:posOffset>146126</wp:posOffset>
                </wp:positionV>
                <wp:extent cx="5724525" cy="1903863"/>
                <wp:effectExtent l="0" t="0" r="9525" b="1270"/>
                <wp:wrapNone/>
                <wp:docPr id="217"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1903863"/>
                        </a:xfrm>
                        <a:prstGeom prst="rect">
                          <a:avLst/>
                        </a:prstGeom>
                        <a:solidFill>
                          <a:srgbClr val="FFFFFF"/>
                        </a:solidFill>
                        <a:ln w="9525">
                          <a:noFill/>
                          <a:miter lim="800000"/>
                          <a:headEnd/>
                          <a:tailEnd/>
                        </a:ln>
                      </wps:spPr>
                      <wps:txbx>
                        <w:txbxContent>
                          <w:p w14:paraId="68B8A887" w14:textId="6D2CE45C" w:rsidR="008A47AC" w:rsidRPr="006B7937" w:rsidRDefault="008A47AC" w:rsidP="004E06B5">
                            <w:pPr>
                              <w:pStyle w:val="Caption"/>
                              <w:keepNext/>
                              <w:jc w:val="both"/>
                              <w:rPr>
                                <w:rFonts w:ascii="Arial Narrow" w:hAnsi="Arial Narrow"/>
                                <w:b/>
                                <w:i w:val="0"/>
                                <w:sz w:val="24"/>
                                <w:szCs w:val="24"/>
                              </w:rPr>
                            </w:pPr>
                            <w:bookmarkStart w:id="478" w:name="_Hlk20503040"/>
                            <w:r w:rsidRPr="006B7937">
                              <w:rPr>
                                <w:rFonts w:ascii="Arial Narrow" w:hAnsi="Arial Narrow"/>
                                <w:b/>
                                <w:i w:val="0"/>
                                <w:color w:val="595959" w:themeColor="text1" w:themeTint="A6"/>
                                <w:sz w:val="24"/>
                                <w:szCs w:val="24"/>
                              </w:rPr>
                              <w:t>Figure</w:t>
                            </w:r>
                            <w:r>
                              <w:rPr>
                                <w:rFonts w:ascii="Arial Narrow" w:hAnsi="Arial Narrow"/>
                                <w:b/>
                                <w:i w:val="0"/>
                                <w:color w:val="595959" w:themeColor="text1" w:themeTint="A6"/>
                                <w:sz w:val="24"/>
                                <w:szCs w:val="24"/>
                              </w:rPr>
                              <w:t xml:space="preserve"> 5.19 Immunohistochemical analysis of COL1A1 in tissue-engineered oral mucosa models</w:t>
                            </w:r>
                          </w:p>
                          <w:bookmarkEnd w:id="478"/>
                          <w:p w14:paraId="0F264379" w14:textId="04EAF7A9" w:rsidR="008A47AC" w:rsidRPr="00B8170A" w:rsidRDefault="008A47AC" w:rsidP="004E06B5">
                            <w:pPr>
                              <w:pStyle w:val="NormalWeb"/>
                              <w:spacing w:after="200" w:line="276" w:lineRule="auto"/>
                              <w:jc w:val="both"/>
                            </w:pPr>
                            <w:r>
                              <w:rPr>
                                <w:rFonts w:ascii="Arial Narrow" w:eastAsia="SimSun" w:hAnsi="Arial Narrow" w:cs="Arial"/>
                                <w:color w:val="595959" w:themeColor="text1" w:themeTint="A6"/>
                                <w:kern w:val="24"/>
                                <w:sz w:val="22"/>
                                <w:szCs w:val="22"/>
                              </w:rPr>
                              <w:t xml:space="preserve">Full thickness tissue-engineered models were developed on FDM and cultured for 12 days at an air-to-liquid interface before being subjected to histological processing and immunohistochemical staining for COL1A1 (brown) and haematoxylin counterstain (blue). Representative images of TENOM (A), TEAOM (B) and TESCCM (C) and semi-quantitative analysis of the optical density of staining </w:t>
                            </w:r>
                            <w:r w:rsidRPr="00D92EDA">
                              <w:rPr>
                                <w:rFonts w:ascii="Arial Narrow" w:eastAsia="SimSun" w:hAnsi="Arial Narrow" w:cs="Arial"/>
                                <w:color w:val="595959" w:themeColor="text1" w:themeTint="A6"/>
                                <w:kern w:val="24"/>
                                <w:sz w:val="22"/>
                                <w:szCs w:val="22"/>
                              </w:rPr>
                              <w:t xml:space="preserve">intensity (D). Prominent staining observed in basement membrane of TENOM (black arrows) and in the stroma of TEAOM and TESCCM. </w:t>
                            </w:r>
                            <w:r>
                              <w:rPr>
                                <w:rFonts w:ascii="Arial Narrow" w:eastAsia="SimSun" w:hAnsi="Arial Narrow" w:cs="Arial"/>
                                <w:color w:val="595959" w:themeColor="text1" w:themeTint="A6"/>
                                <w:kern w:val="24"/>
                                <w:sz w:val="22"/>
                                <w:szCs w:val="22"/>
                              </w:rPr>
                              <w:t xml:space="preserve">Data shows mean ± SD </w:t>
                            </w:r>
                            <w:r w:rsidRPr="00E72F77">
                              <w:rPr>
                                <w:rFonts w:ascii="Arial Narrow" w:eastAsia="SimSun" w:hAnsi="Arial Narrow" w:cs="Arial"/>
                                <w:color w:val="595959" w:themeColor="text1" w:themeTint="A6"/>
                                <w:kern w:val="24"/>
                                <w:sz w:val="22"/>
                                <w:szCs w:val="22"/>
                              </w:rPr>
                              <w:t>(N=</w:t>
                            </w:r>
                            <w:r>
                              <w:rPr>
                                <w:rFonts w:ascii="Arial Narrow" w:eastAsia="SimSun" w:hAnsi="Arial Narrow" w:cs="Arial"/>
                                <w:color w:val="595959" w:themeColor="text1" w:themeTint="A6"/>
                                <w:kern w:val="24"/>
                                <w:sz w:val="22"/>
                                <w:szCs w:val="22"/>
                              </w:rPr>
                              <w:t>3</w:t>
                            </w:r>
                            <w:r w:rsidRPr="00E72F77">
                              <w:rPr>
                                <w:rFonts w:ascii="Arial Narrow" w:eastAsia="SimSun" w:hAnsi="Arial Narrow" w:cs="Arial"/>
                                <w:color w:val="595959" w:themeColor="text1" w:themeTint="A6"/>
                                <w:kern w:val="24"/>
                                <w:sz w:val="22"/>
                                <w:szCs w:val="22"/>
                              </w:rPr>
                              <w:t>, n=</w:t>
                            </w:r>
                            <w:r>
                              <w:rPr>
                                <w:rFonts w:ascii="Arial Narrow" w:eastAsia="SimSun" w:hAnsi="Arial Narrow" w:cs="Arial"/>
                                <w:color w:val="595959" w:themeColor="text1" w:themeTint="A6"/>
                                <w:kern w:val="24"/>
                                <w:sz w:val="22"/>
                                <w:szCs w:val="22"/>
                              </w:rPr>
                              <w:t>2</w:t>
                            </w:r>
                            <w:r w:rsidRPr="00E72F77">
                              <w:rPr>
                                <w:rFonts w:ascii="Arial Narrow" w:eastAsia="SimSun" w:hAnsi="Arial Narrow" w:cs="Arial"/>
                                <w:color w:val="595959" w:themeColor="text1" w:themeTint="A6"/>
                                <w:kern w:val="24"/>
                                <w:sz w:val="22"/>
                                <w:szCs w:val="22"/>
                              </w:rPr>
                              <w:t>).</w:t>
                            </w:r>
                            <w:r>
                              <w:rPr>
                                <w:rFonts w:ascii="Arial Narrow" w:eastAsia="SimSun" w:hAnsi="Arial Narrow" w:cs="Arial"/>
                                <w:color w:val="595959" w:themeColor="text1" w:themeTint="A6"/>
                                <w:kern w:val="24"/>
                                <w:sz w:val="22"/>
                                <w:szCs w:val="22"/>
                              </w:rPr>
                              <w:t xml:space="preserve"> </w:t>
                            </w:r>
                            <w:r w:rsidRPr="004F3DAB">
                              <w:rPr>
                                <w:rFonts w:ascii="Arial Narrow" w:eastAsia="SimSun" w:hAnsi="Arial Narrow" w:cs="Arial"/>
                                <w:i/>
                                <w:iCs/>
                                <w:color w:val="595959" w:themeColor="text1" w:themeTint="A6"/>
                                <w:kern w:val="24"/>
                                <w:sz w:val="22"/>
                                <w:szCs w:val="22"/>
                              </w:rPr>
                              <w:t>ns</w:t>
                            </w:r>
                            <w:r>
                              <w:rPr>
                                <w:rFonts w:ascii="Arial Narrow" w:eastAsia="SimSun" w:hAnsi="Arial Narrow" w:cs="Arial"/>
                                <w:color w:val="595959" w:themeColor="text1" w:themeTint="A6"/>
                                <w:kern w:val="24"/>
                                <w:sz w:val="22"/>
                                <w:szCs w:val="22"/>
                              </w:rPr>
                              <w:t xml:space="preserve"> compared to TENOM as analysed by Kruskal-Wallis test with Dunn’s multiple comparison. Scale bar = 50 µm.</w:t>
                            </w:r>
                          </w:p>
                          <w:p w14:paraId="49F7392C" w14:textId="77777777" w:rsidR="008A47AC" w:rsidRPr="00B8170A" w:rsidRDefault="008A47AC" w:rsidP="004E06B5">
                            <w:pPr>
                              <w:pStyle w:val="NormalWeb"/>
                              <w:spacing w:after="200" w:line="276" w:lineRule="auto"/>
                              <w:jc w:val="both"/>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DDAC69" id="Text Box 217" o:spid="_x0000_s1197" type="#_x0000_t202" style="position:absolute;left:0;text-align:left;margin-left:399.55pt;margin-top:11.5pt;width:450.75pt;height:149.9pt;z-index:2516584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" stroked="f">
                <v:textbox>
                  <w:txbxContent>
                    <w:p w14:paraId="68B8A887" w14:textId="6D2CE45C" w:rsidR="008A47AC" w:rsidRPr="006B7937" w:rsidRDefault="008A47AC" w:rsidP="004E06B5">
                      <w:pPr>
                        <w:pStyle w:val="Caption"/>
                        <w:keepNext/>
                        <w:jc w:val="both"/>
                        <w:rPr>
                          <w:rFonts w:ascii="Arial Narrow" w:hAnsi="Arial Narrow"/>
                          <w:b/>
                          <w:i w:val="0"/>
                          <w:sz w:val="24"/>
                          <w:szCs w:val="24"/>
                        </w:rPr>
                      </w:pPr>
                      <w:bookmarkStart w:id="476" w:name="_Hlk20503040"/>
                      <w:r w:rsidRPr="006B7937">
                        <w:rPr>
                          <w:rFonts w:ascii="Arial Narrow" w:hAnsi="Arial Narrow"/>
                          <w:b/>
                          <w:i w:val="0"/>
                          <w:color w:val="595959" w:themeColor="text1" w:themeTint="A6"/>
                          <w:sz w:val="24"/>
                          <w:szCs w:val="24"/>
                        </w:rPr>
                        <w:t>Figure</w:t>
                      </w:r>
                      <w:r>
                        <w:rPr>
                          <w:rFonts w:ascii="Arial Narrow" w:hAnsi="Arial Narrow"/>
                          <w:b/>
                          <w:i w:val="0"/>
                          <w:color w:val="595959" w:themeColor="text1" w:themeTint="A6"/>
                          <w:sz w:val="24"/>
                          <w:szCs w:val="24"/>
                        </w:rPr>
                        <w:t xml:space="preserve"> 5.19 Immunohistochemical analysis of COL1A1 in tissue-engineered oral mucosa models</w:t>
                      </w:r>
                    </w:p>
                    <w:bookmarkEnd w:id="476"/>
                    <w:p w14:paraId="0F264379" w14:textId="04EAF7A9" w:rsidR="008A47AC" w:rsidRPr="00B8170A" w:rsidRDefault="008A47AC" w:rsidP="004E06B5">
                      <w:pPr>
                        <w:pStyle w:val="NormalWeb"/>
                        <w:spacing w:after="200" w:line="276" w:lineRule="auto"/>
                        <w:jc w:val="both"/>
                      </w:pPr>
                      <w:r>
                        <w:rPr>
                          <w:rFonts w:ascii="Arial Narrow" w:eastAsia="SimSun" w:hAnsi="Arial Narrow" w:cs="Arial"/>
                          <w:color w:val="595959" w:themeColor="text1" w:themeTint="A6"/>
                          <w:kern w:val="24"/>
                          <w:sz w:val="22"/>
                          <w:szCs w:val="22"/>
                        </w:rPr>
                        <w:t xml:space="preserve">Full thickness tissue-engineered models were developed on FDM and cultured for 12 days at an air-to-liquid interface before being subjected to histological processing and immunohistochemical staining for COL1A1 (brown) and haematoxylin counterstain (blue). Representative images of TENOM (A), TEAOM (B) and TESCCM (C) and semi-quantitative analysis of the optical density of staining </w:t>
                      </w:r>
                      <w:r w:rsidRPr="00D92EDA">
                        <w:rPr>
                          <w:rFonts w:ascii="Arial Narrow" w:eastAsia="SimSun" w:hAnsi="Arial Narrow" w:cs="Arial"/>
                          <w:color w:val="595959" w:themeColor="text1" w:themeTint="A6"/>
                          <w:kern w:val="24"/>
                          <w:sz w:val="22"/>
                          <w:szCs w:val="22"/>
                        </w:rPr>
                        <w:t xml:space="preserve">intensity (D). Prominent staining observed in basement membrane of TENOM (black arrows) and in the stroma of TEAOM and TESCCM. </w:t>
                      </w:r>
                      <w:r>
                        <w:rPr>
                          <w:rFonts w:ascii="Arial Narrow" w:eastAsia="SimSun" w:hAnsi="Arial Narrow" w:cs="Arial"/>
                          <w:color w:val="595959" w:themeColor="text1" w:themeTint="A6"/>
                          <w:kern w:val="24"/>
                          <w:sz w:val="22"/>
                          <w:szCs w:val="22"/>
                        </w:rPr>
                        <w:t xml:space="preserve">Data shows mean ± SD </w:t>
                      </w:r>
                      <w:r w:rsidRPr="00E72F77">
                        <w:rPr>
                          <w:rFonts w:ascii="Arial Narrow" w:eastAsia="SimSun" w:hAnsi="Arial Narrow" w:cs="Arial"/>
                          <w:color w:val="595959" w:themeColor="text1" w:themeTint="A6"/>
                          <w:kern w:val="24"/>
                          <w:sz w:val="22"/>
                          <w:szCs w:val="22"/>
                        </w:rPr>
                        <w:t>(N=</w:t>
                      </w:r>
                      <w:r>
                        <w:rPr>
                          <w:rFonts w:ascii="Arial Narrow" w:eastAsia="SimSun" w:hAnsi="Arial Narrow" w:cs="Arial"/>
                          <w:color w:val="595959" w:themeColor="text1" w:themeTint="A6"/>
                          <w:kern w:val="24"/>
                          <w:sz w:val="22"/>
                          <w:szCs w:val="22"/>
                        </w:rPr>
                        <w:t>3</w:t>
                      </w:r>
                      <w:r w:rsidRPr="00E72F77">
                        <w:rPr>
                          <w:rFonts w:ascii="Arial Narrow" w:eastAsia="SimSun" w:hAnsi="Arial Narrow" w:cs="Arial"/>
                          <w:color w:val="595959" w:themeColor="text1" w:themeTint="A6"/>
                          <w:kern w:val="24"/>
                          <w:sz w:val="22"/>
                          <w:szCs w:val="22"/>
                        </w:rPr>
                        <w:t>, n=</w:t>
                      </w:r>
                      <w:r>
                        <w:rPr>
                          <w:rFonts w:ascii="Arial Narrow" w:eastAsia="SimSun" w:hAnsi="Arial Narrow" w:cs="Arial"/>
                          <w:color w:val="595959" w:themeColor="text1" w:themeTint="A6"/>
                          <w:kern w:val="24"/>
                          <w:sz w:val="22"/>
                          <w:szCs w:val="22"/>
                        </w:rPr>
                        <w:t>2</w:t>
                      </w:r>
                      <w:r w:rsidRPr="00E72F77">
                        <w:rPr>
                          <w:rFonts w:ascii="Arial Narrow" w:eastAsia="SimSun" w:hAnsi="Arial Narrow" w:cs="Arial"/>
                          <w:color w:val="595959" w:themeColor="text1" w:themeTint="A6"/>
                          <w:kern w:val="24"/>
                          <w:sz w:val="22"/>
                          <w:szCs w:val="22"/>
                        </w:rPr>
                        <w:t>).</w:t>
                      </w:r>
                      <w:r>
                        <w:rPr>
                          <w:rFonts w:ascii="Arial Narrow" w:eastAsia="SimSun" w:hAnsi="Arial Narrow" w:cs="Arial"/>
                          <w:color w:val="595959" w:themeColor="text1" w:themeTint="A6"/>
                          <w:kern w:val="24"/>
                          <w:sz w:val="22"/>
                          <w:szCs w:val="22"/>
                        </w:rPr>
                        <w:t xml:space="preserve"> </w:t>
                      </w:r>
                      <w:r w:rsidRPr="004F3DAB">
                        <w:rPr>
                          <w:rFonts w:ascii="Arial Narrow" w:eastAsia="SimSun" w:hAnsi="Arial Narrow" w:cs="Arial"/>
                          <w:i/>
                          <w:iCs/>
                          <w:color w:val="595959" w:themeColor="text1" w:themeTint="A6"/>
                          <w:kern w:val="24"/>
                          <w:sz w:val="22"/>
                          <w:szCs w:val="22"/>
                        </w:rPr>
                        <w:t>ns</w:t>
                      </w:r>
                      <w:r>
                        <w:rPr>
                          <w:rFonts w:ascii="Arial Narrow" w:eastAsia="SimSun" w:hAnsi="Arial Narrow" w:cs="Arial"/>
                          <w:color w:val="595959" w:themeColor="text1" w:themeTint="A6"/>
                          <w:kern w:val="24"/>
                          <w:sz w:val="22"/>
                          <w:szCs w:val="22"/>
                        </w:rPr>
                        <w:t xml:space="preserve"> compared to TENOM as analysed by Kruskal-Wallis test with Dunn’s multiple comparison. Scale bar = 50 µm.</w:t>
                      </w:r>
                    </w:p>
                    <w:p w14:paraId="49F7392C" w14:textId="77777777" w:rsidR="008A47AC" w:rsidRPr="00B8170A" w:rsidRDefault="008A47AC" w:rsidP="004E06B5">
                      <w:pPr>
                        <w:pStyle w:val="NormalWeb"/>
                        <w:spacing w:after="200" w:line="276" w:lineRule="auto"/>
                        <w:jc w:val="both"/>
                      </w:pPr>
                    </w:p>
                  </w:txbxContent>
                </v:textbox>
                <w10:wrap anchorx="margin"/>
              </v:shape>
            </w:pict>
          </mc:Fallback>
        </mc:AlternateContent>
      </w:r>
    </w:p>
    <w:p w14:paraId="04F91BC2"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63AA9C4B"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233AD9A4"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23BC2DBD" w14:textId="5206998B" w:rsidR="004E06B5" w:rsidRDefault="004E06B5" w:rsidP="004E06B5">
      <w:pPr>
        <w:tabs>
          <w:tab w:val="left" w:pos="1350"/>
        </w:tabs>
        <w:spacing w:line="480" w:lineRule="auto"/>
        <w:jc w:val="both"/>
        <w:rPr>
          <w:rFonts w:ascii="Arial" w:hAnsi="Arial" w:cs="Arial"/>
          <w:color w:val="595959" w:themeColor="text1" w:themeTint="A6"/>
        </w:rPr>
      </w:pPr>
    </w:p>
    <w:p w14:paraId="623D5551" w14:textId="77777777" w:rsidR="000B0D86" w:rsidRPr="004E06B5" w:rsidRDefault="000B0D86" w:rsidP="004E06B5">
      <w:pPr>
        <w:tabs>
          <w:tab w:val="left" w:pos="1350"/>
        </w:tabs>
        <w:spacing w:line="480" w:lineRule="auto"/>
        <w:jc w:val="both"/>
        <w:rPr>
          <w:rFonts w:ascii="Arial" w:hAnsi="Arial" w:cs="Arial"/>
          <w:color w:val="595959" w:themeColor="text1" w:themeTint="A6"/>
        </w:rPr>
      </w:pPr>
    </w:p>
    <w:p w14:paraId="0533783E" w14:textId="270FD2E1" w:rsidR="004E06B5" w:rsidRDefault="004E06B5" w:rsidP="00E01DBA">
      <w:pPr>
        <w:pStyle w:val="Heading4"/>
        <w:rPr>
          <w:rFonts w:ascii="Arial" w:hAnsi="Arial" w:cs="Arial"/>
          <w:color w:val="595959" w:themeColor="text1" w:themeTint="A6"/>
        </w:rPr>
      </w:pPr>
      <w:bookmarkStart w:id="479" w:name="_Toc34208469"/>
      <w:r w:rsidRPr="004E06B5">
        <w:rPr>
          <w:rFonts w:ascii="Arial" w:hAnsi="Arial" w:cs="Arial"/>
          <w:color w:val="595959" w:themeColor="text1" w:themeTint="A6"/>
        </w:rPr>
        <w:t>5.3.</w:t>
      </w:r>
      <w:r w:rsidR="00E41412">
        <w:rPr>
          <w:rFonts w:ascii="Arial" w:hAnsi="Arial" w:cs="Arial"/>
          <w:color w:val="595959" w:themeColor="text1" w:themeTint="A6"/>
        </w:rPr>
        <w:t>3.3</w:t>
      </w:r>
      <w:r w:rsidRPr="004E06B5">
        <w:rPr>
          <w:rFonts w:ascii="Arial" w:hAnsi="Arial" w:cs="Arial"/>
          <w:color w:val="595959" w:themeColor="text1" w:themeTint="A6"/>
        </w:rPr>
        <w:t xml:space="preserve"> Immunohistochemical analysis of basal cells and basement membrane components</w:t>
      </w:r>
      <w:bookmarkEnd w:id="479"/>
      <w:r w:rsidRPr="004E06B5">
        <w:rPr>
          <w:rFonts w:ascii="Arial" w:hAnsi="Arial" w:cs="Arial"/>
          <w:color w:val="595959" w:themeColor="text1" w:themeTint="A6"/>
        </w:rPr>
        <w:t xml:space="preserve"> </w:t>
      </w:r>
    </w:p>
    <w:p w14:paraId="2519B631" w14:textId="77777777" w:rsidR="00E01DBA" w:rsidRPr="00E01DBA" w:rsidRDefault="00E01DBA" w:rsidP="00E01DBA"/>
    <w:p w14:paraId="22988811" w14:textId="666F2EF8" w:rsidR="004E06B5" w:rsidRDefault="004E06B5" w:rsidP="00E01DBA">
      <w:pPr>
        <w:pStyle w:val="Heading5"/>
        <w:rPr>
          <w:rFonts w:ascii="Arial" w:hAnsi="Arial" w:cs="Arial"/>
          <w:color w:val="595959" w:themeColor="text1" w:themeTint="A6"/>
        </w:rPr>
      </w:pPr>
      <w:bookmarkStart w:id="480" w:name="_Toc34208470"/>
      <w:r w:rsidRPr="004E06B5">
        <w:rPr>
          <w:rFonts w:ascii="Arial" w:hAnsi="Arial" w:cs="Arial"/>
          <w:color w:val="595959" w:themeColor="text1" w:themeTint="A6"/>
        </w:rPr>
        <w:t>5.3.</w:t>
      </w:r>
      <w:r w:rsidR="00E41412">
        <w:rPr>
          <w:rFonts w:ascii="Arial" w:hAnsi="Arial" w:cs="Arial"/>
          <w:color w:val="595959" w:themeColor="text1" w:themeTint="A6"/>
        </w:rPr>
        <w:t>3.</w:t>
      </w:r>
      <w:r w:rsidRPr="004E06B5">
        <w:rPr>
          <w:rFonts w:ascii="Arial" w:hAnsi="Arial" w:cs="Arial"/>
          <w:color w:val="595959" w:themeColor="text1" w:themeTint="A6"/>
        </w:rPr>
        <w:t xml:space="preserve">3.1 Integrin </w:t>
      </w:r>
      <w:bookmarkStart w:id="481" w:name="_Hlk526342513"/>
      <w:r w:rsidRPr="004E06B5">
        <w:rPr>
          <w:rFonts w:ascii="Arial" w:hAnsi="Arial" w:cs="Arial"/>
          <w:color w:val="595959" w:themeColor="text1" w:themeTint="A6"/>
        </w:rPr>
        <w:t>α6β4</w:t>
      </w:r>
      <w:bookmarkEnd w:id="480"/>
      <w:bookmarkEnd w:id="481"/>
      <w:r w:rsidRPr="004E06B5">
        <w:rPr>
          <w:rFonts w:ascii="Arial" w:hAnsi="Arial" w:cs="Arial"/>
          <w:color w:val="595959" w:themeColor="text1" w:themeTint="A6"/>
        </w:rPr>
        <w:t xml:space="preserve"> </w:t>
      </w:r>
    </w:p>
    <w:p w14:paraId="5269D0A3" w14:textId="77777777" w:rsidR="00E01DBA" w:rsidRPr="00E01DBA" w:rsidRDefault="00E01DBA" w:rsidP="00E01DBA"/>
    <w:p w14:paraId="50A8A7BA" w14:textId="2F0E020B" w:rsidR="004E06B5" w:rsidRPr="004E06B5" w:rsidRDefault="004E06B5" w:rsidP="004E06B5">
      <w:pPr>
        <w:tabs>
          <w:tab w:val="left" w:pos="1350"/>
        </w:tabs>
        <w:spacing w:line="480" w:lineRule="auto"/>
        <w:jc w:val="both"/>
        <w:rPr>
          <w:rFonts w:ascii="Arial" w:hAnsi="Arial" w:cs="Arial"/>
          <w:color w:val="595959" w:themeColor="text1" w:themeTint="A6"/>
        </w:rPr>
      </w:pPr>
      <w:r w:rsidRPr="004E06B5">
        <w:rPr>
          <w:rFonts w:ascii="Arial" w:hAnsi="Arial" w:cs="Arial"/>
          <w:color w:val="595959" w:themeColor="text1" w:themeTint="A6"/>
        </w:rPr>
        <w:t>Integrin α6β4 has been identified as a major adhesion receptor of the integrin family and</w:t>
      </w:r>
      <w:r w:rsidRPr="004E06B5">
        <w:rPr>
          <w:rFonts w:ascii="Arial" w:hAnsi="Arial" w:cs="Arial"/>
        </w:rPr>
        <w:t xml:space="preserve"> </w:t>
      </w:r>
      <w:r w:rsidRPr="004E06B5">
        <w:rPr>
          <w:rFonts w:ascii="Arial" w:hAnsi="Arial" w:cs="Arial"/>
          <w:color w:val="595959" w:themeColor="text1" w:themeTint="A6"/>
        </w:rPr>
        <w:t xml:space="preserve">nucleates the formation of hemidesmosomes in oral stratified squamous epithelium primarily expressed in the basal aspect of basal cells. The integrins of epithelial cells have been shown to mediate cell-cell and cell-extracellular matrix adhesions. Using IHC the expression of the α6, β4 subunits of </w:t>
      </w:r>
      <w:r w:rsidRPr="00D92EDA">
        <w:rPr>
          <w:rFonts w:ascii="Arial" w:hAnsi="Arial" w:cs="Arial"/>
          <w:color w:val="595959" w:themeColor="text1" w:themeTint="A6"/>
        </w:rPr>
        <w:t xml:space="preserve">integrins were analysed for each model. In the TENOM model, staining was evident within the basal </w:t>
      </w:r>
      <w:r w:rsidR="00BC7F6D" w:rsidRPr="00D92EDA">
        <w:rPr>
          <w:rFonts w:ascii="Arial" w:hAnsi="Arial" w:cs="Arial"/>
          <w:color w:val="595959" w:themeColor="text1" w:themeTint="A6"/>
        </w:rPr>
        <w:t>and suprabasal layers</w:t>
      </w:r>
      <w:r w:rsidRPr="00D92EDA">
        <w:rPr>
          <w:rFonts w:ascii="Arial" w:hAnsi="Arial" w:cs="Arial"/>
          <w:color w:val="595959" w:themeColor="text1" w:themeTint="A6"/>
        </w:rPr>
        <w:t xml:space="preserve"> of the oral epithelium (</w:t>
      </w:r>
      <w:r w:rsidRPr="004E06B5">
        <w:rPr>
          <w:rFonts w:ascii="Arial" w:hAnsi="Arial" w:cs="Arial"/>
          <w:color w:val="595959" w:themeColor="text1" w:themeTint="A6"/>
        </w:rPr>
        <w:t>Figure 5.2</w:t>
      </w:r>
      <w:r w:rsidR="001F001A">
        <w:rPr>
          <w:rFonts w:ascii="Arial" w:hAnsi="Arial" w:cs="Arial"/>
          <w:color w:val="595959" w:themeColor="text1" w:themeTint="A6"/>
        </w:rPr>
        <w:t>0</w:t>
      </w:r>
      <w:r w:rsidRPr="004E06B5">
        <w:rPr>
          <w:rFonts w:ascii="Arial" w:hAnsi="Arial" w:cs="Arial"/>
          <w:color w:val="595959" w:themeColor="text1" w:themeTint="A6"/>
        </w:rPr>
        <w:t xml:space="preserve"> A). In particular, staining was exhibited on the junctions between cells on their basal aspects; indicating their potential importance in providing communicating adhesions with the ECM below. In the TEAOM model integrin α6β4 staining was significantly reduced with a mean of 0.36 ± 0.05, p=0.0225 compared to the TENOM and was found in the basal compartment as well as some proliferating cells and cells within the additional layers of the oral epithelium (Figure 5.2</w:t>
      </w:r>
      <w:r w:rsidR="001F001A">
        <w:rPr>
          <w:rFonts w:ascii="Arial" w:hAnsi="Arial" w:cs="Arial"/>
          <w:color w:val="595959" w:themeColor="text1" w:themeTint="A6"/>
        </w:rPr>
        <w:t>0</w:t>
      </w:r>
      <w:r w:rsidRPr="004E06B5">
        <w:rPr>
          <w:rFonts w:ascii="Arial" w:hAnsi="Arial" w:cs="Arial"/>
          <w:color w:val="595959" w:themeColor="text1" w:themeTint="A6"/>
        </w:rPr>
        <w:t xml:space="preserve"> B+D). In the TESCCM, there is a distinct loss of the basal compartment and therefore, the staining was ubiquitously expressed in all epithelial cells and localised and more-so in those cells in contact with the ECM. (Figure 5.2</w:t>
      </w:r>
      <w:r w:rsidR="001F001A">
        <w:rPr>
          <w:rFonts w:ascii="Arial" w:hAnsi="Arial" w:cs="Arial"/>
          <w:color w:val="595959" w:themeColor="text1" w:themeTint="A6"/>
        </w:rPr>
        <w:t>0</w:t>
      </w:r>
      <w:r w:rsidRPr="004E06B5">
        <w:rPr>
          <w:rFonts w:ascii="Arial" w:hAnsi="Arial" w:cs="Arial"/>
          <w:color w:val="595959" w:themeColor="text1" w:themeTint="A6"/>
        </w:rPr>
        <w:t xml:space="preserve"> C+D).</w:t>
      </w:r>
    </w:p>
    <w:p w14:paraId="71376335"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74E5E3E2"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32644A37"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4C7FF639"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6415C52B"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3239E202"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71A022F7"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276A5F6F" w14:textId="4771332B" w:rsidR="004E06B5" w:rsidRPr="004E06B5" w:rsidRDefault="004E06B5" w:rsidP="004E06B5">
      <w:pPr>
        <w:tabs>
          <w:tab w:val="left" w:pos="1350"/>
        </w:tabs>
        <w:spacing w:line="480" w:lineRule="auto"/>
        <w:jc w:val="both"/>
        <w:rPr>
          <w:rFonts w:ascii="Arial" w:hAnsi="Arial" w:cs="Arial"/>
          <w:color w:val="595959" w:themeColor="text1" w:themeTint="A6"/>
        </w:rPr>
      </w:pPr>
    </w:p>
    <w:p w14:paraId="36DBE8FC" w14:textId="7EB9AADD" w:rsidR="004E06B5" w:rsidRPr="004E06B5" w:rsidRDefault="00BC7F6D" w:rsidP="004E06B5">
      <w:pPr>
        <w:tabs>
          <w:tab w:val="left" w:pos="1350"/>
        </w:tabs>
        <w:spacing w:line="480" w:lineRule="auto"/>
        <w:jc w:val="both"/>
        <w:rPr>
          <w:rFonts w:ascii="Arial" w:hAnsi="Arial" w:cs="Arial"/>
          <w:color w:val="595959" w:themeColor="text1" w:themeTint="A6"/>
        </w:rPr>
      </w:pPr>
      <w:r>
        <w:rPr>
          <w:rFonts w:ascii="Arial" w:hAnsi="Arial" w:cs="Arial"/>
          <w:noProof/>
          <w:color w:val="595959" w:themeColor="text1" w:themeTint="A6"/>
        </w:rPr>
        <w:drawing>
          <wp:inline distT="0" distB="0" distL="0" distR="0" wp14:anchorId="69F3463C" wp14:editId="1C6235E1">
            <wp:extent cx="6163310" cy="4962525"/>
            <wp:effectExtent l="0" t="0" r="0" b="0"/>
            <wp:docPr id="2049" name="Picture 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6163310" cy="4962525"/>
                    </a:xfrm>
                    <a:prstGeom prst="rect">
                      <a:avLst/>
                    </a:prstGeom>
                    <a:noFill/>
                  </pic:spPr>
                </pic:pic>
              </a:graphicData>
            </a:graphic>
          </wp:inline>
        </w:drawing>
      </w:r>
    </w:p>
    <w:p w14:paraId="2D85E636" w14:textId="77777777" w:rsidR="004E06B5" w:rsidRPr="004E06B5" w:rsidRDefault="004E06B5" w:rsidP="004E06B5">
      <w:pPr>
        <w:tabs>
          <w:tab w:val="left" w:pos="1350"/>
        </w:tabs>
        <w:spacing w:line="480" w:lineRule="auto"/>
        <w:jc w:val="both"/>
        <w:rPr>
          <w:rFonts w:ascii="Arial" w:hAnsi="Arial" w:cs="Arial"/>
          <w:color w:val="595959" w:themeColor="text1" w:themeTint="A6"/>
        </w:rPr>
      </w:pPr>
      <w:r w:rsidRPr="004E06B5">
        <w:rPr>
          <w:rFonts w:ascii="Arial" w:hAnsi="Arial" w:cs="Arial"/>
          <w:color w:val="595959" w:themeColor="text1" w:themeTint="A6"/>
        </w:rPr>
        <w:t xml:space="preserve"> </w:t>
      </w:r>
    </w:p>
    <w:p w14:paraId="04DD7738" w14:textId="77777777" w:rsidR="004E06B5" w:rsidRPr="004E06B5" w:rsidRDefault="004E06B5" w:rsidP="004E06B5">
      <w:pPr>
        <w:tabs>
          <w:tab w:val="left" w:pos="1350"/>
        </w:tabs>
        <w:spacing w:line="480" w:lineRule="auto"/>
        <w:jc w:val="both"/>
        <w:rPr>
          <w:rFonts w:ascii="Arial" w:hAnsi="Arial" w:cs="Arial"/>
          <w:color w:val="595959" w:themeColor="text1" w:themeTint="A6"/>
        </w:rPr>
      </w:pPr>
      <w:r w:rsidRPr="004E06B5">
        <w:rPr>
          <w:rFonts w:ascii="Arial" w:hAnsi="Arial" w:cs="Arial"/>
          <w:noProof/>
          <w:color w:val="595959" w:themeColor="text1" w:themeTint="A6"/>
          <w:sz w:val="24"/>
          <w:szCs w:val="24"/>
          <w:lang w:eastAsia="zh-CN"/>
        </w:rPr>
        <mc:AlternateContent>
          <mc:Choice Requires="wps">
            <w:drawing>
              <wp:anchor distT="0" distB="0" distL="114300" distR="114300" simplePos="0" relativeHeight="251658397" behindDoc="0" locked="0" layoutInCell="1" allowOverlap="1" wp14:anchorId="68BE000C" wp14:editId="4BA354CE">
                <wp:simplePos x="0" y="0"/>
                <wp:positionH relativeFrom="margin">
                  <wp:posOffset>-1</wp:posOffset>
                </wp:positionH>
                <wp:positionV relativeFrom="paragraph">
                  <wp:posOffset>381000</wp:posOffset>
                </wp:positionV>
                <wp:extent cx="5724525" cy="1908810"/>
                <wp:effectExtent l="0" t="0" r="9525" b="0"/>
                <wp:wrapNone/>
                <wp:docPr id="218" name="Text Box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1908810"/>
                        </a:xfrm>
                        <a:prstGeom prst="rect">
                          <a:avLst/>
                        </a:prstGeom>
                        <a:solidFill>
                          <a:srgbClr val="FFFFFF"/>
                        </a:solidFill>
                        <a:ln w="9525">
                          <a:noFill/>
                          <a:miter lim="800000"/>
                          <a:headEnd/>
                          <a:tailEnd/>
                        </a:ln>
                      </wps:spPr>
                      <wps:txbx>
                        <w:txbxContent>
                          <w:p w14:paraId="2C591A03" w14:textId="1D57261D" w:rsidR="008A47AC" w:rsidRPr="006B7937" w:rsidRDefault="008A47AC" w:rsidP="004E06B5">
                            <w:pPr>
                              <w:pStyle w:val="Caption"/>
                              <w:keepNext/>
                              <w:jc w:val="both"/>
                              <w:rPr>
                                <w:rFonts w:ascii="Arial Narrow" w:hAnsi="Arial Narrow"/>
                                <w:b/>
                                <w:i w:val="0"/>
                                <w:sz w:val="24"/>
                                <w:szCs w:val="24"/>
                              </w:rPr>
                            </w:pPr>
                            <w:r w:rsidRPr="006B7937">
                              <w:rPr>
                                <w:rFonts w:ascii="Arial Narrow" w:hAnsi="Arial Narrow"/>
                                <w:b/>
                                <w:i w:val="0"/>
                                <w:color w:val="595959" w:themeColor="text1" w:themeTint="A6"/>
                                <w:sz w:val="24"/>
                                <w:szCs w:val="24"/>
                              </w:rPr>
                              <w:t>Figure</w:t>
                            </w:r>
                            <w:r>
                              <w:rPr>
                                <w:rFonts w:ascii="Arial Narrow" w:hAnsi="Arial Narrow"/>
                                <w:b/>
                                <w:i w:val="0"/>
                                <w:color w:val="595959" w:themeColor="text1" w:themeTint="A6"/>
                                <w:sz w:val="24"/>
                                <w:szCs w:val="24"/>
                              </w:rPr>
                              <w:t xml:space="preserve"> 5.20 Immunohistochemical analysis of integrin α6β4 in tissue-engineered oral mucosa models</w:t>
                            </w:r>
                          </w:p>
                          <w:p w14:paraId="7147B470" w14:textId="77777777" w:rsidR="008A47AC" w:rsidRPr="00B8170A" w:rsidRDefault="008A47AC" w:rsidP="004E06B5">
                            <w:pPr>
                              <w:pStyle w:val="NormalWeb"/>
                              <w:spacing w:after="200" w:line="276" w:lineRule="auto"/>
                              <w:jc w:val="both"/>
                            </w:pPr>
                            <w:r>
                              <w:rPr>
                                <w:rFonts w:ascii="Arial Narrow" w:eastAsia="SimSun" w:hAnsi="Arial Narrow" w:cs="Arial"/>
                                <w:color w:val="595959" w:themeColor="text1" w:themeTint="A6"/>
                                <w:kern w:val="24"/>
                                <w:sz w:val="22"/>
                                <w:szCs w:val="22"/>
                              </w:rPr>
                              <w:t xml:space="preserve">Full thickness tissue-engineered models were developed on FDM and cultured for 12 days at an air-to-liquid interface before being subjected to histological processing and immunohistochemical staining for integrin α6β4 (brown) and haematoxylin counterstain (blue). Representative images of TENOM (A), TEAOM (B) and TESCCM (C) and semi-quantitative analysis of the optical density of staining intensity (D). Data shows mean ± SD </w:t>
                            </w:r>
                            <w:r w:rsidRPr="00E72F77">
                              <w:rPr>
                                <w:rFonts w:ascii="Arial Narrow" w:eastAsia="SimSun" w:hAnsi="Arial Narrow" w:cs="Arial"/>
                                <w:color w:val="595959" w:themeColor="text1" w:themeTint="A6"/>
                                <w:kern w:val="24"/>
                                <w:sz w:val="22"/>
                                <w:szCs w:val="22"/>
                              </w:rPr>
                              <w:t>(N=</w:t>
                            </w:r>
                            <w:r>
                              <w:rPr>
                                <w:rFonts w:ascii="Arial Narrow" w:eastAsia="SimSun" w:hAnsi="Arial Narrow" w:cs="Arial"/>
                                <w:color w:val="595959" w:themeColor="text1" w:themeTint="A6"/>
                                <w:kern w:val="24"/>
                                <w:sz w:val="22"/>
                                <w:szCs w:val="22"/>
                              </w:rPr>
                              <w:t>3</w:t>
                            </w:r>
                            <w:r w:rsidRPr="00E72F77">
                              <w:rPr>
                                <w:rFonts w:ascii="Arial Narrow" w:eastAsia="SimSun" w:hAnsi="Arial Narrow" w:cs="Arial"/>
                                <w:color w:val="595959" w:themeColor="text1" w:themeTint="A6"/>
                                <w:kern w:val="24"/>
                                <w:sz w:val="22"/>
                                <w:szCs w:val="22"/>
                              </w:rPr>
                              <w:t>, n=</w:t>
                            </w:r>
                            <w:r>
                              <w:rPr>
                                <w:rFonts w:ascii="Arial Narrow" w:eastAsia="SimSun" w:hAnsi="Arial Narrow" w:cs="Arial"/>
                                <w:color w:val="595959" w:themeColor="text1" w:themeTint="A6"/>
                                <w:kern w:val="24"/>
                                <w:sz w:val="22"/>
                                <w:szCs w:val="22"/>
                              </w:rPr>
                              <w:t>2</w:t>
                            </w:r>
                            <w:r w:rsidRPr="00E72F77">
                              <w:rPr>
                                <w:rFonts w:ascii="Arial Narrow" w:eastAsia="SimSun" w:hAnsi="Arial Narrow" w:cs="Arial"/>
                                <w:color w:val="595959" w:themeColor="text1" w:themeTint="A6"/>
                                <w:kern w:val="24"/>
                                <w:sz w:val="22"/>
                                <w:szCs w:val="22"/>
                              </w:rPr>
                              <w:t>).</w:t>
                            </w:r>
                            <w:r>
                              <w:rPr>
                                <w:rFonts w:ascii="Arial Narrow" w:eastAsia="SimSun" w:hAnsi="Arial Narrow" w:cs="Arial"/>
                                <w:color w:val="595959" w:themeColor="text1" w:themeTint="A6"/>
                                <w:kern w:val="24"/>
                                <w:sz w:val="22"/>
                                <w:szCs w:val="22"/>
                              </w:rPr>
                              <w:t xml:space="preserve"> * p &lt;0.05 compared to TENOM as analysed by Kruskal-Wallis test with Dunn’s multiple comparison. Scale bar = 50 µm.</w:t>
                            </w:r>
                          </w:p>
                          <w:p w14:paraId="66E2143D" w14:textId="77777777" w:rsidR="008A47AC" w:rsidRPr="00B8170A" w:rsidRDefault="008A47AC" w:rsidP="004E06B5">
                            <w:pPr>
                              <w:pStyle w:val="NormalWeb"/>
                              <w:spacing w:after="200" w:line="276" w:lineRule="auto"/>
                              <w:jc w:val="both"/>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BE000C" id="Text Box 218" o:spid="_x0000_s1198" type="#_x0000_t202" style="position:absolute;left:0;text-align:left;margin-left:0;margin-top:30pt;width:450.75pt;height:150.3pt;z-index:25165839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" stroked="f">
                <v:textbox>
                  <w:txbxContent>
                    <w:p w14:paraId="2C591A03" w14:textId="1D57261D" w:rsidR="008A47AC" w:rsidRPr="006B7937" w:rsidRDefault="008A47AC" w:rsidP="004E06B5">
                      <w:pPr>
                        <w:pStyle w:val="Caption"/>
                        <w:keepNext/>
                        <w:jc w:val="both"/>
                        <w:rPr>
                          <w:rFonts w:ascii="Arial Narrow" w:hAnsi="Arial Narrow"/>
                          <w:b/>
                          <w:i w:val="0"/>
                          <w:sz w:val="24"/>
                          <w:szCs w:val="24"/>
                        </w:rPr>
                      </w:pPr>
                      <w:r w:rsidRPr="006B7937">
                        <w:rPr>
                          <w:rFonts w:ascii="Arial Narrow" w:hAnsi="Arial Narrow"/>
                          <w:b/>
                          <w:i w:val="0"/>
                          <w:color w:val="595959" w:themeColor="text1" w:themeTint="A6"/>
                          <w:sz w:val="24"/>
                          <w:szCs w:val="24"/>
                        </w:rPr>
                        <w:t>Figure</w:t>
                      </w:r>
                      <w:r>
                        <w:rPr>
                          <w:rFonts w:ascii="Arial Narrow" w:hAnsi="Arial Narrow"/>
                          <w:b/>
                          <w:i w:val="0"/>
                          <w:color w:val="595959" w:themeColor="text1" w:themeTint="A6"/>
                          <w:sz w:val="24"/>
                          <w:szCs w:val="24"/>
                        </w:rPr>
                        <w:t xml:space="preserve"> 5.20 Immunohistochemical analysis of integrin α6β4 in tissue-engineered oral mucosa models</w:t>
                      </w:r>
                    </w:p>
                    <w:p w14:paraId="7147B470" w14:textId="77777777" w:rsidR="008A47AC" w:rsidRPr="00B8170A" w:rsidRDefault="008A47AC" w:rsidP="004E06B5">
                      <w:pPr>
                        <w:pStyle w:val="NormalWeb"/>
                        <w:spacing w:after="200" w:line="276" w:lineRule="auto"/>
                        <w:jc w:val="both"/>
                      </w:pPr>
                      <w:r>
                        <w:rPr>
                          <w:rFonts w:ascii="Arial Narrow" w:eastAsia="SimSun" w:hAnsi="Arial Narrow" w:cs="Arial"/>
                          <w:color w:val="595959" w:themeColor="text1" w:themeTint="A6"/>
                          <w:kern w:val="24"/>
                          <w:sz w:val="22"/>
                          <w:szCs w:val="22"/>
                        </w:rPr>
                        <w:t xml:space="preserve">Full thickness tissue-engineered models were developed on FDM and cultured for 12 days at an air-to-liquid interface before being subjected to histological processing and immunohistochemical staining for integrin α6β4 (brown) and haematoxylin counterstain (blue). Representative images of TENOM (A), TEAOM (B) and TESCCM (C) and semi-quantitative analysis of the optical density of staining intensity (D). Data shows mean ± SD </w:t>
                      </w:r>
                      <w:r w:rsidRPr="00E72F77">
                        <w:rPr>
                          <w:rFonts w:ascii="Arial Narrow" w:eastAsia="SimSun" w:hAnsi="Arial Narrow" w:cs="Arial"/>
                          <w:color w:val="595959" w:themeColor="text1" w:themeTint="A6"/>
                          <w:kern w:val="24"/>
                          <w:sz w:val="22"/>
                          <w:szCs w:val="22"/>
                        </w:rPr>
                        <w:t>(N=</w:t>
                      </w:r>
                      <w:r>
                        <w:rPr>
                          <w:rFonts w:ascii="Arial Narrow" w:eastAsia="SimSun" w:hAnsi="Arial Narrow" w:cs="Arial"/>
                          <w:color w:val="595959" w:themeColor="text1" w:themeTint="A6"/>
                          <w:kern w:val="24"/>
                          <w:sz w:val="22"/>
                          <w:szCs w:val="22"/>
                        </w:rPr>
                        <w:t>3</w:t>
                      </w:r>
                      <w:r w:rsidRPr="00E72F77">
                        <w:rPr>
                          <w:rFonts w:ascii="Arial Narrow" w:eastAsia="SimSun" w:hAnsi="Arial Narrow" w:cs="Arial"/>
                          <w:color w:val="595959" w:themeColor="text1" w:themeTint="A6"/>
                          <w:kern w:val="24"/>
                          <w:sz w:val="22"/>
                          <w:szCs w:val="22"/>
                        </w:rPr>
                        <w:t>, n=</w:t>
                      </w:r>
                      <w:r>
                        <w:rPr>
                          <w:rFonts w:ascii="Arial Narrow" w:eastAsia="SimSun" w:hAnsi="Arial Narrow" w:cs="Arial"/>
                          <w:color w:val="595959" w:themeColor="text1" w:themeTint="A6"/>
                          <w:kern w:val="24"/>
                          <w:sz w:val="22"/>
                          <w:szCs w:val="22"/>
                        </w:rPr>
                        <w:t>2</w:t>
                      </w:r>
                      <w:r w:rsidRPr="00E72F77">
                        <w:rPr>
                          <w:rFonts w:ascii="Arial Narrow" w:eastAsia="SimSun" w:hAnsi="Arial Narrow" w:cs="Arial"/>
                          <w:color w:val="595959" w:themeColor="text1" w:themeTint="A6"/>
                          <w:kern w:val="24"/>
                          <w:sz w:val="22"/>
                          <w:szCs w:val="22"/>
                        </w:rPr>
                        <w:t>).</w:t>
                      </w:r>
                      <w:r>
                        <w:rPr>
                          <w:rFonts w:ascii="Arial Narrow" w:eastAsia="SimSun" w:hAnsi="Arial Narrow" w:cs="Arial"/>
                          <w:color w:val="595959" w:themeColor="text1" w:themeTint="A6"/>
                          <w:kern w:val="24"/>
                          <w:sz w:val="22"/>
                          <w:szCs w:val="22"/>
                        </w:rPr>
                        <w:t xml:space="preserve"> * p &lt;0.05 compared to TENOM as analysed by Kruskal-Wallis test with Dunn’s multiple comparison. Scale bar = 50 µm.</w:t>
                      </w:r>
                    </w:p>
                    <w:p w14:paraId="66E2143D" w14:textId="77777777" w:rsidR="008A47AC" w:rsidRPr="00B8170A" w:rsidRDefault="008A47AC" w:rsidP="004E06B5">
                      <w:pPr>
                        <w:pStyle w:val="NormalWeb"/>
                        <w:spacing w:after="200" w:line="276" w:lineRule="auto"/>
                        <w:jc w:val="both"/>
                      </w:pPr>
                    </w:p>
                  </w:txbxContent>
                </v:textbox>
                <w10:wrap anchorx="margin"/>
              </v:shape>
            </w:pict>
          </mc:Fallback>
        </mc:AlternateContent>
      </w:r>
    </w:p>
    <w:p w14:paraId="3F334B67"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2DE080C4"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18B8AA95"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7F74E5A0"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429A209D"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2DE1F9AF"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51346F76" w14:textId="64DAA31A" w:rsidR="004E06B5" w:rsidRDefault="004E06B5" w:rsidP="00E01DBA">
      <w:pPr>
        <w:pStyle w:val="Heading5"/>
        <w:rPr>
          <w:rFonts w:ascii="Arial" w:hAnsi="Arial" w:cs="Arial"/>
          <w:color w:val="595959" w:themeColor="text1" w:themeTint="A6"/>
        </w:rPr>
      </w:pPr>
      <w:bookmarkStart w:id="482" w:name="_Toc34208471"/>
      <w:r w:rsidRPr="004E06B5">
        <w:rPr>
          <w:rFonts w:ascii="Arial" w:hAnsi="Arial" w:cs="Arial"/>
          <w:color w:val="595959" w:themeColor="text1" w:themeTint="A6"/>
        </w:rPr>
        <w:t>5.3.</w:t>
      </w:r>
      <w:r w:rsidR="00E01DBA">
        <w:rPr>
          <w:rFonts w:ascii="Arial" w:hAnsi="Arial" w:cs="Arial"/>
          <w:color w:val="595959" w:themeColor="text1" w:themeTint="A6"/>
        </w:rPr>
        <w:t xml:space="preserve">3.3.2 </w:t>
      </w:r>
      <w:r w:rsidRPr="004E06B5">
        <w:rPr>
          <w:rFonts w:ascii="Arial" w:hAnsi="Arial" w:cs="Arial"/>
          <w:color w:val="595959" w:themeColor="text1" w:themeTint="A6"/>
        </w:rPr>
        <w:t>Ki-67</w:t>
      </w:r>
      <w:bookmarkEnd w:id="482"/>
    </w:p>
    <w:p w14:paraId="32B0130F" w14:textId="77777777" w:rsidR="00E01DBA" w:rsidRPr="00E01DBA" w:rsidRDefault="00E01DBA" w:rsidP="00E01DBA"/>
    <w:p w14:paraId="63A4E73E" w14:textId="72181D76" w:rsidR="004E06B5" w:rsidRPr="004E06B5" w:rsidRDefault="004E06B5" w:rsidP="004E06B5">
      <w:pPr>
        <w:tabs>
          <w:tab w:val="left" w:pos="1350"/>
        </w:tabs>
        <w:spacing w:line="480" w:lineRule="auto"/>
        <w:jc w:val="both"/>
        <w:rPr>
          <w:rFonts w:ascii="Arial" w:hAnsi="Arial" w:cs="Arial"/>
          <w:color w:val="595959" w:themeColor="text1" w:themeTint="A6"/>
        </w:rPr>
      </w:pPr>
      <w:r w:rsidRPr="004E06B5">
        <w:rPr>
          <w:rFonts w:ascii="Arial" w:hAnsi="Arial" w:cs="Arial"/>
          <w:color w:val="595959" w:themeColor="text1" w:themeTint="A6"/>
        </w:rPr>
        <w:t>The proliferative marker Ki-67 stains positive in the nuclei of diving cells and is typically found in the basal cells of normal epithelium and throughout the epithelium un dysplastic and cancerous tissue. Evidence of positive staining was found in all TEOM models (Figure 5.2</w:t>
      </w:r>
      <w:r w:rsidR="008B40AF">
        <w:rPr>
          <w:rFonts w:ascii="Arial" w:hAnsi="Arial" w:cs="Arial"/>
          <w:color w:val="595959" w:themeColor="text1" w:themeTint="A6"/>
        </w:rPr>
        <w:t>1</w:t>
      </w:r>
      <w:r w:rsidRPr="004E06B5">
        <w:rPr>
          <w:rFonts w:ascii="Arial" w:hAnsi="Arial" w:cs="Arial"/>
          <w:color w:val="595959" w:themeColor="text1" w:themeTint="A6"/>
        </w:rPr>
        <w:t>). A proliferation index of roughly 1 in 6 basal nuclei staining positively was observed in the TENOM, with some cells also staining positive in the parabasal layers (Figure 5.2</w:t>
      </w:r>
      <w:r w:rsidR="008B40AF">
        <w:rPr>
          <w:rFonts w:ascii="Arial" w:hAnsi="Arial" w:cs="Arial"/>
          <w:color w:val="595959" w:themeColor="text1" w:themeTint="A6"/>
        </w:rPr>
        <w:t>1</w:t>
      </w:r>
      <w:r w:rsidRPr="004E06B5">
        <w:rPr>
          <w:rFonts w:ascii="Arial" w:hAnsi="Arial" w:cs="Arial"/>
          <w:color w:val="595959" w:themeColor="text1" w:themeTint="A6"/>
        </w:rPr>
        <w:t xml:space="preserve"> A). Parabasal staining was more prominent in the TEAOM models (Figure 5.2</w:t>
      </w:r>
      <w:r w:rsidR="008B40AF">
        <w:rPr>
          <w:rFonts w:ascii="Arial" w:hAnsi="Arial" w:cs="Arial"/>
          <w:color w:val="595959" w:themeColor="text1" w:themeTint="A6"/>
        </w:rPr>
        <w:t>1</w:t>
      </w:r>
      <w:r w:rsidRPr="004E06B5">
        <w:rPr>
          <w:rFonts w:ascii="Arial" w:hAnsi="Arial" w:cs="Arial"/>
          <w:color w:val="595959" w:themeColor="text1" w:themeTint="A6"/>
        </w:rPr>
        <w:t xml:space="preserve"> B). For the TESCCM, a significant increase in proliferative cells was observed (p=0.0396) with a mean staining intensity of 0.41 ± 0.02 compared to 0.11 ± 0.01 for TEAOM and 0.10 ± 0.02 for TENOM. In the TESCCM staining was not confined to singular cell layers and nearly all invading cells stained positive for Ki-67. (Figure 5.2</w:t>
      </w:r>
      <w:r w:rsidR="008B40AF">
        <w:rPr>
          <w:rFonts w:ascii="Arial" w:hAnsi="Arial" w:cs="Arial"/>
          <w:color w:val="595959" w:themeColor="text1" w:themeTint="A6"/>
        </w:rPr>
        <w:t>1</w:t>
      </w:r>
      <w:r w:rsidRPr="004E06B5">
        <w:rPr>
          <w:rFonts w:ascii="Arial" w:hAnsi="Arial" w:cs="Arial"/>
          <w:color w:val="595959" w:themeColor="text1" w:themeTint="A6"/>
        </w:rPr>
        <w:t xml:space="preserve"> C+D).</w:t>
      </w:r>
    </w:p>
    <w:p w14:paraId="48482C82"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13E06227"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22222D5D"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14330F4C"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05DE872B"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44F424B5"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65311469"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26E8E620"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4FD11544"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2329C206"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14051E60"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236AF336"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59012A25"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1CBAAAE1"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403A409F" w14:textId="77777777" w:rsidR="004E06B5" w:rsidRPr="004E06B5" w:rsidRDefault="004E06B5" w:rsidP="004E06B5">
      <w:pPr>
        <w:tabs>
          <w:tab w:val="left" w:pos="1350"/>
        </w:tabs>
        <w:spacing w:line="480" w:lineRule="auto"/>
        <w:jc w:val="both"/>
        <w:rPr>
          <w:rFonts w:ascii="Arial" w:hAnsi="Arial" w:cs="Arial"/>
          <w:color w:val="595959" w:themeColor="text1" w:themeTint="A6"/>
        </w:rPr>
      </w:pPr>
      <w:r w:rsidRPr="004E06B5">
        <w:rPr>
          <w:rFonts w:ascii="Arial" w:hAnsi="Arial" w:cs="Arial"/>
          <w:noProof/>
          <w:color w:val="595959" w:themeColor="text1" w:themeTint="A6"/>
          <w:lang w:eastAsia="zh-CN"/>
        </w:rPr>
        <w:drawing>
          <wp:inline distT="0" distB="0" distL="0" distR="0" wp14:anchorId="1FDC9CD4" wp14:editId="53F93CF9">
            <wp:extent cx="6074839" cy="4514850"/>
            <wp:effectExtent l="0" t="0" r="0" b="0"/>
            <wp:docPr id="5374" name="Picture 5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6119999" cy="4548413"/>
                    </a:xfrm>
                    <a:prstGeom prst="rect">
                      <a:avLst/>
                    </a:prstGeom>
                    <a:noFill/>
                  </pic:spPr>
                </pic:pic>
              </a:graphicData>
            </a:graphic>
          </wp:inline>
        </w:drawing>
      </w:r>
    </w:p>
    <w:p w14:paraId="15CDE729" w14:textId="77777777" w:rsidR="004E06B5" w:rsidRPr="004E06B5" w:rsidRDefault="004E06B5" w:rsidP="004E06B5">
      <w:pPr>
        <w:tabs>
          <w:tab w:val="left" w:pos="1350"/>
        </w:tabs>
        <w:spacing w:line="480" w:lineRule="auto"/>
        <w:jc w:val="both"/>
        <w:rPr>
          <w:rFonts w:ascii="Arial" w:hAnsi="Arial" w:cs="Arial"/>
          <w:color w:val="595959" w:themeColor="text1" w:themeTint="A6"/>
        </w:rPr>
      </w:pPr>
      <w:r w:rsidRPr="004E06B5">
        <w:rPr>
          <w:rFonts w:ascii="Arial" w:hAnsi="Arial" w:cs="Arial"/>
          <w:noProof/>
          <w:color w:val="595959" w:themeColor="text1" w:themeTint="A6"/>
          <w:sz w:val="24"/>
          <w:szCs w:val="24"/>
          <w:lang w:eastAsia="zh-CN"/>
        </w:rPr>
        <mc:AlternateContent>
          <mc:Choice Requires="wps">
            <w:drawing>
              <wp:anchor distT="0" distB="0" distL="114300" distR="114300" simplePos="0" relativeHeight="251658400" behindDoc="0" locked="0" layoutInCell="1" allowOverlap="1" wp14:anchorId="60732E27" wp14:editId="1BA50A01">
                <wp:simplePos x="0" y="0"/>
                <wp:positionH relativeFrom="margin">
                  <wp:posOffset>0</wp:posOffset>
                </wp:positionH>
                <wp:positionV relativeFrom="paragraph">
                  <wp:posOffset>244475</wp:posOffset>
                </wp:positionV>
                <wp:extent cx="5724525" cy="1724025"/>
                <wp:effectExtent l="0" t="0" r="9525" b="9525"/>
                <wp:wrapNone/>
                <wp:docPr id="221" name="Text Box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1724025"/>
                        </a:xfrm>
                        <a:prstGeom prst="rect">
                          <a:avLst/>
                        </a:prstGeom>
                        <a:solidFill>
                          <a:srgbClr val="FFFFFF"/>
                        </a:solidFill>
                        <a:ln w="9525">
                          <a:noFill/>
                          <a:miter lim="800000"/>
                          <a:headEnd/>
                          <a:tailEnd/>
                        </a:ln>
                      </wps:spPr>
                      <wps:txbx>
                        <w:txbxContent>
                          <w:p w14:paraId="0A2F4334" w14:textId="3C0EAFF5" w:rsidR="008A47AC" w:rsidRPr="006B7937" w:rsidRDefault="008A47AC" w:rsidP="004E06B5">
                            <w:pPr>
                              <w:pStyle w:val="Caption"/>
                              <w:keepNext/>
                              <w:jc w:val="both"/>
                              <w:rPr>
                                <w:rFonts w:ascii="Arial Narrow" w:hAnsi="Arial Narrow"/>
                                <w:b/>
                                <w:i w:val="0"/>
                                <w:sz w:val="24"/>
                                <w:szCs w:val="24"/>
                              </w:rPr>
                            </w:pPr>
                            <w:r w:rsidRPr="006B7937">
                              <w:rPr>
                                <w:rFonts w:ascii="Arial Narrow" w:hAnsi="Arial Narrow"/>
                                <w:b/>
                                <w:i w:val="0"/>
                                <w:color w:val="595959" w:themeColor="text1" w:themeTint="A6"/>
                                <w:sz w:val="24"/>
                                <w:szCs w:val="24"/>
                              </w:rPr>
                              <w:t>Figure</w:t>
                            </w:r>
                            <w:r>
                              <w:rPr>
                                <w:rFonts w:ascii="Arial Narrow" w:hAnsi="Arial Narrow"/>
                                <w:b/>
                                <w:i w:val="0"/>
                                <w:color w:val="595959" w:themeColor="text1" w:themeTint="A6"/>
                                <w:sz w:val="24"/>
                                <w:szCs w:val="24"/>
                              </w:rPr>
                              <w:t xml:space="preserve"> 5.21 Immunohistochemical analysis of Ki-67 in tissue-engineered oral mucosa models</w:t>
                            </w:r>
                          </w:p>
                          <w:p w14:paraId="5231C99A" w14:textId="77777777" w:rsidR="008A47AC" w:rsidRPr="00B8170A" w:rsidRDefault="008A47AC" w:rsidP="004E06B5">
                            <w:pPr>
                              <w:pStyle w:val="NormalWeb"/>
                              <w:spacing w:after="200" w:line="276" w:lineRule="auto"/>
                              <w:jc w:val="both"/>
                            </w:pPr>
                            <w:r>
                              <w:rPr>
                                <w:rFonts w:ascii="Arial Narrow" w:eastAsia="SimSun" w:hAnsi="Arial Narrow" w:cs="Arial"/>
                                <w:color w:val="595959" w:themeColor="text1" w:themeTint="A6"/>
                                <w:kern w:val="24"/>
                                <w:sz w:val="22"/>
                                <w:szCs w:val="22"/>
                              </w:rPr>
                              <w:t xml:space="preserve">Full thickness tissue-engineered models were developed on FDM and cultured for 12 days at an air-to-liquid interface before being subjected to histological processing and immunohistochemical staining for Ki-67 (brown) and haematoxylin counterstain (blue). Representative images of TENOM (A), TEAOM (B) and TESCCM (C) and semi-quantitative analysis of the optical density of staining intensity (D). Data shows mean ± SD </w:t>
                            </w:r>
                            <w:r w:rsidRPr="00E72F77">
                              <w:rPr>
                                <w:rFonts w:ascii="Arial Narrow" w:eastAsia="SimSun" w:hAnsi="Arial Narrow" w:cs="Arial"/>
                                <w:color w:val="595959" w:themeColor="text1" w:themeTint="A6"/>
                                <w:kern w:val="24"/>
                                <w:sz w:val="22"/>
                                <w:szCs w:val="22"/>
                              </w:rPr>
                              <w:t>(N=</w:t>
                            </w:r>
                            <w:r>
                              <w:rPr>
                                <w:rFonts w:ascii="Arial Narrow" w:eastAsia="SimSun" w:hAnsi="Arial Narrow" w:cs="Arial"/>
                                <w:color w:val="595959" w:themeColor="text1" w:themeTint="A6"/>
                                <w:kern w:val="24"/>
                                <w:sz w:val="22"/>
                                <w:szCs w:val="22"/>
                              </w:rPr>
                              <w:t>3</w:t>
                            </w:r>
                            <w:r w:rsidRPr="00E72F77">
                              <w:rPr>
                                <w:rFonts w:ascii="Arial Narrow" w:eastAsia="SimSun" w:hAnsi="Arial Narrow" w:cs="Arial"/>
                                <w:color w:val="595959" w:themeColor="text1" w:themeTint="A6"/>
                                <w:kern w:val="24"/>
                                <w:sz w:val="22"/>
                                <w:szCs w:val="22"/>
                              </w:rPr>
                              <w:t>, n=</w:t>
                            </w:r>
                            <w:r>
                              <w:rPr>
                                <w:rFonts w:ascii="Arial Narrow" w:eastAsia="SimSun" w:hAnsi="Arial Narrow" w:cs="Arial"/>
                                <w:color w:val="595959" w:themeColor="text1" w:themeTint="A6"/>
                                <w:kern w:val="24"/>
                                <w:sz w:val="22"/>
                                <w:szCs w:val="22"/>
                              </w:rPr>
                              <w:t>2</w:t>
                            </w:r>
                            <w:r w:rsidRPr="00E72F77">
                              <w:rPr>
                                <w:rFonts w:ascii="Arial Narrow" w:eastAsia="SimSun" w:hAnsi="Arial Narrow" w:cs="Arial"/>
                                <w:color w:val="595959" w:themeColor="text1" w:themeTint="A6"/>
                                <w:kern w:val="24"/>
                                <w:sz w:val="22"/>
                                <w:szCs w:val="22"/>
                              </w:rPr>
                              <w:t>).</w:t>
                            </w:r>
                            <w:r>
                              <w:rPr>
                                <w:rFonts w:ascii="Arial Narrow" w:eastAsia="SimSun" w:hAnsi="Arial Narrow" w:cs="Arial"/>
                                <w:color w:val="595959" w:themeColor="text1" w:themeTint="A6"/>
                                <w:kern w:val="24"/>
                                <w:sz w:val="22"/>
                                <w:szCs w:val="22"/>
                              </w:rPr>
                              <w:t xml:space="preserve"> * p &lt;0.05 compared to TENOM as analysed by Kruskal-Wallis test with Dunn’s multiple comparison. Scale bar = 50 µm.</w:t>
                            </w:r>
                          </w:p>
                          <w:p w14:paraId="5B0FFD20" w14:textId="77777777" w:rsidR="008A47AC" w:rsidRPr="00B8170A" w:rsidRDefault="008A47AC" w:rsidP="004E06B5">
                            <w:pPr>
                              <w:pStyle w:val="NormalWeb"/>
                              <w:spacing w:after="200" w:line="276" w:lineRule="auto"/>
                              <w:jc w:val="both"/>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732E27" id="Text Box 221" o:spid="_x0000_s1199" type="#_x0000_t202" style="position:absolute;left:0;text-align:left;margin-left:0;margin-top:19.25pt;width:450.75pt;height:135.75pt;z-index:251658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" stroked="f">
                <v:textbox>
                  <w:txbxContent>
                    <w:p w14:paraId="0A2F4334" w14:textId="3C0EAFF5" w:rsidR="008A47AC" w:rsidRPr="006B7937" w:rsidRDefault="008A47AC" w:rsidP="004E06B5">
                      <w:pPr>
                        <w:pStyle w:val="Caption"/>
                        <w:keepNext/>
                        <w:jc w:val="both"/>
                        <w:rPr>
                          <w:rFonts w:ascii="Arial Narrow" w:hAnsi="Arial Narrow"/>
                          <w:b/>
                          <w:i w:val="0"/>
                          <w:sz w:val="24"/>
                          <w:szCs w:val="24"/>
                        </w:rPr>
                      </w:pPr>
                      <w:r w:rsidRPr="006B7937">
                        <w:rPr>
                          <w:rFonts w:ascii="Arial Narrow" w:hAnsi="Arial Narrow"/>
                          <w:b/>
                          <w:i w:val="0"/>
                          <w:color w:val="595959" w:themeColor="text1" w:themeTint="A6"/>
                          <w:sz w:val="24"/>
                          <w:szCs w:val="24"/>
                        </w:rPr>
                        <w:t>Figure</w:t>
                      </w:r>
                      <w:r>
                        <w:rPr>
                          <w:rFonts w:ascii="Arial Narrow" w:hAnsi="Arial Narrow"/>
                          <w:b/>
                          <w:i w:val="0"/>
                          <w:color w:val="595959" w:themeColor="text1" w:themeTint="A6"/>
                          <w:sz w:val="24"/>
                          <w:szCs w:val="24"/>
                        </w:rPr>
                        <w:t xml:space="preserve"> 5.21 Immunohistochemical analysis of Ki-67 in tissue-engineered oral mucosa models</w:t>
                      </w:r>
                    </w:p>
                    <w:p w14:paraId="5231C99A" w14:textId="77777777" w:rsidR="008A47AC" w:rsidRPr="00B8170A" w:rsidRDefault="008A47AC" w:rsidP="004E06B5">
                      <w:pPr>
                        <w:pStyle w:val="NormalWeb"/>
                        <w:spacing w:after="200" w:line="276" w:lineRule="auto"/>
                        <w:jc w:val="both"/>
                      </w:pPr>
                      <w:r>
                        <w:rPr>
                          <w:rFonts w:ascii="Arial Narrow" w:eastAsia="SimSun" w:hAnsi="Arial Narrow" w:cs="Arial"/>
                          <w:color w:val="595959" w:themeColor="text1" w:themeTint="A6"/>
                          <w:kern w:val="24"/>
                          <w:sz w:val="22"/>
                          <w:szCs w:val="22"/>
                        </w:rPr>
                        <w:t xml:space="preserve">Full thickness tissue-engineered models were developed on FDM and cultured for 12 days at an air-to-liquid interface before being subjected to histological processing and immunohistochemical staining for Ki-67 (brown) and haematoxylin counterstain (blue). Representative images of TENOM (A), TEAOM (B) and TESCCM (C) and semi-quantitative analysis of the optical density of staining intensity (D). Data shows mean ± SD </w:t>
                      </w:r>
                      <w:r w:rsidRPr="00E72F77">
                        <w:rPr>
                          <w:rFonts w:ascii="Arial Narrow" w:eastAsia="SimSun" w:hAnsi="Arial Narrow" w:cs="Arial"/>
                          <w:color w:val="595959" w:themeColor="text1" w:themeTint="A6"/>
                          <w:kern w:val="24"/>
                          <w:sz w:val="22"/>
                          <w:szCs w:val="22"/>
                        </w:rPr>
                        <w:t>(N=</w:t>
                      </w:r>
                      <w:r>
                        <w:rPr>
                          <w:rFonts w:ascii="Arial Narrow" w:eastAsia="SimSun" w:hAnsi="Arial Narrow" w:cs="Arial"/>
                          <w:color w:val="595959" w:themeColor="text1" w:themeTint="A6"/>
                          <w:kern w:val="24"/>
                          <w:sz w:val="22"/>
                          <w:szCs w:val="22"/>
                        </w:rPr>
                        <w:t>3</w:t>
                      </w:r>
                      <w:r w:rsidRPr="00E72F77">
                        <w:rPr>
                          <w:rFonts w:ascii="Arial Narrow" w:eastAsia="SimSun" w:hAnsi="Arial Narrow" w:cs="Arial"/>
                          <w:color w:val="595959" w:themeColor="text1" w:themeTint="A6"/>
                          <w:kern w:val="24"/>
                          <w:sz w:val="22"/>
                          <w:szCs w:val="22"/>
                        </w:rPr>
                        <w:t>, n=</w:t>
                      </w:r>
                      <w:r>
                        <w:rPr>
                          <w:rFonts w:ascii="Arial Narrow" w:eastAsia="SimSun" w:hAnsi="Arial Narrow" w:cs="Arial"/>
                          <w:color w:val="595959" w:themeColor="text1" w:themeTint="A6"/>
                          <w:kern w:val="24"/>
                          <w:sz w:val="22"/>
                          <w:szCs w:val="22"/>
                        </w:rPr>
                        <w:t>2</w:t>
                      </w:r>
                      <w:r w:rsidRPr="00E72F77">
                        <w:rPr>
                          <w:rFonts w:ascii="Arial Narrow" w:eastAsia="SimSun" w:hAnsi="Arial Narrow" w:cs="Arial"/>
                          <w:color w:val="595959" w:themeColor="text1" w:themeTint="A6"/>
                          <w:kern w:val="24"/>
                          <w:sz w:val="22"/>
                          <w:szCs w:val="22"/>
                        </w:rPr>
                        <w:t>).</w:t>
                      </w:r>
                      <w:r>
                        <w:rPr>
                          <w:rFonts w:ascii="Arial Narrow" w:eastAsia="SimSun" w:hAnsi="Arial Narrow" w:cs="Arial"/>
                          <w:color w:val="595959" w:themeColor="text1" w:themeTint="A6"/>
                          <w:kern w:val="24"/>
                          <w:sz w:val="22"/>
                          <w:szCs w:val="22"/>
                        </w:rPr>
                        <w:t xml:space="preserve"> * p &lt;0.05 compared to TENOM as analysed by Kruskal-Wallis test with Dunn’s multiple comparison. Scale bar = 50 µm.</w:t>
                      </w:r>
                    </w:p>
                    <w:p w14:paraId="5B0FFD20" w14:textId="77777777" w:rsidR="008A47AC" w:rsidRPr="00B8170A" w:rsidRDefault="008A47AC" w:rsidP="004E06B5">
                      <w:pPr>
                        <w:pStyle w:val="NormalWeb"/>
                        <w:spacing w:after="200" w:line="276" w:lineRule="auto"/>
                        <w:jc w:val="both"/>
                      </w:pPr>
                    </w:p>
                  </w:txbxContent>
                </v:textbox>
                <w10:wrap anchorx="margin"/>
              </v:shape>
            </w:pict>
          </mc:Fallback>
        </mc:AlternateContent>
      </w:r>
    </w:p>
    <w:p w14:paraId="1729C9BE"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392D3A31"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171E3E2C"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7E43E5B0"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0DCF8AA0"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6E05CF00"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6FE319A6"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765BEFCF" w14:textId="62D0F859" w:rsidR="004E06B5" w:rsidRDefault="004E06B5" w:rsidP="00054EC8">
      <w:pPr>
        <w:pStyle w:val="Heading5"/>
        <w:rPr>
          <w:rFonts w:ascii="Arial" w:hAnsi="Arial" w:cs="Arial"/>
          <w:color w:val="595959" w:themeColor="text1" w:themeTint="A6"/>
        </w:rPr>
      </w:pPr>
      <w:bookmarkStart w:id="483" w:name="_Toc34208472"/>
      <w:r w:rsidRPr="004E06B5">
        <w:rPr>
          <w:rFonts w:ascii="Arial" w:hAnsi="Arial" w:cs="Arial"/>
          <w:color w:val="595959" w:themeColor="text1" w:themeTint="A6"/>
        </w:rPr>
        <w:t>5.3.3.3</w:t>
      </w:r>
      <w:r w:rsidR="00E01DBA">
        <w:rPr>
          <w:rFonts w:ascii="Arial" w:hAnsi="Arial" w:cs="Arial"/>
          <w:color w:val="595959" w:themeColor="text1" w:themeTint="A6"/>
        </w:rPr>
        <w:t>.</w:t>
      </w:r>
      <w:r w:rsidR="00054EC8">
        <w:rPr>
          <w:rFonts w:ascii="Arial" w:hAnsi="Arial" w:cs="Arial"/>
          <w:color w:val="595959" w:themeColor="text1" w:themeTint="A6"/>
        </w:rPr>
        <w:t>3</w:t>
      </w:r>
      <w:r w:rsidRPr="004E06B5">
        <w:rPr>
          <w:rFonts w:ascii="Arial" w:hAnsi="Arial" w:cs="Arial"/>
          <w:color w:val="595959" w:themeColor="text1" w:themeTint="A6"/>
        </w:rPr>
        <w:t xml:space="preserve"> Collagen type IV</w:t>
      </w:r>
      <w:bookmarkEnd w:id="483"/>
    </w:p>
    <w:p w14:paraId="05D44ED8" w14:textId="77777777" w:rsidR="00054EC8" w:rsidRPr="00054EC8" w:rsidRDefault="00054EC8" w:rsidP="00054EC8"/>
    <w:p w14:paraId="400BD7CD" w14:textId="5A803752" w:rsidR="004E06B5" w:rsidRPr="004E06B5" w:rsidRDefault="004E06B5" w:rsidP="004E06B5">
      <w:pPr>
        <w:tabs>
          <w:tab w:val="left" w:pos="1350"/>
        </w:tabs>
        <w:spacing w:line="480" w:lineRule="auto"/>
        <w:jc w:val="both"/>
        <w:rPr>
          <w:rFonts w:ascii="Arial" w:hAnsi="Arial" w:cs="Arial"/>
          <w:color w:val="595959" w:themeColor="text1" w:themeTint="A6"/>
        </w:rPr>
      </w:pPr>
      <w:r w:rsidRPr="004E06B5">
        <w:rPr>
          <w:rFonts w:ascii="Arial" w:hAnsi="Arial" w:cs="Arial"/>
          <w:color w:val="595959" w:themeColor="text1" w:themeTint="A6"/>
        </w:rPr>
        <w:t>Collagen type IV is largely a component of the epithelial basement membrane. During metastasis the integrity of the basement is compromised, and so incomplete basement membrane formation alters with disease progression. Weak staining of COLIV was found in exclusively in the basement membrane (BM) of TENOM (Figure 5.2</w:t>
      </w:r>
      <w:r w:rsidR="00FF5FFC">
        <w:rPr>
          <w:rFonts w:ascii="Arial" w:hAnsi="Arial" w:cs="Arial"/>
          <w:color w:val="595959" w:themeColor="text1" w:themeTint="A6"/>
        </w:rPr>
        <w:t>2</w:t>
      </w:r>
      <w:r w:rsidRPr="004E06B5">
        <w:rPr>
          <w:rFonts w:ascii="Arial" w:hAnsi="Arial" w:cs="Arial"/>
          <w:color w:val="595959" w:themeColor="text1" w:themeTint="A6"/>
        </w:rPr>
        <w:t xml:space="preserve"> A). In TEAOM models staining was intermittently observed in the BM, with a mean staining intensity of 0.01 ± 0.002 (Figure 5.2</w:t>
      </w:r>
      <w:r w:rsidR="00FF5FFC">
        <w:rPr>
          <w:rFonts w:ascii="Arial" w:hAnsi="Arial" w:cs="Arial"/>
          <w:color w:val="595959" w:themeColor="text1" w:themeTint="A6"/>
        </w:rPr>
        <w:t>2</w:t>
      </w:r>
      <w:r w:rsidRPr="004E06B5">
        <w:rPr>
          <w:rFonts w:ascii="Arial" w:hAnsi="Arial" w:cs="Arial"/>
          <w:color w:val="595959" w:themeColor="text1" w:themeTint="A6"/>
        </w:rPr>
        <w:t xml:space="preserve"> B), however some expression was also visible in the ECM (</w:t>
      </w:r>
      <w:r w:rsidR="004F6EDB">
        <w:rPr>
          <w:rFonts w:ascii="Arial" w:hAnsi="Arial" w:cs="Arial"/>
          <w:color w:val="595959" w:themeColor="text1" w:themeTint="A6"/>
        </w:rPr>
        <w:t>a</w:t>
      </w:r>
      <w:r w:rsidRPr="004E06B5">
        <w:rPr>
          <w:rFonts w:ascii="Arial" w:hAnsi="Arial" w:cs="Arial"/>
          <w:color w:val="595959" w:themeColor="text1" w:themeTint="A6"/>
        </w:rPr>
        <w:t>ppendix, Figure 7.</w:t>
      </w:r>
      <w:r w:rsidR="00E84280">
        <w:rPr>
          <w:rFonts w:ascii="Arial" w:hAnsi="Arial" w:cs="Arial"/>
          <w:color w:val="595959" w:themeColor="text1" w:themeTint="A6"/>
        </w:rPr>
        <w:t>6</w:t>
      </w:r>
      <w:r w:rsidRPr="004E06B5">
        <w:rPr>
          <w:rFonts w:ascii="Arial" w:hAnsi="Arial" w:cs="Arial"/>
          <w:color w:val="595959" w:themeColor="text1" w:themeTint="A6"/>
        </w:rPr>
        <w:t>)</w:t>
      </w:r>
      <w:r w:rsidR="00E84280">
        <w:rPr>
          <w:rFonts w:ascii="Arial" w:hAnsi="Arial" w:cs="Arial"/>
          <w:color w:val="595959" w:themeColor="text1" w:themeTint="A6"/>
        </w:rPr>
        <w:t>.</w:t>
      </w:r>
      <w:r w:rsidRPr="004E06B5">
        <w:rPr>
          <w:rFonts w:ascii="Arial" w:hAnsi="Arial" w:cs="Arial"/>
          <w:color w:val="595959" w:themeColor="text1" w:themeTint="A6"/>
        </w:rPr>
        <w:t xml:space="preserve"> Expression of COLIV was absent or significantly reduced in TESCCM (Figure 5.2</w:t>
      </w:r>
      <w:r w:rsidR="00FF5FFC">
        <w:rPr>
          <w:rFonts w:ascii="Arial" w:hAnsi="Arial" w:cs="Arial"/>
          <w:color w:val="595959" w:themeColor="text1" w:themeTint="A6"/>
        </w:rPr>
        <w:t>2</w:t>
      </w:r>
      <w:r w:rsidRPr="004E06B5">
        <w:rPr>
          <w:rFonts w:ascii="Arial" w:hAnsi="Arial" w:cs="Arial"/>
          <w:color w:val="595959" w:themeColor="text1" w:themeTint="A6"/>
        </w:rPr>
        <w:t xml:space="preserve"> C+D) and this reduction intensity of staining was calculated with a mean of 0.003 ± 0.001, p=0.0262 compared to TENOM models, with a mean staining of 0.02 ± 0.01 (Figure 5.2</w:t>
      </w:r>
      <w:r w:rsidR="00FF5FFC">
        <w:rPr>
          <w:rFonts w:ascii="Arial" w:hAnsi="Arial" w:cs="Arial"/>
          <w:color w:val="595959" w:themeColor="text1" w:themeTint="A6"/>
        </w:rPr>
        <w:t>2</w:t>
      </w:r>
      <w:r w:rsidRPr="004E06B5">
        <w:rPr>
          <w:rFonts w:ascii="Arial" w:hAnsi="Arial" w:cs="Arial"/>
          <w:color w:val="595959" w:themeColor="text1" w:themeTint="A6"/>
        </w:rPr>
        <w:t xml:space="preserve"> D).</w:t>
      </w:r>
    </w:p>
    <w:p w14:paraId="2162BA34"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638E117D"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5C41D5E1"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64B70109"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5BAFB07A"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7E121BF9"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17C80FA1"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710C43D0"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7E9288D5"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56984066"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29EB6DFC"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47E729B9"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0A387B7F"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33E67015"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2A66B145"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40AB5D29" w14:textId="77777777" w:rsidR="004E06B5" w:rsidRPr="004E06B5" w:rsidRDefault="004E06B5" w:rsidP="004E06B5">
      <w:pPr>
        <w:tabs>
          <w:tab w:val="left" w:pos="1350"/>
        </w:tabs>
        <w:spacing w:line="480" w:lineRule="auto"/>
        <w:jc w:val="both"/>
        <w:rPr>
          <w:rFonts w:ascii="Arial" w:hAnsi="Arial" w:cs="Arial"/>
          <w:color w:val="595959" w:themeColor="text1" w:themeTint="A6"/>
        </w:rPr>
      </w:pPr>
      <w:r w:rsidRPr="004E06B5">
        <w:rPr>
          <w:rFonts w:ascii="Arial" w:hAnsi="Arial" w:cs="Arial"/>
          <w:noProof/>
          <w:color w:val="595959" w:themeColor="text1" w:themeTint="A6"/>
          <w:lang w:eastAsia="zh-CN"/>
        </w:rPr>
        <w:drawing>
          <wp:inline distT="0" distB="0" distL="0" distR="0" wp14:anchorId="4EF90BC2" wp14:editId="257D9145">
            <wp:extent cx="5736590" cy="4706620"/>
            <wp:effectExtent l="0" t="0" r="0" b="0"/>
            <wp:docPr id="5375" name="Picture 5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736590" cy="4706620"/>
                    </a:xfrm>
                    <a:prstGeom prst="rect">
                      <a:avLst/>
                    </a:prstGeom>
                    <a:noFill/>
                  </pic:spPr>
                </pic:pic>
              </a:graphicData>
            </a:graphic>
          </wp:inline>
        </w:drawing>
      </w:r>
    </w:p>
    <w:p w14:paraId="0921D779"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7253EDCF"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18D70886" w14:textId="77777777" w:rsidR="004E06B5" w:rsidRPr="004E06B5" w:rsidRDefault="004E06B5" w:rsidP="004E06B5">
      <w:pPr>
        <w:tabs>
          <w:tab w:val="left" w:pos="1350"/>
        </w:tabs>
        <w:spacing w:line="480" w:lineRule="auto"/>
        <w:jc w:val="both"/>
        <w:rPr>
          <w:rFonts w:ascii="Arial" w:hAnsi="Arial" w:cs="Arial"/>
          <w:color w:val="595959" w:themeColor="text1" w:themeTint="A6"/>
        </w:rPr>
      </w:pPr>
      <w:r w:rsidRPr="004E06B5">
        <w:rPr>
          <w:rFonts w:ascii="Arial" w:hAnsi="Arial" w:cs="Arial"/>
          <w:noProof/>
          <w:color w:val="595959" w:themeColor="text1" w:themeTint="A6"/>
          <w:sz w:val="24"/>
          <w:szCs w:val="24"/>
          <w:lang w:eastAsia="zh-CN"/>
        </w:rPr>
        <mc:AlternateContent>
          <mc:Choice Requires="wps">
            <w:drawing>
              <wp:anchor distT="0" distB="0" distL="114300" distR="114300" simplePos="0" relativeHeight="251658393" behindDoc="0" locked="0" layoutInCell="1" allowOverlap="1" wp14:anchorId="45355D69" wp14:editId="5D3AD3CA">
                <wp:simplePos x="0" y="0"/>
                <wp:positionH relativeFrom="margin">
                  <wp:posOffset>0</wp:posOffset>
                </wp:positionH>
                <wp:positionV relativeFrom="paragraph">
                  <wp:posOffset>6985</wp:posOffset>
                </wp:positionV>
                <wp:extent cx="5734050" cy="1752600"/>
                <wp:effectExtent l="0" t="0" r="0" b="0"/>
                <wp:wrapNone/>
                <wp:docPr id="5344" name="Text Box 53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1752600"/>
                        </a:xfrm>
                        <a:prstGeom prst="rect">
                          <a:avLst/>
                        </a:prstGeom>
                        <a:solidFill>
                          <a:srgbClr val="FFFFFF"/>
                        </a:solidFill>
                        <a:ln w="9525">
                          <a:noFill/>
                          <a:miter lim="800000"/>
                          <a:headEnd/>
                          <a:tailEnd/>
                        </a:ln>
                      </wps:spPr>
                      <wps:txbx>
                        <w:txbxContent>
                          <w:p w14:paraId="0F6E88D9" w14:textId="42388FBA" w:rsidR="008A47AC" w:rsidRPr="006B7937" w:rsidRDefault="008A47AC" w:rsidP="004E06B5">
                            <w:pPr>
                              <w:pStyle w:val="Caption"/>
                              <w:keepNext/>
                              <w:jc w:val="both"/>
                              <w:rPr>
                                <w:rFonts w:ascii="Arial Narrow" w:hAnsi="Arial Narrow"/>
                                <w:b/>
                                <w:i w:val="0"/>
                                <w:sz w:val="24"/>
                                <w:szCs w:val="24"/>
                              </w:rPr>
                            </w:pPr>
                            <w:r w:rsidRPr="006B7937">
                              <w:rPr>
                                <w:rFonts w:ascii="Arial Narrow" w:hAnsi="Arial Narrow"/>
                                <w:b/>
                                <w:i w:val="0"/>
                                <w:color w:val="595959" w:themeColor="text1" w:themeTint="A6"/>
                                <w:sz w:val="24"/>
                                <w:szCs w:val="24"/>
                              </w:rPr>
                              <w:t>Figure</w:t>
                            </w:r>
                            <w:r>
                              <w:rPr>
                                <w:rFonts w:ascii="Arial Narrow" w:hAnsi="Arial Narrow"/>
                                <w:b/>
                                <w:i w:val="0"/>
                                <w:color w:val="595959" w:themeColor="text1" w:themeTint="A6"/>
                                <w:sz w:val="24"/>
                                <w:szCs w:val="24"/>
                              </w:rPr>
                              <w:t xml:space="preserve"> 5.22 Immunohistochemical analysis of COLIV in tissue-engineered oral mucosa models</w:t>
                            </w:r>
                          </w:p>
                          <w:p w14:paraId="1E84A69B" w14:textId="77777777" w:rsidR="008A47AC" w:rsidRPr="00B8170A" w:rsidRDefault="008A47AC" w:rsidP="004E06B5">
                            <w:pPr>
                              <w:pStyle w:val="NormalWeb"/>
                              <w:spacing w:after="200" w:line="276" w:lineRule="auto"/>
                              <w:jc w:val="both"/>
                            </w:pPr>
                            <w:r>
                              <w:rPr>
                                <w:rFonts w:ascii="Arial Narrow" w:eastAsia="SimSun" w:hAnsi="Arial Narrow" w:cs="Arial"/>
                                <w:color w:val="595959" w:themeColor="text1" w:themeTint="A6"/>
                                <w:kern w:val="24"/>
                                <w:sz w:val="22"/>
                                <w:szCs w:val="22"/>
                              </w:rPr>
                              <w:t xml:space="preserve">Full thickness tissue-engineered models were developed on FDM and cultured for 12 days at an air-to-liquid interface before being subjected to histological processing and immunohistochemical staining for COLIV (brown) and haematoxylin counterstain (blue). Representative images of TENOM (A), TEAOM (B) and TESCCM (C) and semi-quantitative analysis of the optical density of staining intensity (D). Data shows mean ± SD </w:t>
                            </w:r>
                            <w:r w:rsidRPr="00E72F77">
                              <w:rPr>
                                <w:rFonts w:ascii="Arial Narrow" w:eastAsia="SimSun" w:hAnsi="Arial Narrow" w:cs="Arial"/>
                                <w:color w:val="595959" w:themeColor="text1" w:themeTint="A6"/>
                                <w:kern w:val="24"/>
                                <w:sz w:val="22"/>
                                <w:szCs w:val="22"/>
                              </w:rPr>
                              <w:t>(N=</w:t>
                            </w:r>
                            <w:r>
                              <w:rPr>
                                <w:rFonts w:ascii="Arial Narrow" w:eastAsia="SimSun" w:hAnsi="Arial Narrow" w:cs="Arial"/>
                                <w:color w:val="595959" w:themeColor="text1" w:themeTint="A6"/>
                                <w:kern w:val="24"/>
                                <w:sz w:val="22"/>
                                <w:szCs w:val="22"/>
                              </w:rPr>
                              <w:t>3</w:t>
                            </w:r>
                            <w:r w:rsidRPr="00E72F77">
                              <w:rPr>
                                <w:rFonts w:ascii="Arial Narrow" w:eastAsia="SimSun" w:hAnsi="Arial Narrow" w:cs="Arial"/>
                                <w:color w:val="595959" w:themeColor="text1" w:themeTint="A6"/>
                                <w:kern w:val="24"/>
                                <w:sz w:val="22"/>
                                <w:szCs w:val="22"/>
                              </w:rPr>
                              <w:t>, n=</w:t>
                            </w:r>
                            <w:r>
                              <w:rPr>
                                <w:rFonts w:ascii="Arial Narrow" w:eastAsia="SimSun" w:hAnsi="Arial Narrow" w:cs="Arial"/>
                                <w:color w:val="595959" w:themeColor="text1" w:themeTint="A6"/>
                                <w:kern w:val="24"/>
                                <w:sz w:val="22"/>
                                <w:szCs w:val="22"/>
                              </w:rPr>
                              <w:t>2</w:t>
                            </w:r>
                            <w:r w:rsidRPr="00E72F77">
                              <w:rPr>
                                <w:rFonts w:ascii="Arial Narrow" w:eastAsia="SimSun" w:hAnsi="Arial Narrow" w:cs="Arial"/>
                                <w:color w:val="595959" w:themeColor="text1" w:themeTint="A6"/>
                                <w:kern w:val="24"/>
                                <w:sz w:val="22"/>
                                <w:szCs w:val="22"/>
                              </w:rPr>
                              <w:t>).</w:t>
                            </w:r>
                            <w:r>
                              <w:rPr>
                                <w:rFonts w:ascii="Arial Narrow" w:eastAsia="SimSun" w:hAnsi="Arial Narrow" w:cs="Arial"/>
                                <w:color w:val="595959" w:themeColor="text1" w:themeTint="A6"/>
                                <w:kern w:val="24"/>
                                <w:sz w:val="22"/>
                                <w:szCs w:val="22"/>
                              </w:rPr>
                              <w:t xml:space="preserve"> * p &lt;0.05 compared to TENOM as analysed by Kruskal-Wallis test with Dunn’s multiple comparison. Scale bar = 50 µm.</w:t>
                            </w:r>
                          </w:p>
                          <w:p w14:paraId="61F83D82" w14:textId="77777777" w:rsidR="008A47AC" w:rsidRPr="00B8170A" w:rsidRDefault="008A47AC" w:rsidP="004E06B5">
                            <w:pPr>
                              <w:pStyle w:val="NormalWeb"/>
                              <w:spacing w:after="200" w:line="276" w:lineRule="auto"/>
                              <w:jc w:val="both"/>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355D69" id="Text Box 5344" o:spid="_x0000_s1200" type="#_x0000_t202" style="position:absolute;left:0;text-align:left;margin-left:0;margin-top:.55pt;width:451.5pt;height:138pt;z-index:25165839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" stroked="f">
                <v:textbox>
                  <w:txbxContent>
                    <w:p w14:paraId="0F6E88D9" w14:textId="42388FBA" w:rsidR="008A47AC" w:rsidRPr="006B7937" w:rsidRDefault="008A47AC" w:rsidP="004E06B5">
                      <w:pPr>
                        <w:pStyle w:val="Caption"/>
                        <w:keepNext/>
                        <w:jc w:val="both"/>
                        <w:rPr>
                          <w:rFonts w:ascii="Arial Narrow" w:hAnsi="Arial Narrow"/>
                          <w:b/>
                          <w:i w:val="0"/>
                          <w:sz w:val="24"/>
                          <w:szCs w:val="24"/>
                        </w:rPr>
                      </w:pPr>
                      <w:r w:rsidRPr="006B7937">
                        <w:rPr>
                          <w:rFonts w:ascii="Arial Narrow" w:hAnsi="Arial Narrow"/>
                          <w:b/>
                          <w:i w:val="0"/>
                          <w:color w:val="595959" w:themeColor="text1" w:themeTint="A6"/>
                          <w:sz w:val="24"/>
                          <w:szCs w:val="24"/>
                        </w:rPr>
                        <w:t>Figure</w:t>
                      </w:r>
                      <w:r>
                        <w:rPr>
                          <w:rFonts w:ascii="Arial Narrow" w:hAnsi="Arial Narrow"/>
                          <w:b/>
                          <w:i w:val="0"/>
                          <w:color w:val="595959" w:themeColor="text1" w:themeTint="A6"/>
                          <w:sz w:val="24"/>
                          <w:szCs w:val="24"/>
                        </w:rPr>
                        <w:t xml:space="preserve"> 5.22 Immunohistochemical analysis of COLIV in tissue-engineered oral mucosa models</w:t>
                      </w:r>
                    </w:p>
                    <w:p w14:paraId="1E84A69B" w14:textId="77777777" w:rsidR="008A47AC" w:rsidRPr="00B8170A" w:rsidRDefault="008A47AC" w:rsidP="004E06B5">
                      <w:pPr>
                        <w:pStyle w:val="NormalWeb"/>
                        <w:spacing w:after="200" w:line="276" w:lineRule="auto"/>
                        <w:jc w:val="both"/>
                      </w:pPr>
                      <w:r>
                        <w:rPr>
                          <w:rFonts w:ascii="Arial Narrow" w:eastAsia="SimSun" w:hAnsi="Arial Narrow" w:cs="Arial"/>
                          <w:color w:val="595959" w:themeColor="text1" w:themeTint="A6"/>
                          <w:kern w:val="24"/>
                          <w:sz w:val="22"/>
                          <w:szCs w:val="22"/>
                        </w:rPr>
                        <w:t xml:space="preserve">Full thickness tissue-engineered models were developed on FDM and cultured for 12 days at an air-to-liquid interface before being subjected to histological processing and immunohistochemical staining for COLIV (brown) and haematoxylin counterstain (blue). Representative images of TENOM (A), TEAOM (B) and TESCCM (C) and semi-quantitative analysis of the optical density of staining intensity (D). Data shows mean ± SD </w:t>
                      </w:r>
                      <w:r w:rsidRPr="00E72F77">
                        <w:rPr>
                          <w:rFonts w:ascii="Arial Narrow" w:eastAsia="SimSun" w:hAnsi="Arial Narrow" w:cs="Arial"/>
                          <w:color w:val="595959" w:themeColor="text1" w:themeTint="A6"/>
                          <w:kern w:val="24"/>
                          <w:sz w:val="22"/>
                          <w:szCs w:val="22"/>
                        </w:rPr>
                        <w:t>(N=</w:t>
                      </w:r>
                      <w:r>
                        <w:rPr>
                          <w:rFonts w:ascii="Arial Narrow" w:eastAsia="SimSun" w:hAnsi="Arial Narrow" w:cs="Arial"/>
                          <w:color w:val="595959" w:themeColor="text1" w:themeTint="A6"/>
                          <w:kern w:val="24"/>
                          <w:sz w:val="22"/>
                          <w:szCs w:val="22"/>
                        </w:rPr>
                        <w:t>3</w:t>
                      </w:r>
                      <w:r w:rsidRPr="00E72F77">
                        <w:rPr>
                          <w:rFonts w:ascii="Arial Narrow" w:eastAsia="SimSun" w:hAnsi="Arial Narrow" w:cs="Arial"/>
                          <w:color w:val="595959" w:themeColor="text1" w:themeTint="A6"/>
                          <w:kern w:val="24"/>
                          <w:sz w:val="22"/>
                          <w:szCs w:val="22"/>
                        </w:rPr>
                        <w:t>, n=</w:t>
                      </w:r>
                      <w:r>
                        <w:rPr>
                          <w:rFonts w:ascii="Arial Narrow" w:eastAsia="SimSun" w:hAnsi="Arial Narrow" w:cs="Arial"/>
                          <w:color w:val="595959" w:themeColor="text1" w:themeTint="A6"/>
                          <w:kern w:val="24"/>
                          <w:sz w:val="22"/>
                          <w:szCs w:val="22"/>
                        </w:rPr>
                        <w:t>2</w:t>
                      </w:r>
                      <w:r w:rsidRPr="00E72F77">
                        <w:rPr>
                          <w:rFonts w:ascii="Arial Narrow" w:eastAsia="SimSun" w:hAnsi="Arial Narrow" w:cs="Arial"/>
                          <w:color w:val="595959" w:themeColor="text1" w:themeTint="A6"/>
                          <w:kern w:val="24"/>
                          <w:sz w:val="22"/>
                          <w:szCs w:val="22"/>
                        </w:rPr>
                        <w:t>).</w:t>
                      </w:r>
                      <w:r>
                        <w:rPr>
                          <w:rFonts w:ascii="Arial Narrow" w:eastAsia="SimSun" w:hAnsi="Arial Narrow" w:cs="Arial"/>
                          <w:color w:val="595959" w:themeColor="text1" w:themeTint="A6"/>
                          <w:kern w:val="24"/>
                          <w:sz w:val="22"/>
                          <w:szCs w:val="22"/>
                        </w:rPr>
                        <w:t xml:space="preserve"> * p &lt;0.05 compared to TENOM as analysed by Kruskal-Wallis test with Dunn’s multiple comparison. Scale bar = 50 µm.</w:t>
                      </w:r>
                    </w:p>
                    <w:p w14:paraId="61F83D82" w14:textId="77777777" w:rsidR="008A47AC" w:rsidRPr="00B8170A" w:rsidRDefault="008A47AC" w:rsidP="004E06B5">
                      <w:pPr>
                        <w:pStyle w:val="NormalWeb"/>
                        <w:spacing w:after="200" w:line="276" w:lineRule="auto"/>
                        <w:jc w:val="both"/>
                      </w:pPr>
                    </w:p>
                  </w:txbxContent>
                </v:textbox>
                <w10:wrap anchorx="margin"/>
              </v:shape>
            </w:pict>
          </mc:Fallback>
        </mc:AlternateContent>
      </w:r>
    </w:p>
    <w:p w14:paraId="0C6ECCEE"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11B88E8C"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70413A4B"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11663A3F" w14:textId="77777777" w:rsidR="004E06B5" w:rsidRPr="004E06B5" w:rsidRDefault="004E06B5" w:rsidP="004E06B5">
      <w:pPr>
        <w:tabs>
          <w:tab w:val="left" w:pos="1530"/>
        </w:tabs>
        <w:spacing w:line="480" w:lineRule="auto"/>
        <w:jc w:val="both"/>
        <w:rPr>
          <w:rFonts w:ascii="Arial" w:hAnsi="Arial" w:cs="Arial"/>
          <w:color w:val="595959" w:themeColor="text1" w:themeTint="A6"/>
        </w:rPr>
      </w:pPr>
    </w:p>
    <w:p w14:paraId="19D5450D" w14:textId="3CE16626" w:rsidR="004E06B5" w:rsidRDefault="004E06B5" w:rsidP="00054EC8">
      <w:pPr>
        <w:pStyle w:val="Heading4"/>
        <w:rPr>
          <w:rFonts w:ascii="Arial" w:hAnsi="Arial" w:cs="Arial"/>
          <w:color w:val="595959" w:themeColor="text1" w:themeTint="A6"/>
        </w:rPr>
      </w:pPr>
      <w:bookmarkStart w:id="484" w:name="_Toc34208473"/>
      <w:r w:rsidRPr="004E06B5">
        <w:rPr>
          <w:rFonts w:ascii="Arial" w:hAnsi="Arial" w:cs="Arial"/>
          <w:color w:val="595959" w:themeColor="text1" w:themeTint="A6"/>
        </w:rPr>
        <w:t>5.3.2.2 Matrix remodelling tissue-engineered oral mucosa models</w:t>
      </w:r>
      <w:bookmarkEnd w:id="484"/>
    </w:p>
    <w:p w14:paraId="2E1883B1" w14:textId="77777777" w:rsidR="00054EC8" w:rsidRPr="00054EC8" w:rsidRDefault="00054EC8" w:rsidP="00054EC8"/>
    <w:p w14:paraId="25C6C61C" w14:textId="739363A1" w:rsidR="004E06B5" w:rsidRPr="004E06B5" w:rsidRDefault="004E06B5" w:rsidP="004E06B5">
      <w:pPr>
        <w:tabs>
          <w:tab w:val="left" w:pos="1350"/>
        </w:tabs>
        <w:spacing w:line="480" w:lineRule="auto"/>
        <w:jc w:val="both"/>
        <w:rPr>
          <w:rFonts w:ascii="Arial" w:hAnsi="Arial" w:cs="Arial"/>
          <w:color w:val="595959" w:themeColor="text1" w:themeTint="A6"/>
        </w:rPr>
      </w:pPr>
      <w:r w:rsidRPr="004E06B5">
        <w:rPr>
          <w:rFonts w:ascii="Arial" w:hAnsi="Arial" w:cs="Arial"/>
          <w:color w:val="595959" w:themeColor="text1" w:themeTint="A6"/>
        </w:rPr>
        <w:t>To analyse the remodelling capabilities of keratinocytes from in response to FDM scaffolds; the enzymatic activity of MMP-2 and -9 was assessed and recombinant (Rb) MMP 2 and 9 used as positive controls. Positive MMP-2 and MMP-9 activity was confirmed by gelatin zymography of cell culture supernatants for all TEOM models (Figure 5.2</w:t>
      </w:r>
      <w:r w:rsidR="00413F8E">
        <w:rPr>
          <w:rFonts w:ascii="Arial" w:hAnsi="Arial" w:cs="Arial"/>
          <w:color w:val="595959" w:themeColor="text1" w:themeTint="A6"/>
        </w:rPr>
        <w:t>3</w:t>
      </w:r>
      <w:r w:rsidRPr="004E06B5">
        <w:rPr>
          <w:rFonts w:ascii="Arial" w:hAnsi="Arial" w:cs="Arial"/>
          <w:color w:val="595959" w:themeColor="text1" w:themeTint="A6"/>
        </w:rPr>
        <w:t>). MMP-9 activity was greatest in TESCCM (Figure 5.2</w:t>
      </w:r>
      <w:r w:rsidR="00413F8E">
        <w:rPr>
          <w:rFonts w:ascii="Arial" w:hAnsi="Arial" w:cs="Arial"/>
          <w:color w:val="595959" w:themeColor="text1" w:themeTint="A6"/>
        </w:rPr>
        <w:t>3</w:t>
      </w:r>
      <w:r w:rsidRPr="004E06B5">
        <w:rPr>
          <w:rFonts w:ascii="Arial" w:hAnsi="Arial" w:cs="Arial"/>
          <w:color w:val="595959" w:themeColor="text1" w:themeTint="A6"/>
        </w:rPr>
        <w:t xml:space="preserve"> B). Densitometric analysis indicated that TESCCM had a mean band intensity of 39.93 ± 2.02, p=0.0068 and was significantly increased compared to TENOM which had a mean band intensity of 22.32 ± 3.00. A significant increase in MMP-9 activity was also observed for TEAOM with a mean intensity of 36.18 ± 1.25, p=0.0135 compared to TENOM models. MMP-2 activity was detectable in all TEOM models, but no significant differences were observed between the models generated (Figure 5.</w:t>
      </w:r>
      <w:r w:rsidR="004D607C">
        <w:rPr>
          <w:rFonts w:ascii="Arial" w:hAnsi="Arial" w:cs="Arial"/>
          <w:color w:val="595959" w:themeColor="text1" w:themeTint="A6"/>
        </w:rPr>
        <w:t>23</w:t>
      </w:r>
      <w:r w:rsidRPr="004E06B5">
        <w:rPr>
          <w:rFonts w:ascii="Arial" w:hAnsi="Arial" w:cs="Arial"/>
          <w:color w:val="595959" w:themeColor="text1" w:themeTint="A6"/>
        </w:rPr>
        <w:t xml:space="preserve"> A+C). MMP-2 activity gave a mean band intensity of 2.81 ± 0.83 in TESCCM, 1.15 ± 0.11 for TEAOM and 1.61 ± 0.09 for TENOM models. This suggests that both FNB6 and H357 are capable of promoting ECM remodelling. </w:t>
      </w:r>
    </w:p>
    <w:p w14:paraId="55AAF776"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1AE45B29"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4589FFF2"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5A2CCEC3"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0405059B"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4FB4BAF6"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63755D49"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2888A545"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1D390330"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2F3C07FA"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2D0ADCDC"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14C7B200"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4C0467D1"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600F9125" w14:textId="04166EA6" w:rsidR="004E06B5" w:rsidRPr="004E06B5" w:rsidRDefault="000B0D86" w:rsidP="004E06B5">
      <w:pPr>
        <w:tabs>
          <w:tab w:val="left" w:pos="1350"/>
        </w:tabs>
        <w:spacing w:line="480" w:lineRule="auto"/>
        <w:jc w:val="both"/>
        <w:rPr>
          <w:rFonts w:ascii="Arial" w:hAnsi="Arial" w:cs="Arial"/>
          <w:color w:val="595959" w:themeColor="text1" w:themeTint="A6"/>
        </w:rPr>
      </w:pPr>
      <w:r w:rsidRPr="004E06B5">
        <w:rPr>
          <w:rFonts w:ascii="Arial" w:hAnsi="Arial" w:cs="Arial"/>
          <w:noProof/>
          <w:color w:val="595959" w:themeColor="text1" w:themeTint="A6"/>
          <w:lang w:eastAsia="zh-CN"/>
        </w:rPr>
        <w:drawing>
          <wp:anchor distT="0" distB="0" distL="114300" distR="114300" simplePos="0" relativeHeight="251658439" behindDoc="0" locked="0" layoutInCell="1" allowOverlap="1" wp14:anchorId="50A98D95" wp14:editId="34DBD06A">
            <wp:simplePos x="0" y="0"/>
            <wp:positionH relativeFrom="margin">
              <wp:align>center</wp:align>
            </wp:positionH>
            <wp:positionV relativeFrom="paragraph">
              <wp:posOffset>241991</wp:posOffset>
            </wp:positionV>
            <wp:extent cx="5732890" cy="4427681"/>
            <wp:effectExtent l="0" t="0" r="0" b="0"/>
            <wp:wrapNone/>
            <wp:docPr id="5376" name="Picture 5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732890" cy="4427681"/>
                    </a:xfrm>
                    <a:prstGeom prst="rect">
                      <a:avLst/>
                    </a:prstGeom>
                    <a:noFill/>
                  </pic:spPr>
                </pic:pic>
              </a:graphicData>
            </a:graphic>
            <wp14:sizeRelH relativeFrom="margin">
              <wp14:pctWidth>0</wp14:pctWidth>
            </wp14:sizeRelH>
            <wp14:sizeRelV relativeFrom="margin">
              <wp14:pctHeight>0</wp14:pctHeight>
            </wp14:sizeRelV>
          </wp:anchor>
        </w:drawing>
      </w:r>
    </w:p>
    <w:p w14:paraId="50401893" w14:textId="6A2A2B1B" w:rsidR="004E06B5" w:rsidRPr="004E06B5" w:rsidRDefault="004E06B5" w:rsidP="004E06B5">
      <w:pPr>
        <w:tabs>
          <w:tab w:val="left" w:pos="1350"/>
        </w:tabs>
        <w:spacing w:line="480" w:lineRule="auto"/>
        <w:jc w:val="both"/>
        <w:rPr>
          <w:rFonts w:ascii="Arial" w:hAnsi="Arial" w:cs="Arial"/>
          <w:color w:val="595959" w:themeColor="text1" w:themeTint="A6"/>
        </w:rPr>
      </w:pPr>
    </w:p>
    <w:p w14:paraId="45FB9AF7" w14:textId="1AFF0489" w:rsidR="004E06B5" w:rsidRPr="004E06B5" w:rsidRDefault="004E06B5" w:rsidP="004E06B5">
      <w:pPr>
        <w:tabs>
          <w:tab w:val="left" w:pos="1350"/>
        </w:tabs>
        <w:spacing w:line="480" w:lineRule="auto"/>
        <w:jc w:val="both"/>
        <w:rPr>
          <w:rFonts w:ascii="Arial" w:hAnsi="Arial" w:cs="Arial"/>
          <w:color w:val="595959" w:themeColor="text1" w:themeTint="A6"/>
        </w:rPr>
      </w:pPr>
    </w:p>
    <w:p w14:paraId="6074CE38" w14:textId="69E4A838" w:rsidR="004E06B5" w:rsidRPr="004E06B5" w:rsidRDefault="004E06B5" w:rsidP="004E06B5">
      <w:pPr>
        <w:tabs>
          <w:tab w:val="left" w:pos="1350"/>
        </w:tabs>
        <w:spacing w:line="480" w:lineRule="auto"/>
        <w:jc w:val="both"/>
        <w:rPr>
          <w:rFonts w:ascii="Arial" w:hAnsi="Arial" w:cs="Arial"/>
          <w:color w:val="595959" w:themeColor="text1" w:themeTint="A6"/>
        </w:rPr>
      </w:pPr>
    </w:p>
    <w:p w14:paraId="7C182809"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45C4DE7A"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2C97B5E1"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53293E1F"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70410CBE"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0A92BAEE"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3A19F123"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104499CB"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32CCBE90" w14:textId="77777777" w:rsidR="004E06B5" w:rsidRPr="004E06B5" w:rsidRDefault="004E06B5" w:rsidP="004E06B5">
      <w:pPr>
        <w:tabs>
          <w:tab w:val="left" w:pos="1350"/>
        </w:tabs>
        <w:spacing w:line="480" w:lineRule="auto"/>
        <w:jc w:val="both"/>
        <w:rPr>
          <w:rFonts w:ascii="Arial" w:hAnsi="Arial" w:cs="Arial"/>
          <w:color w:val="595959" w:themeColor="text1" w:themeTint="A6"/>
        </w:rPr>
      </w:pPr>
    </w:p>
    <w:p w14:paraId="73B76E87" w14:textId="29BED9A1" w:rsidR="004E06B5" w:rsidRPr="004E06B5" w:rsidRDefault="000B0D86" w:rsidP="004E06B5">
      <w:pPr>
        <w:tabs>
          <w:tab w:val="left" w:pos="1058"/>
        </w:tabs>
        <w:rPr>
          <w:rFonts w:ascii="Arial" w:hAnsi="Arial" w:cs="Arial"/>
          <w:color w:val="595959" w:themeColor="text1" w:themeTint="A6"/>
        </w:rPr>
      </w:pPr>
      <w:r w:rsidRPr="004E06B5">
        <w:rPr>
          <w:rFonts w:ascii="Arial" w:hAnsi="Arial" w:cs="Arial"/>
          <w:noProof/>
          <w:color w:val="595959" w:themeColor="text1" w:themeTint="A6"/>
          <w:sz w:val="24"/>
          <w:szCs w:val="24"/>
          <w:lang w:eastAsia="zh-CN"/>
        </w:rPr>
        <mc:AlternateContent>
          <mc:Choice Requires="wps">
            <w:drawing>
              <wp:anchor distT="0" distB="0" distL="114300" distR="114300" simplePos="0" relativeHeight="251658383" behindDoc="0" locked="0" layoutInCell="1" allowOverlap="1" wp14:anchorId="664479BA" wp14:editId="6FD738CA">
                <wp:simplePos x="0" y="0"/>
                <wp:positionH relativeFrom="margin">
                  <wp:align>right</wp:align>
                </wp:positionH>
                <wp:positionV relativeFrom="paragraph">
                  <wp:posOffset>10602</wp:posOffset>
                </wp:positionV>
                <wp:extent cx="5724525" cy="1314450"/>
                <wp:effectExtent l="0" t="0" r="9525" b="0"/>
                <wp:wrapNone/>
                <wp:docPr id="53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1314450"/>
                        </a:xfrm>
                        <a:prstGeom prst="rect">
                          <a:avLst/>
                        </a:prstGeom>
                        <a:solidFill>
                          <a:srgbClr val="FFFFFF"/>
                        </a:solidFill>
                        <a:ln w="9525">
                          <a:noFill/>
                          <a:miter lim="800000"/>
                          <a:headEnd/>
                          <a:tailEnd/>
                        </a:ln>
                      </wps:spPr>
                      <wps:txbx>
                        <w:txbxContent>
                          <w:p w14:paraId="0B5C7CB8" w14:textId="5826B6A9" w:rsidR="008A47AC" w:rsidRDefault="008A47AC" w:rsidP="004E06B5">
                            <w:pPr>
                              <w:pStyle w:val="NormalWeb"/>
                              <w:spacing w:after="200"/>
                              <w:jc w:val="both"/>
                            </w:pPr>
                            <w:r>
                              <w:rPr>
                                <w:rFonts w:ascii="Arial Narrow" w:eastAsia="SimSun" w:hAnsi="Arial Narrow" w:cs="Arial"/>
                                <w:b/>
                                <w:bCs/>
                                <w:color w:val="595959"/>
                                <w:kern w:val="24"/>
                                <w:sz w:val="22"/>
                                <w:szCs w:val="22"/>
                              </w:rPr>
                              <w:t>Figure 5.23 MMP-2 and MMP-9 activity in tissue-engineered oral mucosa models</w:t>
                            </w:r>
                          </w:p>
                          <w:p w14:paraId="7629662C" w14:textId="77777777" w:rsidR="008A47AC" w:rsidRPr="00CC3F46" w:rsidRDefault="008A47AC" w:rsidP="004E06B5">
                            <w:pPr>
                              <w:pStyle w:val="NormalWeb"/>
                              <w:spacing w:after="200" w:line="276" w:lineRule="auto"/>
                              <w:jc w:val="both"/>
                              <w:rPr>
                                <w:rFonts w:ascii="Arial Narrow" w:hAnsi="Arial Narrow"/>
                                <w:color w:val="595959" w:themeColor="text1" w:themeTint="A6"/>
                                <w:sz w:val="22"/>
                                <w:szCs w:val="22"/>
                              </w:rPr>
                            </w:pPr>
                            <w:r>
                              <w:rPr>
                                <w:rFonts w:ascii="Arial Narrow" w:hAnsi="Arial Narrow"/>
                                <w:color w:val="595959" w:themeColor="text1" w:themeTint="A6"/>
                                <w:sz w:val="22"/>
                                <w:szCs w:val="22"/>
                              </w:rPr>
                              <w:t xml:space="preserve">MMP-2 and MMP-9 activity in TEOM models was assessed by gelatin zymography (representative images) (A). </w:t>
                            </w:r>
                            <w:r>
                              <w:rPr>
                                <w:rFonts w:ascii="Arial Narrow" w:eastAsia="SimSun" w:hAnsi="Arial Narrow" w:cs="Arial"/>
                                <w:color w:val="595959"/>
                                <w:kern w:val="24"/>
                                <w:sz w:val="22"/>
                              </w:rPr>
                              <w:t xml:space="preserve">Densitometry of the resultant bands were measured using ImageJ and the intensity measured relative to Rb protein only controls (B).  Data is expressed as relative fold change, with mean ± SD, N=3, n=2, * denotes p &lt;0.05 and ** p &lt;0.01 analysed by one-way ANOVA with Dunnett’s multiple comparison test.  </w:t>
                            </w:r>
                            <w:r>
                              <w:rPr>
                                <w:rFonts w:ascii="Arial Narrow" w:eastAsia="SimSun" w:hAnsi="Arial Narrow" w:cs="Arial"/>
                                <w:color w:val="595959" w:themeColor="text1" w:themeTint="A6"/>
                                <w:kern w:val="24"/>
                                <w:sz w:val="22"/>
                                <w:szCs w:val="22"/>
                              </w:rPr>
                              <w:t>(N=3, n=2).</w:t>
                            </w:r>
                          </w:p>
                          <w:p w14:paraId="2D41A331" w14:textId="77777777" w:rsidR="008A47AC" w:rsidRDefault="008A47AC" w:rsidP="004E06B5">
                            <w:pPr>
                              <w:pStyle w:val="NormalWeb"/>
                              <w:spacing w:after="200"/>
                              <w:jc w:val="both"/>
                            </w:pPr>
                          </w:p>
                          <w:p w14:paraId="4A1E565B" w14:textId="77777777" w:rsidR="008A47AC" w:rsidRDefault="008A47AC" w:rsidP="004E06B5">
                            <w:pPr>
                              <w:pStyle w:val="NormalWeb"/>
                              <w:spacing w:after="200"/>
                              <w:jc w:val="both"/>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4479BA" id="_x0000_s1201" type="#_x0000_t202" style="position:absolute;margin-left:399.55pt;margin-top:.85pt;width:450.75pt;height:103.5pt;z-index:251658383;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" stroked="f">
                <v:textbox>
                  <w:txbxContent>
                    <w:p w14:paraId="0B5C7CB8" w14:textId="5826B6A9" w:rsidR="008A47AC" w:rsidRDefault="008A47AC" w:rsidP="004E06B5">
                      <w:pPr>
                        <w:pStyle w:val="NormalWeb"/>
                        <w:spacing w:after="200"/>
                        <w:jc w:val="both"/>
                      </w:pPr>
                      <w:r>
                        <w:rPr>
                          <w:rFonts w:ascii="Arial Narrow" w:eastAsia="SimSun" w:hAnsi="Arial Narrow" w:cs="Arial"/>
                          <w:b/>
                          <w:bCs/>
                          <w:color w:val="595959"/>
                          <w:kern w:val="24"/>
                          <w:sz w:val="22"/>
                          <w:szCs w:val="22"/>
                        </w:rPr>
                        <w:t>Figure 5.23 MMP-2 and MMP-9 activity in tissue-engineered oral mucosa models</w:t>
                      </w:r>
                    </w:p>
                    <w:p w14:paraId="7629662C" w14:textId="77777777" w:rsidR="008A47AC" w:rsidRPr="00CC3F46" w:rsidRDefault="008A47AC" w:rsidP="004E06B5">
                      <w:pPr>
                        <w:pStyle w:val="NormalWeb"/>
                        <w:spacing w:after="200" w:line="276" w:lineRule="auto"/>
                        <w:jc w:val="both"/>
                        <w:rPr>
                          <w:rFonts w:ascii="Arial Narrow" w:hAnsi="Arial Narrow"/>
                          <w:color w:val="595959" w:themeColor="text1" w:themeTint="A6"/>
                          <w:sz w:val="22"/>
                          <w:szCs w:val="22"/>
                        </w:rPr>
                      </w:pPr>
                      <w:r>
                        <w:rPr>
                          <w:rFonts w:ascii="Arial Narrow" w:hAnsi="Arial Narrow"/>
                          <w:color w:val="595959" w:themeColor="text1" w:themeTint="A6"/>
                          <w:sz w:val="22"/>
                          <w:szCs w:val="22"/>
                        </w:rPr>
                        <w:t xml:space="preserve">MMP-2 and MMP-9 activity in TEOM models was assessed by </w:t>
                      </w:r>
                      <w:proofErr w:type="spellStart"/>
                      <w:r>
                        <w:rPr>
                          <w:rFonts w:ascii="Arial Narrow" w:hAnsi="Arial Narrow"/>
                          <w:color w:val="595959" w:themeColor="text1" w:themeTint="A6"/>
                          <w:sz w:val="22"/>
                          <w:szCs w:val="22"/>
                        </w:rPr>
                        <w:t>gelatin</w:t>
                      </w:r>
                      <w:proofErr w:type="spellEnd"/>
                      <w:r>
                        <w:rPr>
                          <w:rFonts w:ascii="Arial Narrow" w:hAnsi="Arial Narrow"/>
                          <w:color w:val="595959" w:themeColor="text1" w:themeTint="A6"/>
                          <w:sz w:val="22"/>
                          <w:szCs w:val="22"/>
                        </w:rPr>
                        <w:t xml:space="preserve"> zymography (representative images) (A). </w:t>
                      </w:r>
                      <w:r>
                        <w:rPr>
                          <w:rFonts w:ascii="Arial Narrow" w:eastAsia="SimSun" w:hAnsi="Arial Narrow" w:cs="Arial"/>
                          <w:color w:val="595959"/>
                          <w:kern w:val="24"/>
                          <w:sz w:val="22"/>
                        </w:rPr>
                        <w:t xml:space="preserve">Densitometry of the resultant bands were measured using ImageJ and the intensity measured relative to </w:t>
                      </w:r>
                      <w:proofErr w:type="spellStart"/>
                      <w:r>
                        <w:rPr>
                          <w:rFonts w:ascii="Arial Narrow" w:eastAsia="SimSun" w:hAnsi="Arial Narrow" w:cs="Arial"/>
                          <w:color w:val="595959"/>
                          <w:kern w:val="24"/>
                          <w:sz w:val="22"/>
                        </w:rPr>
                        <w:t>Rb</w:t>
                      </w:r>
                      <w:proofErr w:type="spellEnd"/>
                      <w:r>
                        <w:rPr>
                          <w:rFonts w:ascii="Arial Narrow" w:eastAsia="SimSun" w:hAnsi="Arial Narrow" w:cs="Arial"/>
                          <w:color w:val="595959"/>
                          <w:kern w:val="24"/>
                          <w:sz w:val="22"/>
                        </w:rPr>
                        <w:t xml:space="preserve"> protein only controls (B).  Data is expressed as relative fold change, with mean ± SD, N=3, n=2, * denotes p &lt;0.05 and ** p &lt;0.01 analysed by one-way ANOVA with Dunnett’s multiple comparison test.  </w:t>
                      </w:r>
                      <w:r>
                        <w:rPr>
                          <w:rFonts w:ascii="Arial Narrow" w:eastAsia="SimSun" w:hAnsi="Arial Narrow" w:cs="Arial"/>
                          <w:color w:val="595959" w:themeColor="text1" w:themeTint="A6"/>
                          <w:kern w:val="24"/>
                          <w:sz w:val="22"/>
                          <w:szCs w:val="22"/>
                        </w:rPr>
                        <w:t>(N=3, n=2).</w:t>
                      </w:r>
                    </w:p>
                    <w:p w14:paraId="2D41A331" w14:textId="77777777" w:rsidR="008A47AC" w:rsidRDefault="008A47AC" w:rsidP="004E06B5">
                      <w:pPr>
                        <w:pStyle w:val="NormalWeb"/>
                        <w:spacing w:after="200"/>
                        <w:jc w:val="both"/>
                      </w:pPr>
                    </w:p>
                    <w:p w14:paraId="4A1E565B" w14:textId="77777777" w:rsidR="008A47AC" w:rsidRDefault="008A47AC" w:rsidP="004E06B5">
                      <w:pPr>
                        <w:pStyle w:val="NormalWeb"/>
                        <w:spacing w:after="200"/>
                        <w:jc w:val="both"/>
                      </w:pPr>
                    </w:p>
                  </w:txbxContent>
                </v:textbox>
                <w10:wrap anchorx="margin"/>
              </v:shape>
            </w:pict>
          </mc:Fallback>
        </mc:AlternateContent>
      </w:r>
    </w:p>
    <w:p w14:paraId="5F18378A" w14:textId="1CB01268" w:rsidR="004E06B5" w:rsidRPr="004E06B5" w:rsidRDefault="004E06B5" w:rsidP="004E06B5">
      <w:pPr>
        <w:tabs>
          <w:tab w:val="left" w:pos="1058"/>
        </w:tabs>
        <w:rPr>
          <w:rFonts w:ascii="Arial" w:hAnsi="Arial" w:cs="Arial"/>
          <w:color w:val="595959" w:themeColor="text1" w:themeTint="A6"/>
        </w:rPr>
      </w:pPr>
    </w:p>
    <w:p w14:paraId="3F1784C5" w14:textId="77777777" w:rsidR="004E06B5" w:rsidRPr="004E06B5" w:rsidRDefault="004E06B5" w:rsidP="004E06B5">
      <w:pPr>
        <w:tabs>
          <w:tab w:val="left" w:pos="1058"/>
        </w:tabs>
        <w:rPr>
          <w:rFonts w:ascii="Arial" w:hAnsi="Arial" w:cs="Arial"/>
          <w:color w:val="595959" w:themeColor="text1" w:themeTint="A6"/>
        </w:rPr>
      </w:pPr>
    </w:p>
    <w:p w14:paraId="044D5907" w14:textId="77777777" w:rsidR="004E06B5" w:rsidRPr="004E06B5" w:rsidRDefault="004E06B5" w:rsidP="004E06B5">
      <w:pPr>
        <w:tabs>
          <w:tab w:val="left" w:pos="1058"/>
        </w:tabs>
        <w:rPr>
          <w:rFonts w:ascii="Arial" w:hAnsi="Arial" w:cs="Arial"/>
          <w:color w:val="595959" w:themeColor="text1" w:themeTint="A6"/>
        </w:rPr>
      </w:pPr>
    </w:p>
    <w:p w14:paraId="265D24C1" w14:textId="77777777" w:rsidR="004E06B5" w:rsidRPr="004E06B5" w:rsidRDefault="004E06B5" w:rsidP="004E06B5">
      <w:pPr>
        <w:tabs>
          <w:tab w:val="left" w:pos="1058"/>
        </w:tabs>
        <w:rPr>
          <w:rFonts w:ascii="Arial" w:hAnsi="Arial" w:cs="Arial"/>
          <w:color w:val="595959" w:themeColor="text1" w:themeTint="A6"/>
        </w:rPr>
      </w:pPr>
    </w:p>
    <w:p w14:paraId="5E57D754" w14:textId="77777777" w:rsidR="004E06B5" w:rsidRPr="004E06B5" w:rsidRDefault="004E06B5" w:rsidP="004E06B5">
      <w:pPr>
        <w:tabs>
          <w:tab w:val="left" w:pos="1058"/>
        </w:tabs>
        <w:rPr>
          <w:rFonts w:ascii="Arial" w:hAnsi="Arial" w:cs="Arial"/>
          <w:color w:val="595959" w:themeColor="text1" w:themeTint="A6"/>
        </w:rPr>
      </w:pPr>
    </w:p>
    <w:p w14:paraId="6AEC9BD6" w14:textId="77777777" w:rsidR="004E06B5" w:rsidRPr="004E06B5" w:rsidRDefault="004E06B5" w:rsidP="004E06B5">
      <w:pPr>
        <w:tabs>
          <w:tab w:val="left" w:pos="1058"/>
        </w:tabs>
        <w:rPr>
          <w:rFonts w:ascii="Arial" w:hAnsi="Arial" w:cs="Arial"/>
          <w:color w:val="595959" w:themeColor="text1" w:themeTint="A6"/>
        </w:rPr>
      </w:pPr>
    </w:p>
    <w:p w14:paraId="12235748" w14:textId="77777777" w:rsidR="004E06B5" w:rsidRPr="004E06B5" w:rsidRDefault="004E06B5" w:rsidP="004E06B5">
      <w:pPr>
        <w:tabs>
          <w:tab w:val="left" w:pos="1058"/>
        </w:tabs>
        <w:rPr>
          <w:rFonts w:ascii="Arial" w:hAnsi="Arial" w:cs="Arial"/>
          <w:color w:val="595959" w:themeColor="text1" w:themeTint="A6"/>
        </w:rPr>
      </w:pPr>
    </w:p>
    <w:p w14:paraId="70D8266B" w14:textId="77777777" w:rsidR="004E06B5" w:rsidRPr="004E06B5" w:rsidRDefault="004E06B5" w:rsidP="00054EC8">
      <w:pPr>
        <w:pStyle w:val="Heading2"/>
        <w:rPr>
          <w:rFonts w:ascii="Arial" w:hAnsi="Arial" w:cs="Arial"/>
          <w:color w:val="595959" w:themeColor="text1" w:themeTint="A6"/>
        </w:rPr>
      </w:pPr>
      <w:bookmarkStart w:id="485" w:name="_Toc34208474"/>
      <w:r w:rsidRPr="004E06B5">
        <w:rPr>
          <w:rFonts w:ascii="Arial" w:hAnsi="Arial" w:cs="Arial"/>
          <w:color w:val="595959" w:themeColor="text1" w:themeTint="A6"/>
        </w:rPr>
        <w:t>5.4 Discussion</w:t>
      </w:r>
      <w:bookmarkEnd w:id="485"/>
    </w:p>
    <w:p w14:paraId="2F46B8BB" w14:textId="77777777" w:rsidR="004E06B5" w:rsidRPr="004E06B5" w:rsidRDefault="004E06B5" w:rsidP="004E06B5">
      <w:pPr>
        <w:tabs>
          <w:tab w:val="left" w:pos="1058"/>
        </w:tabs>
        <w:rPr>
          <w:rFonts w:ascii="Arial" w:hAnsi="Arial" w:cs="Arial"/>
          <w:color w:val="595959" w:themeColor="text1" w:themeTint="A6"/>
        </w:rPr>
      </w:pPr>
    </w:p>
    <w:p w14:paraId="47299A1A" w14:textId="65593B19" w:rsidR="004E06B5" w:rsidRPr="004E06B5" w:rsidRDefault="004E06B5" w:rsidP="004E06B5">
      <w:pPr>
        <w:spacing w:line="480" w:lineRule="auto"/>
        <w:jc w:val="both"/>
        <w:rPr>
          <w:rFonts w:ascii="Arial" w:hAnsi="Arial" w:cs="Arial"/>
          <w:color w:val="595959" w:themeColor="text1" w:themeTint="A6"/>
        </w:rPr>
      </w:pPr>
      <w:r w:rsidRPr="004E06B5">
        <w:rPr>
          <w:rFonts w:ascii="Arial" w:hAnsi="Arial" w:cs="Arial"/>
          <w:color w:val="595959" w:themeColor="text1" w:themeTint="A6"/>
        </w:rPr>
        <w:t xml:space="preserve">Tumours are characterised by the disordered structure of ECM and unregulated cancer cell growth. Cancer cells have the ability to interact in a paracrine fashion as well as with ECM components (Lee </w:t>
      </w:r>
      <w:r w:rsidRPr="004E06B5">
        <w:rPr>
          <w:rFonts w:ascii="Arial" w:hAnsi="Arial" w:cs="Arial"/>
          <w:i/>
          <w:color w:val="595959" w:themeColor="text1" w:themeTint="A6"/>
        </w:rPr>
        <w:t>et al.</w:t>
      </w:r>
      <w:r w:rsidRPr="004E06B5">
        <w:rPr>
          <w:rFonts w:ascii="Arial" w:hAnsi="Arial" w:cs="Arial"/>
          <w:color w:val="595959" w:themeColor="text1" w:themeTint="A6"/>
        </w:rPr>
        <w:t xml:space="preserve"> 2007). Currently, there is a lack of suitable 3D tissue-engineered approaches that mimic complex tumour cell: ECM interactions that may dictate the way OSCC progresses. This </w:t>
      </w:r>
      <w:r w:rsidR="00CA71DF">
        <w:rPr>
          <w:rFonts w:ascii="Arial" w:hAnsi="Arial" w:cs="Arial"/>
          <w:color w:val="595959" w:themeColor="text1" w:themeTint="A6"/>
        </w:rPr>
        <w:t>chapter</w:t>
      </w:r>
      <w:r w:rsidRPr="004E06B5">
        <w:rPr>
          <w:rFonts w:ascii="Arial" w:hAnsi="Arial" w:cs="Arial"/>
          <w:color w:val="595959" w:themeColor="text1" w:themeTint="A6"/>
        </w:rPr>
        <w:t xml:space="preserve"> has described </w:t>
      </w:r>
      <w:r w:rsidR="00263151">
        <w:rPr>
          <w:rFonts w:ascii="Arial" w:hAnsi="Arial" w:cs="Arial"/>
          <w:color w:val="595959" w:themeColor="text1" w:themeTint="A6"/>
        </w:rPr>
        <w:t>n</w:t>
      </w:r>
      <w:r w:rsidRPr="004E06B5">
        <w:rPr>
          <w:rFonts w:ascii="Arial" w:hAnsi="Arial" w:cs="Arial"/>
          <w:color w:val="595959" w:themeColor="text1" w:themeTint="A6"/>
        </w:rPr>
        <w:t>ovel methodolog</w:t>
      </w:r>
      <w:r w:rsidR="00263151">
        <w:rPr>
          <w:rFonts w:ascii="Arial" w:hAnsi="Arial" w:cs="Arial"/>
          <w:color w:val="595959" w:themeColor="text1" w:themeTint="A6"/>
        </w:rPr>
        <w:t>ies</w:t>
      </w:r>
      <w:r w:rsidRPr="004E06B5">
        <w:rPr>
          <w:rFonts w:ascii="Arial" w:hAnsi="Arial" w:cs="Arial"/>
          <w:color w:val="595959" w:themeColor="text1" w:themeTint="A6"/>
        </w:rPr>
        <w:t xml:space="preserve"> for developing full thickness oral mucosa models that are representative of normal oral tissue, atypical oral mucosa, and OSCC by culturing stable immortalised buccal keratinocytes; FNB6 and oral cancer cells; H357 with the established 28-day fibroblast-derived matrices previously</w:t>
      </w:r>
      <w:r w:rsidR="00263151">
        <w:rPr>
          <w:rFonts w:ascii="Arial" w:hAnsi="Arial" w:cs="Arial"/>
          <w:color w:val="595959" w:themeColor="text1" w:themeTint="A6"/>
        </w:rPr>
        <w:t xml:space="preserve"> developed</w:t>
      </w:r>
      <w:r w:rsidRPr="004E06B5">
        <w:rPr>
          <w:rFonts w:ascii="Arial" w:hAnsi="Arial" w:cs="Arial"/>
          <w:color w:val="595959" w:themeColor="text1" w:themeTint="A6"/>
        </w:rPr>
        <w:t xml:space="preserve"> </w:t>
      </w:r>
      <w:r w:rsidR="00F42861">
        <w:rPr>
          <w:rFonts w:ascii="Arial" w:hAnsi="Arial" w:cs="Arial"/>
          <w:color w:val="595959" w:themeColor="text1" w:themeTint="A6"/>
        </w:rPr>
        <w:t xml:space="preserve">in </w:t>
      </w:r>
      <w:r w:rsidR="00E70E07">
        <w:rPr>
          <w:rFonts w:ascii="Arial" w:hAnsi="Arial" w:cs="Arial"/>
          <w:color w:val="595959" w:themeColor="text1" w:themeTint="A6"/>
        </w:rPr>
        <w:t>chapter 4</w:t>
      </w:r>
      <w:r w:rsidRPr="004E06B5">
        <w:rPr>
          <w:rFonts w:ascii="Arial" w:hAnsi="Arial" w:cs="Arial"/>
          <w:color w:val="595959" w:themeColor="text1" w:themeTint="A6"/>
        </w:rPr>
        <w:t>. By providing appropriate</w:t>
      </w:r>
      <w:r w:rsidR="001F08DF">
        <w:rPr>
          <w:rFonts w:ascii="Arial" w:hAnsi="Arial" w:cs="Arial"/>
          <w:color w:val="595959" w:themeColor="text1" w:themeTint="A6"/>
        </w:rPr>
        <w:t xml:space="preserve"> </w:t>
      </w:r>
      <w:r w:rsidRPr="004E06B5">
        <w:rPr>
          <w:rFonts w:ascii="Arial" w:hAnsi="Arial" w:cs="Arial"/>
          <w:color w:val="595959" w:themeColor="text1" w:themeTint="A6"/>
        </w:rPr>
        <w:t>conditions, i</w:t>
      </w:r>
      <w:r w:rsidR="008D686E">
        <w:rPr>
          <w:rFonts w:ascii="Arial" w:hAnsi="Arial" w:cs="Arial"/>
          <w:color w:val="595959" w:themeColor="text1" w:themeTint="A6"/>
        </w:rPr>
        <w:t xml:space="preserve">s </w:t>
      </w:r>
      <w:r w:rsidR="00321726">
        <w:rPr>
          <w:rFonts w:ascii="Arial" w:hAnsi="Arial" w:cs="Arial"/>
          <w:color w:val="595959" w:themeColor="text1" w:themeTint="A6"/>
        </w:rPr>
        <w:t xml:space="preserve">has been </w:t>
      </w:r>
      <w:r w:rsidRPr="004E06B5">
        <w:rPr>
          <w:rFonts w:ascii="Arial" w:hAnsi="Arial" w:cs="Arial"/>
          <w:color w:val="595959" w:themeColor="text1" w:themeTint="A6"/>
        </w:rPr>
        <w:t xml:space="preserve">possible to replicate some of the </w:t>
      </w:r>
      <w:r w:rsidRPr="004E06B5">
        <w:rPr>
          <w:rFonts w:ascii="Arial" w:hAnsi="Arial" w:cs="Arial"/>
          <w:i/>
          <w:color w:val="595959" w:themeColor="text1" w:themeTint="A6"/>
        </w:rPr>
        <w:t>in vivo</w:t>
      </w:r>
      <w:r w:rsidRPr="004E06B5">
        <w:rPr>
          <w:rFonts w:ascii="Arial" w:hAnsi="Arial" w:cs="Arial"/>
          <w:color w:val="595959" w:themeColor="text1" w:themeTint="A6"/>
        </w:rPr>
        <w:t xml:space="preserve"> cell-cell and cell-ECM interactions resulting in </w:t>
      </w:r>
      <w:r w:rsidR="008D2DA5">
        <w:rPr>
          <w:rFonts w:ascii="Arial" w:hAnsi="Arial" w:cs="Arial"/>
          <w:color w:val="595959" w:themeColor="text1" w:themeTint="A6"/>
        </w:rPr>
        <w:t xml:space="preserve">novel </w:t>
      </w:r>
      <w:r w:rsidRPr="004E06B5">
        <w:rPr>
          <w:rFonts w:ascii="Arial" w:hAnsi="Arial" w:cs="Arial"/>
          <w:color w:val="595959" w:themeColor="text1" w:themeTint="A6"/>
        </w:rPr>
        <w:t xml:space="preserve">full thickness oral mucosa equivalent models. </w:t>
      </w:r>
    </w:p>
    <w:p w14:paraId="2209ABD1" w14:textId="08E9BD53" w:rsidR="004E06B5" w:rsidRPr="004E06B5" w:rsidRDefault="008D3D89" w:rsidP="004E06B5">
      <w:pPr>
        <w:spacing w:line="480" w:lineRule="auto"/>
        <w:jc w:val="both"/>
        <w:rPr>
          <w:rFonts w:ascii="Arial" w:hAnsi="Arial" w:cs="Arial"/>
          <w:color w:val="595959" w:themeColor="text1" w:themeTint="A6"/>
        </w:rPr>
      </w:pPr>
      <w:r>
        <w:rPr>
          <w:rFonts w:ascii="Arial" w:hAnsi="Arial" w:cs="Arial"/>
          <w:color w:val="595959" w:themeColor="text1" w:themeTint="A6"/>
        </w:rPr>
        <w:t>The g</w:t>
      </w:r>
      <w:r w:rsidR="004E06B5" w:rsidRPr="004E06B5">
        <w:rPr>
          <w:rFonts w:ascii="Arial" w:hAnsi="Arial" w:cs="Arial"/>
          <w:color w:val="595959" w:themeColor="text1" w:themeTint="A6"/>
        </w:rPr>
        <w:t>old standard for the construction of tissue-engineered oral mucosa models</w:t>
      </w:r>
      <w:r>
        <w:rPr>
          <w:rFonts w:ascii="Arial" w:hAnsi="Arial" w:cs="Arial"/>
          <w:color w:val="595959" w:themeColor="text1" w:themeTint="A6"/>
        </w:rPr>
        <w:t xml:space="preserve"> has utilised</w:t>
      </w:r>
      <w:r w:rsidR="004E06B5" w:rsidRPr="004E06B5">
        <w:rPr>
          <w:rFonts w:ascii="Arial" w:hAnsi="Arial" w:cs="Arial"/>
          <w:color w:val="595959" w:themeColor="text1" w:themeTint="A6"/>
        </w:rPr>
        <w:t xml:space="preserve"> primary oral keratinocytes and </w:t>
      </w:r>
      <w:r>
        <w:rPr>
          <w:rFonts w:ascii="Arial" w:hAnsi="Arial" w:cs="Arial"/>
          <w:color w:val="595959" w:themeColor="text1" w:themeTint="A6"/>
        </w:rPr>
        <w:t xml:space="preserve">cultured on top of </w:t>
      </w:r>
      <w:r w:rsidR="004E06B5" w:rsidRPr="004E06B5">
        <w:rPr>
          <w:rFonts w:ascii="Arial" w:hAnsi="Arial" w:cs="Arial"/>
          <w:color w:val="595959" w:themeColor="text1" w:themeTint="A6"/>
        </w:rPr>
        <w:t xml:space="preserve">primary fibroblast-embedded collagen </w:t>
      </w:r>
      <w:r w:rsidR="00447034">
        <w:rPr>
          <w:rFonts w:ascii="Arial" w:hAnsi="Arial" w:cs="Arial"/>
          <w:color w:val="595959" w:themeColor="text1" w:themeTint="A6"/>
        </w:rPr>
        <w:t>and</w:t>
      </w:r>
      <w:r w:rsidR="004E06B5" w:rsidRPr="004E06B5">
        <w:rPr>
          <w:rFonts w:ascii="Arial" w:hAnsi="Arial" w:cs="Arial"/>
          <w:color w:val="595959" w:themeColor="text1" w:themeTint="A6"/>
        </w:rPr>
        <w:t xml:space="preserve"> has been shown to be physiologically and histologically comparable to native oral mucosa (Yamada and Cukierman, 2007; Griffith and Swartz, 2006). However, there are disadvantages to using this methodology to analyse ECM</w:t>
      </w:r>
      <w:r w:rsidR="00447034">
        <w:rPr>
          <w:rFonts w:ascii="Arial" w:hAnsi="Arial" w:cs="Arial"/>
          <w:color w:val="595959" w:themeColor="text1" w:themeTint="A6"/>
        </w:rPr>
        <w:t xml:space="preserve"> and</w:t>
      </w:r>
      <w:r w:rsidR="004E06B5" w:rsidRPr="004E06B5">
        <w:rPr>
          <w:rFonts w:ascii="Arial" w:hAnsi="Arial" w:cs="Arial"/>
          <w:color w:val="595959" w:themeColor="text1" w:themeTint="A6"/>
        </w:rPr>
        <w:t xml:space="preserve"> OSCC interactions. The collagen scaffold is </w:t>
      </w:r>
      <w:r w:rsidR="00447034">
        <w:rPr>
          <w:rFonts w:ascii="Arial" w:hAnsi="Arial" w:cs="Arial"/>
          <w:color w:val="595959" w:themeColor="text1" w:themeTint="A6"/>
        </w:rPr>
        <w:t>typically derived from anima</w:t>
      </w:r>
      <w:r w:rsidR="006C38B4">
        <w:rPr>
          <w:rFonts w:ascii="Arial" w:hAnsi="Arial" w:cs="Arial"/>
          <w:color w:val="595959" w:themeColor="text1" w:themeTint="A6"/>
        </w:rPr>
        <w:t xml:space="preserve">ls </w:t>
      </w:r>
      <w:r w:rsidR="004E06B5" w:rsidRPr="004E06B5">
        <w:rPr>
          <w:rFonts w:ascii="Arial" w:hAnsi="Arial" w:cs="Arial"/>
          <w:color w:val="595959" w:themeColor="text1" w:themeTint="A6"/>
        </w:rPr>
        <w:t xml:space="preserve">and therefore does not possess the human ECM </w:t>
      </w:r>
      <w:r w:rsidR="007F5C11">
        <w:rPr>
          <w:rFonts w:ascii="Arial" w:hAnsi="Arial" w:cs="Arial"/>
          <w:color w:val="595959" w:themeColor="text1" w:themeTint="A6"/>
        </w:rPr>
        <w:t>frame</w:t>
      </w:r>
      <w:r w:rsidR="004E06B5" w:rsidRPr="004E06B5">
        <w:rPr>
          <w:rFonts w:ascii="Arial" w:hAnsi="Arial" w:cs="Arial"/>
          <w:color w:val="595959" w:themeColor="text1" w:themeTint="A6"/>
        </w:rPr>
        <w:t xml:space="preserve">work. Primary keratinocytes are not always </w:t>
      </w:r>
      <w:r w:rsidR="00B322B5">
        <w:rPr>
          <w:rFonts w:ascii="Arial" w:hAnsi="Arial" w:cs="Arial"/>
          <w:color w:val="595959" w:themeColor="text1" w:themeTint="A6"/>
        </w:rPr>
        <w:t>available</w:t>
      </w:r>
      <w:r w:rsidR="003B1983">
        <w:rPr>
          <w:rFonts w:ascii="Arial" w:hAnsi="Arial" w:cs="Arial"/>
          <w:color w:val="595959" w:themeColor="text1" w:themeTint="A6"/>
        </w:rPr>
        <w:t xml:space="preserve">, as often tissue </w:t>
      </w:r>
      <w:r w:rsidR="004E06B5" w:rsidRPr="004E06B5">
        <w:rPr>
          <w:rFonts w:ascii="Arial" w:hAnsi="Arial" w:cs="Arial"/>
          <w:color w:val="595959" w:themeColor="text1" w:themeTint="A6"/>
        </w:rPr>
        <w:t>biopsies are in limited supply. Generating suitable cultures also requires large numbers of cells, which have limite</w:t>
      </w:r>
      <w:r w:rsidR="00410812">
        <w:rPr>
          <w:rFonts w:ascii="Arial" w:hAnsi="Arial" w:cs="Arial"/>
          <w:color w:val="595959" w:themeColor="text1" w:themeTint="A6"/>
        </w:rPr>
        <w:t xml:space="preserve">d proliferative capabilities </w:t>
      </w:r>
      <w:r w:rsidR="004E06B5" w:rsidRPr="004E06B5">
        <w:rPr>
          <w:rFonts w:ascii="Arial" w:hAnsi="Arial" w:cs="Arial"/>
          <w:color w:val="595959" w:themeColor="text1" w:themeTint="A6"/>
        </w:rPr>
        <w:t>and often exhibit patient-to-patient heterogeneity (DongariBagtzoglou and Kashleva, 2006). To counteract these drawbacks</w:t>
      </w:r>
      <w:r w:rsidR="001400CA">
        <w:rPr>
          <w:rFonts w:ascii="Arial" w:hAnsi="Arial" w:cs="Arial"/>
          <w:color w:val="595959" w:themeColor="text1" w:themeTint="A6"/>
        </w:rPr>
        <w:t xml:space="preserve">, </w:t>
      </w:r>
      <w:r w:rsidR="004E06B5" w:rsidRPr="004E06B5">
        <w:rPr>
          <w:rFonts w:ascii="Arial" w:hAnsi="Arial" w:cs="Arial"/>
          <w:color w:val="595959" w:themeColor="text1" w:themeTint="A6"/>
        </w:rPr>
        <w:t xml:space="preserve">immortalised </w:t>
      </w:r>
      <w:r w:rsidR="001400CA">
        <w:rPr>
          <w:rFonts w:ascii="Arial" w:hAnsi="Arial" w:cs="Arial"/>
          <w:color w:val="595959" w:themeColor="text1" w:themeTint="A6"/>
        </w:rPr>
        <w:t>normal</w:t>
      </w:r>
      <w:r w:rsidR="004E06B5" w:rsidRPr="004E06B5">
        <w:rPr>
          <w:rFonts w:ascii="Arial" w:hAnsi="Arial" w:cs="Arial"/>
          <w:color w:val="595959" w:themeColor="text1" w:themeTint="A6"/>
        </w:rPr>
        <w:t xml:space="preserve"> (FNB6) </w:t>
      </w:r>
      <w:r w:rsidR="008D47F3">
        <w:rPr>
          <w:rFonts w:ascii="Arial" w:hAnsi="Arial" w:cs="Arial"/>
          <w:color w:val="595959" w:themeColor="text1" w:themeTint="A6"/>
        </w:rPr>
        <w:t xml:space="preserve">were </w:t>
      </w:r>
      <w:r w:rsidR="004E06B5" w:rsidRPr="004E06B5">
        <w:rPr>
          <w:rFonts w:ascii="Arial" w:hAnsi="Arial" w:cs="Arial"/>
          <w:color w:val="595959" w:themeColor="text1" w:themeTint="A6"/>
        </w:rPr>
        <w:t xml:space="preserve">used. These oral keratinocytes derived from healthy buccal mucosa </w:t>
      </w:r>
      <w:r w:rsidR="008D47F3">
        <w:rPr>
          <w:rFonts w:ascii="Arial" w:hAnsi="Arial" w:cs="Arial"/>
          <w:color w:val="595959" w:themeColor="text1" w:themeTint="A6"/>
        </w:rPr>
        <w:t>are</w:t>
      </w:r>
      <w:r w:rsidR="004E06B5" w:rsidRPr="004E06B5">
        <w:rPr>
          <w:rFonts w:ascii="Arial" w:hAnsi="Arial" w:cs="Arial"/>
          <w:color w:val="595959" w:themeColor="text1" w:themeTint="A6"/>
        </w:rPr>
        <w:t xml:space="preserve"> hTERT immortalised, and have the advantages of having a longer culture lifespan, reproducibility of results and are easy to culture. </w:t>
      </w:r>
    </w:p>
    <w:p w14:paraId="681138A1" w14:textId="546C5D41" w:rsidR="004E06B5" w:rsidRPr="004E06B5" w:rsidRDefault="004E06B5" w:rsidP="004E06B5">
      <w:pPr>
        <w:spacing w:line="480" w:lineRule="auto"/>
        <w:jc w:val="both"/>
        <w:rPr>
          <w:rFonts w:ascii="Arial" w:hAnsi="Arial" w:cs="Arial"/>
          <w:color w:val="595959" w:themeColor="text1" w:themeTint="A6"/>
        </w:rPr>
      </w:pPr>
      <w:r w:rsidRPr="004E06B5">
        <w:rPr>
          <w:rFonts w:ascii="Arial" w:hAnsi="Arial" w:cs="Arial"/>
          <w:color w:val="595959" w:themeColor="text1" w:themeTint="A6"/>
        </w:rPr>
        <w:t xml:space="preserve">Histological examination of the TENOM model revealed that FNB6 proliferated to produce a stratified squamous epithelium several layers thick, consistent with previously published reports </w:t>
      </w:r>
      <w:r w:rsidR="0075785E">
        <w:rPr>
          <w:rFonts w:ascii="Arial" w:hAnsi="Arial" w:cs="Arial"/>
          <w:color w:val="595959" w:themeColor="text1" w:themeTint="A6"/>
        </w:rPr>
        <w:t xml:space="preserve">(Jennings </w:t>
      </w:r>
      <w:r w:rsidR="0075785E" w:rsidRPr="0075785E">
        <w:rPr>
          <w:rFonts w:ascii="Arial" w:hAnsi="Arial" w:cs="Arial"/>
          <w:i/>
          <w:iCs/>
          <w:color w:val="595959" w:themeColor="text1" w:themeTint="A6"/>
        </w:rPr>
        <w:t>et al.,</w:t>
      </w:r>
      <w:r w:rsidR="0075785E">
        <w:rPr>
          <w:rFonts w:ascii="Arial" w:hAnsi="Arial" w:cs="Arial"/>
          <w:color w:val="595959" w:themeColor="text1" w:themeTint="A6"/>
        </w:rPr>
        <w:t xml:space="preserve"> 2016, </w:t>
      </w:r>
      <w:r w:rsidRPr="004E06B5">
        <w:rPr>
          <w:rFonts w:ascii="Arial" w:hAnsi="Arial" w:cs="Arial"/>
          <w:color w:val="595959" w:themeColor="text1" w:themeTint="A6"/>
        </w:rPr>
        <w:t xml:space="preserve">Colley </w:t>
      </w:r>
      <w:r w:rsidRPr="004E06B5">
        <w:rPr>
          <w:rFonts w:ascii="Arial" w:hAnsi="Arial" w:cs="Arial"/>
          <w:i/>
          <w:color w:val="595959" w:themeColor="text1" w:themeTint="A6"/>
        </w:rPr>
        <w:t>et al.,</w:t>
      </w:r>
      <w:r w:rsidRPr="004E06B5">
        <w:rPr>
          <w:rFonts w:ascii="Arial" w:hAnsi="Arial" w:cs="Arial"/>
          <w:color w:val="595959" w:themeColor="text1" w:themeTint="A6"/>
        </w:rPr>
        <w:t xml:space="preserve"> 2011). However,</w:t>
      </w:r>
      <w:r w:rsidR="00390484">
        <w:rPr>
          <w:rFonts w:ascii="Arial" w:hAnsi="Arial" w:cs="Arial"/>
          <w:color w:val="595959" w:themeColor="text1" w:themeTint="A6"/>
        </w:rPr>
        <w:t xml:space="preserve"> here we show for the first time that</w:t>
      </w:r>
      <w:r w:rsidRPr="004E06B5">
        <w:rPr>
          <w:rFonts w:ascii="Arial" w:hAnsi="Arial" w:cs="Arial"/>
          <w:color w:val="595959" w:themeColor="text1" w:themeTint="A6"/>
        </w:rPr>
        <w:t xml:space="preserve"> the morphology, integrity and behaviour of FNB6 alters when these cells reside on </w:t>
      </w:r>
      <w:r w:rsidR="004A2A39">
        <w:rPr>
          <w:rFonts w:ascii="Arial" w:hAnsi="Arial" w:cs="Arial"/>
          <w:color w:val="595959" w:themeColor="text1" w:themeTint="A6"/>
        </w:rPr>
        <w:t xml:space="preserve">human </w:t>
      </w:r>
      <w:r w:rsidRPr="004E06B5">
        <w:rPr>
          <w:rFonts w:ascii="Arial" w:hAnsi="Arial" w:cs="Arial"/>
          <w:color w:val="595959" w:themeColor="text1" w:themeTint="A6"/>
        </w:rPr>
        <w:t xml:space="preserve">CAF-DM. </w:t>
      </w:r>
      <w:r w:rsidR="00937552">
        <w:rPr>
          <w:rFonts w:ascii="Arial" w:hAnsi="Arial" w:cs="Arial"/>
          <w:color w:val="595959" w:themeColor="text1" w:themeTint="A6"/>
        </w:rPr>
        <w:t>Histologica</w:t>
      </w:r>
      <w:r w:rsidR="00F9089D">
        <w:rPr>
          <w:rFonts w:ascii="Arial" w:hAnsi="Arial" w:cs="Arial"/>
          <w:color w:val="595959" w:themeColor="text1" w:themeTint="A6"/>
        </w:rPr>
        <w:t>l</w:t>
      </w:r>
      <w:r w:rsidR="00937552">
        <w:rPr>
          <w:rFonts w:ascii="Arial" w:hAnsi="Arial" w:cs="Arial"/>
          <w:color w:val="595959" w:themeColor="text1" w:themeTint="A6"/>
        </w:rPr>
        <w:t xml:space="preserve"> analysis</w:t>
      </w:r>
      <w:r w:rsidR="002C3EFA">
        <w:rPr>
          <w:rFonts w:ascii="Arial" w:hAnsi="Arial" w:cs="Arial"/>
          <w:color w:val="595959" w:themeColor="text1" w:themeTint="A6"/>
        </w:rPr>
        <w:t xml:space="preserve"> of the TEAOM</w:t>
      </w:r>
      <w:r w:rsidR="00937552">
        <w:rPr>
          <w:rFonts w:ascii="Arial" w:hAnsi="Arial" w:cs="Arial"/>
          <w:color w:val="595959" w:themeColor="text1" w:themeTint="A6"/>
        </w:rPr>
        <w:t xml:space="preserve"> revealed</w:t>
      </w:r>
      <w:r w:rsidR="00F9089D">
        <w:rPr>
          <w:rFonts w:ascii="Arial" w:hAnsi="Arial" w:cs="Arial"/>
          <w:color w:val="595959" w:themeColor="text1" w:themeTint="A6"/>
        </w:rPr>
        <w:t xml:space="preserve"> that </w:t>
      </w:r>
      <w:r w:rsidRPr="004E06B5">
        <w:rPr>
          <w:rFonts w:ascii="Arial" w:hAnsi="Arial" w:cs="Arial"/>
          <w:color w:val="595959" w:themeColor="text1" w:themeTint="A6"/>
        </w:rPr>
        <w:t xml:space="preserve">morphologically there was a loss of epithelial stratification and evidence of invasion. </w:t>
      </w:r>
      <w:r w:rsidR="00C062AD">
        <w:rPr>
          <w:rFonts w:ascii="Arial" w:hAnsi="Arial" w:cs="Arial"/>
          <w:color w:val="595959" w:themeColor="text1" w:themeTint="A6"/>
        </w:rPr>
        <w:t>A</w:t>
      </w:r>
      <w:r w:rsidRPr="004E06B5">
        <w:rPr>
          <w:rFonts w:ascii="Arial" w:hAnsi="Arial" w:cs="Arial"/>
          <w:color w:val="595959" w:themeColor="text1" w:themeTint="A6"/>
        </w:rPr>
        <w:t xml:space="preserve"> lack of stratification</w:t>
      </w:r>
      <w:r w:rsidR="00FC6A96">
        <w:rPr>
          <w:rFonts w:ascii="Arial" w:hAnsi="Arial" w:cs="Arial"/>
          <w:color w:val="595959" w:themeColor="text1" w:themeTint="A6"/>
        </w:rPr>
        <w:t xml:space="preserve"> was confirmed </w:t>
      </w:r>
      <w:r w:rsidRPr="004E06B5">
        <w:rPr>
          <w:rFonts w:ascii="Arial" w:hAnsi="Arial" w:cs="Arial"/>
          <w:color w:val="595959" w:themeColor="text1" w:themeTint="A6"/>
        </w:rPr>
        <w:t xml:space="preserve">by </w:t>
      </w:r>
      <w:r w:rsidR="00FC6A96">
        <w:rPr>
          <w:rFonts w:ascii="Arial" w:hAnsi="Arial" w:cs="Arial"/>
          <w:color w:val="595959" w:themeColor="text1" w:themeTint="A6"/>
        </w:rPr>
        <w:t xml:space="preserve">TEER </w:t>
      </w:r>
      <w:r w:rsidRPr="004E06B5">
        <w:rPr>
          <w:rFonts w:ascii="Arial" w:hAnsi="Arial" w:cs="Arial"/>
          <w:color w:val="595959" w:themeColor="text1" w:themeTint="A6"/>
        </w:rPr>
        <w:t>analysis</w:t>
      </w:r>
      <w:r w:rsidR="00177E91">
        <w:rPr>
          <w:rFonts w:ascii="Arial" w:hAnsi="Arial" w:cs="Arial"/>
          <w:color w:val="595959" w:themeColor="text1" w:themeTint="A6"/>
        </w:rPr>
        <w:t xml:space="preserve">, </w:t>
      </w:r>
      <w:r w:rsidRPr="004E06B5">
        <w:rPr>
          <w:rFonts w:ascii="Arial" w:hAnsi="Arial" w:cs="Arial"/>
          <w:color w:val="595959" w:themeColor="text1" w:themeTint="A6"/>
        </w:rPr>
        <w:t xml:space="preserve">where there was a loss in tissue resistance compared with the TENOM model; which is indicative of a reduction in the basolateral compartmentalisation of the epithelium. CAF </w:t>
      </w:r>
      <w:r w:rsidR="00AC1D51">
        <w:rPr>
          <w:rFonts w:ascii="Arial" w:hAnsi="Arial" w:cs="Arial"/>
          <w:color w:val="595959" w:themeColor="text1" w:themeTint="A6"/>
        </w:rPr>
        <w:t xml:space="preserve">morphology </w:t>
      </w:r>
      <w:r w:rsidR="004F780F">
        <w:rPr>
          <w:rFonts w:ascii="Arial" w:hAnsi="Arial" w:cs="Arial"/>
          <w:color w:val="595959" w:themeColor="text1" w:themeTint="A6"/>
        </w:rPr>
        <w:t xml:space="preserve">was </w:t>
      </w:r>
      <w:r w:rsidR="00177E91">
        <w:rPr>
          <w:rFonts w:ascii="Arial" w:hAnsi="Arial" w:cs="Arial"/>
          <w:color w:val="595959" w:themeColor="text1" w:themeTint="A6"/>
        </w:rPr>
        <w:t>observed</w:t>
      </w:r>
      <w:r w:rsidR="004F780F">
        <w:rPr>
          <w:rFonts w:ascii="Arial" w:hAnsi="Arial" w:cs="Arial"/>
          <w:color w:val="595959" w:themeColor="text1" w:themeTint="A6"/>
        </w:rPr>
        <w:t xml:space="preserve"> to be altered when they were in contact </w:t>
      </w:r>
      <w:r w:rsidRPr="004E06B5">
        <w:rPr>
          <w:rFonts w:ascii="Arial" w:hAnsi="Arial" w:cs="Arial"/>
          <w:color w:val="595959" w:themeColor="text1" w:themeTint="A6"/>
        </w:rPr>
        <w:t>with the epithelium above; appear</w:t>
      </w:r>
      <w:r w:rsidR="00C702B7">
        <w:rPr>
          <w:rFonts w:ascii="Arial" w:hAnsi="Arial" w:cs="Arial"/>
          <w:color w:val="595959" w:themeColor="text1" w:themeTint="A6"/>
        </w:rPr>
        <w:t>ing</w:t>
      </w:r>
      <w:r w:rsidRPr="004E06B5">
        <w:rPr>
          <w:rFonts w:ascii="Arial" w:hAnsi="Arial" w:cs="Arial"/>
          <w:color w:val="595959" w:themeColor="text1" w:themeTint="A6"/>
        </w:rPr>
        <w:t xml:space="preserve"> more flattened and exhibit</w:t>
      </w:r>
      <w:r w:rsidR="00C702B7">
        <w:rPr>
          <w:rFonts w:ascii="Arial" w:hAnsi="Arial" w:cs="Arial"/>
          <w:color w:val="595959" w:themeColor="text1" w:themeTint="A6"/>
        </w:rPr>
        <w:t>ing an</w:t>
      </w:r>
      <w:r w:rsidRPr="004E06B5">
        <w:rPr>
          <w:rFonts w:ascii="Arial" w:hAnsi="Arial" w:cs="Arial"/>
          <w:color w:val="595959" w:themeColor="text1" w:themeTint="A6"/>
        </w:rPr>
        <w:t xml:space="preserve"> elliptical shaped nuclei which is evidence of a more migratory phenotype such as the phenotype found in wound healing an</w:t>
      </w:r>
      <w:r w:rsidR="005E0A72">
        <w:rPr>
          <w:rFonts w:ascii="Arial" w:hAnsi="Arial" w:cs="Arial"/>
          <w:color w:val="595959" w:themeColor="text1" w:themeTint="A6"/>
        </w:rPr>
        <w:t>d in</w:t>
      </w:r>
      <w:r w:rsidRPr="004E06B5">
        <w:rPr>
          <w:rFonts w:ascii="Arial" w:hAnsi="Arial" w:cs="Arial"/>
          <w:color w:val="595959" w:themeColor="text1" w:themeTint="A6"/>
        </w:rPr>
        <w:t xml:space="preserve"> CAF observed </w:t>
      </w:r>
      <w:r w:rsidR="005E0A72">
        <w:rPr>
          <w:rFonts w:ascii="Arial" w:hAnsi="Arial" w:cs="Arial"/>
          <w:color w:val="595959" w:themeColor="text1" w:themeTint="A6"/>
        </w:rPr>
        <w:t>in</w:t>
      </w:r>
      <w:r w:rsidRPr="004E06B5">
        <w:rPr>
          <w:rFonts w:ascii="Arial" w:hAnsi="Arial" w:cs="Arial"/>
          <w:color w:val="595959" w:themeColor="text1" w:themeTint="A6"/>
        </w:rPr>
        <w:t xml:space="preserve"> peritumour aggregates (Karagiannis </w:t>
      </w:r>
      <w:r w:rsidRPr="004E06B5">
        <w:rPr>
          <w:rFonts w:ascii="Arial" w:hAnsi="Arial" w:cs="Arial"/>
          <w:i/>
          <w:color w:val="595959" w:themeColor="text1" w:themeTint="A6"/>
        </w:rPr>
        <w:t>et al.,</w:t>
      </w:r>
      <w:r w:rsidRPr="004E06B5">
        <w:rPr>
          <w:rFonts w:ascii="Arial" w:hAnsi="Arial" w:cs="Arial"/>
          <w:color w:val="595959" w:themeColor="text1" w:themeTint="A6"/>
        </w:rPr>
        <w:t xml:space="preserve"> 2012). The generation of an OSCC model was achieved by add</w:t>
      </w:r>
      <w:r w:rsidR="00CA3AD4">
        <w:rPr>
          <w:rFonts w:ascii="Arial" w:hAnsi="Arial" w:cs="Arial"/>
          <w:color w:val="595959" w:themeColor="text1" w:themeTint="A6"/>
        </w:rPr>
        <w:t>ing</w:t>
      </w:r>
      <w:r w:rsidRPr="004E06B5">
        <w:rPr>
          <w:rFonts w:ascii="Arial" w:hAnsi="Arial" w:cs="Arial"/>
          <w:color w:val="595959" w:themeColor="text1" w:themeTint="A6"/>
        </w:rPr>
        <w:t xml:space="preserve"> H357 onto CAF-DM, which contained features representative of oral carcinoma </w:t>
      </w:r>
      <w:r w:rsidRPr="004E06B5">
        <w:rPr>
          <w:rFonts w:ascii="Arial" w:hAnsi="Arial" w:cs="Arial"/>
          <w:i/>
          <w:iCs/>
          <w:color w:val="595959" w:themeColor="text1" w:themeTint="A6"/>
        </w:rPr>
        <w:t>in vi</w:t>
      </w:r>
      <w:r w:rsidR="00A14B0C">
        <w:rPr>
          <w:rFonts w:ascii="Arial" w:hAnsi="Arial" w:cs="Arial"/>
          <w:i/>
          <w:iCs/>
          <w:color w:val="595959" w:themeColor="text1" w:themeTint="A6"/>
        </w:rPr>
        <w:t>v</w:t>
      </w:r>
      <w:r w:rsidRPr="004E06B5">
        <w:rPr>
          <w:rFonts w:ascii="Arial" w:hAnsi="Arial" w:cs="Arial"/>
          <w:i/>
          <w:iCs/>
          <w:color w:val="595959" w:themeColor="text1" w:themeTint="A6"/>
        </w:rPr>
        <w:t>o</w:t>
      </w:r>
      <w:r w:rsidRPr="004E06B5">
        <w:rPr>
          <w:rFonts w:ascii="Arial" w:hAnsi="Arial" w:cs="Arial"/>
          <w:color w:val="595959" w:themeColor="text1" w:themeTint="A6"/>
        </w:rPr>
        <w:t xml:space="preserve">. H357 invaded through the ECM meshwork, and there was little to no evidence of epithelial stratification. This invasion is in part the result of interactions with CAF residing within the matrix layers below. This is in agreement to what </w:t>
      </w:r>
      <w:r w:rsidR="00F436F1">
        <w:rPr>
          <w:rFonts w:ascii="Arial" w:hAnsi="Arial" w:cs="Arial"/>
          <w:color w:val="595959" w:themeColor="text1" w:themeTint="A6"/>
        </w:rPr>
        <w:t xml:space="preserve">was observed </w:t>
      </w:r>
      <w:r w:rsidRPr="004E06B5">
        <w:rPr>
          <w:rFonts w:ascii="Arial" w:hAnsi="Arial" w:cs="Arial"/>
          <w:color w:val="595959" w:themeColor="text1" w:themeTint="A6"/>
        </w:rPr>
        <w:t xml:space="preserve">by </w:t>
      </w:r>
      <w:r w:rsidRPr="004E06B5">
        <w:rPr>
          <w:rFonts w:ascii="Arial" w:hAnsi="Arial" w:cs="Arial"/>
          <w:i/>
          <w:color w:val="595959" w:themeColor="text1" w:themeTint="A6"/>
        </w:rPr>
        <w:t>Marsh et al., 2011</w:t>
      </w:r>
      <w:r w:rsidRPr="004E06B5">
        <w:rPr>
          <w:rFonts w:ascii="Arial" w:hAnsi="Arial" w:cs="Arial"/>
          <w:color w:val="595959" w:themeColor="text1" w:themeTint="A6"/>
        </w:rPr>
        <w:t xml:space="preserve">; where, </w:t>
      </w:r>
      <w:r w:rsidR="00957259">
        <w:rPr>
          <w:rFonts w:ascii="Arial" w:hAnsi="Arial" w:cs="Arial"/>
          <w:color w:val="595959" w:themeColor="text1" w:themeTint="A6"/>
        </w:rPr>
        <w:t xml:space="preserve">in a simpler </w:t>
      </w:r>
      <w:r w:rsidRPr="004E06B5">
        <w:rPr>
          <w:rFonts w:ascii="Arial" w:hAnsi="Arial" w:cs="Arial"/>
          <w:color w:val="595959" w:themeColor="text1" w:themeTint="A6"/>
        </w:rPr>
        <w:t>collagen-based model</w:t>
      </w:r>
      <w:r w:rsidR="00957259">
        <w:rPr>
          <w:rFonts w:ascii="Arial" w:hAnsi="Arial" w:cs="Arial"/>
          <w:color w:val="595959" w:themeColor="text1" w:themeTint="A6"/>
        </w:rPr>
        <w:t xml:space="preserve"> </w:t>
      </w:r>
      <w:r w:rsidRPr="004E06B5">
        <w:rPr>
          <w:rFonts w:ascii="Arial" w:hAnsi="Arial" w:cs="Arial"/>
          <w:color w:val="595959" w:themeColor="text1" w:themeTint="A6"/>
        </w:rPr>
        <w:t xml:space="preserve">increased invasion of OSCC cells was observed in the presence of CAF. </w:t>
      </w:r>
    </w:p>
    <w:p w14:paraId="77B6722B" w14:textId="7DA2A3F5" w:rsidR="004E06B5" w:rsidRPr="004E06B5" w:rsidRDefault="000D3206" w:rsidP="004E06B5">
      <w:pPr>
        <w:spacing w:line="480" w:lineRule="auto"/>
        <w:jc w:val="both"/>
        <w:rPr>
          <w:rFonts w:ascii="Arial" w:hAnsi="Arial" w:cs="Arial"/>
          <w:color w:val="595959" w:themeColor="text1" w:themeTint="A6"/>
        </w:rPr>
      </w:pPr>
      <w:r>
        <w:rPr>
          <w:rFonts w:ascii="Arial" w:hAnsi="Arial" w:cs="Arial"/>
          <w:color w:val="595959" w:themeColor="text1" w:themeTint="A6"/>
        </w:rPr>
        <w:t>Further to diagnostic use, i</w:t>
      </w:r>
      <w:r w:rsidR="004E06B5" w:rsidRPr="004E06B5">
        <w:rPr>
          <w:rFonts w:ascii="Arial" w:hAnsi="Arial" w:cs="Arial"/>
          <w:color w:val="595959" w:themeColor="text1" w:themeTint="A6"/>
        </w:rPr>
        <w:t xml:space="preserve">mmunohistochemical markers show great potential for helping to predict prognostic outcomes and response to therapy; even in early tumour development (Bancroft, 2002). Therefore, </w:t>
      </w:r>
      <w:r w:rsidR="008810FE">
        <w:rPr>
          <w:rFonts w:ascii="Arial" w:hAnsi="Arial" w:cs="Arial"/>
          <w:color w:val="595959" w:themeColor="text1" w:themeTint="A6"/>
        </w:rPr>
        <w:t>in this study</w:t>
      </w:r>
      <w:r w:rsidR="00855249">
        <w:rPr>
          <w:rFonts w:ascii="Arial" w:hAnsi="Arial" w:cs="Arial"/>
          <w:color w:val="595959" w:themeColor="text1" w:themeTint="A6"/>
        </w:rPr>
        <w:t>,</w:t>
      </w:r>
      <w:r w:rsidR="008810FE">
        <w:rPr>
          <w:rFonts w:ascii="Arial" w:hAnsi="Arial" w:cs="Arial"/>
          <w:color w:val="595959" w:themeColor="text1" w:themeTint="A6"/>
        </w:rPr>
        <w:t xml:space="preserve"> a number of common </w:t>
      </w:r>
      <w:r w:rsidR="004E06B5" w:rsidRPr="004E06B5">
        <w:rPr>
          <w:rFonts w:ascii="Arial" w:hAnsi="Arial" w:cs="Arial"/>
          <w:color w:val="595959" w:themeColor="text1" w:themeTint="A6"/>
        </w:rPr>
        <w:t xml:space="preserve">markers </w:t>
      </w:r>
      <w:r w:rsidR="008810FE">
        <w:rPr>
          <w:rFonts w:ascii="Arial" w:hAnsi="Arial" w:cs="Arial"/>
          <w:color w:val="595959" w:themeColor="text1" w:themeTint="A6"/>
        </w:rPr>
        <w:t xml:space="preserve">known for </w:t>
      </w:r>
      <w:r w:rsidR="004E06B5" w:rsidRPr="004E06B5">
        <w:rPr>
          <w:rFonts w:ascii="Arial" w:hAnsi="Arial" w:cs="Arial"/>
          <w:color w:val="595959" w:themeColor="text1" w:themeTint="A6"/>
        </w:rPr>
        <w:t>detecting changes in oral cancer malignancy were assesse</w:t>
      </w:r>
      <w:r w:rsidR="00256E32">
        <w:rPr>
          <w:rFonts w:ascii="Arial" w:hAnsi="Arial" w:cs="Arial"/>
          <w:color w:val="595959" w:themeColor="text1" w:themeTint="A6"/>
        </w:rPr>
        <w:t>d</w:t>
      </w:r>
      <w:r w:rsidR="004E06B5" w:rsidRPr="004E06B5">
        <w:rPr>
          <w:rFonts w:ascii="Arial" w:hAnsi="Arial" w:cs="Arial"/>
          <w:color w:val="595959" w:themeColor="text1" w:themeTint="A6"/>
        </w:rPr>
        <w:t xml:space="preserve">. </w:t>
      </w:r>
      <w:bookmarkStart w:id="486" w:name="_Hlk529792823"/>
      <w:r w:rsidR="004E06B5" w:rsidRPr="00A1116E">
        <w:rPr>
          <w:rFonts w:ascii="Arial" w:hAnsi="Arial" w:cs="Arial"/>
          <w:color w:val="595959" w:themeColor="text1" w:themeTint="A6"/>
        </w:rPr>
        <w:t>Comparisons between epithelial, ECM and basal cell markers revealed considerable reorganisation of the epithelium and deposition of fibrillar stroma in the</w:t>
      </w:r>
      <w:r w:rsidR="00E46EAD" w:rsidRPr="00A1116E">
        <w:rPr>
          <w:rFonts w:ascii="Arial" w:hAnsi="Arial" w:cs="Arial"/>
          <w:color w:val="595959" w:themeColor="text1" w:themeTint="A6"/>
        </w:rPr>
        <w:t>se</w:t>
      </w:r>
      <w:r w:rsidR="004E06B5" w:rsidRPr="00A1116E">
        <w:rPr>
          <w:rFonts w:ascii="Arial" w:hAnsi="Arial" w:cs="Arial"/>
          <w:color w:val="595959" w:themeColor="text1" w:themeTint="A6"/>
        </w:rPr>
        <w:t xml:space="preserve"> TEOM models</w:t>
      </w:r>
      <w:bookmarkEnd w:id="486"/>
      <w:r w:rsidR="00CA3AD4">
        <w:rPr>
          <w:rFonts w:ascii="Arial" w:hAnsi="Arial" w:cs="Arial"/>
          <w:color w:val="595959" w:themeColor="text1" w:themeTint="A6"/>
        </w:rPr>
        <w:t>.</w:t>
      </w:r>
      <w:r w:rsidR="00FA205C">
        <w:rPr>
          <w:rFonts w:ascii="Arial" w:hAnsi="Arial" w:cs="Arial"/>
          <w:color w:val="FF0000"/>
        </w:rPr>
        <w:t xml:space="preserve"> </w:t>
      </w:r>
      <w:r w:rsidR="004E06B5" w:rsidRPr="003D0A6E">
        <w:rPr>
          <w:rFonts w:ascii="Arial" w:hAnsi="Arial" w:cs="Arial"/>
          <w:color w:val="595959" w:themeColor="text1" w:themeTint="A6"/>
        </w:rPr>
        <w:t>In OSCC, focal or extensive loss of basement membrane components and of integrins has been reported</w:t>
      </w:r>
      <w:r w:rsidR="003D0A6E">
        <w:rPr>
          <w:rFonts w:ascii="Arial" w:hAnsi="Arial" w:cs="Arial"/>
          <w:color w:val="595959" w:themeColor="text1" w:themeTint="A6"/>
        </w:rPr>
        <w:t xml:space="preserve"> (Thomas </w:t>
      </w:r>
      <w:r w:rsidR="003D0A6E" w:rsidRPr="003D0A6E">
        <w:rPr>
          <w:rFonts w:ascii="Arial" w:hAnsi="Arial" w:cs="Arial"/>
          <w:i/>
          <w:iCs/>
          <w:color w:val="595959" w:themeColor="text1" w:themeTint="A6"/>
        </w:rPr>
        <w:t xml:space="preserve">et al., </w:t>
      </w:r>
      <w:r w:rsidR="003D0A6E">
        <w:rPr>
          <w:rFonts w:ascii="Arial" w:hAnsi="Arial" w:cs="Arial"/>
          <w:color w:val="595959" w:themeColor="text1" w:themeTint="A6"/>
        </w:rPr>
        <w:t>2017)</w:t>
      </w:r>
      <w:r w:rsidR="004E06B5" w:rsidRPr="003D0A6E">
        <w:rPr>
          <w:rFonts w:ascii="Arial" w:hAnsi="Arial" w:cs="Arial"/>
          <w:color w:val="595959" w:themeColor="text1" w:themeTint="A6"/>
        </w:rPr>
        <w:t xml:space="preserve">. </w:t>
      </w:r>
      <w:r w:rsidR="00AB6F9E">
        <w:rPr>
          <w:rFonts w:ascii="Arial" w:hAnsi="Arial" w:cs="Arial"/>
          <w:color w:val="595959" w:themeColor="text1" w:themeTint="A6"/>
        </w:rPr>
        <w:t>Investigations of</w:t>
      </w:r>
      <w:r w:rsidR="00657687">
        <w:rPr>
          <w:rFonts w:ascii="Arial" w:hAnsi="Arial" w:cs="Arial"/>
          <w:color w:val="595959" w:themeColor="text1" w:themeTint="A6"/>
        </w:rPr>
        <w:t xml:space="preserve"> OSCC</w:t>
      </w:r>
      <w:r w:rsidR="00AB6F9E">
        <w:rPr>
          <w:rFonts w:ascii="Arial" w:hAnsi="Arial" w:cs="Arial"/>
          <w:color w:val="595959" w:themeColor="text1" w:themeTint="A6"/>
        </w:rPr>
        <w:t xml:space="preserve"> patient biopsies </w:t>
      </w:r>
      <w:r w:rsidR="00657687">
        <w:rPr>
          <w:rFonts w:ascii="Arial" w:hAnsi="Arial" w:cs="Arial"/>
          <w:color w:val="595959" w:themeColor="text1" w:themeTint="A6"/>
        </w:rPr>
        <w:t xml:space="preserve">show </w:t>
      </w:r>
      <w:r w:rsidR="00760EE9">
        <w:rPr>
          <w:rFonts w:ascii="Arial" w:hAnsi="Arial" w:cs="Arial"/>
          <w:color w:val="595959" w:themeColor="text1" w:themeTint="A6"/>
        </w:rPr>
        <w:t>i</w:t>
      </w:r>
      <w:r w:rsidR="004E06B5" w:rsidRPr="004E06B5">
        <w:rPr>
          <w:rFonts w:ascii="Arial" w:hAnsi="Arial" w:cs="Arial"/>
          <w:color w:val="595959" w:themeColor="text1" w:themeTint="A6"/>
        </w:rPr>
        <w:t>ntegrin α6β</w:t>
      </w:r>
      <w:r w:rsidR="00AB6F9E">
        <w:rPr>
          <w:rFonts w:ascii="Arial" w:hAnsi="Arial" w:cs="Arial"/>
          <w:color w:val="595959" w:themeColor="text1" w:themeTint="A6"/>
        </w:rPr>
        <w:t xml:space="preserve">4, </w:t>
      </w:r>
      <w:r w:rsidR="004E06B5" w:rsidRPr="004E06B5">
        <w:rPr>
          <w:rFonts w:ascii="Arial" w:hAnsi="Arial" w:cs="Arial"/>
          <w:color w:val="595959" w:themeColor="text1" w:themeTint="A6"/>
        </w:rPr>
        <w:t>released from hemidesmosomes; where they partake in signalling that facilitates tumour cell proliferation, tumour invasion and metastasis</w:t>
      </w:r>
      <w:r w:rsidR="004E7E13">
        <w:rPr>
          <w:rFonts w:ascii="Arial" w:hAnsi="Arial" w:cs="Arial"/>
          <w:color w:val="595959" w:themeColor="text1" w:themeTint="A6"/>
        </w:rPr>
        <w:t xml:space="preserve"> and has been </w:t>
      </w:r>
      <w:r w:rsidR="00240C11">
        <w:rPr>
          <w:rFonts w:ascii="Arial" w:hAnsi="Arial" w:cs="Arial"/>
          <w:color w:val="595959" w:themeColor="text1" w:themeTint="A6"/>
        </w:rPr>
        <w:t xml:space="preserve">(Downer </w:t>
      </w:r>
      <w:r w:rsidR="00240C11" w:rsidRPr="002510FA">
        <w:rPr>
          <w:rFonts w:ascii="Arial" w:hAnsi="Arial" w:cs="Arial"/>
          <w:i/>
          <w:iCs/>
          <w:color w:val="595959" w:themeColor="text1" w:themeTint="A6"/>
        </w:rPr>
        <w:t>et al.,</w:t>
      </w:r>
      <w:r w:rsidR="00240C11">
        <w:rPr>
          <w:rFonts w:ascii="Arial" w:hAnsi="Arial" w:cs="Arial"/>
          <w:color w:val="595959" w:themeColor="text1" w:themeTint="A6"/>
        </w:rPr>
        <w:t xml:space="preserve"> 1993, Thomas </w:t>
      </w:r>
      <w:r w:rsidR="002510FA" w:rsidRPr="002510FA">
        <w:rPr>
          <w:rFonts w:ascii="Arial" w:hAnsi="Arial" w:cs="Arial"/>
          <w:i/>
          <w:iCs/>
          <w:color w:val="595959" w:themeColor="text1" w:themeTint="A6"/>
        </w:rPr>
        <w:t>et al</w:t>
      </w:r>
      <w:r w:rsidR="00240C11" w:rsidRPr="002510FA">
        <w:rPr>
          <w:rFonts w:ascii="Arial" w:hAnsi="Arial" w:cs="Arial"/>
          <w:i/>
          <w:iCs/>
          <w:color w:val="595959" w:themeColor="text1" w:themeTint="A6"/>
        </w:rPr>
        <w:t xml:space="preserve">., </w:t>
      </w:r>
      <w:r w:rsidR="00240C11">
        <w:rPr>
          <w:rFonts w:ascii="Arial" w:hAnsi="Arial" w:cs="Arial"/>
          <w:color w:val="595959" w:themeColor="text1" w:themeTint="A6"/>
        </w:rPr>
        <w:t>2005).</w:t>
      </w:r>
      <w:r w:rsidR="004E06B5" w:rsidRPr="004E06B5">
        <w:rPr>
          <w:rFonts w:ascii="Arial" w:hAnsi="Arial" w:cs="Arial"/>
          <w:color w:val="595959" w:themeColor="text1" w:themeTint="A6"/>
        </w:rPr>
        <w:t xml:space="preserve"> </w:t>
      </w:r>
      <w:r w:rsidR="006B3F31">
        <w:rPr>
          <w:rFonts w:ascii="Arial" w:hAnsi="Arial" w:cs="Arial"/>
          <w:color w:val="595959" w:themeColor="text1" w:themeTint="A6"/>
        </w:rPr>
        <w:t>In this investigation, i</w:t>
      </w:r>
      <w:r w:rsidR="006B3F31" w:rsidRPr="004E06B5">
        <w:rPr>
          <w:rFonts w:ascii="Arial" w:hAnsi="Arial" w:cs="Arial"/>
          <w:color w:val="595959" w:themeColor="text1" w:themeTint="A6"/>
        </w:rPr>
        <w:t>ntegrin α6β</w:t>
      </w:r>
      <w:r w:rsidR="006B3F31">
        <w:rPr>
          <w:rFonts w:ascii="Arial" w:hAnsi="Arial" w:cs="Arial"/>
          <w:color w:val="595959" w:themeColor="text1" w:themeTint="A6"/>
        </w:rPr>
        <w:t xml:space="preserve">4 </w:t>
      </w:r>
      <w:r w:rsidR="00EE67C7">
        <w:rPr>
          <w:rFonts w:ascii="Arial" w:hAnsi="Arial" w:cs="Arial"/>
          <w:color w:val="595959" w:themeColor="text1" w:themeTint="A6"/>
        </w:rPr>
        <w:t>w</w:t>
      </w:r>
      <w:r w:rsidR="006B3F31">
        <w:rPr>
          <w:rFonts w:ascii="Arial" w:hAnsi="Arial" w:cs="Arial"/>
          <w:color w:val="595959" w:themeColor="text1" w:themeTint="A6"/>
        </w:rPr>
        <w:t>as</w:t>
      </w:r>
      <w:r w:rsidR="00EE67C7">
        <w:rPr>
          <w:rFonts w:ascii="Arial" w:hAnsi="Arial" w:cs="Arial"/>
          <w:color w:val="595959" w:themeColor="text1" w:themeTint="A6"/>
        </w:rPr>
        <w:t xml:space="preserve"> observed to be </w:t>
      </w:r>
      <w:r w:rsidR="008B0637">
        <w:rPr>
          <w:rFonts w:ascii="Arial" w:hAnsi="Arial" w:cs="Arial"/>
          <w:color w:val="595959" w:themeColor="text1" w:themeTint="A6"/>
        </w:rPr>
        <w:t xml:space="preserve">reduced </w:t>
      </w:r>
      <w:r w:rsidR="004E06B5" w:rsidRPr="004E06B5">
        <w:rPr>
          <w:rFonts w:ascii="Arial" w:hAnsi="Arial" w:cs="Arial"/>
          <w:color w:val="595959" w:themeColor="text1" w:themeTint="A6"/>
        </w:rPr>
        <w:t>in the transition from normal to cancer oral mucosa</w:t>
      </w:r>
      <w:r w:rsidR="00A93BD7">
        <w:rPr>
          <w:rFonts w:ascii="Arial" w:hAnsi="Arial" w:cs="Arial"/>
          <w:color w:val="595959" w:themeColor="text1" w:themeTint="A6"/>
        </w:rPr>
        <w:t xml:space="preserve">. Expression in </w:t>
      </w:r>
      <w:r w:rsidR="008E2F0E">
        <w:rPr>
          <w:rFonts w:ascii="Arial" w:hAnsi="Arial" w:cs="Arial"/>
          <w:color w:val="595959" w:themeColor="text1" w:themeTint="A6"/>
        </w:rPr>
        <w:t xml:space="preserve">TENOM </w:t>
      </w:r>
      <w:r w:rsidR="00A93BD7">
        <w:rPr>
          <w:rFonts w:ascii="Arial" w:hAnsi="Arial" w:cs="Arial"/>
          <w:color w:val="595959" w:themeColor="text1" w:themeTint="A6"/>
        </w:rPr>
        <w:t>was observed o</w:t>
      </w:r>
      <w:r w:rsidR="004E06B5" w:rsidRPr="004E06B5">
        <w:rPr>
          <w:rFonts w:ascii="Arial" w:hAnsi="Arial" w:cs="Arial"/>
          <w:color w:val="595959" w:themeColor="text1" w:themeTint="A6"/>
        </w:rPr>
        <w:t xml:space="preserve">n the basal aspect of basal cells, </w:t>
      </w:r>
      <w:r w:rsidR="00C1049E">
        <w:rPr>
          <w:rFonts w:ascii="Arial" w:hAnsi="Arial" w:cs="Arial"/>
          <w:color w:val="595959" w:themeColor="text1" w:themeTint="A6"/>
        </w:rPr>
        <w:t xml:space="preserve">whereas a more </w:t>
      </w:r>
      <w:r w:rsidR="004E06B5" w:rsidRPr="004E06B5">
        <w:rPr>
          <w:rFonts w:ascii="Arial" w:hAnsi="Arial" w:cs="Arial"/>
          <w:color w:val="595959" w:themeColor="text1" w:themeTint="A6"/>
        </w:rPr>
        <w:t>diffuse pattern in the epithelium</w:t>
      </w:r>
      <w:r w:rsidR="005B0910">
        <w:rPr>
          <w:rFonts w:ascii="Arial" w:hAnsi="Arial" w:cs="Arial"/>
          <w:color w:val="595959" w:themeColor="text1" w:themeTint="A6"/>
        </w:rPr>
        <w:t xml:space="preserve"> in TESCCM</w:t>
      </w:r>
      <w:r w:rsidR="00C1049E">
        <w:rPr>
          <w:rFonts w:ascii="Arial" w:hAnsi="Arial" w:cs="Arial"/>
          <w:color w:val="595959" w:themeColor="text1" w:themeTint="A6"/>
        </w:rPr>
        <w:t xml:space="preserve"> was detected</w:t>
      </w:r>
      <w:r w:rsidR="008E2F0E">
        <w:rPr>
          <w:rFonts w:ascii="Arial" w:hAnsi="Arial" w:cs="Arial"/>
          <w:color w:val="595959" w:themeColor="text1" w:themeTint="A6"/>
        </w:rPr>
        <w:t xml:space="preserve">, replicating </w:t>
      </w:r>
      <w:r w:rsidR="008F3CC4">
        <w:rPr>
          <w:rFonts w:ascii="Arial" w:hAnsi="Arial" w:cs="Arial"/>
          <w:color w:val="595959" w:themeColor="text1" w:themeTint="A6"/>
        </w:rPr>
        <w:t xml:space="preserve">the </w:t>
      </w:r>
      <w:r w:rsidR="008F3CC4" w:rsidRPr="008F3CC4">
        <w:rPr>
          <w:rFonts w:ascii="Arial" w:hAnsi="Arial" w:cs="Arial"/>
          <w:i/>
          <w:iCs/>
          <w:color w:val="595959" w:themeColor="text1" w:themeTint="A6"/>
        </w:rPr>
        <w:t>in vivo</w:t>
      </w:r>
      <w:r w:rsidR="008F3CC4">
        <w:rPr>
          <w:rFonts w:ascii="Arial" w:hAnsi="Arial" w:cs="Arial"/>
          <w:color w:val="595959" w:themeColor="text1" w:themeTint="A6"/>
        </w:rPr>
        <w:t xml:space="preserve"> situation. </w:t>
      </w:r>
    </w:p>
    <w:p w14:paraId="2D46DB3A" w14:textId="35820F5B" w:rsidR="004E06B5" w:rsidRPr="004E06B5" w:rsidRDefault="004E06B5" w:rsidP="004E06B5">
      <w:pPr>
        <w:spacing w:line="480" w:lineRule="auto"/>
        <w:jc w:val="both"/>
        <w:rPr>
          <w:rFonts w:ascii="Arial" w:hAnsi="Arial" w:cs="Arial"/>
          <w:color w:val="595959" w:themeColor="text1" w:themeTint="A6"/>
        </w:rPr>
      </w:pPr>
      <w:r w:rsidRPr="004E06B5">
        <w:rPr>
          <w:rFonts w:ascii="Arial" w:hAnsi="Arial" w:cs="Arial"/>
          <w:color w:val="595959" w:themeColor="text1" w:themeTint="A6"/>
        </w:rPr>
        <w:t xml:space="preserve">Abnormalities </w:t>
      </w:r>
      <w:r w:rsidR="00B507B8">
        <w:rPr>
          <w:rFonts w:ascii="Arial" w:hAnsi="Arial" w:cs="Arial"/>
          <w:color w:val="595959" w:themeColor="text1" w:themeTint="A6"/>
        </w:rPr>
        <w:t>in</w:t>
      </w:r>
      <w:r w:rsidRPr="004E06B5">
        <w:rPr>
          <w:rFonts w:ascii="Arial" w:hAnsi="Arial" w:cs="Arial"/>
          <w:color w:val="595959" w:themeColor="text1" w:themeTint="A6"/>
        </w:rPr>
        <w:t xml:space="preserve"> cell adhesion molecule</w:t>
      </w:r>
      <w:r w:rsidR="00B507B8">
        <w:rPr>
          <w:rFonts w:ascii="Arial" w:hAnsi="Arial" w:cs="Arial"/>
          <w:color w:val="595959" w:themeColor="text1" w:themeTint="A6"/>
        </w:rPr>
        <w:t xml:space="preserve"> expression and regulation</w:t>
      </w:r>
      <w:r w:rsidR="003C43E4">
        <w:rPr>
          <w:rFonts w:ascii="Arial" w:hAnsi="Arial" w:cs="Arial"/>
          <w:color w:val="595959" w:themeColor="text1" w:themeTint="A6"/>
        </w:rPr>
        <w:t xml:space="preserve"> </w:t>
      </w:r>
      <w:r w:rsidRPr="004E06B5">
        <w:rPr>
          <w:rFonts w:ascii="Arial" w:hAnsi="Arial" w:cs="Arial"/>
          <w:color w:val="595959" w:themeColor="text1" w:themeTint="A6"/>
        </w:rPr>
        <w:t xml:space="preserve">are known to play an important role in invasion and metastasis of cancer cells through the loss of cell-to-cell adhesions. E-cadherin (E-CAD) is a transmembrane glycoprotein essential for the binding of epithelial tissues (Kudo </w:t>
      </w:r>
      <w:r w:rsidRPr="004E06B5">
        <w:rPr>
          <w:rFonts w:ascii="Arial" w:hAnsi="Arial" w:cs="Arial"/>
          <w:i/>
          <w:color w:val="595959" w:themeColor="text1" w:themeTint="A6"/>
        </w:rPr>
        <w:t>et al.,</w:t>
      </w:r>
      <w:r w:rsidRPr="004E06B5">
        <w:rPr>
          <w:rFonts w:ascii="Arial" w:hAnsi="Arial" w:cs="Arial"/>
          <w:color w:val="595959" w:themeColor="text1" w:themeTint="A6"/>
        </w:rPr>
        <w:t xml:space="preserve"> 2004). Its cytoplasmic domain binds to the actin cytoskeleton through critical interactions with catenins. The loss of this interaction by down-regulation in E-CAD is exhibited in many cancers including </w:t>
      </w:r>
      <w:r w:rsidR="00B507B8">
        <w:rPr>
          <w:rFonts w:ascii="Arial" w:hAnsi="Arial" w:cs="Arial"/>
          <w:color w:val="595959" w:themeColor="text1" w:themeTint="A6"/>
        </w:rPr>
        <w:t>OSCC</w:t>
      </w:r>
      <w:r w:rsidRPr="004E06B5">
        <w:rPr>
          <w:rFonts w:ascii="Arial" w:hAnsi="Arial" w:cs="Arial"/>
          <w:color w:val="595959" w:themeColor="text1" w:themeTint="A6"/>
        </w:rPr>
        <w:t xml:space="preserve"> (Zhou </w:t>
      </w:r>
      <w:r w:rsidRPr="004E06B5">
        <w:rPr>
          <w:rFonts w:ascii="Arial" w:hAnsi="Arial" w:cs="Arial"/>
          <w:i/>
          <w:color w:val="595959" w:themeColor="text1" w:themeTint="A6"/>
        </w:rPr>
        <w:t xml:space="preserve">et al., </w:t>
      </w:r>
      <w:r w:rsidRPr="004E06B5">
        <w:rPr>
          <w:rFonts w:ascii="Arial" w:hAnsi="Arial" w:cs="Arial"/>
          <w:color w:val="595959" w:themeColor="text1" w:themeTint="A6"/>
        </w:rPr>
        <w:t>2015). A non-significant decrease in E-CAD staining was observed in TEAOM models with more obvious staining</w:t>
      </w:r>
      <w:r w:rsidR="00CA3AD4">
        <w:rPr>
          <w:rFonts w:ascii="Arial" w:hAnsi="Arial" w:cs="Arial"/>
          <w:color w:val="595959" w:themeColor="text1" w:themeTint="A6"/>
        </w:rPr>
        <w:t xml:space="preserve"> pattern</w:t>
      </w:r>
      <w:r w:rsidRPr="004E06B5">
        <w:rPr>
          <w:rFonts w:ascii="Arial" w:hAnsi="Arial" w:cs="Arial"/>
          <w:color w:val="595959" w:themeColor="text1" w:themeTint="A6"/>
        </w:rPr>
        <w:t xml:space="preserve"> seen in the basal aspect of basal cells which evidences that E-CAD is important in providing adhesion between cells as well as to the ECM below. A significant loss of E-CAD was observed in TESCCM which agrees with other reported findings as its loss enables metastasis by disrupting intercellular contacts</w:t>
      </w:r>
      <w:r w:rsidR="00F15F34">
        <w:rPr>
          <w:rFonts w:ascii="Arial" w:hAnsi="Arial" w:cs="Arial"/>
          <w:color w:val="595959" w:themeColor="text1" w:themeTint="A6"/>
        </w:rPr>
        <w:t xml:space="preserve"> (Onder </w:t>
      </w:r>
      <w:r w:rsidR="00F15F34" w:rsidRPr="00F15F34">
        <w:rPr>
          <w:rFonts w:ascii="Arial" w:hAnsi="Arial" w:cs="Arial"/>
          <w:i/>
          <w:iCs/>
          <w:color w:val="595959" w:themeColor="text1" w:themeTint="A6"/>
        </w:rPr>
        <w:t>et al.,</w:t>
      </w:r>
      <w:r w:rsidR="00F15F34">
        <w:rPr>
          <w:rFonts w:ascii="Arial" w:hAnsi="Arial" w:cs="Arial"/>
          <w:color w:val="595959" w:themeColor="text1" w:themeTint="A6"/>
        </w:rPr>
        <w:t xml:space="preserve"> 2008)</w:t>
      </w:r>
      <w:r w:rsidRPr="004E06B5">
        <w:rPr>
          <w:rFonts w:ascii="Arial" w:hAnsi="Arial" w:cs="Arial"/>
          <w:color w:val="595959" w:themeColor="text1" w:themeTint="A6"/>
        </w:rPr>
        <w:t xml:space="preserve">. This also allows cells to adopt mesenchymal-like features, providing them </w:t>
      </w:r>
      <w:r w:rsidR="00B313DC">
        <w:rPr>
          <w:rFonts w:ascii="Arial" w:hAnsi="Arial" w:cs="Arial"/>
          <w:color w:val="595959" w:themeColor="text1" w:themeTint="A6"/>
        </w:rPr>
        <w:t xml:space="preserve">with </w:t>
      </w:r>
      <w:r w:rsidRPr="004E06B5">
        <w:rPr>
          <w:rFonts w:ascii="Arial" w:hAnsi="Arial" w:cs="Arial"/>
          <w:color w:val="595959" w:themeColor="text1" w:themeTint="A6"/>
        </w:rPr>
        <w:t xml:space="preserve">the capability to leave the primary tumour and colonise other locations, as seen in mouse breast and pancreatic cancer models; </w:t>
      </w:r>
      <w:r w:rsidR="00503FC3" w:rsidRPr="004E06B5">
        <w:rPr>
          <w:rFonts w:ascii="Arial" w:hAnsi="Arial" w:cs="Arial"/>
          <w:color w:val="595959" w:themeColor="text1" w:themeTint="A6"/>
        </w:rPr>
        <w:t>thus,</w:t>
      </w:r>
      <w:r w:rsidRPr="004E06B5">
        <w:rPr>
          <w:rFonts w:ascii="Arial" w:hAnsi="Arial" w:cs="Arial"/>
          <w:color w:val="595959" w:themeColor="text1" w:themeTint="A6"/>
        </w:rPr>
        <w:t xml:space="preserve"> enabling early step metastatic dissemination (Rhim </w:t>
      </w:r>
      <w:r w:rsidRPr="004E06B5">
        <w:rPr>
          <w:rFonts w:ascii="Arial" w:hAnsi="Arial" w:cs="Arial"/>
          <w:i/>
          <w:iCs/>
          <w:color w:val="595959" w:themeColor="text1" w:themeTint="A6"/>
        </w:rPr>
        <w:t>et al.,</w:t>
      </w:r>
      <w:r w:rsidRPr="004E06B5">
        <w:rPr>
          <w:rFonts w:ascii="Arial" w:hAnsi="Arial" w:cs="Arial"/>
          <w:color w:val="595959" w:themeColor="text1" w:themeTint="A6"/>
        </w:rPr>
        <w:t xml:space="preserve"> 2008 and Yutong </w:t>
      </w:r>
      <w:r w:rsidRPr="004E06B5">
        <w:rPr>
          <w:rFonts w:ascii="Arial" w:hAnsi="Arial" w:cs="Arial"/>
          <w:i/>
          <w:iCs/>
          <w:color w:val="595959" w:themeColor="text1" w:themeTint="A6"/>
        </w:rPr>
        <w:t>et al.,</w:t>
      </w:r>
      <w:r w:rsidRPr="004E06B5">
        <w:rPr>
          <w:rFonts w:ascii="Arial" w:hAnsi="Arial" w:cs="Arial"/>
          <w:color w:val="595959" w:themeColor="text1" w:themeTint="A6"/>
        </w:rPr>
        <w:t xml:space="preserve"> 2019). </w:t>
      </w:r>
    </w:p>
    <w:p w14:paraId="12550070" w14:textId="2C1F9C5C" w:rsidR="004E06B5" w:rsidRPr="004E06B5" w:rsidRDefault="004E06B5" w:rsidP="004E06B5">
      <w:pPr>
        <w:spacing w:line="480" w:lineRule="auto"/>
        <w:jc w:val="both"/>
        <w:rPr>
          <w:rFonts w:ascii="Arial" w:hAnsi="Arial" w:cs="Arial"/>
          <w:color w:val="595959" w:themeColor="text1" w:themeTint="A6"/>
          <w:shd w:val="clear" w:color="auto" w:fill="FFFFFF"/>
        </w:rPr>
      </w:pPr>
      <w:r w:rsidRPr="004E06B5">
        <w:rPr>
          <w:rFonts w:ascii="Arial" w:hAnsi="Arial" w:cs="Arial"/>
          <w:color w:val="595959" w:themeColor="text1" w:themeTint="A6"/>
          <w:shd w:val="clear" w:color="auto" w:fill="FFFFFF"/>
        </w:rPr>
        <w:t>Cell proliferation is a biological process vital to all living organisms. Proliferative control is lost in cancer and many studies have reported that abnormal cell proliferation appears to be a precursor and possibly predictor of OSCC tumorigenesis</w:t>
      </w:r>
      <w:r w:rsidR="00C37A17">
        <w:rPr>
          <w:rFonts w:ascii="Arial" w:hAnsi="Arial" w:cs="Arial"/>
          <w:color w:val="595959" w:themeColor="text1" w:themeTint="A6"/>
          <w:shd w:val="clear" w:color="auto" w:fill="FFFFFF"/>
        </w:rPr>
        <w:t xml:space="preserve"> (Mayoung </w:t>
      </w:r>
      <w:r w:rsidR="00C37A17" w:rsidRPr="00C37A17">
        <w:rPr>
          <w:rFonts w:ascii="Arial" w:hAnsi="Arial" w:cs="Arial"/>
          <w:i/>
          <w:iCs/>
          <w:color w:val="595959" w:themeColor="text1" w:themeTint="A6"/>
          <w:shd w:val="clear" w:color="auto" w:fill="FFFFFF"/>
        </w:rPr>
        <w:t>et al.,</w:t>
      </w:r>
      <w:r w:rsidR="00C37A17">
        <w:rPr>
          <w:rFonts w:ascii="Arial" w:hAnsi="Arial" w:cs="Arial"/>
          <w:color w:val="595959" w:themeColor="text1" w:themeTint="A6"/>
          <w:shd w:val="clear" w:color="auto" w:fill="FFFFFF"/>
        </w:rPr>
        <w:t xml:space="preserve"> 200</w:t>
      </w:r>
      <w:r w:rsidR="00C30E5B">
        <w:rPr>
          <w:rFonts w:ascii="Arial" w:hAnsi="Arial" w:cs="Arial"/>
          <w:color w:val="595959" w:themeColor="text1" w:themeTint="A6"/>
          <w:shd w:val="clear" w:color="auto" w:fill="FFFFFF"/>
        </w:rPr>
        <w:t>6)</w:t>
      </w:r>
      <w:r w:rsidRPr="004E06B5">
        <w:rPr>
          <w:rFonts w:ascii="Arial" w:hAnsi="Arial" w:cs="Arial"/>
          <w:color w:val="595959" w:themeColor="text1" w:themeTint="A6"/>
          <w:shd w:val="clear" w:color="auto" w:fill="FFFFFF"/>
        </w:rPr>
        <w:t xml:space="preserve">. In OSCC, Ki-67 </w:t>
      </w:r>
      <w:r w:rsidR="001F55B3">
        <w:rPr>
          <w:rFonts w:ascii="Arial" w:hAnsi="Arial" w:cs="Arial"/>
          <w:color w:val="595959" w:themeColor="text1" w:themeTint="A6"/>
          <w:shd w:val="clear" w:color="auto" w:fill="FFFFFF"/>
        </w:rPr>
        <w:t xml:space="preserve">a </w:t>
      </w:r>
      <w:r w:rsidR="00A75CF7">
        <w:rPr>
          <w:rFonts w:ascii="Arial" w:hAnsi="Arial" w:cs="Arial"/>
          <w:color w:val="595959" w:themeColor="text1" w:themeTint="A6"/>
          <w:shd w:val="clear" w:color="auto" w:fill="FFFFFF"/>
        </w:rPr>
        <w:t xml:space="preserve">cellular </w:t>
      </w:r>
      <w:r w:rsidR="001F55B3">
        <w:rPr>
          <w:rFonts w:ascii="Arial" w:hAnsi="Arial" w:cs="Arial"/>
          <w:color w:val="595959" w:themeColor="text1" w:themeTint="A6"/>
          <w:shd w:val="clear" w:color="auto" w:fill="FFFFFF"/>
        </w:rPr>
        <w:t xml:space="preserve">marker for proliferation </w:t>
      </w:r>
      <w:r w:rsidRPr="004E06B5">
        <w:rPr>
          <w:rFonts w:ascii="Arial" w:hAnsi="Arial" w:cs="Arial"/>
          <w:color w:val="595959" w:themeColor="text1" w:themeTint="A6"/>
          <w:shd w:val="clear" w:color="auto" w:fill="FFFFFF"/>
        </w:rPr>
        <w:t xml:space="preserve">has been shown to be </w:t>
      </w:r>
      <w:r w:rsidR="00A018B9">
        <w:rPr>
          <w:rFonts w:ascii="Arial" w:hAnsi="Arial" w:cs="Arial"/>
          <w:color w:val="595959" w:themeColor="text1" w:themeTint="A6"/>
          <w:shd w:val="clear" w:color="auto" w:fill="FFFFFF"/>
        </w:rPr>
        <w:t xml:space="preserve">reliable marker </w:t>
      </w:r>
      <w:r w:rsidRPr="004E06B5">
        <w:rPr>
          <w:rFonts w:ascii="Arial" w:hAnsi="Arial" w:cs="Arial"/>
          <w:color w:val="595959" w:themeColor="text1" w:themeTint="A6"/>
          <w:shd w:val="clear" w:color="auto" w:fill="FFFFFF"/>
        </w:rPr>
        <w:t xml:space="preserve">for the estimation of the growth fraction in both normal and malignant human tissue (Tumuluri </w:t>
      </w:r>
      <w:r w:rsidRPr="004E06B5">
        <w:rPr>
          <w:rFonts w:ascii="Arial" w:hAnsi="Arial" w:cs="Arial"/>
          <w:i/>
          <w:color w:val="595959" w:themeColor="text1" w:themeTint="A6"/>
          <w:shd w:val="clear" w:color="auto" w:fill="FFFFFF"/>
        </w:rPr>
        <w:t>et al.,</w:t>
      </w:r>
      <w:r w:rsidRPr="004E06B5">
        <w:rPr>
          <w:rFonts w:ascii="Arial" w:hAnsi="Arial" w:cs="Arial"/>
          <w:color w:val="595959" w:themeColor="text1" w:themeTint="A6"/>
          <w:shd w:val="clear" w:color="auto" w:fill="FFFFFF"/>
        </w:rPr>
        <w:t xml:space="preserve"> 2002, Dwivedi </w:t>
      </w:r>
      <w:r w:rsidRPr="004E06B5">
        <w:rPr>
          <w:rFonts w:ascii="Arial" w:hAnsi="Arial" w:cs="Arial"/>
          <w:i/>
          <w:color w:val="595959" w:themeColor="text1" w:themeTint="A6"/>
          <w:shd w:val="clear" w:color="auto" w:fill="FFFFFF"/>
        </w:rPr>
        <w:t xml:space="preserve">et al., </w:t>
      </w:r>
      <w:r w:rsidRPr="004E06B5">
        <w:rPr>
          <w:rFonts w:ascii="Arial" w:hAnsi="Arial" w:cs="Arial"/>
          <w:color w:val="595959" w:themeColor="text1" w:themeTint="A6"/>
          <w:shd w:val="clear" w:color="auto" w:fill="FFFFFF"/>
        </w:rPr>
        <w:t xml:space="preserve">2013, and Lopes </w:t>
      </w:r>
      <w:r w:rsidRPr="004E06B5">
        <w:rPr>
          <w:rFonts w:ascii="Arial" w:hAnsi="Arial" w:cs="Arial"/>
          <w:i/>
          <w:color w:val="595959" w:themeColor="text1" w:themeTint="A6"/>
          <w:shd w:val="clear" w:color="auto" w:fill="FFFFFF"/>
        </w:rPr>
        <w:t>et al.,</w:t>
      </w:r>
      <w:r w:rsidRPr="004E06B5">
        <w:rPr>
          <w:rFonts w:ascii="Arial" w:hAnsi="Arial" w:cs="Arial"/>
          <w:color w:val="595959" w:themeColor="text1" w:themeTint="A6"/>
          <w:shd w:val="clear" w:color="auto" w:fill="FFFFFF"/>
        </w:rPr>
        <w:t xml:space="preserve"> 2017). </w:t>
      </w:r>
      <w:r w:rsidR="007F317F">
        <w:rPr>
          <w:rFonts w:ascii="Arial" w:hAnsi="Arial" w:cs="Arial"/>
          <w:color w:val="595959" w:themeColor="text1" w:themeTint="A6"/>
          <w:shd w:val="clear" w:color="auto" w:fill="FFFFFF"/>
        </w:rPr>
        <w:t>Here we show</w:t>
      </w:r>
      <w:r w:rsidR="007720FB">
        <w:rPr>
          <w:rFonts w:ascii="Arial" w:hAnsi="Arial" w:cs="Arial"/>
          <w:color w:val="595959" w:themeColor="text1" w:themeTint="A6"/>
          <w:shd w:val="clear" w:color="auto" w:fill="FFFFFF"/>
        </w:rPr>
        <w:t xml:space="preserve"> </w:t>
      </w:r>
      <w:r w:rsidRPr="004E06B5">
        <w:rPr>
          <w:rFonts w:ascii="Arial" w:hAnsi="Arial" w:cs="Arial"/>
          <w:color w:val="595959" w:themeColor="text1" w:themeTint="A6"/>
          <w:shd w:val="clear" w:color="auto" w:fill="FFFFFF"/>
        </w:rPr>
        <w:t xml:space="preserve">typical intermittent </w:t>
      </w:r>
      <w:r w:rsidR="007720FB">
        <w:rPr>
          <w:rFonts w:ascii="Arial" w:hAnsi="Arial" w:cs="Arial"/>
          <w:color w:val="595959" w:themeColor="text1" w:themeTint="A6"/>
          <w:shd w:val="clear" w:color="auto" w:fill="FFFFFF"/>
        </w:rPr>
        <w:t xml:space="preserve">positive </w:t>
      </w:r>
      <w:r w:rsidRPr="004E06B5">
        <w:rPr>
          <w:rFonts w:ascii="Arial" w:hAnsi="Arial" w:cs="Arial"/>
          <w:color w:val="595959" w:themeColor="text1" w:themeTint="A6"/>
          <w:shd w:val="clear" w:color="auto" w:fill="FFFFFF"/>
        </w:rPr>
        <w:t>staining of polarised basal cells in the TENOM models</w:t>
      </w:r>
      <w:r w:rsidR="001C397E">
        <w:rPr>
          <w:rFonts w:ascii="Arial" w:hAnsi="Arial" w:cs="Arial"/>
          <w:color w:val="595959" w:themeColor="text1" w:themeTint="A6"/>
          <w:shd w:val="clear" w:color="auto" w:fill="FFFFFF"/>
        </w:rPr>
        <w:t xml:space="preserve">, reflecting a normal proliferation index (Colley </w:t>
      </w:r>
      <w:r w:rsidR="001C397E" w:rsidRPr="00AC1005">
        <w:rPr>
          <w:rFonts w:ascii="Arial" w:hAnsi="Arial" w:cs="Arial"/>
          <w:i/>
          <w:iCs/>
          <w:color w:val="595959" w:themeColor="text1" w:themeTint="A6"/>
          <w:shd w:val="clear" w:color="auto" w:fill="FFFFFF"/>
        </w:rPr>
        <w:t>et al.,</w:t>
      </w:r>
      <w:r w:rsidR="00CD06C3">
        <w:rPr>
          <w:rFonts w:ascii="Arial" w:hAnsi="Arial" w:cs="Arial"/>
          <w:i/>
          <w:iCs/>
          <w:color w:val="595959" w:themeColor="text1" w:themeTint="A6"/>
          <w:shd w:val="clear" w:color="auto" w:fill="FFFFFF"/>
        </w:rPr>
        <w:t xml:space="preserve"> </w:t>
      </w:r>
      <w:r w:rsidR="00072740">
        <w:rPr>
          <w:rFonts w:ascii="Arial" w:hAnsi="Arial" w:cs="Arial"/>
          <w:color w:val="595959" w:themeColor="text1" w:themeTint="A6"/>
          <w:shd w:val="clear" w:color="auto" w:fill="FFFFFF"/>
        </w:rPr>
        <w:t>2011</w:t>
      </w:r>
      <w:r w:rsidR="00AC1005">
        <w:rPr>
          <w:rFonts w:ascii="Arial" w:hAnsi="Arial" w:cs="Arial"/>
          <w:color w:val="595959" w:themeColor="text1" w:themeTint="A6"/>
          <w:shd w:val="clear" w:color="auto" w:fill="FFFFFF"/>
        </w:rPr>
        <w:t xml:space="preserve">). </w:t>
      </w:r>
      <w:r w:rsidRPr="004E06B5">
        <w:rPr>
          <w:rFonts w:ascii="Arial" w:hAnsi="Arial" w:cs="Arial"/>
          <w:color w:val="595959" w:themeColor="text1" w:themeTint="A6"/>
          <w:shd w:val="clear" w:color="auto" w:fill="FFFFFF"/>
        </w:rPr>
        <w:t xml:space="preserve">However, in contrast, the TEAOM exhibited more supra-basal </w:t>
      </w:r>
      <w:r w:rsidR="00C127B6">
        <w:rPr>
          <w:rFonts w:ascii="Arial" w:hAnsi="Arial" w:cs="Arial"/>
          <w:color w:val="595959" w:themeColor="text1" w:themeTint="A6"/>
          <w:shd w:val="clear" w:color="auto" w:fill="FFFFFF"/>
        </w:rPr>
        <w:t xml:space="preserve">positive </w:t>
      </w:r>
      <w:r w:rsidRPr="004E06B5">
        <w:rPr>
          <w:rFonts w:ascii="Arial" w:hAnsi="Arial" w:cs="Arial"/>
          <w:color w:val="595959" w:themeColor="text1" w:themeTint="A6"/>
          <w:shd w:val="clear" w:color="auto" w:fill="FFFFFF"/>
        </w:rPr>
        <w:t xml:space="preserve">staining of Ki-67. A significantly high proliferation index with large numbers of Ki-67-positive cells was observed in the TESCCM consolidating findings that this increased proliferative capacity may also be attributed </w:t>
      </w:r>
      <w:r w:rsidR="00CA3AD4">
        <w:rPr>
          <w:rFonts w:ascii="Arial" w:hAnsi="Arial" w:cs="Arial"/>
          <w:color w:val="595959" w:themeColor="text1" w:themeTint="A6"/>
          <w:shd w:val="clear" w:color="auto" w:fill="FFFFFF"/>
        </w:rPr>
        <w:t>to the</w:t>
      </w:r>
      <w:r w:rsidRPr="004E06B5">
        <w:rPr>
          <w:rFonts w:ascii="Arial" w:hAnsi="Arial" w:cs="Arial"/>
          <w:color w:val="595959" w:themeColor="text1" w:themeTint="A6"/>
          <w:shd w:val="clear" w:color="auto" w:fill="FFFFFF"/>
        </w:rPr>
        <w:t xml:space="preserve"> CAF-DM in which the cells reside. </w:t>
      </w:r>
    </w:p>
    <w:p w14:paraId="61FE7D49" w14:textId="58194FC8" w:rsidR="004E06B5" w:rsidRPr="004E06B5" w:rsidRDefault="004E06B5" w:rsidP="004E06B5">
      <w:pPr>
        <w:spacing w:line="480" w:lineRule="auto"/>
        <w:jc w:val="both"/>
        <w:rPr>
          <w:rFonts w:ascii="Arial" w:hAnsi="Arial" w:cs="Arial"/>
          <w:color w:val="595959" w:themeColor="text1" w:themeTint="A6"/>
        </w:rPr>
      </w:pPr>
      <w:r w:rsidRPr="004E06B5">
        <w:rPr>
          <w:rFonts w:ascii="Arial" w:hAnsi="Arial" w:cs="Arial"/>
          <w:color w:val="595959" w:themeColor="text1" w:themeTint="A6"/>
        </w:rPr>
        <w:t xml:space="preserve">Three ECM proteins were found to be differentially expressed in disease progression. The proteoglycan versican promotes tumour growth by destabilising focal cell contacts, which repress cell adhesion, stimulate cell proliferation and regulate angiogenesis. Increased levels of versican have been reported in several cancer types including adenocarcinomas, and squamous cell carcinomas (Pukkila </w:t>
      </w:r>
      <w:r w:rsidRPr="004E06B5">
        <w:rPr>
          <w:rFonts w:ascii="Arial" w:hAnsi="Arial" w:cs="Arial"/>
          <w:i/>
          <w:color w:val="595959" w:themeColor="text1" w:themeTint="A6"/>
        </w:rPr>
        <w:t>et al.,</w:t>
      </w:r>
      <w:r w:rsidRPr="004E06B5">
        <w:rPr>
          <w:rFonts w:ascii="Arial" w:hAnsi="Arial" w:cs="Arial"/>
          <w:color w:val="595959" w:themeColor="text1" w:themeTint="A6"/>
        </w:rPr>
        <w:t xml:space="preserve"> 2007). VCAN staining in TEOM models</w:t>
      </w:r>
      <w:r w:rsidR="00061FFB">
        <w:rPr>
          <w:rFonts w:ascii="Arial" w:hAnsi="Arial" w:cs="Arial"/>
          <w:color w:val="595959" w:themeColor="text1" w:themeTint="A6"/>
        </w:rPr>
        <w:t xml:space="preserve"> </w:t>
      </w:r>
      <w:r w:rsidRPr="004E06B5">
        <w:rPr>
          <w:rFonts w:ascii="Arial" w:hAnsi="Arial" w:cs="Arial"/>
          <w:color w:val="595959" w:themeColor="text1" w:themeTint="A6"/>
        </w:rPr>
        <w:t>reflected this</w:t>
      </w:r>
      <w:r w:rsidR="00061FFB">
        <w:rPr>
          <w:rFonts w:ascii="Arial" w:hAnsi="Arial" w:cs="Arial"/>
          <w:color w:val="595959" w:themeColor="text1" w:themeTint="A6"/>
        </w:rPr>
        <w:t xml:space="preserve"> pattern</w:t>
      </w:r>
      <w:r w:rsidRPr="004E06B5">
        <w:rPr>
          <w:rFonts w:ascii="Arial" w:hAnsi="Arial" w:cs="Arial"/>
          <w:color w:val="595959" w:themeColor="text1" w:themeTint="A6"/>
        </w:rPr>
        <w:t xml:space="preserve">; in the TEAOM model the expression increased significantly and was located throughout the stromal compartment as well as by H357 cancer cells. Extracellular cell adhesion modulating proteins like the tenascins also play critical roles in modulating cancer cell behaviours; these adhesion proteins modulate ECM properties toward a more flexible and migration promoting state by generating a) new cell-matrix interactions via integrins and b) generating new interactions with other stromal proteins by modulating their functions and 3D organisation (Berndt </w:t>
      </w:r>
      <w:r w:rsidRPr="004E06B5">
        <w:rPr>
          <w:rFonts w:ascii="Arial" w:hAnsi="Arial" w:cs="Arial"/>
          <w:i/>
          <w:color w:val="595959" w:themeColor="text1" w:themeTint="A6"/>
        </w:rPr>
        <w:t>et al.,</w:t>
      </w:r>
      <w:r w:rsidRPr="004E06B5">
        <w:rPr>
          <w:rFonts w:ascii="Arial" w:hAnsi="Arial" w:cs="Arial"/>
          <w:color w:val="595959" w:themeColor="text1" w:themeTint="A6"/>
        </w:rPr>
        <w:t xml:space="preserve"> 2015). TNC staining was most </w:t>
      </w:r>
      <w:r w:rsidR="004C1478">
        <w:rPr>
          <w:rFonts w:ascii="Arial" w:hAnsi="Arial" w:cs="Arial"/>
          <w:color w:val="595959" w:themeColor="text1" w:themeTint="A6"/>
        </w:rPr>
        <w:t>evident</w:t>
      </w:r>
      <w:r w:rsidRPr="004E06B5">
        <w:rPr>
          <w:rFonts w:ascii="Arial" w:hAnsi="Arial" w:cs="Arial"/>
          <w:color w:val="595959" w:themeColor="text1" w:themeTint="A6"/>
        </w:rPr>
        <w:t xml:space="preserve"> for the TEAOM model; where the staining altered from being exclusively between stromal-epithelial junctions, to exhibiting staining through-out the whole stromal compartment. This pattern of staining was also observed though-out the stroma of the TESCCM, further evidencing the importance of this glycoprotein in OSCC progression. COL1A1 staining was observed in all TEOM models. In agreement with SHGM data shown in chapter 4; collagen fibre density alter</w:t>
      </w:r>
      <w:r w:rsidR="001D4DC9">
        <w:rPr>
          <w:rFonts w:ascii="Arial" w:hAnsi="Arial" w:cs="Arial"/>
          <w:color w:val="595959" w:themeColor="text1" w:themeTint="A6"/>
        </w:rPr>
        <w:t>ed</w:t>
      </w:r>
      <w:r w:rsidRPr="004E06B5">
        <w:rPr>
          <w:rFonts w:ascii="Arial" w:hAnsi="Arial" w:cs="Arial"/>
          <w:color w:val="595959" w:themeColor="text1" w:themeTint="A6"/>
        </w:rPr>
        <w:t xml:space="preserve"> with disease progression.  COL1A1 has been shown to have a strong correlation with OSCC disease compared to normal controls (Chen </w:t>
      </w:r>
      <w:r w:rsidRPr="004E06B5">
        <w:rPr>
          <w:rFonts w:ascii="Arial" w:hAnsi="Arial" w:cs="Arial"/>
          <w:i/>
          <w:color w:val="595959" w:themeColor="text1" w:themeTint="A6"/>
        </w:rPr>
        <w:t>at al.,</w:t>
      </w:r>
      <w:r w:rsidRPr="004E06B5">
        <w:rPr>
          <w:rFonts w:ascii="Arial" w:hAnsi="Arial" w:cs="Arial"/>
          <w:color w:val="595959" w:themeColor="text1" w:themeTint="A6"/>
        </w:rPr>
        <w:t xml:space="preserve"> 2008). Both in the TEAOM model and in the TESCCM; </w:t>
      </w:r>
      <w:r w:rsidR="00FA77C3">
        <w:rPr>
          <w:rFonts w:ascii="Arial" w:hAnsi="Arial" w:cs="Arial"/>
          <w:color w:val="595959" w:themeColor="text1" w:themeTint="A6"/>
        </w:rPr>
        <w:t xml:space="preserve">heavy </w:t>
      </w:r>
      <w:r w:rsidRPr="004E06B5">
        <w:rPr>
          <w:rFonts w:ascii="Arial" w:hAnsi="Arial" w:cs="Arial"/>
          <w:color w:val="595959" w:themeColor="text1" w:themeTint="A6"/>
        </w:rPr>
        <w:t xml:space="preserve">COL1A1 staining was located </w:t>
      </w:r>
      <w:r w:rsidR="001D4DC9">
        <w:rPr>
          <w:rFonts w:ascii="Arial" w:hAnsi="Arial" w:cs="Arial"/>
          <w:color w:val="595959" w:themeColor="text1" w:themeTint="A6"/>
        </w:rPr>
        <w:t>in</w:t>
      </w:r>
      <w:r w:rsidRPr="004E06B5">
        <w:rPr>
          <w:rFonts w:ascii="Arial" w:hAnsi="Arial" w:cs="Arial"/>
          <w:color w:val="595959" w:themeColor="text1" w:themeTint="A6"/>
        </w:rPr>
        <w:t xml:space="preserve"> the stromal compartment of the models. </w:t>
      </w:r>
    </w:p>
    <w:p w14:paraId="7B1946FD" w14:textId="63B75240" w:rsidR="004E06B5" w:rsidRPr="004E06B5" w:rsidRDefault="004E06B5" w:rsidP="004E06B5">
      <w:pPr>
        <w:spacing w:line="480" w:lineRule="auto"/>
        <w:jc w:val="both"/>
        <w:rPr>
          <w:rFonts w:ascii="Arial" w:hAnsi="Arial" w:cs="Arial"/>
          <w:color w:val="595959" w:themeColor="text1" w:themeTint="A6"/>
        </w:rPr>
      </w:pPr>
      <w:r w:rsidRPr="004E06B5">
        <w:rPr>
          <w:rFonts w:ascii="Arial" w:hAnsi="Arial" w:cs="Arial"/>
          <w:color w:val="595959" w:themeColor="text1" w:themeTint="A6"/>
        </w:rPr>
        <w:t>Mesenchymal markers VIM and αSMA were also shown to have positive staining in TEOM models. Positive</w:t>
      </w:r>
      <w:r w:rsidR="007F6448">
        <w:rPr>
          <w:rFonts w:ascii="Arial" w:hAnsi="Arial" w:cs="Arial"/>
          <w:color w:val="595959" w:themeColor="text1" w:themeTint="A6"/>
        </w:rPr>
        <w:t xml:space="preserve"> </w:t>
      </w:r>
      <w:r w:rsidRPr="004E06B5">
        <w:rPr>
          <w:rFonts w:ascii="Arial" w:hAnsi="Arial" w:cs="Arial"/>
          <w:color w:val="595959" w:themeColor="text1" w:themeTint="A6"/>
        </w:rPr>
        <w:t>staining of cytoskeletal protein VIM was altered in the OSCC progression models. Found exclusively in mesenchymal cells, the expression of VIM significantly increased in TESCCM and was mainly located</w:t>
      </w:r>
      <w:r w:rsidR="00395CB5">
        <w:rPr>
          <w:rFonts w:ascii="Arial" w:hAnsi="Arial" w:cs="Arial"/>
          <w:color w:val="595959" w:themeColor="text1" w:themeTint="A6"/>
        </w:rPr>
        <w:t xml:space="preserve"> with</w:t>
      </w:r>
      <w:r w:rsidRPr="004E06B5">
        <w:rPr>
          <w:rFonts w:ascii="Arial" w:hAnsi="Arial" w:cs="Arial"/>
          <w:color w:val="595959" w:themeColor="text1" w:themeTint="A6"/>
        </w:rPr>
        <w:t xml:space="preserve"> the CAF that resided in close proximity to the epithelial cells above</w:t>
      </w:r>
      <w:r w:rsidR="00511693">
        <w:rPr>
          <w:rFonts w:ascii="Arial" w:hAnsi="Arial" w:cs="Arial"/>
          <w:color w:val="595959" w:themeColor="text1" w:themeTint="A6"/>
        </w:rPr>
        <w:t>.</w:t>
      </w:r>
      <w:r w:rsidRPr="004E06B5">
        <w:rPr>
          <w:rFonts w:ascii="Arial" w:hAnsi="Arial" w:cs="Arial"/>
          <w:color w:val="595959" w:themeColor="text1" w:themeTint="A6"/>
        </w:rPr>
        <w:t xml:space="preserve"> </w:t>
      </w:r>
      <w:r w:rsidR="00511693">
        <w:rPr>
          <w:rFonts w:ascii="Arial" w:hAnsi="Arial" w:cs="Arial"/>
          <w:color w:val="595959" w:themeColor="text1" w:themeTint="A6"/>
        </w:rPr>
        <w:t>T</w:t>
      </w:r>
      <w:r w:rsidRPr="004E06B5">
        <w:rPr>
          <w:rFonts w:ascii="Arial" w:hAnsi="Arial" w:cs="Arial"/>
          <w:color w:val="595959" w:themeColor="text1" w:themeTint="A6"/>
        </w:rPr>
        <w:t xml:space="preserve">his has also been </w:t>
      </w:r>
      <w:r w:rsidR="00511693">
        <w:rPr>
          <w:rFonts w:ascii="Arial" w:hAnsi="Arial" w:cs="Arial"/>
          <w:color w:val="595959" w:themeColor="text1" w:themeTint="A6"/>
        </w:rPr>
        <w:t>described</w:t>
      </w:r>
      <w:r w:rsidRPr="004E06B5">
        <w:rPr>
          <w:rFonts w:ascii="Arial" w:hAnsi="Arial" w:cs="Arial"/>
          <w:color w:val="595959" w:themeColor="text1" w:themeTint="A6"/>
        </w:rPr>
        <w:t xml:space="preserve"> in histochemical analysis of OSCC tissue samples (Zhou </w:t>
      </w:r>
      <w:r w:rsidRPr="004E06B5">
        <w:rPr>
          <w:rFonts w:ascii="Arial" w:hAnsi="Arial" w:cs="Arial"/>
          <w:i/>
          <w:color w:val="595959" w:themeColor="text1" w:themeTint="A6"/>
        </w:rPr>
        <w:t>et al.,</w:t>
      </w:r>
      <w:r w:rsidRPr="004E06B5">
        <w:rPr>
          <w:rFonts w:ascii="Arial" w:hAnsi="Arial" w:cs="Arial"/>
          <w:color w:val="595959" w:themeColor="text1" w:themeTint="A6"/>
        </w:rPr>
        <w:t xml:space="preserve"> 2015). VIM, also a marker of EMT, has been strongly associated with increased metastatic potential, shown by high lymph node metastases</w:t>
      </w:r>
      <w:r w:rsidR="00511693">
        <w:rPr>
          <w:rFonts w:ascii="Arial" w:hAnsi="Arial" w:cs="Arial"/>
          <w:color w:val="595959" w:themeColor="text1" w:themeTint="A6"/>
        </w:rPr>
        <w:t xml:space="preserve"> </w:t>
      </w:r>
      <w:r w:rsidRPr="004E06B5">
        <w:rPr>
          <w:rFonts w:ascii="Arial" w:hAnsi="Arial" w:cs="Arial"/>
          <w:color w:val="595959" w:themeColor="text1" w:themeTint="A6"/>
        </w:rPr>
        <w:t xml:space="preserve">and poor overall survival in </w:t>
      </w:r>
      <w:r w:rsidRPr="00D92EDA">
        <w:rPr>
          <w:rFonts w:ascii="Arial" w:hAnsi="Arial" w:cs="Arial"/>
          <w:color w:val="595959" w:themeColor="text1" w:themeTint="A6"/>
        </w:rPr>
        <w:t xml:space="preserve">IHC analysed of OSCC patients (Lui </w:t>
      </w:r>
      <w:r w:rsidRPr="00D92EDA">
        <w:rPr>
          <w:rFonts w:ascii="Arial" w:hAnsi="Arial" w:cs="Arial"/>
          <w:i/>
          <w:iCs/>
          <w:color w:val="595959" w:themeColor="text1" w:themeTint="A6"/>
        </w:rPr>
        <w:t>et al.,</w:t>
      </w:r>
      <w:r w:rsidRPr="00D92EDA">
        <w:rPr>
          <w:rFonts w:ascii="Arial" w:hAnsi="Arial" w:cs="Arial"/>
          <w:color w:val="595959" w:themeColor="text1" w:themeTint="A6"/>
        </w:rPr>
        <w:t xml:space="preserve"> 2016). αSMA; a marker of ‘activated fibroblasts’ has also been </w:t>
      </w:r>
      <w:r w:rsidR="00A761B9" w:rsidRPr="00D92EDA">
        <w:rPr>
          <w:rFonts w:ascii="Arial" w:hAnsi="Arial" w:cs="Arial"/>
          <w:color w:val="595959" w:themeColor="text1" w:themeTint="A6"/>
        </w:rPr>
        <w:t>posi</w:t>
      </w:r>
      <w:r w:rsidRPr="00D92EDA">
        <w:rPr>
          <w:rFonts w:ascii="Arial" w:hAnsi="Arial" w:cs="Arial"/>
          <w:color w:val="595959" w:themeColor="text1" w:themeTint="A6"/>
        </w:rPr>
        <w:t xml:space="preserve">tively </w:t>
      </w:r>
      <w:r w:rsidR="007F6448" w:rsidRPr="00D92EDA">
        <w:rPr>
          <w:rFonts w:ascii="Arial" w:hAnsi="Arial" w:cs="Arial"/>
          <w:color w:val="595959" w:themeColor="text1" w:themeTint="A6"/>
        </w:rPr>
        <w:t xml:space="preserve">correlated </w:t>
      </w:r>
      <w:r w:rsidRPr="00D92EDA">
        <w:rPr>
          <w:rFonts w:ascii="Arial" w:hAnsi="Arial" w:cs="Arial"/>
          <w:color w:val="595959" w:themeColor="text1" w:themeTint="A6"/>
        </w:rPr>
        <w:t xml:space="preserve">with OSCC disease progression in OSCC (Vered </w:t>
      </w:r>
      <w:r w:rsidRPr="00D92EDA">
        <w:rPr>
          <w:rFonts w:ascii="Arial" w:hAnsi="Arial" w:cs="Arial"/>
          <w:i/>
          <w:color w:val="595959" w:themeColor="text1" w:themeTint="A6"/>
        </w:rPr>
        <w:t>et al.,</w:t>
      </w:r>
      <w:r w:rsidRPr="00D92EDA">
        <w:rPr>
          <w:rFonts w:ascii="Arial" w:hAnsi="Arial" w:cs="Arial"/>
          <w:color w:val="595959" w:themeColor="text1" w:themeTint="A6"/>
        </w:rPr>
        <w:t xml:space="preserve"> 2009, and Bharak </w:t>
      </w:r>
      <w:r w:rsidRPr="00D92EDA">
        <w:rPr>
          <w:rFonts w:ascii="Arial" w:hAnsi="Arial" w:cs="Arial"/>
          <w:i/>
          <w:color w:val="595959" w:themeColor="text1" w:themeTint="A6"/>
        </w:rPr>
        <w:t>et al.,</w:t>
      </w:r>
      <w:r w:rsidRPr="00D92EDA">
        <w:rPr>
          <w:rFonts w:ascii="Arial" w:hAnsi="Arial" w:cs="Arial"/>
          <w:color w:val="595959" w:themeColor="text1" w:themeTint="A6"/>
        </w:rPr>
        <w:t xml:space="preserve"> 2014</w:t>
      </w:r>
      <w:r w:rsidR="007F6448" w:rsidRPr="00D92EDA">
        <w:rPr>
          <w:rFonts w:ascii="Arial" w:hAnsi="Arial" w:cs="Arial"/>
          <w:color w:val="595959" w:themeColor="text1" w:themeTint="A6"/>
        </w:rPr>
        <w:t xml:space="preserve">, Marsh </w:t>
      </w:r>
      <w:r w:rsidR="007F6448" w:rsidRPr="00D92EDA">
        <w:rPr>
          <w:rFonts w:ascii="Arial" w:hAnsi="Arial" w:cs="Arial"/>
          <w:i/>
          <w:iCs/>
          <w:color w:val="595959" w:themeColor="text1" w:themeTint="A6"/>
        </w:rPr>
        <w:t>et al.,</w:t>
      </w:r>
      <w:r w:rsidR="00674047" w:rsidRPr="00D92EDA">
        <w:rPr>
          <w:rFonts w:ascii="Arial" w:hAnsi="Arial" w:cs="Arial"/>
          <w:color w:val="595959" w:themeColor="text1" w:themeTint="A6"/>
        </w:rPr>
        <w:t xml:space="preserve"> 2011</w:t>
      </w:r>
      <w:r w:rsidRPr="00D92EDA">
        <w:rPr>
          <w:rFonts w:ascii="Arial" w:hAnsi="Arial" w:cs="Arial"/>
          <w:color w:val="595959" w:themeColor="text1" w:themeTint="A6"/>
        </w:rPr>
        <w:t xml:space="preserve">). Positive staining was </w:t>
      </w:r>
      <w:r w:rsidR="00C261AC" w:rsidRPr="00D92EDA">
        <w:rPr>
          <w:rFonts w:ascii="Arial" w:hAnsi="Arial" w:cs="Arial"/>
          <w:color w:val="595959" w:themeColor="text1" w:themeTint="A6"/>
        </w:rPr>
        <w:t>detectable</w:t>
      </w:r>
      <w:r w:rsidRPr="00D92EDA">
        <w:rPr>
          <w:rFonts w:ascii="Arial" w:hAnsi="Arial" w:cs="Arial"/>
          <w:color w:val="595959" w:themeColor="text1" w:themeTint="A6"/>
        </w:rPr>
        <w:t xml:space="preserve"> </w:t>
      </w:r>
      <w:r w:rsidR="00481186" w:rsidRPr="00D92EDA">
        <w:rPr>
          <w:rFonts w:ascii="Arial" w:hAnsi="Arial" w:cs="Arial"/>
          <w:color w:val="595959" w:themeColor="text1" w:themeTint="A6"/>
        </w:rPr>
        <w:t xml:space="preserve">in the stroma of all </w:t>
      </w:r>
      <w:r w:rsidRPr="00D92EDA">
        <w:rPr>
          <w:rFonts w:ascii="Arial" w:hAnsi="Arial" w:cs="Arial"/>
          <w:color w:val="595959" w:themeColor="text1" w:themeTint="A6"/>
        </w:rPr>
        <w:t xml:space="preserve">TEOM models, with significant increase in staining index </w:t>
      </w:r>
      <w:r w:rsidR="00481186" w:rsidRPr="00D92EDA">
        <w:rPr>
          <w:rFonts w:ascii="Arial" w:hAnsi="Arial" w:cs="Arial"/>
          <w:color w:val="595959" w:themeColor="text1" w:themeTint="A6"/>
        </w:rPr>
        <w:t>observed in</w:t>
      </w:r>
      <w:r w:rsidRPr="00D92EDA">
        <w:rPr>
          <w:rFonts w:ascii="Arial" w:hAnsi="Arial" w:cs="Arial"/>
          <w:color w:val="595959" w:themeColor="text1" w:themeTint="A6"/>
        </w:rPr>
        <w:t xml:space="preserve"> TESCCM which suggests that these models also mimic </w:t>
      </w:r>
      <w:r w:rsidRPr="004E06B5">
        <w:rPr>
          <w:rFonts w:ascii="Arial" w:hAnsi="Arial" w:cs="Arial"/>
          <w:color w:val="595959" w:themeColor="text1" w:themeTint="A6"/>
        </w:rPr>
        <w:t>the changes seen</w:t>
      </w:r>
      <w:r w:rsidR="00C261AC">
        <w:rPr>
          <w:rFonts w:ascii="Arial" w:hAnsi="Arial" w:cs="Arial"/>
          <w:color w:val="595959" w:themeColor="text1" w:themeTint="A6"/>
        </w:rPr>
        <w:t xml:space="preserve"> in the</w:t>
      </w:r>
      <w:r w:rsidRPr="004E06B5">
        <w:rPr>
          <w:rFonts w:ascii="Arial" w:hAnsi="Arial" w:cs="Arial"/>
          <w:color w:val="595959" w:themeColor="text1" w:themeTint="A6"/>
        </w:rPr>
        <w:t xml:space="preserve"> </w:t>
      </w:r>
      <w:r w:rsidRPr="004E06B5">
        <w:rPr>
          <w:rFonts w:ascii="Arial" w:hAnsi="Arial" w:cs="Arial"/>
          <w:i/>
          <w:color w:val="595959" w:themeColor="text1" w:themeTint="A6"/>
        </w:rPr>
        <w:t>in vivo</w:t>
      </w:r>
      <w:r w:rsidRPr="004E06B5">
        <w:rPr>
          <w:rFonts w:ascii="Arial" w:hAnsi="Arial" w:cs="Arial"/>
          <w:color w:val="595959" w:themeColor="text1" w:themeTint="A6"/>
        </w:rPr>
        <w:t xml:space="preserve"> </w:t>
      </w:r>
      <w:r w:rsidR="00C261AC">
        <w:rPr>
          <w:rFonts w:ascii="Arial" w:hAnsi="Arial" w:cs="Arial"/>
          <w:color w:val="595959" w:themeColor="text1" w:themeTint="A6"/>
        </w:rPr>
        <w:t>tumour microenvironment</w:t>
      </w:r>
      <w:r w:rsidRPr="004E06B5">
        <w:rPr>
          <w:rFonts w:ascii="Arial" w:hAnsi="Arial" w:cs="Arial"/>
          <w:color w:val="595959" w:themeColor="text1" w:themeTint="A6"/>
        </w:rPr>
        <w:t xml:space="preserve">. </w:t>
      </w:r>
    </w:p>
    <w:p w14:paraId="1334B24F" w14:textId="6E12B543" w:rsidR="006D1861" w:rsidRPr="004E06B5" w:rsidRDefault="004E06B5" w:rsidP="006D1861">
      <w:pPr>
        <w:spacing w:line="480" w:lineRule="auto"/>
        <w:jc w:val="both"/>
        <w:rPr>
          <w:rFonts w:ascii="Arial" w:hAnsi="Arial" w:cs="Arial"/>
          <w:color w:val="595959" w:themeColor="text1" w:themeTint="A6"/>
        </w:rPr>
      </w:pPr>
      <w:r w:rsidRPr="004E06B5">
        <w:rPr>
          <w:rFonts w:ascii="Arial" w:hAnsi="Arial" w:cs="Arial"/>
          <w:color w:val="595959" w:themeColor="text1" w:themeTint="A6"/>
        </w:rPr>
        <w:t xml:space="preserve">Cancer cells migration is a key step in the dissemination of cells from a primary tumour site through the stromal compartment and associated ECM during cancer metastasis. Therefore, understanding </w:t>
      </w:r>
      <w:r w:rsidR="00CE0680">
        <w:rPr>
          <w:rFonts w:ascii="Arial" w:hAnsi="Arial" w:cs="Arial"/>
          <w:color w:val="595959" w:themeColor="text1" w:themeTint="A6"/>
        </w:rPr>
        <w:t xml:space="preserve">cancer </w:t>
      </w:r>
      <w:r w:rsidRPr="004E06B5">
        <w:rPr>
          <w:rFonts w:ascii="Arial" w:hAnsi="Arial" w:cs="Arial"/>
          <w:color w:val="595959" w:themeColor="text1" w:themeTint="A6"/>
        </w:rPr>
        <w:t xml:space="preserve">cell </w:t>
      </w:r>
      <w:r w:rsidR="00CE0680">
        <w:rPr>
          <w:rFonts w:ascii="Arial" w:hAnsi="Arial" w:cs="Arial"/>
          <w:color w:val="595959" w:themeColor="text1" w:themeTint="A6"/>
        </w:rPr>
        <w:t xml:space="preserve">behaviour including the </w:t>
      </w:r>
      <w:r w:rsidRPr="004E06B5">
        <w:rPr>
          <w:rFonts w:ascii="Arial" w:hAnsi="Arial" w:cs="Arial"/>
          <w:color w:val="595959" w:themeColor="text1" w:themeTint="A6"/>
        </w:rPr>
        <w:t xml:space="preserve">migration patterns influenced by the stromal compartment is of paramount importance in OSCC disease progression. Migrating cells are capable of both proteolytic- and force-mediated matrix remodelling and this allows the formation of cleared pathways or ‘tracks’ within the ECM (Gaggioli </w:t>
      </w:r>
      <w:r w:rsidRPr="004E06B5">
        <w:rPr>
          <w:rFonts w:ascii="Arial" w:hAnsi="Arial" w:cs="Arial"/>
          <w:i/>
          <w:color w:val="595959" w:themeColor="text1" w:themeTint="A6"/>
        </w:rPr>
        <w:t>et al.</w:t>
      </w:r>
      <w:r w:rsidRPr="004E06B5">
        <w:rPr>
          <w:rFonts w:ascii="Arial" w:hAnsi="Arial" w:cs="Arial"/>
          <w:color w:val="595959" w:themeColor="text1" w:themeTint="A6"/>
        </w:rPr>
        <w:t xml:space="preserve">, 2007, Friedl and Gilmour, 2009 and Giampieri </w:t>
      </w:r>
      <w:r w:rsidRPr="004E06B5">
        <w:rPr>
          <w:rFonts w:ascii="Arial" w:hAnsi="Arial" w:cs="Arial"/>
          <w:i/>
          <w:color w:val="595959" w:themeColor="text1" w:themeTint="A6"/>
        </w:rPr>
        <w:t>et al.,</w:t>
      </w:r>
      <w:r w:rsidRPr="004E06B5">
        <w:rPr>
          <w:rFonts w:ascii="Arial" w:hAnsi="Arial" w:cs="Arial"/>
          <w:color w:val="595959" w:themeColor="text1" w:themeTint="A6"/>
        </w:rPr>
        <w:t xml:space="preserve"> 2009). </w:t>
      </w:r>
      <w:r w:rsidR="000B2B89">
        <w:rPr>
          <w:rFonts w:ascii="Arial" w:hAnsi="Arial" w:cs="Arial"/>
          <w:color w:val="595959" w:themeColor="text1" w:themeTint="A6"/>
        </w:rPr>
        <w:t xml:space="preserve">As </w:t>
      </w:r>
      <w:r w:rsidRPr="004E06B5">
        <w:rPr>
          <w:rFonts w:ascii="Arial" w:hAnsi="Arial" w:cs="Arial"/>
          <w:color w:val="595959" w:themeColor="text1" w:themeTint="A6"/>
        </w:rPr>
        <w:t xml:space="preserve">ECM remodelling is a crucial step in allowing cancer cells to invade into the stroma and is associated with increased MMP activity in these tissues. </w:t>
      </w:r>
      <w:r w:rsidR="000B2B89">
        <w:rPr>
          <w:rFonts w:ascii="Arial" w:hAnsi="Arial" w:cs="Arial"/>
          <w:color w:val="595959" w:themeColor="text1" w:themeTint="A6"/>
        </w:rPr>
        <w:t xml:space="preserve">We sort to </w:t>
      </w:r>
      <w:r w:rsidRPr="004E06B5">
        <w:rPr>
          <w:rFonts w:ascii="Arial" w:hAnsi="Arial" w:cs="Arial"/>
          <w:color w:val="595959" w:themeColor="text1" w:themeTint="A6"/>
        </w:rPr>
        <w:t>assess the activity of MMP-2 and -9</w:t>
      </w:r>
      <w:r w:rsidR="000B2B89">
        <w:rPr>
          <w:rFonts w:ascii="Arial" w:hAnsi="Arial" w:cs="Arial"/>
          <w:color w:val="595959" w:themeColor="text1" w:themeTint="A6"/>
        </w:rPr>
        <w:t xml:space="preserve"> in our model systems</w:t>
      </w:r>
      <w:r w:rsidR="0093094E">
        <w:rPr>
          <w:rFonts w:ascii="Arial" w:hAnsi="Arial" w:cs="Arial"/>
          <w:color w:val="595959" w:themeColor="text1" w:themeTint="A6"/>
        </w:rPr>
        <w:t>,</w:t>
      </w:r>
      <w:r w:rsidRPr="004E06B5">
        <w:rPr>
          <w:rFonts w:ascii="Arial" w:hAnsi="Arial" w:cs="Arial"/>
          <w:color w:val="595959" w:themeColor="text1" w:themeTint="A6"/>
        </w:rPr>
        <w:t xml:space="preserve"> with both showing active enzymatic activity </w:t>
      </w:r>
      <w:r w:rsidRPr="004E06B5">
        <w:rPr>
          <w:rFonts w:ascii="Arial" w:hAnsi="Arial" w:cs="Arial"/>
          <w:i/>
          <w:iCs/>
          <w:color w:val="595959" w:themeColor="text1" w:themeTint="A6"/>
        </w:rPr>
        <w:t xml:space="preserve">in vitro. </w:t>
      </w:r>
      <w:r w:rsidRPr="004E06B5">
        <w:rPr>
          <w:rFonts w:ascii="Arial" w:hAnsi="Arial" w:cs="Arial"/>
          <w:color w:val="595959" w:themeColor="text1" w:themeTint="A6"/>
        </w:rPr>
        <w:t>A significant increase in MMP-9 activity was noted in both the TEAOM and TESCC models suggesting an elevation in tissue remodelling. This is in agreement with observ</w:t>
      </w:r>
      <w:r w:rsidR="0093094E">
        <w:rPr>
          <w:rFonts w:ascii="Arial" w:hAnsi="Arial" w:cs="Arial"/>
          <w:color w:val="595959" w:themeColor="text1" w:themeTint="A6"/>
        </w:rPr>
        <w:t>ations</w:t>
      </w:r>
      <w:r w:rsidRPr="004E06B5">
        <w:rPr>
          <w:rFonts w:ascii="Arial" w:hAnsi="Arial" w:cs="Arial"/>
          <w:color w:val="595959" w:themeColor="text1" w:themeTint="A6"/>
        </w:rPr>
        <w:t xml:space="preserve"> in both the histoarchitecture and protein composition of mucosa models representing various stages of the OSCC disease phenotype as well research showing increased MMP activity has been shown to degrade the basement membrane in cancer (Kleinmann and Martin, 2005). </w:t>
      </w:r>
      <w:r w:rsidR="006D1861" w:rsidRPr="004E06B5">
        <w:rPr>
          <w:rFonts w:ascii="Arial" w:hAnsi="Arial" w:cs="Arial"/>
          <w:color w:val="595959" w:themeColor="text1" w:themeTint="A6"/>
        </w:rPr>
        <w:t xml:space="preserve">Metastatic cancer cells </w:t>
      </w:r>
      <w:r w:rsidR="006D1861">
        <w:rPr>
          <w:rFonts w:ascii="Arial" w:hAnsi="Arial" w:cs="Arial"/>
          <w:color w:val="595959" w:themeColor="text1" w:themeTint="A6"/>
        </w:rPr>
        <w:t>invade</w:t>
      </w:r>
      <w:r w:rsidR="006D1861" w:rsidRPr="004E06B5">
        <w:rPr>
          <w:rFonts w:ascii="Arial" w:hAnsi="Arial" w:cs="Arial"/>
          <w:color w:val="595959" w:themeColor="text1" w:themeTint="A6"/>
        </w:rPr>
        <w:t xml:space="preserve"> by using diverse migration strategies that are </w:t>
      </w:r>
      <w:r w:rsidR="00E622E9" w:rsidRPr="004E06B5">
        <w:rPr>
          <w:rFonts w:ascii="Arial" w:hAnsi="Arial" w:cs="Arial"/>
          <w:color w:val="595959" w:themeColor="text1" w:themeTint="A6"/>
        </w:rPr>
        <w:t>microenvironment dependent</w:t>
      </w:r>
      <w:r w:rsidR="006D1861">
        <w:rPr>
          <w:rFonts w:ascii="Arial" w:hAnsi="Arial" w:cs="Arial"/>
          <w:color w:val="595959" w:themeColor="text1" w:themeTint="A6"/>
        </w:rPr>
        <w:t>. T</w:t>
      </w:r>
      <w:r w:rsidR="006D1861" w:rsidRPr="004E06B5">
        <w:rPr>
          <w:rFonts w:ascii="Arial" w:hAnsi="Arial" w:cs="Arial"/>
          <w:color w:val="595959" w:themeColor="text1" w:themeTint="A6"/>
        </w:rPr>
        <w:t>herefore</w:t>
      </w:r>
      <w:r w:rsidR="006D1861">
        <w:rPr>
          <w:rFonts w:ascii="Arial" w:hAnsi="Arial" w:cs="Arial"/>
          <w:color w:val="595959" w:themeColor="text1" w:themeTint="A6"/>
        </w:rPr>
        <w:t>,</w:t>
      </w:r>
      <w:r w:rsidR="006D1861" w:rsidRPr="004E06B5">
        <w:rPr>
          <w:rFonts w:ascii="Arial" w:hAnsi="Arial" w:cs="Arial"/>
          <w:color w:val="595959" w:themeColor="text1" w:themeTint="A6"/>
        </w:rPr>
        <w:t xml:space="preserve"> physical and biochemical cues instigated </w:t>
      </w:r>
      <w:r w:rsidR="006D1861">
        <w:rPr>
          <w:rFonts w:ascii="Arial" w:hAnsi="Arial" w:cs="Arial"/>
          <w:color w:val="595959" w:themeColor="text1" w:themeTint="A6"/>
        </w:rPr>
        <w:t xml:space="preserve">from </w:t>
      </w:r>
      <w:r w:rsidR="006D1861" w:rsidRPr="004E06B5">
        <w:rPr>
          <w:rFonts w:ascii="Arial" w:hAnsi="Arial" w:cs="Arial"/>
          <w:color w:val="595959" w:themeColor="text1" w:themeTint="A6"/>
        </w:rPr>
        <w:t xml:space="preserve">the ECM can directly influence cellular behaviour (Friedl and Wolf, 2003). We have provided evidence that exploits </w:t>
      </w:r>
      <w:r w:rsidR="006D1861">
        <w:rPr>
          <w:rFonts w:ascii="Arial" w:hAnsi="Arial" w:cs="Arial"/>
          <w:color w:val="595959" w:themeColor="text1" w:themeTint="A6"/>
        </w:rPr>
        <w:t xml:space="preserve">human FDM can be used </w:t>
      </w:r>
      <w:r w:rsidR="006D1861" w:rsidRPr="004E06B5">
        <w:rPr>
          <w:rFonts w:ascii="Arial" w:hAnsi="Arial" w:cs="Arial"/>
          <w:color w:val="595959" w:themeColor="text1" w:themeTint="A6"/>
        </w:rPr>
        <w:t>as a</w:t>
      </w:r>
      <w:r w:rsidR="006D1861">
        <w:rPr>
          <w:rFonts w:ascii="Arial" w:hAnsi="Arial" w:cs="Arial"/>
          <w:color w:val="595959" w:themeColor="text1" w:themeTint="A6"/>
        </w:rPr>
        <w:t xml:space="preserve"> tool </w:t>
      </w:r>
      <w:r w:rsidR="006D1861" w:rsidRPr="004E06B5">
        <w:rPr>
          <w:rFonts w:ascii="Arial" w:hAnsi="Arial" w:cs="Arial"/>
          <w:color w:val="595959" w:themeColor="text1" w:themeTint="A6"/>
        </w:rPr>
        <w:t xml:space="preserve">for investigating the biological outcome of cancer interactions. </w:t>
      </w:r>
      <w:r w:rsidR="006D1861">
        <w:rPr>
          <w:rFonts w:ascii="Arial" w:hAnsi="Arial" w:cs="Arial"/>
          <w:color w:val="595959" w:themeColor="text1" w:themeTint="A6"/>
        </w:rPr>
        <w:t xml:space="preserve">Here we have shown an </w:t>
      </w:r>
      <w:r w:rsidR="006D1861" w:rsidRPr="004E06B5">
        <w:rPr>
          <w:rFonts w:ascii="Arial" w:hAnsi="Arial" w:cs="Arial"/>
          <w:color w:val="595959" w:themeColor="text1" w:themeTint="A6"/>
        </w:rPr>
        <w:t xml:space="preserve">enhancement of the migration and directness of H357 cancer cells as well as normal FNB6 cells on the CAF-DM and a normalised cell migration when cancer cells reside on normal FDM substrates; suggesting that CAF-deposited matrix provides a tumour permissive environment and is directly relatable to the migration of cells </w:t>
      </w:r>
      <w:r w:rsidR="006D1861" w:rsidRPr="004E06B5">
        <w:rPr>
          <w:rFonts w:ascii="Arial" w:hAnsi="Arial" w:cs="Arial"/>
          <w:i/>
          <w:iCs/>
          <w:color w:val="595959" w:themeColor="text1" w:themeTint="A6"/>
        </w:rPr>
        <w:t>in vitro</w:t>
      </w:r>
      <w:r w:rsidR="00B42441">
        <w:rPr>
          <w:rFonts w:ascii="Arial" w:hAnsi="Arial" w:cs="Arial"/>
          <w:i/>
          <w:iCs/>
          <w:color w:val="595959" w:themeColor="text1" w:themeTint="A6"/>
        </w:rPr>
        <w:t xml:space="preserve"> (</w:t>
      </w:r>
      <w:r w:rsidR="00B42441" w:rsidRPr="00B42441">
        <w:rPr>
          <w:rFonts w:ascii="Arial" w:hAnsi="Arial" w:cs="Arial"/>
          <w:color w:val="595959" w:themeColor="text1" w:themeTint="A6"/>
        </w:rPr>
        <w:t xml:space="preserve">Kaukonen </w:t>
      </w:r>
      <w:r w:rsidR="00B42441">
        <w:rPr>
          <w:rFonts w:ascii="Arial" w:hAnsi="Arial" w:cs="Arial"/>
          <w:i/>
          <w:iCs/>
          <w:color w:val="595959" w:themeColor="text1" w:themeTint="A6"/>
        </w:rPr>
        <w:t xml:space="preserve">et al., </w:t>
      </w:r>
      <w:r w:rsidR="00B42441" w:rsidRPr="00B42441">
        <w:rPr>
          <w:rFonts w:ascii="Arial" w:hAnsi="Arial" w:cs="Arial"/>
          <w:color w:val="595959" w:themeColor="text1" w:themeTint="A6"/>
        </w:rPr>
        <w:t>2017</w:t>
      </w:r>
      <w:r w:rsidR="00B42441">
        <w:rPr>
          <w:rFonts w:ascii="Arial" w:hAnsi="Arial" w:cs="Arial"/>
          <w:i/>
          <w:iCs/>
          <w:color w:val="595959" w:themeColor="text1" w:themeTint="A6"/>
        </w:rPr>
        <w:t>)</w:t>
      </w:r>
      <w:r w:rsidR="006D1861" w:rsidRPr="004E06B5">
        <w:rPr>
          <w:rFonts w:ascii="Arial" w:hAnsi="Arial" w:cs="Arial"/>
          <w:color w:val="595959" w:themeColor="text1" w:themeTint="A6"/>
        </w:rPr>
        <w:t xml:space="preserve">. </w:t>
      </w:r>
      <w:r w:rsidR="00856103">
        <w:rPr>
          <w:rFonts w:ascii="Arial" w:hAnsi="Arial" w:cs="Arial"/>
          <w:color w:val="595959" w:themeColor="text1" w:themeTint="A6"/>
        </w:rPr>
        <w:t xml:space="preserve">Adhesion was reduced on CAF-DM as well as </w:t>
      </w:r>
      <w:r w:rsidR="007C118C">
        <w:rPr>
          <w:rFonts w:ascii="Arial" w:hAnsi="Arial" w:cs="Arial"/>
          <w:color w:val="595959" w:themeColor="text1" w:themeTint="A6"/>
        </w:rPr>
        <w:t xml:space="preserve">an increase in both normal and cancer cell proliferation on CAF-DM. </w:t>
      </w:r>
      <w:r w:rsidR="006D1861" w:rsidRPr="004E06B5">
        <w:rPr>
          <w:rFonts w:ascii="Arial" w:hAnsi="Arial" w:cs="Arial"/>
          <w:color w:val="595959" w:themeColor="text1" w:themeTint="A6"/>
        </w:rPr>
        <w:t>This is also observed in the histo</w:t>
      </w:r>
      <w:r w:rsidR="006D1861">
        <w:rPr>
          <w:rFonts w:ascii="Arial" w:hAnsi="Arial" w:cs="Arial"/>
          <w:color w:val="595959" w:themeColor="text1" w:themeTint="A6"/>
        </w:rPr>
        <w:t xml:space="preserve">logical analysis </w:t>
      </w:r>
      <w:r w:rsidR="006D1861" w:rsidRPr="004E06B5">
        <w:rPr>
          <w:rFonts w:ascii="Arial" w:hAnsi="Arial" w:cs="Arial"/>
          <w:color w:val="595959" w:themeColor="text1" w:themeTint="A6"/>
        </w:rPr>
        <w:t xml:space="preserve">of the TESCCM </w:t>
      </w:r>
      <w:r w:rsidR="006D1861">
        <w:rPr>
          <w:rFonts w:ascii="Arial" w:hAnsi="Arial" w:cs="Arial"/>
          <w:color w:val="595959" w:themeColor="text1" w:themeTint="A6"/>
        </w:rPr>
        <w:t xml:space="preserve">showing </w:t>
      </w:r>
      <w:r w:rsidR="006D1861" w:rsidRPr="004E06B5">
        <w:rPr>
          <w:rFonts w:ascii="Arial" w:hAnsi="Arial" w:cs="Arial"/>
          <w:color w:val="595959" w:themeColor="text1" w:themeTint="A6"/>
        </w:rPr>
        <w:t xml:space="preserve">evidence of H357 cells invading through the ECM compartment.  The directional persistence of migratory cells is indicative of a preference for certain cell tracks, from previous work using SHGM (chapter 4) on these FDM, the likely tracks could be collagen fibres; fluorescently staining collagen fibres and cancer cells within these models may be of use to investigate this hypothetical form of movement as the ECM is a contributing substrate suitable for cell motility, with its topography dynamically controlling cell behaviour (Grinnell </w:t>
      </w:r>
      <w:r w:rsidR="006D1861" w:rsidRPr="004E06B5">
        <w:rPr>
          <w:rFonts w:ascii="Arial" w:hAnsi="Arial" w:cs="Arial"/>
          <w:i/>
          <w:iCs/>
          <w:color w:val="595959" w:themeColor="text1" w:themeTint="A6"/>
        </w:rPr>
        <w:t>et al.,</w:t>
      </w:r>
      <w:r w:rsidR="006D1861" w:rsidRPr="004E06B5">
        <w:rPr>
          <w:rFonts w:ascii="Arial" w:hAnsi="Arial" w:cs="Arial"/>
          <w:color w:val="595959" w:themeColor="text1" w:themeTint="A6"/>
        </w:rPr>
        <w:t xml:space="preserve"> 2010). </w:t>
      </w:r>
    </w:p>
    <w:p w14:paraId="45ADAB7C" w14:textId="7656EB43" w:rsidR="004E06B5" w:rsidRDefault="004E06B5" w:rsidP="004E06B5">
      <w:pPr>
        <w:tabs>
          <w:tab w:val="left" w:pos="1058"/>
        </w:tabs>
        <w:spacing w:line="480" w:lineRule="auto"/>
        <w:jc w:val="both"/>
        <w:rPr>
          <w:rFonts w:ascii="Arial" w:hAnsi="Arial" w:cs="Arial"/>
          <w:color w:val="595959" w:themeColor="text1" w:themeTint="A6"/>
        </w:rPr>
      </w:pPr>
      <w:r w:rsidRPr="004E06B5">
        <w:rPr>
          <w:rFonts w:ascii="Arial" w:hAnsi="Arial" w:cs="Arial"/>
          <w:color w:val="595959" w:themeColor="text1" w:themeTint="A6"/>
        </w:rPr>
        <w:t>To summarise, the</w:t>
      </w:r>
      <w:r w:rsidR="00BF1DB3">
        <w:rPr>
          <w:rFonts w:ascii="Arial" w:hAnsi="Arial" w:cs="Arial"/>
          <w:color w:val="595959" w:themeColor="text1" w:themeTint="A6"/>
        </w:rPr>
        <w:t xml:space="preserve"> </w:t>
      </w:r>
      <w:r w:rsidR="008360AE">
        <w:rPr>
          <w:rFonts w:ascii="Arial" w:hAnsi="Arial" w:cs="Arial"/>
          <w:color w:val="595959" w:themeColor="text1" w:themeTint="A6"/>
        </w:rPr>
        <w:t xml:space="preserve">fully </w:t>
      </w:r>
      <w:r w:rsidR="00BF1DB3">
        <w:rPr>
          <w:rFonts w:ascii="Arial" w:hAnsi="Arial" w:cs="Arial"/>
          <w:color w:val="595959" w:themeColor="text1" w:themeTint="A6"/>
        </w:rPr>
        <w:t>human</w:t>
      </w:r>
      <w:r w:rsidR="008360AE">
        <w:rPr>
          <w:rFonts w:ascii="Arial" w:hAnsi="Arial" w:cs="Arial"/>
          <w:color w:val="595959" w:themeColor="text1" w:themeTint="A6"/>
        </w:rPr>
        <w:t xml:space="preserve"> </w:t>
      </w:r>
      <w:r w:rsidRPr="004E06B5">
        <w:rPr>
          <w:rFonts w:ascii="Arial" w:hAnsi="Arial" w:cs="Arial"/>
          <w:color w:val="595959" w:themeColor="text1" w:themeTint="A6"/>
        </w:rPr>
        <w:t xml:space="preserve">3D tissue-engineered oral mucosa models </w:t>
      </w:r>
      <w:r w:rsidR="00333E6B">
        <w:rPr>
          <w:rFonts w:ascii="Arial" w:hAnsi="Arial" w:cs="Arial"/>
          <w:color w:val="595959" w:themeColor="text1" w:themeTint="A6"/>
        </w:rPr>
        <w:t xml:space="preserve">described </w:t>
      </w:r>
      <w:r w:rsidRPr="004E06B5">
        <w:rPr>
          <w:rFonts w:ascii="Arial" w:hAnsi="Arial" w:cs="Arial"/>
          <w:color w:val="595959" w:themeColor="text1" w:themeTint="A6"/>
        </w:rPr>
        <w:t>here combine the advantages of </w:t>
      </w:r>
      <w:r w:rsidRPr="004E06B5">
        <w:rPr>
          <w:rFonts w:ascii="Arial" w:hAnsi="Arial" w:cs="Arial"/>
          <w:i/>
          <w:iCs/>
          <w:color w:val="595959" w:themeColor="text1" w:themeTint="A6"/>
        </w:rPr>
        <w:t>in vitro</w:t>
      </w:r>
      <w:r w:rsidRPr="004E06B5">
        <w:rPr>
          <w:rFonts w:ascii="Arial" w:hAnsi="Arial" w:cs="Arial"/>
          <w:color w:val="595959" w:themeColor="text1" w:themeTint="A6"/>
        </w:rPr>
        <w:t xml:space="preserve"> generated models of high reproducibility, availability, and adjustability with a representative ECM geometry derived from both NOF and CAF. As such, </w:t>
      </w:r>
      <w:r w:rsidR="00CA3AD4">
        <w:rPr>
          <w:rFonts w:ascii="Arial" w:hAnsi="Arial" w:cs="Arial"/>
          <w:color w:val="595959" w:themeColor="text1" w:themeTint="A6"/>
        </w:rPr>
        <w:t>they</w:t>
      </w:r>
      <w:r w:rsidRPr="004E06B5">
        <w:rPr>
          <w:rFonts w:ascii="Arial" w:hAnsi="Arial" w:cs="Arial"/>
          <w:color w:val="595959" w:themeColor="text1" w:themeTint="A6"/>
        </w:rPr>
        <w:t xml:space="preserve"> provide</w:t>
      </w:r>
      <w:r w:rsidR="00CA3AD4">
        <w:rPr>
          <w:rFonts w:ascii="Arial" w:hAnsi="Arial" w:cs="Arial"/>
          <w:color w:val="595959" w:themeColor="text1" w:themeTint="A6"/>
        </w:rPr>
        <w:t xml:space="preserve"> </w:t>
      </w:r>
      <w:r w:rsidRPr="004E06B5">
        <w:rPr>
          <w:rFonts w:ascii="Arial" w:hAnsi="Arial" w:cs="Arial"/>
          <w:color w:val="595959" w:themeColor="text1" w:themeTint="A6"/>
        </w:rPr>
        <w:t>model</w:t>
      </w:r>
      <w:r w:rsidR="00CA3AD4">
        <w:rPr>
          <w:rFonts w:ascii="Arial" w:hAnsi="Arial" w:cs="Arial"/>
          <w:color w:val="595959" w:themeColor="text1" w:themeTint="A6"/>
        </w:rPr>
        <w:t xml:space="preserve"> systems</w:t>
      </w:r>
      <w:r w:rsidRPr="004E06B5">
        <w:rPr>
          <w:rFonts w:ascii="Arial" w:hAnsi="Arial" w:cs="Arial"/>
          <w:color w:val="595959" w:themeColor="text1" w:themeTint="A6"/>
        </w:rPr>
        <w:t xml:space="preserve"> to examine the influence of physiological and pathological ECM compositions, and therapeutic perturbations of these on OSCC cell behaviour. In addition, it can be used to study 3D migration and invasion processes or decipher further tumour–stroma interactions of OSCC cells and their surrounding fibroblasts. </w:t>
      </w:r>
    </w:p>
    <w:p w14:paraId="4FC11239" w14:textId="3CE4EA93" w:rsidR="00F311FA" w:rsidRDefault="00F311FA" w:rsidP="004E06B5">
      <w:pPr>
        <w:tabs>
          <w:tab w:val="left" w:pos="1058"/>
        </w:tabs>
        <w:spacing w:line="480" w:lineRule="auto"/>
        <w:jc w:val="both"/>
        <w:rPr>
          <w:rFonts w:ascii="Arial" w:hAnsi="Arial" w:cs="Arial"/>
          <w:color w:val="595959" w:themeColor="text1" w:themeTint="A6"/>
        </w:rPr>
      </w:pPr>
    </w:p>
    <w:p w14:paraId="3507E963" w14:textId="0B914898" w:rsidR="00F311FA" w:rsidRDefault="00F311FA" w:rsidP="004E06B5">
      <w:pPr>
        <w:tabs>
          <w:tab w:val="left" w:pos="1058"/>
        </w:tabs>
        <w:spacing w:line="480" w:lineRule="auto"/>
        <w:jc w:val="both"/>
        <w:rPr>
          <w:rFonts w:ascii="Arial" w:hAnsi="Arial" w:cs="Arial"/>
          <w:color w:val="595959" w:themeColor="text1" w:themeTint="A6"/>
        </w:rPr>
      </w:pPr>
    </w:p>
    <w:p w14:paraId="5F9AA996" w14:textId="4B68CC70" w:rsidR="00F311FA" w:rsidRDefault="00F311FA" w:rsidP="004E06B5">
      <w:pPr>
        <w:tabs>
          <w:tab w:val="left" w:pos="1058"/>
        </w:tabs>
        <w:spacing w:line="480" w:lineRule="auto"/>
        <w:jc w:val="both"/>
        <w:rPr>
          <w:rFonts w:ascii="Arial" w:hAnsi="Arial" w:cs="Arial"/>
          <w:color w:val="595959" w:themeColor="text1" w:themeTint="A6"/>
        </w:rPr>
      </w:pPr>
    </w:p>
    <w:p w14:paraId="0E77C293" w14:textId="23704BBC" w:rsidR="00F311FA" w:rsidRDefault="00F311FA" w:rsidP="004E06B5">
      <w:pPr>
        <w:tabs>
          <w:tab w:val="left" w:pos="1058"/>
        </w:tabs>
        <w:spacing w:line="480" w:lineRule="auto"/>
        <w:jc w:val="both"/>
        <w:rPr>
          <w:rFonts w:ascii="Arial" w:hAnsi="Arial" w:cs="Arial"/>
          <w:color w:val="595959" w:themeColor="text1" w:themeTint="A6"/>
        </w:rPr>
      </w:pPr>
    </w:p>
    <w:p w14:paraId="261625F8" w14:textId="3ABB5730" w:rsidR="00F311FA" w:rsidRDefault="00F311FA" w:rsidP="004E06B5">
      <w:pPr>
        <w:tabs>
          <w:tab w:val="left" w:pos="1058"/>
        </w:tabs>
        <w:spacing w:line="480" w:lineRule="auto"/>
        <w:jc w:val="both"/>
        <w:rPr>
          <w:rFonts w:ascii="Arial" w:hAnsi="Arial" w:cs="Arial"/>
          <w:color w:val="595959" w:themeColor="text1" w:themeTint="A6"/>
        </w:rPr>
      </w:pPr>
    </w:p>
    <w:p w14:paraId="400C99D7" w14:textId="3E7698EF" w:rsidR="00F311FA" w:rsidRDefault="00F311FA" w:rsidP="004E06B5">
      <w:pPr>
        <w:tabs>
          <w:tab w:val="left" w:pos="1058"/>
        </w:tabs>
        <w:spacing w:line="480" w:lineRule="auto"/>
        <w:jc w:val="both"/>
        <w:rPr>
          <w:rFonts w:ascii="Arial" w:hAnsi="Arial" w:cs="Arial"/>
          <w:color w:val="595959" w:themeColor="text1" w:themeTint="A6"/>
        </w:rPr>
      </w:pPr>
    </w:p>
    <w:p w14:paraId="25A0C46D" w14:textId="5707C88D" w:rsidR="00F311FA" w:rsidRDefault="00F311FA" w:rsidP="00F311FA">
      <w:pPr>
        <w:tabs>
          <w:tab w:val="left" w:pos="1058"/>
        </w:tabs>
        <w:spacing w:line="480" w:lineRule="auto"/>
        <w:jc w:val="both"/>
        <w:rPr>
          <w:rFonts w:ascii="Arial" w:hAnsi="Arial" w:cs="Arial"/>
          <w:color w:val="595959" w:themeColor="text1" w:themeTint="A6"/>
        </w:rPr>
      </w:pPr>
    </w:p>
    <w:p w14:paraId="60A5B3EB" w14:textId="77777777" w:rsidR="0043058B" w:rsidRPr="00F311FA" w:rsidRDefault="0043058B" w:rsidP="00F311FA">
      <w:pPr>
        <w:tabs>
          <w:tab w:val="left" w:pos="1058"/>
        </w:tabs>
        <w:spacing w:line="480" w:lineRule="auto"/>
        <w:jc w:val="both"/>
        <w:rPr>
          <w:rFonts w:ascii="Arial" w:hAnsi="Arial" w:cs="Arial"/>
          <w:color w:val="595959" w:themeColor="text1" w:themeTint="A6"/>
        </w:rPr>
      </w:pPr>
    </w:p>
    <w:p w14:paraId="0DF936B6" w14:textId="77777777" w:rsidR="00F311FA" w:rsidRDefault="00F311FA" w:rsidP="00F311FA">
      <w:pPr>
        <w:pStyle w:val="Title"/>
        <w:jc w:val="center"/>
        <w:outlineLvl w:val="0"/>
        <w:rPr>
          <w:color w:val="4472C4" w:themeColor="accent1"/>
          <w:sz w:val="72"/>
          <w:szCs w:val="72"/>
        </w:rPr>
      </w:pPr>
    </w:p>
    <w:p w14:paraId="29DA54DB" w14:textId="2FEC3E74" w:rsidR="00F311FA" w:rsidRDefault="00F311FA" w:rsidP="00F311FA">
      <w:pPr>
        <w:pStyle w:val="Title"/>
        <w:jc w:val="center"/>
        <w:outlineLvl w:val="0"/>
        <w:rPr>
          <w:color w:val="4472C4" w:themeColor="accent1"/>
          <w:sz w:val="72"/>
          <w:szCs w:val="72"/>
        </w:rPr>
      </w:pPr>
    </w:p>
    <w:p w14:paraId="1524A25D" w14:textId="3975826F" w:rsidR="003A781D" w:rsidRDefault="003A781D" w:rsidP="003A781D"/>
    <w:p w14:paraId="6C199C16" w14:textId="77777777" w:rsidR="003A781D" w:rsidRPr="003A781D" w:rsidRDefault="003A781D" w:rsidP="003A781D"/>
    <w:p w14:paraId="6470D774" w14:textId="58066DE8" w:rsidR="00761B53" w:rsidRDefault="00761B53" w:rsidP="00761B53"/>
    <w:p w14:paraId="09B34549" w14:textId="77777777" w:rsidR="00761B53" w:rsidRPr="00761B53" w:rsidRDefault="00761B53" w:rsidP="00761B53"/>
    <w:p w14:paraId="75F6223B" w14:textId="77777777" w:rsidR="00F311FA" w:rsidRDefault="00F311FA" w:rsidP="00F311FA">
      <w:pPr>
        <w:pStyle w:val="Title"/>
        <w:jc w:val="center"/>
        <w:outlineLvl w:val="0"/>
        <w:rPr>
          <w:color w:val="4472C4" w:themeColor="accent1"/>
          <w:sz w:val="72"/>
          <w:szCs w:val="72"/>
        </w:rPr>
      </w:pPr>
    </w:p>
    <w:p w14:paraId="6533833A" w14:textId="37F610FA" w:rsidR="00F311FA" w:rsidRPr="00807AB1" w:rsidRDefault="00F311FA" w:rsidP="00F311FA">
      <w:pPr>
        <w:pStyle w:val="Title"/>
        <w:jc w:val="center"/>
        <w:outlineLvl w:val="0"/>
        <w:rPr>
          <w:color w:val="4472C4" w:themeColor="accent1"/>
          <w:sz w:val="72"/>
          <w:szCs w:val="72"/>
        </w:rPr>
      </w:pPr>
      <w:bookmarkStart w:id="487" w:name="_Toc34208475"/>
      <w:r w:rsidRPr="00807AB1">
        <w:rPr>
          <w:color w:val="4472C4" w:themeColor="accent1"/>
          <w:sz w:val="72"/>
          <w:szCs w:val="72"/>
        </w:rPr>
        <w:t xml:space="preserve">Chapter </w:t>
      </w:r>
      <w:r>
        <w:rPr>
          <w:color w:val="4472C4" w:themeColor="accent1"/>
          <w:sz w:val="72"/>
          <w:szCs w:val="72"/>
        </w:rPr>
        <w:t>6</w:t>
      </w:r>
      <w:bookmarkEnd w:id="487"/>
    </w:p>
    <w:p w14:paraId="043E225D" w14:textId="31BE59A6" w:rsidR="00F311FA" w:rsidRPr="00807AB1" w:rsidRDefault="00F311FA" w:rsidP="00F311FA">
      <w:pPr>
        <w:pStyle w:val="Title"/>
        <w:jc w:val="center"/>
        <w:outlineLvl w:val="0"/>
        <w:rPr>
          <w:color w:val="4472C4" w:themeColor="accent1"/>
          <w:sz w:val="72"/>
          <w:szCs w:val="72"/>
        </w:rPr>
      </w:pPr>
      <w:bookmarkStart w:id="488" w:name="_Toc34208476"/>
      <w:r>
        <w:rPr>
          <w:color w:val="4472C4" w:themeColor="accent1"/>
          <w:sz w:val="72"/>
          <w:szCs w:val="72"/>
        </w:rPr>
        <w:t>General discussion, future concepts and conclusion</w:t>
      </w:r>
      <w:bookmarkEnd w:id="488"/>
      <w:r>
        <w:rPr>
          <w:color w:val="4472C4" w:themeColor="accent1"/>
          <w:sz w:val="72"/>
          <w:szCs w:val="72"/>
        </w:rPr>
        <w:t xml:space="preserve"> </w:t>
      </w:r>
    </w:p>
    <w:p w14:paraId="239C62C4" w14:textId="77777777" w:rsidR="00F311FA" w:rsidRPr="00F311FA" w:rsidRDefault="00F311FA" w:rsidP="00F311FA">
      <w:pPr>
        <w:tabs>
          <w:tab w:val="left" w:pos="1058"/>
        </w:tabs>
        <w:spacing w:line="480" w:lineRule="auto"/>
        <w:jc w:val="both"/>
        <w:rPr>
          <w:rFonts w:ascii="Arial" w:hAnsi="Arial" w:cs="Arial"/>
          <w:color w:val="595959" w:themeColor="text1" w:themeTint="A6"/>
        </w:rPr>
      </w:pPr>
    </w:p>
    <w:p w14:paraId="4185B286" w14:textId="77777777" w:rsidR="00F311FA" w:rsidRPr="00F311FA" w:rsidRDefault="00F311FA" w:rsidP="00F311FA">
      <w:pPr>
        <w:tabs>
          <w:tab w:val="left" w:pos="1058"/>
        </w:tabs>
        <w:spacing w:line="480" w:lineRule="auto"/>
        <w:jc w:val="both"/>
        <w:rPr>
          <w:rFonts w:ascii="Arial" w:hAnsi="Arial" w:cs="Arial"/>
          <w:color w:val="595959" w:themeColor="text1" w:themeTint="A6"/>
        </w:rPr>
      </w:pPr>
    </w:p>
    <w:p w14:paraId="411E96CC" w14:textId="77777777" w:rsidR="00F311FA" w:rsidRPr="00F311FA" w:rsidRDefault="00F311FA" w:rsidP="00F311FA">
      <w:pPr>
        <w:tabs>
          <w:tab w:val="left" w:pos="1058"/>
        </w:tabs>
        <w:spacing w:line="480" w:lineRule="auto"/>
        <w:jc w:val="both"/>
        <w:rPr>
          <w:rFonts w:ascii="Arial" w:hAnsi="Arial" w:cs="Arial"/>
          <w:color w:val="595959" w:themeColor="text1" w:themeTint="A6"/>
        </w:rPr>
      </w:pPr>
    </w:p>
    <w:p w14:paraId="4D8BDAF6" w14:textId="77777777" w:rsidR="00F311FA" w:rsidRPr="00F311FA" w:rsidRDefault="00F311FA" w:rsidP="00F311FA">
      <w:pPr>
        <w:tabs>
          <w:tab w:val="left" w:pos="1058"/>
        </w:tabs>
        <w:spacing w:line="480" w:lineRule="auto"/>
        <w:jc w:val="both"/>
        <w:rPr>
          <w:rFonts w:ascii="Arial" w:hAnsi="Arial" w:cs="Arial"/>
          <w:color w:val="595959" w:themeColor="text1" w:themeTint="A6"/>
        </w:rPr>
      </w:pPr>
    </w:p>
    <w:p w14:paraId="095BFAD1" w14:textId="77777777" w:rsidR="00F311FA" w:rsidRPr="00F311FA" w:rsidRDefault="00F311FA" w:rsidP="00F311FA">
      <w:pPr>
        <w:tabs>
          <w:tab w:val="left" w:pos="1058"/>
        </w:tabs>
        <w:spacing w:line="480" w:lineRule="auto"/>
        <w:jc w:val="both"/>
        <w:rPr>
          <w:rFonts w:ascii="Arial" w:hAnsi="Arial" w:cs="Arial"/>
          <w:color w:val="595959" w:themeColor="text1" w:themeTint="A6"/>
        </w:rPr>
      </w:pPr>
    </w:p>
    <w:p w14:paraId="28B1E989" w14:textId="77777777" w:rsidR="00F311FA" w:rsidRPr="00F311FA" w:rsidRDefault="00F311FA" w:rsidP="00F311FA">
      <w:pPr>
        <w:tabs>
          <w:tab w:val="left" w:pos="1058"/>
        </w:tabs>
        <w:spacing w:line="480" w:lineRule="auto"/>
        <w:jc w:val="both"/>
        <w:rPr>
          <w:rFonts w:ascii="Arial" w:hAnsi="Arial" w:cs="Arial"/>
          <w:color w:val="595959" w:themeColor="text1" w:themeTint="A6"/>
        </w:rPr>
      </w:pPr>
    </w:p>
    <w:p w14:paraId="4C58FCCB" w14:textId="77777777" w:rsidR="00F311FA" w:rsidRPr="00F311FA" w:rsidRDefault="00F311FA" w:rsidP="00F311FA">
      <w:pPr>
        <w:tabs>
          <w:tab w:val="left" w:pos="1058"/>
        </w:tabs>
        <w:spacing w:line="480" w:lineRule="auto"/>
        <w:jc w:val="both"/>
        <w:rPr>
          <w:rFonts w:ascii="Arial" w:hAnsi="Arial" w:cs="Arial"/>
          <w:color w:val="595959" w:themeColor="text1" w:themeTint="A6"/>
        </w:rPr>
      </w:pPr>
    </w:p>
    <w:p w14:paraId="0CE6D14A" w14:textId="77777777" w:rsidR="00F311FA" w:rsidRPr="00F311FA" w:rsidRDefault="00F311FA" w:rsidP="00F311FA">
      <w:pPr>
        <w:tabs>
          <w:tab w:val="left" w:pos="1058"/>
        </w:tabs>
        <w:spacing w:line="480" w:lineRule="auto"/>
        <w:jc w:val="both"/>
        <w:rPr>
          <w:rFonts w:ascii="Arial" w:hAnsi="Arial" w:cs="Arial"/>
          <w:color w:val="595959" w:themeColor="text1" w:themeTint="A6"/>
        </w:rPr>
      </w:pPr>
    </w:p>
    <w:p w14:paraId="0DF7B9AF" w14:textId="77777777" w:rsidR="00F311FA" w:rsidRPr="00F311FA" w:rsidRDefault="00F311FA" w:rsidP="00F311FA">
      <w:pPr>
        <w:tabs>
          <w:tab w:val="left" w:pos="1058"/>
        </w:tabs>
        <w:spacing w:line="480" w:lineRule="auto"/>
        <w:jc w:val="both"/>
        <w:rPr>
          <w:rFonts w:ascii="Arial" w:hAnsi="Arial" w:cs="Arial"/>
          <w:color w:val="595959" w:themeColor="text1" w:themeTint="A6"/>
        </w:rPr>
      </w:pPr>
    </w:p>
    <w:p w14:paraId="3951193F" w14:textId="7D80E681" w:rsidR="00F311FA" w:rsidRDefault="001D7E29" w:rsidP="00BE7E36">
      <w:pPr>
        <w:pStyle w:val="Heading2"/>
        <w:rPr>
          <w:rFonts w:ascii="Arial" w:hAnsi="Arial" w:cs="Arial"/>
          <w:color w:val="595959" w:themeColor="text1" w:themeTint="A6"/>
        </w:rPr>
      </w:pPr>
      <w:bookmarkStart w:id="489" w:name="_Toc517275992"/>
      <w:bookmarkStart w:id="490" w:name="_Toc34208477"/>
      <w:r w:rsidRPr="00DA306E">
        <w:rPr>
          <w:rFonts w:ascii="Arial" w:hAnsi="Arial" w:cs="Arial"/>
          <w:color w:val="595959" w:themeColor="text1" w:themeTint="A6"/>
        </w:rPr>
        <w:t>6</w:t>
      </w:r>
      <w:r w:rsidR="00F311FA" w:rsidRPr="00DA306E">
        <w:rPr>
          <w:rFonts w:ascii="Arial" w:hAnsi="Arial" w:cs="Arial"/>
          <w:color w:val="595959" w:themeColor="text1" w:themeTint="A6"/>
        </w:rPr>
        <w:t xml:space="preserve">.0 General </w:t>
      </w:r>
      <w:bookmarkEnd w:id="489"/>
      <w:r w:rsidR="00F311FA" w:rsidRPr="00DA306E">
        <w:rPr>
          <w:rFonts w:ascii="Arial" w:hAnsi="Arial" w:cs="Arial"/>
          <w:color w:val="595959" w:themeColor="text1" w:themeTint="A6"/>
        </w:rPr>
        <w:t>discussion</w:t>
      </w:r>
      <w:bookmarkEnd w:id="490"/>
    </w:p>
    <w:p w14:paraId="5517CE76" w14:textId="77777777" w:rsidR="00054EC8" w:rsidRPr="00054EC8" w:rsidRDefault="00054EC8" w:rsidP="008262E6">
      <w:pPr>
        <w:pStyle w:val="Heading2"/>
      </w:pPr>
    </w:p>
    <w:p w14:paraId="4853B4C2" w14:textId="42FCB24F" w:rsidR="00F311FA" w:rsidRDefault="001D7E29" w:rsidP="008262E6">
      <w:pPr>
        <w:pStyle w:val="Heading2"/>
        <w:rPr>
          <w:rFonts w:ascii="Arial" w:hAnsi="Arial" w:cs="Arial"/>
          <w:color w:val="595959" w:themeColor="text1" w:themeTint="A6"/>
        </w:rPr>
      </w:pPr>
      <w:bookmarkStart w:id="491" w:name="_Toc34208478"/>
      <w:r w:rsidRPr="00BE7E36">
        <w:rPr>
          <w:rFonts w:ascii="Arial" w:hAnsi="Arial" w:cs="Arial"/>
          <w:color w:val="595959" w:themeColor="text1" w:themeTint="A6"/>
          <w:sz w:val="22"/>
          <w:szCs w:val="22"/>
        </w:rPr>
        <w:t>6</w:t>
      </w:r>
      <w:r w:rsidR="00F311FA" w:rsidRPr="00BE7E36">
        <w:rPr>
          <w:rFonts w:ascii="Arial" w:hAnsi="Arial" w:cs="Arial"/>
          <w:color w:val="595959" w:themeColor="text1" w:themeTint="A6"/>
          <w:sz w:val="22"/>
          <w:szCs w:val="22"/>
        </w:rPr>
        <w:t>.1 The ECM in cancer progression</w:t>
      </w:r>
      <w:bookmarkEnd w:id="491"/>
    </w:p>
    <w:p w14:paraId="7351548B" w14:textId="77777777" w:rsidR="00EB6BA1" w:rsidRPr="00EB6BA1" w:rsidRDefault="00EB6BA1" w:rsidP="00EB6BA1"/>
    <w:p w14:paraId="1664E92B" w14:textId="1258C972" w:rsidR="00F311FA" w:rsidRPr="00F311FA" w:rsidRDefault="008802BD" w:rsidP="00F311FA">
      <w:pPr>
        <w:tabs>
          <w:tab w:val="left" w:pos="1058"/>
        </w:tabs>
        <w:spacing w:line="480" w:lineRule="auto"/>
        <w:jc w:val="both"/>
        <w:rPr>
          <w:rFonts w:ascii="Arial" w:hAnsi="Arial" w:cs="Arial"/>
          <w:color w:val="595959" w:themeColor="text1" w:themeTint="A6"/>
        </w:rPr>
      </w:pPr>
      <w:r w:rsidRPr="00F311FA">
        <w:rPr>
          <w:rFonts w:ascii="Arial" w:hAnsi="Arial" w:cs="Arial"/>
          <w:noProof/>
          <w:color w:val="595959" w:themeColor="text1" w:themeTint="A6"/>
        </w:rPr>
        <w:drawing>
          <wp:anchor distT="0" distB="0" distL="114300" distR="114300" simplePos="0" relativeHeight="251658447" behindDoc="0" locked="0" layoutInCell="1" allowOverlap="1" wp14:anchorId="3E6CACF9" wp14:editId="52420F32">
            <wp:simplePos x="0" y="0"/>
            <wp:positionH relativeFrom="margin">
              <wp:posOffset>931652</wp:posOffset>
            </wp:positionH>
            <wp:positionV relativeFrom="paragraph">
              <wp:posOffset>2242341</wp:posOffset>
            </wp:positionV>
            <wp:extent cx="4346725" cy="4037162"/>
            <wp:effectExtent l="0" t="0" r="0" b="1905"/>
            <wp:wrapNone/>
            <wp:docPr id="2116" name="Picture 2116"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 picture containing text&#10;&#10;Description automatically generated"/>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4353302" cy="4043271"/>
                    </a:xfrm>
                    <a:prstGeom prst="rect">
                      <a:avLst/>
                    </a:prstGeom>
                    <a:noFill/>
                  </pic:spPr>
                </pic:pic>
              </a:graphicData>
            </a:graphic>
            <wp14:sizeRelH relativeFrom="page">
              <wp14:pctWidth>0</wp14:pctWidth>
            </wp14:sizeRelH>
            <wp14:sizeRelV relativeFrom="page">
              <wp14:pctHeight>0</wp14:pctHeight>
            </wp14:sizeRelV>
          </wp:anchor>
        </w:drawing>
      </w:r>
      <w:r w:rsidR="00F311FA" w:rsidRPr="00F311FA">
        <w:rPr>
          <w:rFonts w:ascii="Arial" w:hAnsi="Arial" w:cs="Arial"/>
          <w:color w:val="595959" w:themeColor="text1" w:themeTint="A6"/>
        </w:rPr>
        <w:t xml:space="preserve">Long after development, the ECM is constantly being deposited, degraded and modified, acting as a highly dynamic structure that maintains tissue homeostasis (Lu </w:t>
      </w:r>
      <w:r w:rsidR="00F311FA" w:rsidRPr="00F311FA">
        <w:rPr>
          <w:rFonts w:ascii="Arial" w:hAnsi="Arial" w:cs="Arial"/>
          <w:i/>
          <w:iCs/>
          <w:color w:val="595959" w:themeColor="text1" w:themeTint="A6"/>
        </w:rPr>
        <w:t>et al.,</w:t>
      </w:r>
      <w:r w:rsidR="00F311FA" w:rsidRPr="00F311FA">
        <w:rPr>
          <w:rFonts w:ascii="Arial" w:hAnsi="Arial" w:cs="Arial"/>
          <w:color w:val="595959" w:themeColor="text1" w:themeTint="A6"/>
        </w:rPr>
        <w:t xml:space="preserve"> 2011). An imbalance in either cell or ECM leads to a disruption in homeostasis which can have catastrophic implications for the functionality of tissues and ultimately leads to diseases such as fibrosis and cancer (Cox and Erler, 2011, Bonnans </w:t>
      </w:r>
      <w:r w:rsidR="00F311FA" w:rsidRPr="00F311FA">
        <w:rPr>
          <w:rFonts w:ascii="Arial" w:hAnsi="Arial" w:cs="Arial"/>
          <w:i/>
          <w:iCs/>
          <w:color w:val="595959" w:themeColor="text1" w:themeTint="A6"/>
        </w:rPr>
        <w:t>et al.,</w:t>
      </w:r>
      <w:r w:rsidR="00F311FA" w:rsidRPr="00F311FA">
        <w:rPr>
          <w:rFonts w:ascii="Arial" w:hAnsi="Arial" w:cs="Arial"/>
          <w:color w:val="595959" w:themeColor="text1" w:themeTint="A6"/>
        </w:rPr>
        <w:t xml:space="preserve"> 2014). Our traditional perspective of cancer has now shifted to reflect the significance of the ECM in the regulation of cell phenotypic behaviour</w:t>
      </w:r>
      <w:r w:rsidR="00D65EBB">
        <w:rPr>
          <w:rFonts w:ascii="Arial" w:hAnsi="Arial" w:cs="Arial"/>
          <w:color w:val="595959" w:themeColor="text1" w:themeTint="A6"/>
        </w:rPr>
        <w:t xml:space="preserve"> (Figure 6.1)</w:t>
      </w:r>
      <w:r w:rsidR="004F132E">
        <w:rPr>
          <w:rFonts w:ascii="Arial" w:hAnsi="Arial" w:cs="Arial"/>
          <w:color w:val="595959" w:themeColor="text1" w:themeTint="A6"/>
        </w:rPr>
        <w:t>.</w:t>
      </w:r>
    </w:p>
    <w:p w14:paraId="0932D26D" w14:textId="4EAE5DFE" w:rsidR="004F132E" w:rsidRPr="00F311FA" w:rsidRDefault="004F132E" w:rsidP="00F311FA">
      <w:pPr>
        <w:tabs>
          <w:tab w:val="left" w:pos="1058"/>
        </w:tabs>
        <w:spacing w:line="480" w:lineRule="auto"/>
        <w:jc w:val="both"/>
        <w:rPr>
          <w:rFonts w:ascii="Arial" w:hAnsi="Arial" w:cs="Arial"/>
          <w:color w:val="595959" w:themeColor="text1" w:themeTint="A6"/>
        </w:rPr>
      </w:pPr>
    </w:p>
    <w:p w14:paraId="51EDD185" w14:textId="055D62E8" w:rsidR="00F311FA" w:rsidRPr="00F311FA" w:rsidRDefault="00F311FA" w:rsidP="00F311FA">
      <w:pPr>
        <w:tabs>
          <w:tab w:val="left" w:pos="1058"/>
        </w:tabs>
        <w:spacing w:line="480" w:lineRule="auto"/>
        <w:jc w:val="both"/>
        <w:rPr>
          <w:rFonts w:ascii="Arial" w:hAnsi="Arial" w:cs="Arial"/>
          <w:color w:val="595959" w:themeColor="text1" w:themeTint="A6"/>
        </w:rPr>
      </w:pPr>
    </w:p>
    <w:p w14:paraId="2B8BAA71" w14:textId="6DD1FAE2" w:rsidR="00F311FA" w:rsidRPr="00F311FA" w:rsidRDefault="00F311FA" w:rsidP="00F311FA">
      <w:pPr>
        <w:tabs>
          <w:tab w:val="left" w:pos="1058"/>
        </w:tabs>
        <w:spacing w:line="480" w:lineRule="auto"/>
        <w:jc w:val="both"/>
        <w:rPr>
          <w:rFonts w:ascii="Arial" w:hAnsi="Arial" w:cs="Arial"/>
          <w:color w:val="595959" w:themeColor="text1" w:themeTint="A6"/>
        </w:rPr>
      </w:pPr>
    </w:p>
    <w:p w14:paraId="281683B3" w14:textId="1DB79811" w:rsidR="00F311FA" w:rsidRPr="00F311FA" w:rsidRDefault="00F311FA" w:rsidP="00F311FA">
      <w:pPr>
        <w:tabs>
          <w:tab w:val="left" w:pos="1058"/>
        </w:tabs>
        <w:spacing w:line="480" w:lineRule="auto"/>
        <w:jc w:val="both"/>
        <w:rPr>
          <w:rFonts w:ascii="Arial" w:hAnsi="Arial" w:cs="Arial"/>
          <w:color w:val="595959" w:themeColor="text1" w:themeTint="A6"/>
        </w:rPr>
      </w:pPr>
    </w:p>
    <w:p w14:paraId="02C72AEB" w14:textId="77777777" w:rsidR="00F311FA" w:rsidRPr="00F311FA" w:rsidRDefault="00F311FA" w:rsidP="00F311FA">
      <w:pPr>
        <w:tabs>
          <w:tab w:val="left" w:pos="1058"/>
        </w:tabs>
        <w:spacing w:line="480" w:lineRule="auto"/>
        <w:jc w:val="both"/>
        <w:rPr>
          <w:rFonts w:ascii="Arial" w:hAnsi="Arial" w:cs="Arial"/>
          <w:color w:val="595959" w:themeColor="text1" w:themeTint="A6"/>
        </w:rPr>
      </w:pPr>
    </w:p>
    <w:p w14:paraId="2DC63863" w14:textId="77777777" w:rsidR="00F311FA" w:rsidRPr="00F311FA" w:rsidRDefault="00F311FA" w:rsidP="00F311FA">
      <w:pPr>
        <w:tabs>
          <w:tab w:val="left" w:pos="1058"/>
        </w:tabs>
        <w:spacing w:line="480" w:lineRule="auto"/>
        <w:jc w:val="both"/>
        <w:rPr>
          <w:rFonts w:ascii="Arial" w:hAnsi="Arial" w:cs="Arial"/>
          <w:color w:val="595959" w:themeColor="text1" w:themeTint="A6"/>
        </w:rPr>
      </w:pPr>
    </w:p>
    <w:p w14:paraId="286DFE97" w14:textId="77777777" w:rsidR="00F311FA" w:rsidRPr="00F311FA" w:rsidRDefault="00F311FA" w:rsidP="00F311FA">
      <w:pPr>
        <w:tabs>
          <w:tab w:val="left" w:pos="1058"/>
        </w:tabs>
        <w:spacing w:line="480" w:lineRule="auto"/>
        <w:jc w:val="both"/>
        <w:rPr>
          <w:rFonts w:ascii="Arial" w:hAnsi="Arial" w:cs="Arial"/>
          <w:color w:val="595959" w:themeColor="text1" w:themeTint="A6"/>
        </w:rPr>
      </w:pPr>
    </w:p>
    <w:p w14:paraId="1ECCC26C" w14:textId="77777777" w:rsidR="00F311FA" w:rsidRPr="00F311FA" w:rsidRDefault="00F311FA" w:rsidP="00F311FA">
      <w:pPr>
        <w:tabs>
          <w:tab w:val="left" w:pos="1058"/>
        </w:tabs>
        <w:spacing w:line="480" w:lineRule="auto"/>
        <w:jc w:val="both"/>
        <w:rPr>
          <w:rFonts w:ascii="Arial" w:hAnsi="Arial" w:cs="Arial"/>
          <w:color w:val="595959" w:themeColor="text1" w:themeTint="A6"/>
        </w:rPr>
      </w:pPr>
    </w:p>
    <w:p w14:paraId="304B5B5D" w14:textId="77777777" w:rsidR="00F311FA" w:rsidRPr="00F311FA" w:rsidRDefault="00F311FA" w:rsidP="00F311FA">
      <w:pPr>
        <w:tabs>
          <w:tab w:val="left" w:pos="1058"/>
        </w:tabs>
        <w:spacing w:line="480" w:lineRule="auto"/>
        <w:jc w:val="both"/>
        <w:rPr>
          <w:rFonts w:ascii="Arial" w:hAnsi="Arial" w:cs="Arial"/>
          <w:color w:val="595959" w:themeColor="text1" w:themeTint="A6"/>
        </w:rPr>
      </w:pPr>
    </w:p>
    <w:p w14:paraId="55FCC61E" w14:textId="09BD02F0" w:rsidR="00F311FA" w:rsidRPr="00F311FA" w:rsidRDefault="00D65EBB" w:rsidP="00F311FA">
      <w:pPr>
        <w:tabs>
          <w:tab w:val="left" w:pos="1058"/>
        </w:tabs>
        <w:spacing w:line="480" w:lineRule="auto"/>
        <w:jc w:val="both"/>
        <w:rPr>
          <w:rFonts w:ascii="Arial" w:hAnsi="Arial" w:cs="Arial"/>
          <w:color w:val="595959" w:themeColor="text1" w:themeTint="A6"/>
        </w:rPr>
      </w:pPr>
      <w:r w:rsidRPr="00F311FA">
        <w:rPr>
          <w:rFonts w:ascii="Arial" w:hAnsi="Arial" w:cs="Arial"/>
          <w:noProof/>
          <w:color w:val="595959" w:themeColor="text1" w:themeTint="A6"/>
        </w:rPr>
        <mc:AlternateContent>
          <mc:Choice Requires="wps">
            <w:drawing>
              <wp:anchor distT="0" distB="0" distL="114300" distR="114300" simplePos="0" relativeHeight="251658446" behindDoc="0" locked="0" layoutInCell="1" allowOverlap="1" wp14:anchorId="6A3495BC" wp14:editId="3326566E">
                <wp:simplePos x="0" y="0"/>
                <wp:positionH relativeFrom="margin">
                  <wp:align>left</wp:align>
                </wp:positionH>
                <wp:positionV relativeFrom="paragraph">
                  <wp:posOffset>147955</wp:posOffset>
                </wp:positionV>
                <wp:extent cx="5724525" cy="1574800"/>
                <wp:effectExtent l="0" t="0" r="9525" b="6350"/>
                <wp:wrapNone/>
                <wp:docPr id="2115" name="Text Box 2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1574800"/>
                        </a:xfrm>
                        <a:prstGeom prst="rect">
                          <a:avLst/>
                        </a:prstGeom>
                        <a:solidFill>
                          <a:srgbClr val="FFFFFF"/>
                        </a:solidFill>
                        <a:ln w="9525">
                          <a:noFill/>
                          <a:miter lim="800000"/>
                          <a:headEnd/>
                          <a:tailEnd/>
                        </a:ln>
                      </wps:spPr>
                      <wps:txbx>
                        <w:txbxContent>
                          <w:p w14:paraId="52E29E46" w14:textId="7DF10090" w:rsidR="008A47AC" w:rsidRDefault="008A47AC" w:rsidP="00F311FA">
                            <w:pPr>
                              <w:pStyle w:val="NormalWeb"/>
                              <w:spacing w:after="200"/>
                              <w:jc w:val="both"/>
                              <w:rPr>
                                <w:rFonts w:ascii="Arial Narrow" w:eastAsia="SimSun" w:hAnsi="Arial Narrow" w:cs="Arial"/>
                                <w:b/>
                                <w:bCs/>
                                <w:color w:val="595959"/>
                                <w:kern w:val="24"/>
                                <w:sz w:val="22"/>
                                <w:szCs w:val="22"/>
                              </w:rPr>
                            </w:pPr>
                            <w:r>
                              <w:rPr>
                                <w:rFonts w:ascii="Arial Narrow" w:eastAsia="SimSun" w:hAnsi="Arial Narrow" w:cs="Arial"/>
                                <w:b/>
                                <w:bCs/>
                                <w:color w:val="595959"/>
                                <w:kern w:val="24"/>
                                <w:sz w:val="22"/>
                                <w:szCs w:val="22"/>
                              </w:rPr>
                              <w:t>Figure 6.1 ECM remodelling during cancer progression</w:t>
                            </w:r>
                          </w:p>
                          <w:p w14:paraId="5ADEBA45" w14:textId="1A667C52" w:rsidR="008A47AC" w:rsidRDefault="008A47AC" w:rsidP="00F311FA">
                            <w:pPr>
                              <w:pStyle w:val="NormalWeb"/>
                              <w:spacing w:after="200" w:line="276" w:lineRule="auto"/>
                              <w:jc w:val="both"/>
                              <w:rPr>
                                <w:rFonts w:ascii="Arial Narrow" w:eastAsia="SimSun" w:hAnsi="Arial Narrow" w:cs="Arial"/>
                                <w:color w:val="595959"/>
                                <w:kern w:val="24"/>
                                <w:sz w:val="22"/>
                                <w:szCs w:val="22"/>
                              </w:rPr>
                            </w:pPr>
                            <w:r>
                              <w:rPr>
                                <w:rFonts w:ascii="Arial Narrow" w:eastAsia="SimSun" w:hAnsi="Arial Narrow" w:cs="Arial"/>
                                <w:color w:val="595959"/>
                                <w:kern w:val="24"/>
                                <w:sz w:val="22"/>
                              </w:rPr>
                              <w:t>Tissues are under strict regulatory control during homeostasis. Epithelial cells in the mucosa become neoplastic and proliferate rapidly, inducing strain on the basement membrane. Soluble factors released from neoplastic cells cause phenotypic changes in resident fibroblasts in the stroma resulting in increased deposition of ECM components predominantly collagen, causing the ECM to stiffen as it cross-links. Once cancer cells have disrupted the basement membrane, they migrate along collagen tracks and metastasise to other locations (Images courtesy of D. Lambert).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3495BC" id="Text Box 2115" o:spid="_x0000_s1202" type="#_x0000_t202" style="position:absolute;left:0;text-align:left;margin-left:0;margin-top:11.65pt;width:450.75pt;height:124pt;z-index:25165844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" stroked="f">
                <v:textbox>
                  <w:txbxContent>
                    <w:p w14:paraId="52E29E46" w14:textId="7DF10090" w:rsidR="008A47AC" w:rsidRDefault="008A47AC" w:rsidP="00F311FA">
                      <w:pPr>
                        <w:pStyle w:val="NormalWeb"/>
                        <w:spacing w:after="200"/>
                        <w:jc w:val="both"/>
                        <w:rPr>
                          <w:rFonts w:ascii="Arial Narrow" w:eastAsia="SimSun" w:hAnsi="Arial Narrow" w:cs="Arial"/>
                          <w:b/>
                          <w:bCs/>
                          <w:color w:val="595959"/>
                          <w:kern w:val="24"/>
                          <w:sz w:val="22"/>
                          <w:szCs w:val="22"/>
                        </w:rPr>
                      </w:pPr>
                      <w:r>
                        <w:rPr>
                          <w:rFonts w:ascii="Arial Narrow" w:eastAsia="SimSun" w:hAnsi="Arial Narrow" w:cs="Arial"/>
                          <w:b/>
                          <w:bCs/>
                          <w:color w:val="595959"/>
                          <w:kern w:val="24"/>
                          <w:sz w:val="22"/>
                          <w:szCs w:val="22"/>
                        </w:rPr>
                        <w:t>Figure 6.1 ECM remodelling during cancer progression</w:t>
                      </w:r>
                    </w:p>
                    <w:p w14:paraId="5ADEBA45" w14:textId="1A667C52" w:rsidR="008A47AC" w:rsidRDefault="008A47AC" w:rsidP="00F311FA">
                      <w:pPr>
                        <w:pStyle w:val="NormalWeb"/>
                        <w:spacing w:after="200" w:line="276" w:lineRule="auto"/>
                        <w:jc w:val="both"/>
                        <w:rPr>
                          <w:rFonts w:ascii="Arial Narrow" w:eastAsia="SimSun" w:hAnsi="Arial Narrow" w:cs="Arial"/>
                          <w:color w:val="595959"/>
                          <w:kern w:val="24"/>
                          <w:sz w:val="22"/>
                          <w:szCs w:val="22"/>
                        </w:rPr>
                      </w:pPr>
                      <w:r>
                        <w:rPr>
                          <w:rFonts w:ascii="Arial Narrow" w:eastAsia="SimSun" w:hAnsi="Arial Narrow" w:cs="Arial"/>
                          <w:color w:val="595959"/>
                          <w:kern w:val="24"/>
                          <w:sz w:val="22"/>
                        </w:rPr>
                        <w:t>Tissues are under strict regulatory control during homeostasis. Epithelial cells in the mucosa become neoplastic and proliferate rapidly, inducing strain on the basement membrane. Soluble factors released from neoplastic cells cause phenotypic changes in resident fibroblasts in the stroma resulting in increased deposition of ECM components predominantly collagen, causing the ECM to stiffen as it cross-links. Once cancer cells have disrupted the basement membrane, they migrate along collagen tracks and metastasise to other locations (Images courtesy of D. Lambert).</w:t>
                      </w:r>
                    </w:p>
                  </w:txbxContent>
                </v:textbox>
                <w10:wrap anchorx="margin"/>
              </v:shape>
            </w:pict>
          </mc:Fallback>
        </mc:AlternateContent>
      </w:r>
    </w:p>
    <w:p w14:paraId="5D4943BD" w14:textId="1F1343FD" w:rsidR="00F311FA" w:rsidRPr="00F311FA" w:rsidRDefault="00F311FA" w:rsidP="00F311FA">
      <w:pPr>
        <w:tabs>
          <w:tab w:val="left" w:pos="1058"/>
        </w:tabs>
        <w:spacing w:line="480" w:lineRule="auto"/>
        <w:jc w:val="both"/>
        <w:rPr>
          <w:rFonts w:ascii="Arial" w:hAnsi="Arial" w:cs="Arial"/>
          <w:color w:val="595959" w:themeColor="text1" w:themeTint="A6"/>
        </w:rPr>
      </w:pPr>
    </w:p>
    <w:p w14:paraId="6C299F11" w14:textId="41BC55C9" w:rsidR="00A02DB3" w:rsidRDefault="00A02DB3" w:rsidP="00F311FA">
      <w:pPr>
        <w:tabs>
          <w:tab w:val="left" w:pos="1058"/>
        </w:tabs>
        <w:spacing w:line="480" w:lineRule="auto"/>
        <w:jc w:val="both"/>
        <w:rPr>
          <w:rFonts w:ascii="Arial" w:hAnsi="Arial" w:cs="Arial"/>
          <w:color w:val="595959" w:themeColor="text1" w:themeTint="A6"/>
        </w:rPr>
      </w:pPr>
    </w:p>
    <w:p w14:paraId="7133C9F9" w14:textId="77777777" w:rsidR="00A02DB3" w:rsidRDefault="00A02DB3" w:rsidP="00F311FA">
      <w:pPr>
        <w:tabs>
          <w:tab w:val="left" w:pos="1058"/>
        </w:tabs>
        <w:spacing w:line="480" w:lineRule="auto"/>
        <w:jc w:val="both"/>
        <w:rPr>
          <w:rFonts w:ascii="Arial" w:hAnsi="Arial" w:cs="Arial"/>
          <w:color w:val="595959" w:themeColor="text1" w:themeTint="A6"/>
        </w:rPr>
      </w:pPr>
    </w:p>
    <w:p w14:paraId="06D448FD" w14:textId="255663EC" w:rsidR="00F311FA" w:rsidRPr="00F311FA" w:rsidRDefault="00F311FA" w:rsidP="00F311FA">
      <w:pPr>
        <w:tabs>
          <w:tab w:val="left" w:pos="1058"/>
        </w:tabs>
        <w:spacing w:line="480" w:lineRule="auto"/>
        <w:jc w:val="both"/>
        <w:rPr>
          <w:rFonts w:ascii="Arial" w:hAnsi="Arial" w:cs="Arial"/>
          <w:color w:val="595959" w:themeColor="text1" w:themeTint="A6"/>
        </w:rPr>
      </w:pPr>
      <w:r w:rsidRPr="00F311FA">
        <w:rPr>
          <w:rFonts w:ascii="Arial" w:hAnsi="Arial" w:cs="Arial"/>
          <w:color w:val="595959" w:themeColor="text1" w:themeTint="A6"/>
        </w:rPr>
        <w:t xml:space="preserve">To what extent the role of CAF-deposited ECM composition and abundance, as well as how physiological changes in the ECM can impact OSCC risk and development has yet to be fully elucidated. </w:t>
      </w:r>
      <w:r w:rsidR="00A47658" w:rsidRPr="00A47658">
        <w:rPr>
          <w:rFonts w:ascii="Arial" w:hAnsi="Arial" w:cs="Arial"/>
          <w:color w:val="595959" w:themeColor="text1" w:themeTint="A6"/>
        </w:rPr>
        <w:t>Although several </w:t>
      </w:r>
      <w:r w:rsidR="00A47658" w:rsidRPr="00A47658">
        <w:rPr>
          <w:rFonts w:ascii="Arial" w:hAnsi="Arial" w:cs="Arial"/>
          <w:i/>
          <w:iCs/>
          <w:color w:val="595959" w:themeColor="text1" w:themeTint="A6"/>
        </w:rPr>
        <w:t>in vivo</w:t>
      </w:r>
      <w:r w:rsidR="00A47658" w:rsidRPr="00A47658">
        <w:rPr>
          <w:rFonts w:ascii="Arial" w:hAnsi="Arial" w:cs="Arial"/>
          <w:color w:val="595959" w:themeColor="text1" w:themeTint="A6"/>
        </w:rPr>
        <w:t xml:space="preserve"> models for studying </w:t>
      </w:r>
      <w:r w:rsidR="00F66E6D">
        <w:rPr>
          <w:rFonts w:ascii="Arial" w:hAnsi="Arial" w:cs="Arial"/>
          <w:color w:val="595959" w:themeColor="text1" w:themeTint="A6"/>
        </w:rPr>
        <w:t xml:space="preserve">OSCC </w:t>
      </w:r>
      <w:r w:rsidR="00A47658" w:rsidRPr="00A47658">
        <w:rPr>
          <w:rFonts w:ascii="Arial" w:hAnsi="Arial" w:cs="Arial"/>
          <w:color w:val="595959" w:themeColor="text1" w:themeTint="A6"/>
        </w:rPr>
        <w:t>none are</w:t>
      </w:r>
      <w:r w:rsidR="00F66E6D">
        <w:rPr>
          <w:rFonts w:ascii="Arial" w:hAnsi="Arial" w:cs="Arial"/>
          <w:color w:val="595959" w:themeColor="text1" w:themeTint="A6"/>
        </w:rPr>
        <w:t xml:space="preserve"> without design caveats</w:t>
      </w:r>
      <w:r w:rsidR="00A47658" w:rsidRPr="00A47658">
        <w:rPr>
          <w:rFonts w:ascii="Arial" w:hAnsi="Arial" w:cs="Arial"/>
          <w:color w:val="595959" w:themeColor="text1" w:themeTint="A6"/>
        </w:rPr>
        <w:t xml:space="preserve"> </w:t>
      </w:r>
      <w:r w:rsidR="00F66E6D">
        <w:rPr>
          <w:rFonts w:ascii="Arial" w:hAnsi="Arial" w:cs="Arial"/>
          <w:color w:val="595959" w:themeColor="text1" w:themeTint="A6"/>
        </w:rPr>
        <w:t xml:space="preserve">and often </w:t>
      </w:r>
      <w:r w:rsidR="00A47658" w:rsidRPr="00A47658">
        <w:rPr>
          <w:rFonts w:ascii="Arial" w:hAnsi="Arial" w:cs="Arial"/>
          <w:color w:val="595959" w:themeColor="text1" w:themeTint="A6"/>
        </w:rPr>
        <w:t xml:space="preserve">produce varying results </w:t>
      </w:r>
      <w:r w:rsidR="00F66E6D">
        <w:rPr>
          <w:rFonts w:ascii="Arial" w:hAnsi="Arial" w:cs="Arial"/>
          <w:color w:val="595959" w:themeColor="text1" w:themeTint="A6"/>
        </w:rPr>
        <w:t>in culture</w:t>
      </w:r>
      <w:r w:rsidR="00D74C55">
        <w:rPr>
          <w:rFonts w:ascii="Arial" w:hAnsi="Arial" w:cs="Arial"/>
          <w:color w:val="595959" w:themeColor="text1" w:themeTint="A6"/>
        </w:rPr>
        <w:t xml:space="preserve">. This </w:t>
      </w:r>
      <w:r w:rsidR="00A47658" w:rsidRPr="00A47658">
        <w:rPr>
          <w:rFonts w:ascii="Arial" w:hAnsi="Arial" w:cs="Arial"/>
          <w:color w:val="595959" w:themeColor="text1" w:themeTint="A6"/>
        </w:rPr>
        <w:t>raise</w:t>
      </w:r>
      <w:r w:rsidR="00D74C55">
        <w:rPr>
          <w:rFonts w:ascii="Arial" w:hAnsi="Arial" w:cs="Arial"/>
          <w:color w:val="595959" w:themeColor="text1" w:themeTint="A6"/>
        </w:rPr>
        <w:t>s</w:t>
      </w:r>
      <w:r w:rsidR="00A47658" w:rsidRPr="00A47658">
        <w:rPr>
          <w:rFonts w:ascii="Arial" w:hAnsi="Arial" w:cs="Arial"/>
          <w:color w:val="595959" w:themeColor="text1" w:themeTint="A6"/>
        </w:rPr>
        <w:t xml:space="preserve"> </w:t>
      </w:r>
      <w:r w:rsidR="00D74C55" w:rsidRPr="00A47658">
        <w:rPr>
          <w:rFonts w:ascii="Arial" w:hAnsi="Arial" w:cs="Arial"/>
          <w:color w:val="595959" w:themeColor="text1" w:themeTint="A6"/>
        </w:rPr>
        <w:t>queries</w:t>
      </w:r>
      <w:r w:rsidR="00A47658" w:rsidRPr="00A47658">
        <w:rPr>
          <w:rFonts w:ascii="Arial" w:hAnsi="Arial" w:cs="Arial"/>
          <w:color w:val="595959" w:themeColor="text1" w:themeTint="A6"/>
        </w:rPr>
        <w:t xml:space="preserve"> about the genetic differences between humans and animals, and whether xenograft or chemically induced tumour models are </w:t>
      </w:r>
      <w:r w:rsidR="009A645D">
        <w:rPr>
          <w:rFonts w:ascii="Arial" w:hAnsi="Arial" w:cs="Arial"/>
          <w:color w:val="595959" w:themeColor="text1" w:themeTint="A6"/>
        </w:rPr>
        <w:t xml:space="preserve">really </w:t>
      </w:r>
      <w:r w:rsidR="00A47658" w:rsidRPr="00A47658">
        <w:rPr>
          <w:rFonts w:ascii="Arial" w:hAnsi="Arial" w:cs="Arial"/>
          <w:color w:val="595959" w:themeColor="text1" w:themeTint="A6"/>
        </w:rPr>
        <w:t>representative of human oral cancer (</w:t>
      </w:r>
      <w:hyperlink r:id="rId170" w:anchor="ref23" w:tooltip="Kim S (2009) Animal models of cancer in the head and neck region. Clin Exp Otorhinolaryngol 2: 55–60" w:history="1">
        <w:r w:rsidR="00A47658" w:rsidRPr="009A645D">
          <w:rPr>
            <w:rStyle w:val="Hyperlink"/>
            <w:rFonts w:ascii="Arial" w:hAnsi="Arial" w:cs="Arial"/>
            <w:color w:val="595959" w:themeColor="text1" w:themeTint="A6"/>
            <w:u w:val="none"/>
          </w:rPr>
          <w:t>Kim, 2009</w:t>
        </w:r>
      </w:hyperlink>
      <w:r w:rsidR="00A47658" w:rsidRPr="00A47658">
        <w:rPr>
          <w:rFonts w:ascii="Arial" w:hAnsi="Arial" w:cs="Arial"/>
          <w:color w:val="595959" w:themeColor="text1" w:themeTint="A6"/>
        </w:rPr>
        <w:t>).</w:t>
      </w:r>
      <w:r w:rsidR="00D51569">
        <w:rPr>
          <w:rFonts w:ascii="Arial" w:hAnsi="Arial" w:cs="Arial"/>
          <w:color w:val="595959" w:themeColor="text1" w:themeTint="A6"/>
        </w:rPr>
        <w:t xml:space="preserve"> </w:t>
      </w:r>
      <w:r w:rsidRPr="00F311FA">
        <w:rPr>
          <w:rFonts w:ascii="Arial" w:hAnsi="Arial" w:cs="Arial"/>
          <w:color w:val="595959" w:themeColor="text1" w:themeTint="A6"/>
        </w:rPr>
        <w:t xml:space="preserve">Therefore, this study aimed to describe and characterise how tissue-engineered fibroblast-derived matrices (FDM) can be developed from primary NOF and CAF to develop ECM scaffolds which can be utilised to generate physiological relevant models of the oral mucosa, </w:t>
      </w:r>
      <w:r w:rsidR="00C77F59">
        <w:rPr>
          <w:rFonts w:ascii="Arial" w:hAnsi="Arial" w:cs="Arial"/>
          <w:color w:val="595959" w:themeColor="text1" w:themeTint="A6"/>
        </w:rPr>
        <w:t xml:space="preserve">thereby </w:t>
      </w:r>
      <w:r w:rsidRPr="00F311FA">
        <w:rPr>
          <w:rFonts w:ascii="Arial" w:hAnsi="Arial" w:cs="Arial"/>
          <w:color w:val="595959" w:themeColor="text1" w:themeTint="A6"/>
        </w:rPr>
        <w:t xml:space="preserve">mimicking changes in the stroma in OSCC. </w:t>
      </w:r>
    </w:p>
    <w:p w14:paraId="1900D161" w14:textId="11865331" w:rsidR="00F311FA" w:rsidRPr="008262E6" w:rsidRDefault="001D7E29" w:rsidP="008355A8">
      <w:pPr>
        <w:pStyle w:val="Heading2"/>
        <w:rPr>
          <w:rFonts w:ascii="Arial" w:hAnsi="Arial" w:cs="Arial"/>
          <w:color w:val="595959" w:themeColor="text1" w:themeTint="A6"/>
          <w:sz w:val="22"/>
          <w:szCs w:val="22"/>
        </w:rPr>
      </w:pPr>
      <w:bookmarkStart w:id="492" w:name="_Toc34208479"/>
      <w:r w:rsidRPr="008262E6">
        <w:rPr>
          <w:rFonts w:ascii="Arial" w:hAnsi="Arial" w:cs="Arial"/>
          <w:color w:val="595959" w:themeColor="text1" w:themeTint="A6"/>
          <w:sz w:val="22"/>
          <w:szCs w:val="22"/>
        </w:rPr>
        <w:t>6</w:t>
      </w:r>
      <w:r w:rsidR="00F311FA" w:rsidRPr="008262E6">
        <w:rPr>
          <w:rFonts w:ascii="Arial" w:hAnsi="Arial" w:cs="Arial"/>
          <w:color w:val="595959" w:themeColor="text1" w:themeTint="A6"/>
          <w:sz w:val="22"/>
          <w:szCs w:val="22"/>
        </w:rPr>
        <w:t>.</w:t>
      </w:r>
      <w:r w:rsidR="008355A8" w:rsidRPr="008262E6">
        <w:rPr>
          <w:rFonts w:ascii="Arial" w:hAnsi="Arial" w:cs="Arial"/>
          <w:color w:val="595959" w:themeColor="text1" w:themeTint="A6"/>
          <w:sz w:val="22"/>
          <w:szCs w:val="22"/>
        </w:rPr>
        <w:t>2</w:t>
      </w:r>
      <w:r w:rsidR="00F311FA" w:rsidRPr="008262E6">
        <w:rPr>
          <w:rFonts w:ascii="Arial" w:hAnsi="Arial" w:cs="Arial"/>
          <w:color w:val="595959" w:themeColor="text1" w:themeTint="A6"/>
          <w:sz w:val="22"/>
          <w:szCs w:val="22"/>
        </w:rPr>
        <w:t xml:space="preserve"> </w:t>
      </w:r>
      <w:r w:rsidR="005E710C" w:rsidRPr="008262E6">
        <w:rPr>
          <w:rFonts w:ascii="Arial" w:hAnsi="Arial" w:cs="Arial"/>
          <w:color w:val="595959" w:themeColor="text1" w:themeTint="A6"/>
          <w:sz w:val="22"/>
          <w:szCs w:val="22"/>
        </w:rPr>
        <w:t>Assessing oral</w:t>
      </w:r>
      <w:r w:rsidR="00F311FA" w:rsidRPr="008262E6">
        <w:rPr>
          <w:rFonts w:ascii="Arial" w:hAnsi="Arial" w:cs="Arial"/>
          <w:color w:val="595959" w:themeColor="text1" w:themeTint="A6"/>
          <w:sz w:val="22"/>
          <w:szCs w:val="22"/>
        </w:rPr>
        <w:t xml:space="preserve"> myofibroblastic phenotype</w:t>
      </w:r>
      <w:bookmarkEnd w:id="492"/>
      <w:r w:rsidR="00F311FA" w:rsidRPr="008262E6">
        <w:rPr>
          <w:rFonts w:ascii="Arial" w:hAnsi="Arial" w:cs="Arial"/>
          <w:color w:val="595959" w:themeColor="text1" w:themeTint="A6"/>
          <w:sz w:val="22"/>
          <w:szCs w:val="22"/>
        </w:rPr>
        <w:t xml:space="preserve"> </w:t>
      </w:r>
    </w:p>
    <w:p w14:paraId="69323978" w14:textId="77777777" w:rsidR="008355A8" w:rsidRPr="008355A8" w:rsidRDefault="008355A8" w:rsidP="008355A8"/>
    <w:p w14:paraId="4F6D23F2" w14:textId="73E3533A" w:rsidR="00F311FA" w:rsidRPr="00F311FA" w:rsidRDefault="00F311FA" w:rsidP="00F311FA">
      <w:pPr>
        <w:tabs>
          <w:tab w:val="left" w:pos="1058"/>
        </w:tabs>
        <w:spacing w:line="480" w:lineRule="auto"/>
        <w:jc w:val="both"/>
        <w:rPr>
          <w:rFonts w:ascii="Arial" w:hAnsi="Arial" w:cs="Arial"/>
          <w:color w:val="595959" w:themeColor="text1" w:themeTint="A6"/>
        </w:rPr>
      </w:pPr>
      <w:r w:rsidRPr="00F311FA">
        <w:rPr>
          <w:rFonts w:ascii="Arial" w:hAnsi="Arial" w:cs="Arial"/>
          <w:color w:val="595959" w:themeColor="text1" w:themeTint="A6"/>
        </w:rPr>
        <w:t>The soluble factor, TGFβ-1 released by cancer cells into the microenvironment has been shown to induce the differentiation of fibroblast into myofibroblasts such as CAF</w:t>
      </w:r>
      <w:r w:rsidR="00C77F59">
        <w:rPr>
          <w:rFonts w:ascii="Arial" w:hAnsi="Arial" w:cs="Arial"/>
          <w:color w:val="595959" w:themeColor="text1" w:themeTint="A6"/>
        </w:rPr>
        <w:t xml:space="preserve"> (Calon</w:t>
      </w:r>
      <w:r w:rsidR="00C77F59" w:rsidRPr="00C77F59">
        <w:rPr>
          <w:rFonts w:ascii="Arial" w:hAnsi="Arial" w:cs="Arial"/>
          <w:i/>
          <w:iCs/>
          <w:color w:val="595959" w:themeColor="text1" w:themeTint="A6"/>
        </w:rPr>
        <w:t xml:space="preserve"> et al., </w:t>
      </w:r>
      <w:r w:rsidR="00C77F59">
        <w:rPr>
          <w:rFonts w:ascii="Arial" w:hAnsi="Arial" w:cs="Arial"/>
          <w:color w:val="595959" w:themeColor="text1" w:themeTint="A6"/>
        </w:rPr>
        <w:t>2014)</w:t>
      </w:r>
      <w:r w:rsidRPr="00F311FA">
        <w:rPr>
          <w:rFonts w:ascii="Arial" w:hAnsi="Arial" w:cs="Arial"/>
          <w:color w:val="595959" w:themeColor="text1" w:themeTint="A6"/>
        </w:rPr>
        <w:t>. Our investigation verified that NOF were capable of transdifferentiating into a myofibroblastic phenotype in culture with a significant upregulation of αSMA, FN1-EDA, VCAN, TNC, and COL1A1 gene transcripts at 48 h</w:t>
      </w:r>
      <w:r w:rsidR="008F1C98">
        <w:rPr>
          <w:rFonts w:ascii="Arial" w:hAnsi="Arial" w:cs="Arial"/>
          <w:color w:val="595959" w:themeColor="text1" w:themeTint="A6"/>
        </w:rPr>
        <w:t xml:space="preserve">. </w:t>
      </w:r>
      <w:r w:rsidR="00EF7A4C" w:rsidRPr="00F311FA">
        <w:rPr>
          <w:rFonts w:ascii="Arial" w:hAnsi="Arial" w:cs="Arial"/>
          <w:color w:val="595959" w:themeColor="text1" w:themeTint="A6"/>
        </w:rPr>
        <w:t xml:space="preserve">This is in agreement with other studies indicating TGFβ-1 as a growth factor </w:t>
      </w:r>
      <w:r w:rsidR="00EF7A4C">
        <w:rPr>
          <w:rFonts w:ascii="Arial" w:hAnsi="Arial" w:cs="Arial"/>
          <w:color w:val="595959" w:themeColor="text1" w:themeTint="A6"/>
        </w:rPr>
        <w:t xml:space="preserve">is </w:t>
      </w:r>
      <w:r w:rsidR="00EF7A4C" w:rsidRPr="00F311FA">
        <w:rPr>
          <w:rFonts w:ascii="Arial" w:hAnsi="Arial" w:cs="Arial"/>
          <w:color w:val="595959" w:themeColor="text1" w:themeTint="A6"/>
        </w:rPr>
        <w:t xml:space="preserve">responsible for the upregulation of ECM components </w:t>
      </w:r>
      <w:r w:rsidR="00EF7A4C" w:rsidRPr="00F311FA">
        <w:rPr>
          <w:rFonts w:ascii="Arial" w:hAnsi="Arial" w:cs="Arial"/>
          <w:i/>
          <w:iCs/>
          <w:color w:val="595959" w:themeColor="text1" w:themeTint="A6"/>
        </w:rPr>
        <w:t xml:space="preserve">in vitro </w:t>
      </w:r>
      <w:r w:rsidR="00EF7A4C" w:rsidRPr="00F311FA">
        <w:rPr>
          <w:rFonts w:ascii="Arial" w:hAnsi="Arial" w:cs="Arial"/>
          <w:color w:val="595959" w:themeColor="text1" w:themeTint="A6"/>
        </w:rPr>
        <w:t xml:space="preserve">(Melling </w:t>
      </w:r>
      <w:r w:rsidR="00EF7A4C" w:rsidRPr="00F311FA">
        <w:rPr>
          <w:rFonts w:ascii="Arial" w:hAnsi="Arial" w:cs="Arial"/>
          <w:i/>
          <w:iCs/>
          <w:color w:val="595959" w:themeColor="text1" w:themeTint="A6"/>
        </w:rPr>
        <w:t>et al.,</w:t>
      </w:r>
      <w:r w:rsidR="00EF7A4C" w:rsidRPr="00F311FA">
        <w:rPr>
          <w:rFonts w:ascii="Arial" w:hAnsi="Arial" w:cs="Arial"/>
          <w:color w:val="595959" w:themeColor="text1" w:themeTint="A6"/>
        </w:rPr>
        <w:t xml:space="preserve"> 2018)</w:t>
      </w:r>
      <w:r w:rsidR="00EF7A4C" w:rsidRPr="00F311FA">
        <w:rPr>
          <w:rFonts w:ascii="Arial" w:hAnsi="Arial" w:cs="Arial"/>
          <w:i/>
          <w:iCs/>
          <w:color w:val="595959" w:themeColor="text1" w:themeTint="A6"/>
        </w:rPr>
        <w:t>.</w:t>
      </w:r>
      <w:r w:rsidR="00EF7A4C" w:rsidRPr="00F311FA">
        <w:rPr>
          <w:rFonts w:ascii="Arial" w:hAnsi="Arial" w:cs="Arial"/>
          <w:color w:val="595959" w:themeColor="text1" w:themeTint="A6"/>
        </w:rPr>
        <w:t xml:space="preserve"> </w:t>
      </w:r>
      <w:r w:rsidR="008F1C98">
        <w:rPr>
          <w:rFonts w:ascii="Arial" w:hAnsi="Arial" w:cs="Arial"/>
          <w:color w:val="595959" w:themeColor="text1" w:themeTint="A6"/>
        </w:rPr>
        <w:t>The maintenance of</w:t>
      </w:r>
      <w:r w:rsidRPr="00F311FA">
        <w:rPr>
          <w:rFonts w:ascii="Arial" w:hAnsi="Arial" w:cs="Arial"/>
          <w:color w:val="595959" w:themeColor="text1" w:themeTint="A6"/>
        </w:rPr>
        <w:t xml:space="preserve"> this </w:t>
      </w:r>
      <w:r w:rsidR="009747C5">
        <w:rPr>
          <w:rFonts w:ascii="Arial" w:hAnsi="Arial" w:cs="Arial"/>
          <w:color w:val="595959" w:themeColor="text1" w:themeTint="A6"/>
        </w:rPr>
        <w:t xml:space="preserve">gene </w:t>
      </w:r>
      <w:r w:rsidRPr="00F311FA">
        <w:rPr>
          <w:rFonts w:ascii="Arial" w:hAnsi="Arial" w:cs="Arial"/>
          <w:color w:val="595959" w:themeColor="text1" w:themeTint="A6"/>
        </w:rPr>
        <w:t>expression longer-term up to 14 days</w:t>
      </w:r>
      <w:r w:rsidR="008F1C98">
        <w:rPr>
          <w:rFonts w:ascii="Arial" w:hAnsi="Arial" w:cs="Arial"/>
          <w:color w:val="595959" w:themeColor="text1" w:themeTint="A6"/>
        </w:rPr>
        <w:t xml:space="preserve"> was only observed </w:t>
      </w:r>
      <w:r w:rsidRPr="00F311FA">
        <w:rPr>
          <w:rFonts w:ascii="Arial" w:hAnsi="Arial" w:cs="Arial"/>
          <w:color w:val="595959" w:themeColor="text1" w:themeTint="A6"/>
        </w:rPr>
        <w:t>for</w:t>
      </w:r>
      <w:r w:rsidR="00564BEE">
        <w:rPr>
          <w:rFonts w:ascii="Arial" w:hAnsi="Arial" w:cs="Arial"/>
          <w:color w:val="595959" w:themeColor="text1" w:themeTint="A6"/>
        </w:rPr>
        <w:t xml:space="preserve"> FN1-EDA and TNC</w:t>
      </w:r>
      <w:r w:rsidR="0089335D">
        <w:rPr>
          <w:rFonts w:ascii="Arial" w:hAnsi="Arial" w:cs="Arial"/>
          <w:color w:val="595959" w:themeColor="text1" w:themeTint="A6"/>
        </w:rPr>
        <w:t xml:space="preserve">. </w:t>
      </w:r>
      <w:r w:rsidRPr="00F311FA">
        <w:rPr>
          <w:rFonts w:ascii="Arial" w:hAnsi="Arial" w:cs="Arial"/>
          <w:color w:val="595959" w:themeColor="text1" w:themeTint="A6"/>
        </w:rPr>
        <w:t>The subsequent protein equivalents</w:t>
      </w:r>
      <w:r w:rsidR="00C77F59">
        <w:rPr>
          <w:rFonts w:ascii="Arial" w:hAnsi="Arial" w:cs="Arial"/>
          <w:color w:val="595959" w:themeColor="text1" w:themeTint="A6"/>
        </w:rPr>
        <w:t xml:space="preserve"> for all </w:t>
      </w:r>
      <w:r w:rsidRPr="00F311FA">
        <w:rPr>
          <w:rFonts w:ascii="Arial" w:hAnsi="Arial" w:cs="Arial"/>
          <w:color w:val="595959" w:themeColor="text1" w:themeTint="A6"/>
        </w:rPr>
        <w:t>except TNC</w:t>
      </w:r>
      <w:r w:rsidR="00FE4DB2">
        <w:rPr>
          <w:rFonts w:ascii="Arial" w:hAnsi="Arial" w:cs="Arial"/>
          <w:color w:val="595959" w:themeColor="text1" w:themeTint="A6"/>
        </w:rPr>
        <w:t xml:space="preserve"> (</w:t>
      </w:r>
      <w:r w:rsidR="00C77F59">
        <w:rPr>
          <w:rFonts w:ascii="Arial" w:hAnsi="Arial" w:cs="Arial"/>
          <w:color w:val="595959" w:themeColor="text1" w:themeTint="A6"/>
        </w:rPr>
        <w:t>which was not detectable by immunoblotting in any samples</w:t>
      </w:r>
      <w:r w:rsidR="00FE4DB2">
        <w:rPr>
          <w:rFonts w:ascii="Arial" w:hAnsi="Arial" w:cs="Arial"/>
          <w:color w:val="595959" w:themeColor="text1" w:themeTint="A6"/>
        </w:rPr>
        <w:t>)</w:t>
      </w:r>
      <w:r w:rsidRPr="00F311FA">
        <w:rPr>
          <w:rFonts w:ascii="Arial" w:hAnsi="Arial" w:cs="Arial"/>
          <w:color w:val="595959" w:themeColor="text1" w:themeTint="A6"/>
        </w:rPr>
        <w:t xml:space="preserve"> also showed increased abundance with TGFβ-1 treatment </w:t>
      </w:r>
      <w:r w:rsidR="005E710C">
        <w:rPr>
          <w:rFonts w:ascii="Arial" w:hAnsi="Arial" w:cs="Arial"/>
          <w:color w:val="595959" w:themeColor="text1" w:themeTint="A6"/>
        </w:rPr>
        <w:t>that</w:t>
      </w:r>
      <w:r w:rsidRPr="00F311FA">
        <w:rPr>
          <w:rFonts w:ascii="Arial" w:hAnsi="Arial" w:cs="Arial"/>
          <w:color w:val="595959" w:themeColor="text1" w:themeTint="A6"/>
        </w:rPr>
        <w:t xml:space="preserve"> was maintained long-term. </w:t>
      </w:r>
    </w:p>
    <w:p w14:paraId="4131EDAB" w14:textId="34ECF8F3" w:rsidR="002F45B9" w:rsidRDefault="00F311FA" w:rsidP="00F311FA">
      <w:pPr>
        <w:tabs>
          <w:tab w:val="left" w:pos="1058"/>
        </w:tabs>
        <w:spacing w:line="480" w:lineRule="auto"/>
        <w:jc w:val="both"/>
        <w:rPr>
          <w:rFonts w:ascii="Arial" w:hAnsi="Arial" w:cs="Arial"/>
          <w:color w:val="595959" w:themeColor="text1" w:themeTint="A6"/>
        </w:rPr>
      </w:pPr>
      <w:r w:rsidRPr="00F311FA">
        <w:rPr>
          <w:rFonts w:ascii="Arial" w:hAnsi="Arial" w:cs="Arial"/>
          <w:color w:val="595959" w:themeColor="text1" w:themeTint="A6"/>
        </w:rPr>
        <w:t xml:space="preserve">In comparison CAF, showed an elevated expression of all transcripts, with a higher basal expression of target transcripts than in NOF. In contrast with NOF, CAF were able to maintain their phenotype long-term at the gene level, with significant expression of transcripts for all except TNC. This was not due to a reduced amplification, but because basal expression was considerably high, and TGFβ-1 treatment had no </w:t>
      </w:r>
      <w:r w:rsidR="00CA3AD4">
        <w:rPr>
          <w:rFonts w:ascii="Arial" w:hAnsi="Arial" w:cs="Arial"/>
          <w:color w:val="595959" w:themeColor="text1" w:themeTint="A6"/>
        </w:rPr>
        <w:t xml:space="preserve">further </w:t>
      </w:r>
      <w:r w:rsidRPr="00F311FA">
        <w:rPr>
          <w:rFonts w:ascii="Arial" w:hAnsi="Arial" w:cs="Arial"/>
          <w:color w:val="595959" w:themeColor="text1" w:themeTint="A6"/>
        </w:rPr>
        <w:t xml:space="preserve">effect. Other differences in phenotype were observed by the analysis of αSMA stress fibre formation in culture. NOF were only capable of producing stress fibres in the presence of TGFβ-1, however CAF produced </w:t>
      </w:r>
      <w:r w:rsidRPr="00F311FA">
        <w:rPr>
          <w:rFonts w:ascii="Arial" w:hAnsi="Arial" w:cs="Arial"/>
          <w:i/>
          <w:iCs/>
          <w:color w:val="595959" w:themeColor="text1" w:themeTint="A6"/>
        </w:rPr>
        <w:t xml:space="preserve">de novo </w:t>
      </w:r>
      <w:r w:rsidRPr="00F311FA">
        <w:rPr>
          <w:rFonts w:ascii="Arial" w:hAnsi="Arial" w:cs="Arial"/>
          <w:color w:val="595959" w:themeColor="text1" w:themeTint="A6"/>
        </w:rPr>
        <w:t xml:space="preserve">αSMA stress fibre formation without TGFβ-1 treatment </w:t>
      </w:r>
      <w:r w:rsidR="00C77F59">
        <w:rPr>
          <w:rFonts w:ascii="Arial" w:hAnsi="Arial" w:cs="Arial"/>
          <w:color w:val="595959" w:themeColor="text1" w:themeTint="A6"/>
        </w:rPr>
        <w:t xml:space="preserve">for </w:t>
      </w:r>
      <w:r w:rsidRPr="00F311FA">
        <w:rPr>
          <w:rFonts w:ascii="Arial" w:hAnsi="Arial" w:cs="Arial"/>
          <w:color w:val="595959" w:themeColor="text1" w:themeTint="A6"/>
        </w:rPr>
        <w:t xml:space="preserve">up to 7 days </w:t>
      </w:r>
      <w:r w:rsidRPr="00F311FA">
        <w:rPr>
          <w:rFonts w:ascii="Arial" w:hAnsi="Arial" w:cs="Arial"/>
          <w:i/>
          <w:iCs/>
          <w:color w:val="595959" w:themeColor="text1" w:themeTint="A6"/>
        </w:rPr>
        <w:t>in vitro</w:t>
      </w:r>
      <w:r w:rsidRPr="00F311FA">
        <w:rPr>
          <w:rFonts w:ascii="Arial" w:hAnsi="Arial" w:cs="Arial"/>
          <w:color w:val="595959" w:themeColor="text1" w:themeTint="A6"/>
        </w:rPr>
        <w:t xml:space="preserve">. </w:t>
      </w:r>
      <w:r w:rsidR="00D01F38">
        <w:rPr>
          <w:rFonts w:ascii="Arial" w:hAnsi="Arial" w:cs="Arial"/>
          <w:color w:val="595959" w:themeColor="text1" w:themeTint="A6"/>
        </w:rPr>
        <w:t xml:space="preserve">This research indicates that CAF </w:t>
      </w:r>
      <w:r w:rsidR="00CA1AB2" w:rsidRPr="00CA1AB2">
        <w:rPr>
          <w:rFonts w:ascii="Arial" w:hAnsi="Arial" w:cs="Arial"/>
          <w:color w:val="595959" w:themeColor="text1" w:themeTint="A6"/>
        </w:rPr>
        <w:t xml:space="preserve">isolated from the reactive environment of </w:t>
      </w:r>
      <w:r w:rsidR="00D01F38">
        <w:rPr>
          <w:rFonts w:ascii="Arial" w:hAnsi="Arial" w:cs="Arial"/>
          <w:color w:val="595959" w:themeColor="text1" w:themeTint="A6"/>
        </w:rPr>
        <w:t>OSCC</w:t>
      </w:r>
      <w:r w:rsidR="004D541E">
        <w:rPr>
          <w:rFonts w:ascii="Arial" w:hAnsi="Arial" w:cs="Arial"/>
          <w:color w:val="595959" w:themeColor="text1" w:themeTint="A6"/>
        </w:rPr>
        <w:t xml:space="preserve"> </w:t>
      </w:r>
      <w:r w:rsidR="00CA1AB2" w:rsidRPr="00CA1AB2">
        <w:rPr>
          <w:rFonts w:ascii="Arial" w:hAnsi="Arial" w:cs="Arial"/>
          <w:color w:val="595959" w:themeColor="text1" w:themeTint="A6"/>
        </w:rPr>
        <w:t xml:space="preserve">exhibit a “myofibroblastic” differentiation status that is conserved </w:t>
      </w:r>
      <w:r w:rsidR="00CA1AB2" w:rsidRPr="004D541E">
        <w:rPr>
          <w:rFonts w:ascii="Arial" w:hAnsi="Arial" w:cs="Arial"/>
          <w:i/>
          <w:iCs/>
          <w:color w:val="595959" w:themeColor="text1" w:themeTint="A6"/>
        </w:rPr>
        <w:t>in vitro</w:t>
      </w:r>
      <w:r w:rsidR="00CA1AB2" w:rsidRPr="00CA1AB2">
        <w:rPr>
          <w:rFonts w:ascii="Arial" w:hAnsi="Arial" w:cs="Arial"/>
          <w:color w:val="595959" w:themeColor="text1" w:themeTint="A6"/>
        </w:rPr>
        <w:t xml:space="preserve"> and </w:t>
      </w:r>
      <w:r w:rsidR="004F509C">
        <w:rPr>
          <w:rFonts w:ascii="Arial" w:hAnsi="Arial" w:cs="Arial"/>
          <w:color w:val="595959" w:themeColor="text1" w:themeTint="A6"/>
        </w:rPr>
        <w:t xml:space="preserve">was </w:t>
      </w:r>
      <w:r w:rsidR="00CA1AB2" w:rsidRPr="00CA1AB2">
        <w:rPr>
          <w:rFonts w:ascii="Arial" w:hAnsi="Arial" w:cs="Arial"/>
          <w:color w:val="595959" w:themeColor="text1" w:themeTint="A6"/>
        </w:rPr>
        <w:t>accompanied by a higher sensitivity to</w:t>
      </w:r>
      <w:r w:rsidR="00A65EA8">
        <w:rPr>
          <w:rFonts w:ascii="Arial" w:hAnsi="Arial" w:cs="Arial"/>
          <w:color w:val="595959" w:themeColor="text1" w:themeTint="A6"/>
        </w:rPr>
        <w:t xml:space="preserve"> </w:t>
      </w:r>
      <w:r w:rsidR="004D541E">
        <w:rPr>
          <w:rFonts w:ascii="Arial" w:hAnsi="Arial" w:cs="Arial"/>
          <w:color w:val="595959" w:themeColor="text1" w:themeTint="A6"/>
        </w:rPr>
        <w:t>TGFβ-1</w:t>
      </w:r>
      <w:r w:rsidR="00A65EA8">
        <w:rPr>
          <w:rFonts w:ascii="Arial" w:hAnsi="Arial" w:cs="Arial"/>
          <w:color w:val="595959" w:themeColor="text1" w:themeTint="A6"/>
        </w:rPr>
        <w:t xml:space="preserve"> (</w:t>
      </w:r>
      <w:hyperlink r:id="rId171" w:tooltip="Leoni A. Kunz-Schughart" w:history="1">
        <w:r w:rsidR="000467DE" w:rsidRPr="000467DE">
          <w:rPr>
            <w:rStyle w:val="Hyperlink"/>
            <w:rFonts w:ascii="Arial" w:hAnsi="Arial" w:cs="Arial"/>
            <w:color w:val="595959" w:themeColor="text1" w:themeTint="A6"/>
            <w:u w:val="none"/>
          </w:rPr>
          <w:t>Kunz-Schughart</w:t>
        </w:r>
      </w:hyperlink>
      <w:r w:rsidR="000467DE" w:rsidRPr="000467DE">
        <w:rPr>
          <w:rFonts w:ascii="Arial" w:hAnsi="Arial" w:cs="Arial"/>
          <w:color w:val="595959" w:themeColor="text1" w:themeTint="A6"/>
        </w:rPr>
        <w:t xml:space="preserve"> </w:t>
      </w:r>
      <w:r w:rsidR="000467DE" w:rsidRPr="000467DE">
        <w:rPr>
          <w:rFonts w:ascii="Arial" w:hAnsi="Arial" w:cs="Arial"/>
          <w:i/>
          <w:iCs/>
          <w:color w:val="595959" w:themeColor="text1" w:themeTint="A6"/>
        </w:rPr>
        <w:t>et al.,</w:t>
      </w:r>
      <w:r w:rsidR="000467DE">
        <w:rPr>
          <w:rFonts w:ascii="Arial" w:hAnsi="Arial" w:cs="Arial"/>
          <w:color w:val="595959" w:themeColor="text1" w:themeTint="A6"/>
        </w:rPr>
        <w:t xml:space="preserve"> 2003)</w:t>
      </w:r>
      <w:r w:rsidR="00CA1AB2" w:rsidRPr="00CA1AB2">
        <w:rPr>
          <w:rFonts w:ascii="Arial" w:hAnsi="Arial" w:cs="Arial"/>
          <w:color w:val="595959" w:themeColor="text1" w:themeTint="A6"/>
        </w:rPr>
        <w:t>.</w:t>
      </w:r>
      <w:r w:rsidRPr="00F311FA">
        <w:rPr>
          <w:rFonts w:ascii="Arial" w:hAnsi="Arial" w:cs="Arial"/>
          <w:color w:val="595959" w:themeColor="text1" w:themeTint="A6"/>
        </w:rPr>
        <w:t xml:space="preserve">To </w:t>
      </w:r>
      <w:r w:rsidR="003A27AF">
        <w:rPr>
          <w:rFonts w:ascii="Arial" w:hAnsi="Arial" w:cs="Arial"/>
          <w:color w:val="595959" w:themeColor="text1" w:themeTint="A6"/>
        </w:rPr>
        <w:t xml:space="preserve">further </w:t>
      </w:r>
      <w:r w:rsidRPr="00F311FA">
        <w:rPr>
          <w:rFonts w:ascii="Arial" w:hAnsi="Arial" w:cs="Arial"/>
          <w:color w:val="595959" w:themeColor="text1" w:themeTint="A6"/>
        </w:rPr>
        <w:t>improve</w:t>
      </w:r>
      <w:r w:rsidR="00C65779">
        <w:rPr>
          <w:rFonts w:ascii="Arial" w:hAnsi="Arial" w:cs="Arial"/>
          <w:color w:val="595959" w:themeColor="text1" w:themeTint="A6"/>
        </w:rPr>
        <w:t xml:space="preserve"> </w:t>
      </w:r>
      <w:r w:rsidRPr="00F311FA">
        <w:rPr>
          <w:rFonts w:ascii="Arial" w:hAnsi="Arial" w:cs="Arial"/>
          <w:color w:val="595959" w:themeColor="text1" w:themeTint="A6"/>
        </w:rPr>
        <w:t xml:space="preserve">this </w:t>
      </w:r>
      <w:r w:rsidR="00C65779">
        <w:rPr>
          <w:rFonts w:ascii="Arial" w:hAnsi="Arial" w:cs="Arial"/>
          <w:color w:val="595959" w:themeColor="text1" w:themeTint="A6"/>
        </w:rPr>
        <w:t>investigation,</w:t>
      </w:r>
      <w:r w:rsidRPr="00F311FA">
        <w:rPr>
          <w:rFonts w:ascii="Arial" w:hAnsi="Arial" w:cs="Arial"/>
          <w:color w:val="595959" w:themeColor="text1" w:themeTint="A6"/>
        </w:rPr>
        <w:t xml:space="preserve"> </w:t>
      </w:r>
      <w:r w:rsidR="002870F0">
        <w:rPr>
          <w:rFonts w:ascii="Arial" w:hAnsi="Arial" w:cs="Arial"/>
          <w:color w:val="595959" w:themeColor="text1" w:themeTint="A6"/>
        </w:rPr>
        <w:t xml:space="preserve">the isolation of </w:t>
      </w:r>
      <w:r w:rsidRPr="00F311FA">
        <w:rPr>
          <w:rFonts w:ascii="Arial" w:hAnsi="Arial" w:cs="Arial"/>
          <w:color w:val="595959" w:themeColor="text1" w:themeTint="A6"/>
        </w:rPr>
        <w:t>patient matched NOF and CAF samples would be beneficial</w:t>
      </w:r>
      <w:r w:rsidR="00C65779">
        <w:rPr>
          <w:rFonts w:ascii="Arial" w:hAnsi="Arial" w:cs="Arial"/>
          <w:color w:val="595959" w:themeColor="text1" w:themeTint="A6"/>
        </w:rPr>
        <w:t xml:space="preserve">. Therefore, </w:t>
      </w:r>
      <w:r w:rsidR="00C65779" w:rsidRPr="00F311FA">
        <w:rPr>
          <w:rFonts w:ascii="Arial" w:hAnsi="Arial" w:cs="Arial"/>
          <w:color w:val="595959" w:themeColor="text1" w:themeTint="A6"/>
        </w:rPr>
        <w:t>directly</w:t>
      </w:r>
      <w:r w:rsidR="00C65779">
        <w:rPr>
          <w:rFonts w:ascii="Arial" w:hAnsi="Arial" w:cs="Arial"/>
          <w:color w:val="595959" w:themeColor="text1" w:themeTint="A6"/>
        </w:rPr>
        <w:t xml:space="preserve"> </w:t>
      </w:r>
      <w:r w:rsidR="00680B7A">
        <w:rPr>
          <w:rFonts w:ascii="Arial" w:hAnsi="Arial" w:cs="Arial"/>
          <w:color w:val="595959" w:themeColor="text1" w:themeTint="A6"/>
        </w:rPr>
        <w:t xml:space="preserve">comparable </w:t>
      </w:r>
      <w:r w:rsidR="005E710C">
        <w:rPr>
          <w:rFonts w:ascii="Arial" w:hAnsi="Arial" w:cs="Arial"/>
          <w:color w:val="595959" w:themeColor="text1" w:themeTint="A6"/>
        </w:rPr>
        <w:t xml:space="preserve">transcriptomic </w:t>
      </w:r>
      <w:r w:rsidR="00680B7A">
        <w:rPr>
          <w:rFonts w:ascii="Arial" w:hAnsi="Arial" w:cs="Arial"/>
          <w:color w:val="595959" w:themeColor="text1" w:themeTint="A6"/>
        </w:rPr>
        <w:t>analysis</w:t>
      </w:r>
      <w:r w:rsidRPr="00F311FA">
        <w:rPr>
          <w:rFonts w:ascii="Arial" w:hAnsi="Arial" w:cs="Arial"/>
          <w:color w:val="595959" w:themeColor="text1" w:themeTint="A6"/>
        </w:rPr>
        <w:t xml:space="preserve"> </w:t>
      </w:r>
      <w:r w:rsidR="003B7090">
        <w:rPr>
          <w:rFonts w:ascii="Arial" w:hAnsi="Arial" w:cs="Arial"/>
          <w:color w:val="595959" w:themeColor="text1" w:themeTint="A6"/>
        </w:rPr>
        <w:t xml:space="preserve">could further decipher differences in the </w:t>
      </w:r>
      <w:r w:rsidRPr="00F311FA">
        <w:rPr>
          <w:rFonts w:ascii="Arial" w:hAnsi="Arial" w:cs="Arial"/>
          <w:color w:val="595959" w:themeColor="text1" w:themeTint="A6"/>
        </w:rPr>
        <w:t xml:space="preserve">molecular phenotype of these stromal cells. </w:t>
      </w:r>
      <w:r w:rsidR="00C45D71">
        <w:rPr>
          <w:rFonts w:ascii="Arial" w:hAnsi="Arial" w:cs="Arial"/>
          <w:color w:val="595959" w:themeColor="text1" w:themeTint="A6"/>
        </w:rPr>
        <w:t>For example, s</w:t>
      </w:r>
      <w:r w:rsidR="00BF3841" w:rsidRPr="00BF3841">
        <w:rPr>
          <w:rFonts w:ascii="Arial" w:hAnsi="Arial" w:cs="Arial"/>
          <w:color w:val="595959" w:themeColor="text1" w:themeTint="A6"/>
        </w:rPr>
        <w:t>ingle-cell analysis of</w:t>
      </w:r>
      <w:r w:rsidR="00BF3841">
        <w:rPr>
          <w:rFonts w:ascii="Arial" w:hAnsi="Arial" w:cs="Arial"/>
          <w:color w:val="595959" w:themeColor="text1" w:themeTint="A6"/>
        </w:rPr>
        <w:t xml:space="preserve"> breast</w:t>
      </w:r>
      <w:r w:rsidR="00BF3841" w:rsidRPr="00BF3841">
        <w:rPr>
          <w:rFonts w:ascii="Arial" w:hAnsi="Arial" w:cs="Arial"/>
          <w:color w:val="595959" w:themeColor="text1" w:themeTint="A6"/>
        </w:rPr>
        <w:t xml:space="preserve"> fibroblasts and their tumour-activated counterparts demonstrated molecularly distinct cell types defined by differential expression of characteristic mesenchymal and fibroblast activation markers</w:t>
      </w:r>
      <w:r w:rsidR="002F45B9">
        <w:rPr>
          <w:rFonts w:ascii="Arial" w:hAnsi="Arial" w:cs="Arial"/>
          <w:color w:val="595959" w:themeColor="text1" w:themeTint="A6"/>
        </w:rPr>
        <w:t xml:space="preserve"> </w:t>
      </w:r>
      <w:r w:rsidR="00C45D71">
        <w:rPr>
          <w:rFonts w:ascii="Arial" w:hAnsi="Arial" w:cs="Arial"/>
          <w:color w:val="595959" w:themeColor="text1" w:themeTint="A6"/>
        </w:rPr>
        <w:t xml:space="preserve">(Busch </w:t>
      </w:r>
      <w:r w:rsidR="00C45D71" w:rsidRPr="00BF3841">
        <w:rPr>
          <w:rFonts w:ascii="Arial" w:hAnsi="Arial" w:cs="Arial"/>
          <w:i/>
          <w:iCs/>
          <w:color w:val="595959" w:themeColor="text1" w:themeTint="A6"/>
        </w:rPr>
        <w:t>et al.,</w:t>
      </w:r>
      <w:r w:rsidR="00C45D71">
        <w:rPr>
          <w:rFonts w:ascii="Arial" w:hAnsi="Arial" w:cs="Arial"/>
          <w:color w:val="595959" w:themeColor="text1" w:themeTint="A6"/>
        </w:rPr>
        <w:t xml:space="preserve"> 2017)</w:t>
      </w:r>
      <w:r w:rsidR="005141FC">
        <w:rPr>
          <w:rFonts w:ascii="Arial" w:hAnsi="Arial" w:cs="Arial"/>
          <w:color w:val="595959" w:themeColor="text1" w:themeTint="A6"/>
        </w:rPr>
        <w:t xml:space="preserve">. </w:t>
      </w:r>
    </w:p>
    <w:p w14:paraId="51B18EFA" w14:textId="03FB26FC" w:rsidR="00F311FA" w:rsidRDefault="001D7E29" w:rsidP="007F6968">
      <w:pPr>
        <w:pStyle w:val="Heading2"/>
        <w:rPr>
          <w:rFonts w:ascii="Arial" w:hAnsi="Arial" w:cs="Arial"/>
          <w:color w:val="595959" w:themeColor="text1" w:themeTint="A6"/>
          <w:sz w:val="22"/>
          <w:szCs w:val="22"/>
        </w:rPr>
      </w:pPr>
      <w:bookmarkStart w:id="493" w:name="_Toc34208480"/>
      <w:r w:rsidRPr="007F6968">
        <w:rPr>
          <w:rFonts w:ascii="Arial" w:hAnsi="Arial" w:cs="Arial"/>
          <w:color w:val="595959" w:themeColor="text1" w:themeTint="A6"/>
          <w:sz w:val="22"/>
          <w:szCs w:val="22"/>
        </w:rPr>
        <w:t>6</w:t>
      </w:r>
      <w:r w:rsidR="00F311FA" w:rsidRPr="007F6968">
        <w:rPr>
          <w:rFonts w:ascii="Arial" w:hAnsi="Arial" w:cs="Arial"/>
          <w:color w:val="595959" w:themeColor="text1" w:themeTint="A6"/>
          <w:sz w:val="22"/>
          <w:szCs w:val="22"/>
        </w:rPr>
        <w:t>.</w:t>
      </w:r>
      <w:r w:rsidR="00224367" w:rsidRPr="007F6968">
        <w:rPr>
          <w:rFonts w:ascii="Arial" w:hAnsi="Arial" w:cs="Arial"/>
          <w:color w:val="595959" w:themeColor="text1" w:themeTint="A6"/>
          <w:sz w:val="22"/>
          <w:szCs w:val="22"/>
        </w:rPr>
        <w:t>3</w:t>
      </w:r>
      <w:r w:rsidRPr="007F6968">
        <w:rPr>
          <w:rFonts w:ascii="Arial" w:hAnsi="Arial" w:cs="Arial"/>
          <w:color w:val="595959" w:themeColor="text1" w:themeTint="A6"/>
          <w:sz w:val="22"/>
          <w:szCs w:val="22"/>
        </w:rPr>
        <w:t xml:space="preserve"> </w:t>
      </w:r>
      <w:r w:rsidR="00F311FA" w:rsidRPr="007F6968">
        <w:rPr>
          <w:rFonts w:ascii="Arial" w:hAnsi="Arial" w:cs="Arial"/>
          <w:color w:val="595959" w:themeColor="text1" w:themeTint="A6"/>
          <w:sz w:val="22"/>
          <w:szCs w:val="22"/>
        </w:rPr>
        <w:t xml:space="preserve">Mimicking properties of </w:t>
      </w:r>
      <w:r w:rsidR="00224367" w:rsidRPr="007F6968">
        <w:rPr>
          <w:rFonts w:ascii="Arial" w:hAnsi="Arial" w:cs="Arial"/>
          <w:color w:val="595959" w:themeColor="text1" w:themeTint="A6"/>
          <w:sz w:val="22"/>
          <w:szCs w:val="22"/>
        </w:rPr>
        <w:t xml:space="preserve">the ECM in </w:t>
      </w:r>
      <w:r w:rsidR="00F311FA" w:rsidRPr="007F6968">
        <w:rPr>
          <w:rFonts w:ascii="Arial" w:hAnsi="Arial" w:cs="Arial"/>
          <w:color w:val="595959" w:themeColor="text1" w:themeTint="A6"/>
          <w:sz w:val="22"/>
          <w:szCs w:val="22"/>
        </w:rPr>
        <w:t>OSCC</w:t>
      </w:r>
      <w:bookmarkEnd w:id="493"/>
      <w:r w:rsidR="00F311FA" w:rsidRPr="007F6968">
        <w:rPr>
          <w:rFonts w:ascii="Arial" w:hAnsi="Arial" w:cs="Arial"/>
          <w:color w:val="595959" w:themeColor="text1" w:themeTint="A6"/>
          <w:sz w:val="22"/>
          <w:szCs w:val="22"/>
        </w:rPr>
        <w:t xml:space="preserve"> </w:t>
      </w:r>
    </w:p>
    <w:p w14:paraId="55133104" w14:textId="77777777" w:rsidR="007F6968" w:rsidRPr="007F6968" w:rsidRDefault="007F6968" w:rsidP="007F6968"/>
    <w:p w14:paraId="310B2264" w14:textId="299D597C" w:rsidR="009A645D" w:rsidRDefault="00D51569" w:rsidP="00F311FA">
      <w:pPr>
        <w:tabs>
          <w:tab w:val="left" w:pos="1058"/>
        </w:tabs>
        <w:spacing w:line="480" w:lineRule="auto"/>
        <w:jc w:val="both"/>
        <w:rPr>
          <w:rFonts w:ascii="Arial" w:hAnsi="Arial" w:cs="Arial"/>
          <w:color w:val="595959" w:themeColor="text1" w:themeTint="A6"/>
        </w:rPr>
      </w:pPr>
      <w:r w:rsidRPr="00F311FA">
        <w:rPr>
          <w:rFonts w:ascii="Arial" w:hAnsi="Arial" w:cs="Arial"/>
          <w:noProof/>
          <w:color w:val="595959" w:themeColor="text1" w:themeTint="A6"/>
        </w:rPr>
        <w:drawing>
          <wp:anchor distT="0" distB="0" distL="114300" distR="114300" simplePos="0" relativeHeight="251657215" behindDoc="1" locked="0" layoutInCell="1" allowOverlap="1" wp14:anchorId="7E613FDC" wp14:editId="3CDB0F25">
            <wp:simplePos x="0" y="0"/>
            <wp:positionH relativeFrom="margin">
              <wp:posOffset>-17253</wp:posOffset>
            </wp:positionH>
            <wp:positionV relativeFrom="paragraph">
              <wp:posOffset>942352</wp:posOffset>
            </wp:positionV>
            <wp:extent cx="5731510" cy="3315970"/>
            <wp:effectExtent l="0" t="0" r="2540" b="0"/>
            <wp:wrapNone/>
            <wp:docPr id="2114" name="Picture 211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picture containing text&#10;&#10;Description automatically generated"/>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5731510" cy="3315970"/>
                    </a:xfrm>
                    <a:prstGeom prst="rect">
                      <a:avLst/>
                    </a:prstGeom>
                    <a:noFill/>
                  </pic:spPr>
                </pic:pic>
              </a:graphicData>
            </a:graphic>
            <wp14:sizeRelH relativeFrom="margin">
              <wp14:pctWidth>0</wp14:pctWidth>
            </wp14:sizeRelH>
            <wp14:sizeRelV relativeFrom="margin">
              <wp14:pctHeight>0</wp14:pctHeight>
            </wp14:sizeRelV>
          </wp:anchor>
        </w:drawing>
      </w:r>
      <w:r w:rsidR="00F311FA" w:rsidRPr="00F311FA">
        <w:rPr>
          <w:rFonts w:ascii="Arial" w:hAnsi="Arial" w:cs="Arial"/>
          <w:color w:val="595959" w:themeColor="text1" w:themeTint="A6"/>
        </w:rPr>
        <w:t>The ECM has unique physicochemical features, all of which specifically regulate cancer cell activity. In order to reconstitute native ECM using tissue-engineering techniques, the correct geometry, mechanics, and biochemical properties ha</w:t>
      </w:r>
      <w:r w:rsidR="00BF3841">
        <w:rPr>
          <w:rFonts w:ascii="Arial" w:hAnsi="Arial" w:cs="Arial"/>
          <w:color w:val="595959" w:themeColor="text1" w:themeTint="A6"/>
        </w:rPr>
        <w:t xml:space="preserve">d </w:t>
      </w:r>
      <w:r w:rsidR="00F311FA" w:rsidRPr="00F311FA">
        <w:rPr>
          <w:rFonts w:ascii="Arial" w:hAnsi="Arial" w:cs="Arial"/>
          <w:color w:val="595959" w:themeColor="text1" w:themeTint="A6"/>
        </w:rPr>
        <w:t>to be established</w:t>
      </w:r>
      <w:r w:rsidR="00BF3841">
        <w:rPr>
          <w:rFonts w:ascii="Arial" w:hAnsi="Arial" w:cs="Arial"/>
          <w:color w:val="595959" w:themeColor="text1" w:themeTint="A6"/>
        </w:rPr>
        <w:t xml:space="preserve"> in this study</w:t>
      </w:r>
      <w:r w:rsidR="00F311FA" w:rsidRPr="00F311FA">
        <w:rPr>
          <w:rFonts w:ascii="Arial" w:hAnsi="Arial" w:cs="Arial"/>
          <w:color w:val="595959" w:themeColor="text1" w:themeTint="A6"/>
        </w:rPr>
        <w:t xml:space="preserve"> (Figure </w:t>
      </w:r>
      <w:r w:rsidR="00240138">
        <w:rPr>
          <w:rFonts w:ascii="Arial" w:hAnsi="Arial" w:cs="Arial"/>
          <w:color w:val="595959" w:themeColor="text1" w:themeTint="A6"/>
        </w:rPr>
        <w:t>6</w:t>
      </w:r>
      <w:r w:rsidR="00F311FA" w:rsidRPr="00F311FA">
        <w:rPr>
          <w:rFonts w:ascii="Arial" w:hAnsi="Arial" w:cs="Arial"/>
          <w:color w:val="595959" w:themeColor="text1" w:themeTint="A6"/>
        </w:rPr>
        <w:t>.2</w:t>
      </w:r>
      <w:r w:rsidR="00CB098B">
        <w:rPr>
          <w:rFonts w:ascii="Arial" w:hAnsi="Arial" w:cs="Arial"/>
          <w:color w:val="595959" w:themeColor="text1" w:themeTint="A6"/>
        </w:rPr>
        <w:t>).</w:t>
      </w:r>
    </w:p>
    <w:p w14:paraId="60987318" w14:textId="17A9471D" w:rsidR="00CB098B" w:rsidRDefault="00CB098B" w:rsidP="00F311FA">
      <w:pPr>
        <w:tabs>
          <w:tab w:val="left" w:pos="1058"/>
        </w:tabs>
        <w:spacing w:line="480" w:lineRule="auto"/>
        <w:jc w:val="both"/>
        <w:rPr>
          <w:rFonts w:ascii="Arial" w:hAnsi="Arial" w:cs="Arial"/>
          <w:color w:val="595959" w:themeColor="text1" w:themeTint="A6"/>
        </w:rPr>
      </w:pPr>
    </w:p>
    <w:p w14:paraId="6C33DA6B" w14:textId="75A1E3C6" w:rsidR="00CB098B" w:rsidRDefault="00CB098B" w:rsidP="00F311FA">
      <w:pPr>
        <w:tabs>
          <w:tab w:val="left" w:pos="1058"/>
        </w:tabs>
        <w:spacing w:line="480" w:lineRule="auto"/>
        <w:jc w:val="both"/>
        <w:rPr>
          <w:rFonts w:ascii="Arial" w:hAnsi="Arial" w:cs="Arial"/>
          <w:color w:val="595959" w:themeColor="text1" w:themeTint="A6"/>
        </w:rPr>
      </w:pPr>
    </w:p>
    <w:p w14:paraId="23AEBB47" w14:textId="02531AC4" w:rsidR="00CB098B" w:rsidRDefault="00CB098B" w:rsidP="00F311FA">
      <w:pPr>
        <w:tabs>
          <w:tab w:val="left" w:pos="1058"/>
        </w:tabs>
        <w:spacing w:line="480" w:lineRule="auto"/>
        <w:jc w:val="both"/>
        <w:rPr>
          <w:rFonts w:ascii="Arial" w:hAnsi="Arial" w:cs="Arial"/>
          <w:color w:val="595959" w:themeColor="text1" w:themeTint="A6"/>
        </w:rPr>
      </w:pPr>
    </w:p>
    <w:p w14:paraId="734E3024" w14:textId="1E8784FA" w:rsidR="00CB098B" w:rsidRDefault="00CB098B" w:rsidP="00F311FA">
      <w:pPr>
        <w:tabs>
          <w:tab w:val="left" w:pos="1058"/>
        </w:tabs>
        <w:spacing w:line="480" w:lineRule="auto"/>
        <w:jc w:val="both"/>
        <w:rPr>
          <w:rFonts w:ascii="Arial" w:hAnsi="Arial" w:cs="Arial"/>
          <w:color w:val="595959" w:themeColor="text1" w:themeTint="A6"/>
        </w:rPr>
      </w:pPr>
    </w:p>
    <w:p w14:paraId="3AC688D4" w14:textId="6D7C03EE" w:rsidR="00CB098B" w:rsidRDefault="00CB098B" w:rsidP="00F311FA">
      <w:pPr>
        <w:tabs>
          <w:tab w:val="left" w:pos="1058"/>
        </w:tabs>
        <w:spacing w:line="480" w:lineRule="auto"/>
        <w:jc w:val="both"/>
        <w:rPr>
          <w:rFonts w:ascii="Arial" w:hAnsi="Arial" w:cs="Arial"/>
          <w:color w:val="595959" w:themeColor="text1" w:themeTint="A6"/>
        </w:rPr>
      </w:pPr>
    </w:p>
    <w:p w14:paraId="49AFB646" w14:textId="74F07C29" w:rsidR="00CB098B" w:rsidRDefault="00CB098B" w:rsidP="00F311FA">
      <w:pPr>
        <w:tabs>
          <w:tab w:val="left" w:pos="1058"/>
        </w:tabs>
        <w:spacing w:line="480" w:lineRule="auto"/>
        <w:jc w:val="both"/>
        <w:rPr>
          <w:rFonts w:ascii="Arial" w:hAnsi="Arial" w:cs="Arial"/>
          <w:color w:val="595959" w:themeColor="text1" w:themeTint="A6"/>
        </w:rPr>
      </w:pPr>
    </w:p>
    <w:p w14:paraId="48D81DD7" w14:textId="25FD9F24" w:rsidR="00CB098B" w:rsidRDefault="00CB098B" w:rsidP="00F311FA">
      <w:pPr>
        <w:tabs>
          <w:tab w:val="left" w:pos="1058"/>
        </w:tabs>
        <w:spacing w:line="480" w:lineRule="auto"/>
        <w:jc w:val="both"/>
        <w:rPr>
          <w:rFonts w:ascii="Arial" w:hAnsi="Arial" w:cs="Arial"/>
          <w:color w:val="595959" w:themeColor="text1" w:themeTint="A6"/>
        </w:rPr>
      </w:pPr>
    </w:p>
    <w:p w14:paraId="07BE2DE1" w14:textId="7BCE0CF1" w:rsidR="00C73CC9" w:rsidRDefault="00D51569" w:rsidP="00F311FA">
      <w:pPr>
        <w:tabs>
          <w:tab w:val="left" w:pos="1058"/>
        </w:tabs>
        <w:spacing w:line="480" w:lineRule="auto"/>
        <w:jc w:val="both"/>
        <w:rPr>
          <w:rFonts w:ascii="Arial" w:hAnsi="Arial" w:cs="Arial"/>
          <w:color w:val="595959" w:themeColor="text1" w:themeTint="A6"/>
        </w:rPr>
      </w:pPr>
      <w:r w:rsidRPr="00F311FA">
        <w:rPr>
          <w:rFonts w:ascii="Arial" w:hAnsi="Arial" w:cs="Arial"/>
          <w:noProof/>
          <w:color w:val="595959" w:themeColor="text1" w:themeTint="A6"/>
        </w:rPr>
        <mc:AlternateContent>
          <mc:Choice Requires="wps">
            <w:drawing>
              <wp:anchor distT="0" distB="0" distL="114300" distR="114300" simplePos="0" relativeHeight="251658449" behindDoc="0" locked="0" layoutInCell="1" allowOverlap="1" wp14:anchorId="73DBD0B5" wp14:editId="6676D07C">
                <wp:simplePos x="0" y="0"/>
                <wp:positionH relativeFrom="margin">
                  <wp:align>left</wp:align>
                </wp:positionH>
                <wp:positionV relativeFrom="paragraph">
                  <wp:posOffset>4001</wp:posOffset>
                </wp:positionV>
                <wp:extent cx="5724525" cy="774700"/>
                <wp:effectExtent l="0" t="0" r="9525" b="6350"/>
                <wp:wrapNone/>
                <wp:docPr id="52"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774700"/>
                        </a:xfrm>
                        <a:prstGeom prst="rect">
                          <a:avLst/>
                        </a:prstGeom>
                        <a:solidFill>
                          <a:srgbClr val="FFFFFF"/>
                        </a:solidFill>
                        <a:ln w="9525">
                          <a:noFill/>
                          <a:miter lim="800000"/>
                          <a:headEnd/>
                          <a:tailEnd/>
                        </a:ln>
                      </wps:spPr>
                      <wps:txbx>
                        <w:txbxContent>
                          <w:p w14:paraId="74ED8D6C" w14:textId="7190DBC4" w:rsidR="008A47AC" w:rsidRDefault="008A47AC" w:rsidP="00F311FA">
                            <w:pPr>
                              <w:pStyle w:val="NormalWeb"/>
                              <w:spacing w:after="200"/>
                              <w:jc w:val="both"/>
                              <w:rPr>
                                <w:rFonts w:ascii="Arial Narrow" w:eastAsia="SimSun" w:hAnsi="Arial Narrow" w:cs="Arial"/>
                                <w:b/>
                                <w:bCs/>
                                <w:color w:val="595959"/>
                                <w:kern w:val="24"/>
                                <w:sz w:val="22"/>
                                <w:szCs w:val="22"/>
                              </w:rPr>
                            </w:pPr>
                            <w:r>
                              <w:rPr>
                                <w:rFonts w:ascii="Arial Narrow" w:eastAsia="SimSun" w:hAnsi="Arial Narrow" w:cs="Arial"/>
                                <w:b/>
                                <w:bCs/>
                                <w:color w:val="595959"/>
                                <w:kern w:val="24"/>
                                <w:sz w:val="22"/>
                                <w:szCs w:val="22"/>
                              </w:rPr>
                              <w:t>Figure 6.2 Mimicking properties of tumour ECM.</w:t>
                            </w:r>
                          </w:p>
                          <w:p w14:paraId="58574DD6" w14:textId="77777777" w:rsidR="008A47AC" w:rsidRDefault="008A47AC" w:rsidP="00F311FA">
                            <w:pPr>
                              <w:pStyle w:val="NormalWeb"/>
                              <w:spacing w:after="200"/>
                              <w:jc w:val="both"/>
                              <w:rPr>
                                <w:rFonts w:ascii="Arial Narrow" w:eastAsia="SimSun" w:hAnsi="Arial Narrow" w:cs="Arial"/>
                                <w:color w:val="595959"/>
                                <w:kern w:val="24"/>
                                <w:sz w:val="22"/>
                                <w:szCs w:val="22"/>
                              </w:rPr>
                            </w:pPr>
                            <w:r>
                              <w:rPr>
                                <w:rFonts w:ascii="Arial Narrow" w:eastAsia="SimSun" w:hAnsi="Arial Narrow" w:cs="Arial"/>
                                <w:color w:val="595959"/>
                                <w:kern w:val="24"/>
                                <w:sz w:val="22"/>
                                <w:szCs w:val="22"/>
                              </w:rPr>
                              <w:t xml:space="preserve">Schematic illustration of the three principle properties (mechanical, geometrical and biochemical) governing engineered microenvironments. </w:t>
                            </w:r>
                          </w:p>
                          <w:p w14:paraId="2851F046" w14:textId="77777777" w:rsidR="008A47AC" w:rsidRDefault="008A47AC" w:rsidP="00F311FA">
                            <w:pPr>
                              <w:pStyle w:val="NormalWeb"/>
                              <w:spacing w:after="200"/>
                              <w:jc w:val="both"/>
                              <w:rPr>
                                <w:rFonts w:ascii="Arial Narrow" w:eastAsia="SimSun" w:hAnsi="Arial Narrow" w:cs="Arial"/>
                                <w:color w:val="595959"/>
                                <w:kern w:val="24"/>
                                <w:sz w:val="22"/>
                                <w:szCs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DBD0B5" id="Text Box 52" o:spid="_x0000_s1203" type="#_x0000_t202" style="position:absolute;left:0;text-align:left;margin-left:0;margin-top:.3pt;width:450.75pt;height:61pt;z-index:251658449;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" stroked="f">
                <v:textbox>
                  <w:txbxContent>
                    <w:p w14:paraId="74ED8D6C" w14:textId="7190DBC4" w:rsidR="008A47AC" w:rsidRDefault="008A47AC" w:rsidP="00F311FA">
                      <w:pPr>
                        <w:pStyle w:val="NormalWeb"/>
                        <w:spacing w:after="200"/>
                        <w:jc w:val="both"/>
                        <w:rPr>
                          <w:rFonts w:ascii="Arial Narrow" w:eastAsia="SimSun" w:hAnsi="Arial Narrow" w:cs="Arial"/>
                          <w:b/>
                          <w:bCs/>
                          <w:color w:val="595959"/>
                          <w:kern w:val="24"/>
                          <w:sz w:val="22"/>
                          <w:szCs w:val="22"/>
                        </w:rPr>
                      </w:pPr>
                      <w:r>
                        <w:rPr>
                          <w:rFonts w:ascii="Arial Narrow" w:eastAsia="SimSun" w:hAnsi="Arial Narrow" w:cs="Arial"/>
                          <w:b/>
                          <w:bCs/>
                          <w:color w:val="595959"/>
                          <w:kern w:val="24"/>
                          <w:sz w:val="22"/>
                          <w:szCs w:val="22"/>
                        </w:rPr>
                        <w:t>Figure 6.2 Mimicking properties of tumour ECM.</w:t>
                      </w:r>
                    </w:p>
                    <w:p w14:paraId="58574DD6" w14:textId="77777777" w:rsidR="008A47AC" w:rsidRDefault="008A47AC" w:rsidP="00F311FA">
                      <w:pPr>
                        <w:pStyle w:val="NormalWeb"/>
                        <w:spacing w:after="200"/>
                        <w:jc w:val="both"/>
                        <w:rPr>
                          <w:rFonts w:ascii="Arial Narrow" w:eastAsia="SimSun" w:hAnsi="Arial Narrow" w:cs="Arial"/>
                          <w:color w:val="595959"/>
                          <w:kern w:val="24"/>
                          <w:sz w:val="22"/>
                          <w:szCs w:val="22"/>
                        </w:rPr>
                      </w:pPr>
                      <w:r>
                        <w:rPr>
                          <w:rFonts w:ascii="Arial Narrow" w:eastAsia="SimSun" w:hAnsi="Arial Narrow" w:cs="Arial"/>
                          <w:color w:val="595959"/>
                          <w:kern w:val="24"/>
                          <w:sz w:val="22"/>
                          <w:szCs w:val="22"/>
                        </w:rPr>
                        <w:t xml:space="preserve">Schematic illustration of the three principle properties (mechanical, geometrical and biochemical) governing engineered microenvironments. </w:t>
                      </w:r>
                    </w:p>
                    <w:p w14:paraId="2851F046" w14:textId="77777777" w:rsidR="008A47AC" w:rsidRDefault="008A47AC" w:rsidP="00F311FA">
                      <w:pPr>
                        <w:pStyle w:val="NormalWeb"/>
                        <w:spacing w:after="200"/>
                        <w:jc w:val="both"/>
                        <w:rPr>
                          <w:rFonts w:ascii="Arial Narrow" w:eastAsia="SimSun" w:hAnsi="Arial Narrow" w:cs="Arial"/>
                          <w:color w:val="595959"/>
                          <w:kern w:val="24"/>
                          <w:sz w:val="22"/>
                          <w:szCs w:val="22"/>
                        </w:rPr>
                      </w:pPr>
                    </w:p>
                  </w:txbxContent>
                </v:textbox>
                <w10:wrap anchorx="margin"/>
              </v:shape>
            </w:pict>
          </mc:Fallback>
        </mc:AlternateContent>
      </w:r>
    </w:p>
    <w:p w14:paraId="2AD3775B" w14:textId="77777777" w:rsidR="00D51569" w:rsidRDefault="00D51569" w:rsidP="00F311FA">
      <w:pPr>
        <w:tabs>
          <w:tab w:val="left" w:pos="1058"/>
        </w:tabs>
        <w:spacing w:line="480" w:lineRule="auto"/>
        <w:jc w:val="both"/>
        <w:rPr>
          <w:rFonts w:ascii="Arial" w:hAnsi="Arial" w:cs="Arial"/>
          <w:color w:val="595959" w:themeColor="text1" w:themeTint="A6"/>
        </w:rPr>
      </w:pPr>
    </w:p>
    <w:p w14:paraId="7CC53579" w14:textId="6A2917AE" w:rsidR="00F311FA" w:rsidRDefault="006033F8" w:rsidP="007F6968">
      <w:pPr>
        <w:pStyle w:val="Heading3"/>
        <w:rPr>
          <w:rFonts w:ascii="Arial" w:hAnsi="Arial" w:cs="Arial"/>
          <w:color w:val="595959" w:themeColor="text1" w:themeTint="A6"/>
          <w:sz w:val="22"/>
          <w:szCs w:val="22"/>
        </w:rPr>
      </w:pPr>
      <w:bookmarkStart w:id="494" w:name="_Toc34208481"/>
      <w:r w:rsidRPr="007F6968">
        <w:rPr>
          <w:rFonts w:ascii="Arial" w:hAnsi="Arial" w:cs="Arial"/>
          <w:color w:val="595959" w:themeColor="text1" w:themeTint="A6"/>
          <w:sz w:val="22"/>
          <w:szCs w:val="22"/>
        </w:rPr>
        <w:t>6</w:t>
      </w:r>
      <w:r w:rsidR="00F311FA" w:rsidRPr="007F6968">
        <w:rPr>
          <w:rFonts w:ascii="Arial" w:hAnsi="Arial" w:cs="Arial"/>
          <w:color w:val="595959" w:themeColor="text1" w:themeTint="A6"/>
          <w:sz w:val="22"/>
          <w:szCs w:val="22"/>
        </w:rPr>
        <w:t>.</w:t>
      </w:r>
      <w:r w:rsidR="007F6968" w:rsidRPr="007F6968">
        <w:rPr>
          <w:rFonts w:ascii="Arial" w:hAnsi="Arial" w:cs="Arial"/>
          <w:color w:val="595959" w:themeColor="text1" w:themeTint="A6"/>
          <w:sz w:val="22"/>
          <w:szCs w:val="22"/>
        </w:rPr>
        <w:t>3</w:t>
      </w:r>
      <w:r w:rsidR="00F311FA" w:rsidRPr="007F6968">
        <w:rPr>
          <w:rFonts w:ascii="Arial" w:hAnsi="Arial" w:cs="Arial"/>
          <w:color w:val="595959" w:themeColor="text1" w:themeTint="A6"/>
          <w:sz w:val="22"/>
          <w:szCs w:val="22"/>
        </w:rPr>
        <w:t>.1 Geometrical properties of FDM in OSCC</w:t>
      </w:r>
      <w:bookmarkEnd w:id="494"/>
    </w:p>
    <w:p w14:paraId="457E6652" w14:textId="77777777" w:rsidR="007F6968" w:rsidRPr="007F6968" w:rsidRDefault="007F6968" w:rsidP="007F6968"/>
    <w:p w14:paraId="17A74357" w14:textId="319B731A" w:rsidR="000B402A" w:rsidRDefault="00F311FA" w:rsidP="00F311FA">
      <w:pPr>
        <w:tabs>
          <w:tab w:val="left" w:pos="1058"/>
        </w:tabs>
        <w:spacing w:line="480" w:lineRule="auto"/>
        <w:jc w:val="both"/>
        <w:rPr>
          <w:rFonts w:ascii="Arial" w:hAnsi="Arial" w:cs="Arial"/>
          <w:color w:val="595959" w:themeColor="text1" w:themeTint="A6"/>
        </w:rPr>
      </w:pPr>
      <w:r w:rsidRPr="00F311FA">
        <w:rPr>
          <w:rFonts w:ascii="Arial" w:hAnsi="Arial" w:cs="Arial"/>
          <w:color w:val="595959" w:themeColor="text1" w:themeTint="A6"/>
        </w:rPr>
        <w:t xml:space="preserve">Appreciating that the </w:t>
      </w:r>
      <w:r w:rsidRPr="00F311FA">
        <w:rPr>
          <w:rFonts w:ascii="Arial" w:hAnsi="Arial" w:cs="Arial"/>
          <w:color w:val="595959" w:themeColor="text1" w:themeTint="A6"/>
          <w:lang w:val="en-US"/>
        </w:rPr>
        <w:t>stiffness of tissue culture plastic is within the gigapascal range</w:t>
      </w:r>
      <w:r w:rsidR="0033668B">
        <w:rPr>
          <w:rFonts w:ascii="Arial" w:hAnsi="Arial" w:cs="Arial"/>
          <w:color w:val="595959" w:themeColor="text1" w:themeTint="A6"/>
          <w:lang w:val="en-US"/>
        </w:rPr>
        <w:t xml:space="preserve"> </w:t>
      </w:r>
      <w:r w:rsidRPr="00F311FA">
        <w:rPr>
          <w:rFonts w:ascii="Arial" w:hAnsi="Arial" w:cs="Arial"/>
          <w:color w:val="595959" w:themeColor="text1" w:themeTint="A6"/>
          <w:lang w:val="en-US"/>
        </w:rPr>
        <w:t>and is considered far stiffer than even the stiffest living tissue, the oral fibroblasts are being cultured on a decidedly non-physiological mechanical environment</w:t>
      </w:r>
      <w:r w:rsidR="0033541F">
        <w:rPr>
          <w:rFonts w:ascii="Arial" w:hAnsi="Arial" w:cs="Arial"/>
          <w:color w:val="595959" w:themeColor="text1" w:themeTint="A6"/>
          <w:lang w:val="en-US"/>
        </w:rPr>
        <w:t xml:space="preserve"> (Caliari and Burdick, 2016)</w:t>
      </w:r>
      <w:r w:rsidRPr="00F311FA">
        <w:rPr>
          <w:rFonts w:ascii="Arial" w:hAnsi="Arial" w:cs="Arial"/>
          <w:color w:val="595959" w:themeColor="text1" w:themeTint="A6"/>
          <w:lang w:val="en-US"/>
        </w:rPr>
        <w:t xml:space="preserve">. This emphasises concern that many of the baseline behaviors we attribute to cells cultured </w:t>
      </w:r>
      <w:r w:rsidRPr="00F311FA">
        <w:rPr>
          <w:rFonts w:ascii="Arial" w:hAnsi="Arial" w:cs="Arial"/>
          <w:i/>
          <w:color w:val="595959" w:themeColor="text1" w:themeTint="A6"/>
          <w:lang w:val="en-US"/>
        </w:rPr>
        <w:t xml:space="preserve">in vitro </w:t>
      </w:r>
      <w:r w:rsidRPr="00F311FA">
        <w:rPr>
          <w:rFonts w:ascii="Arial" w:hAnsi="Arial" w:cs="Arial"/>
          <w:color w:val="595959" w:themeColor="text1" w:themeTint="A6"/>
          <w:lang w:val="en-US"/>
        </w:rPr>
        <w:t>on plastic—from cytoskeletal organisation to proliferation and differentiation status—may be artifactual. This warrants the use of more physiological relevant systems to recapitulate oral fibroblast-deposited ECM and how this alters in OSCC disease progression. Fibroblast-derived matrices</w:t>
      </w:r>
      <w:r w:rsidR="00017116">
        <w:rPr>
          <w:rFonts w:ascii="Arial" w:hAnsi="Arial" w:cs="Arial"/>
          <w:color w:val="595959" w:themeColor="text1" w:themeTint="A6"/>
          <w:lang w:val="en-US"/>
        </w:rPr>
        <w:t xml:space="preserve"> </w:t>
      </w:r>
      <w:r w:rsidR="00855DB1">
        <w:rPr>
          <w:rFonts w:ascii="Arial" w:hAnsi="Arial" w:cs="Arial"/>
          <w:color w:val="595959" w:themeColor="text1" w:themeTint="A6"/>
          <w:lang w:val="en-US"/>
        </w:rPr>
        <w:t xml:space="preserve">(FDM) </w:t>
      </w:r>
      <w:r w:rsidRPr="00F311FA">
        <w:rPr>
          <w:rFonts w:ascii="Arial" w:hAnsi="Arial" w:cs="Arial"/>
          <w:color w:val="595959" w:themeColor="text1" w:themeTint="A6"/>
          <w:lang w:val="en-US"/>
        </w:rPr>
        <w:t xml:space="preserve">which have a more complex composition </w:t>
      </w:r>
      <w:r w:rsidR="00C7710B">
        <w:rPr>
          <w:rFonts w:ascii="Arial" w:hAnsi="Arial" w:cs="Arial"/>
          <w:color w:val="595959" w:themeColor="text1" w:themeTint="A6"/>
          <w:lang w:val="en-US"/>
        </w:rPr>
        <w:t xml:space="preserve">and </w:t>
      </w:r>
      <w:r w:rsidRPr="00F311FA">
        <w:rPr>
          <w:rFonts w:ascii="Arial" w:hAnsi="Arial" w:cs="Arial"/>
          <w:color w:val="595959" w:themeColor="text1" w:themeTint="A6"/>
          <w:lang w:val="en-US"/>
        </w:rPr>
        <w:t xml:space="preserve">have the ability to provide adherent cells with mechanosensitive cues that could impact the way cancer cells behave on surface substrates (Holen </w:t>
      </w:r>
      <w:r w:rsidRPr="00F311FA">
        <w:rPr>
          <w:rFonts w:ascii="Arial" w:hAnsi="Arial" w:cs="Arial"/>
          <w:i/>
          <w:iCs/>
          <w:color w:val="595959" w:themeColor="text1" w:themeTint="A6"/>
          <w:lang w:val="en-US"/>
        </w:rPr>
        <w:t>et al.,</w:t>
      </w:r>
      <w:r w:rsidRPr="00F311FA">
        <w:rPr>
          <w:rFonts w:ascii="Arial" w:hAnsi="Arial" w:cs="Arial"/>
          <w:color w:val="595959" w:themeColor="text1" w:themeTint="A6"/>
          <w:lang w:val="en-US"/>
        </w:rPr>
        <w:t xml:space="preserve"> 2015).  </w:t>
      </w:r>
      <w:r w:rsidR="0065026F">
        <w:rPr>
          <w:rFonts w:ascii="Arial" w:hAnsi="Arial" w:cs="Arial"/>
          <w:color w:val="595959" w:themeColor="text1" w:themeTint="A6"/>
          <w:lang w:val="en-US"/>
        </w:rPr>
        <w:t>Ad</w:t>
      </w:r>
      <w:r w:rsidR="00736BC3">
        <w:rPr>
          <w:rFonts w:ascii="Arial" w:hAnsi="Arial" w:cs="Arial"/>
          <w:color w:val="595959" w:themeColor="text1" w:themeTint="A6"/>
          <w:lang w:val="en-US"/>
        </w:rPr>
        <w:t>opting the correct geometrical</w:t>
      </w:r>
      <w:r w:rsidR="00282CAE">
        <w:rPr>
          <w:rFonts w:ascii="Arial" w:hAnsi="Arial" w:cs="Arial"/>
          <w:color w:val="595959" w:themeColor="text1" w:themeTint="A6"/>
          <w:lang w:val="en-US"/>
        </w:rPr>
        <w:t xml:space="preserve"> properties</w:t>
      </w:r>
      <w:r w:rsidR="00787EC6">
        <w:rPr>
          <w:rFonts w:ascii="Arial" w:hAnsi="Arial" w:cs="Arial"/>
          <w:color w:val="595959" w:themeColor="text1" w:themeTint="A6"/>
          <w:lang w:val="en-US"/>
        </w:rPr>
        <w:t>,</w:t>
      </w:r>
      <w:r w:rsidR="006D42CE">
        <w:rPr>
          <w:rFonts w:ascii="Arial" w:hAnsi="Arial" w:cs="Arial"/>
          <w:color w:val="595959" w:themeColor="text1" w:themeTint="A6"/>
          <w:lang w:val="en-US"/>
        </w:rPr>
        <w:t xml:space="preserve"> </w:t>
      </w:r>
      <w:r w:rsidRPr="00F311FA">
        <w:rPr>
          <w:rFonts w:ascii="Arial" w:hAnsi="Arial" w:cs="Arial"/>
          <w:color w:val="595959" w:themeColor="text1" w:themeTint="A6"/>
        </w:rPr>
        <w:t>NOF and CAF self-assemble</w:t>
      </w:r>
      <w:r w:rsidR="00787EC6">
        <w:rPr>
          <w:rFonts w:ascii="Arial" w:hAnsi="Arial" w:cs="Arial"/>
          <w:color w:val="595959" w:themeColor="text1" w:themeTint="A6"/>
        </w:rPr>
        <w:t>d</w:t>
      </w:r>
      <w:r w:rsidRPr="00F311FA">
        <w:rPr>
          <w:rFonts w:ascii="Arial" w:hAnsi="Arial" w:cs="Arial"/>
          <w:color w:val="595959" w:themeColor="text1" w:themeTint="A6"/>
        </w:rPr>
        <w:t xml:space="preserve"> into stromal equivalents with their specific FDM over a 4-week</w:t>
      </w:r>
      <w:r w:rsidR="00E80F7C">
        <w:rPr>
          <w:rFonts w:ascii="Arial" w:hAnsi="Arial" w:cs="Arial"/>
          <w:color w:val="595959" w:themeColor="text1" w:themeTint="A6"/>
        </w:rPr>
        <w:t xml:space="preserve"> culture period.</w:t>
      </w:r>
      <w:r w:rsidRPr="00F311FA">
        <w:rPr>
          <w:rFonts w:ascii="Arial" w:hAnsi="Arial" w:cs="Arial"/>
          <w:color w:val="595959" w:themeColor="text1" w:themeTint="A6"/>
        </w:rPr>
        <w:t xml:space="preserve"> Optimisation of conditions was necessary to ensure that fibroblast viability and ECM deposition was maintained for a long culture period. A transwell </w:t>
      </w:r>
      <w:r w:rsidR="00017116">
        <w:rPr>
          <w:rFonts w:ascii="Arial" w:hAnsi="Arial" w:cs="Arial"/>
          <w:color w:val="595959" w:themeColor="text1" w:themeTint="A6"/>
        </w:rPr>
        <w:t xml:space="preserve">culture </w:t>
      </w:r>
      <w:r w:rsidRPr="00F311FA">
        <w:rPr>
          <w:rFonts w:ascii="Arial" w:hAnsi="Arial" w:cs="Arial"/>
          <w:color w:val="595959" w:themeColor="text1" w:themeTint="A6"/>
        </w:rPr>
        <w:t>system pro</w:t>
      </w:r>
      <w:r w:rsidR="00017116">
        <w:rPr>
          <w:rFonts w:ascii="Arial" w:hAnsi="Arial" w:cs="Arial"/>
          <w:color w:val="595959" w:themeColor="text1" w:themeTint="A6"/>
        </w:rPr>
        <w:t>ved</w:t>
      </w:r>
      <w:r w:rsidRPr="00F311FA">
        <w:rPr>
          <w:rFonts w:ascii="Arial" w:hAnsi="Arial" w:cs="Arial"/>
          <w:color w:val="595959" w:themeColor="text1" w:themeTint="A6"/>
        </w:rPr>
        <w:t xml:space="preserve"> optimum</w:t>
      </w:r>
      <w:r w:rsidR="0056102D">
        <w:rPr>
          <w:rFonts w:ascii="Arial" w:hAnsi="Arial" w:cs="Arial"/>
          <w:color w:val="595959" w:themeColor="text1" w:themeTint="A6"/>
        </w:rPr>
        <w:t xml:space="preserve"> for the correct culture conditions; as evidenced by stable metabolism</w:t>
      </w:r>
      <w:r w:rsidR="00E72F15">
        <w:rPr>
          <w:rFonts w:ascii="Arial" w:hAnsi="Arial" w:cs="Arial"/>
          <w:color w:val="595959" w:themeColor="text1" w:themeTint="A6"/>
        </w:rPr>
        <w:t>, maintained permeability as well as</w:t>
      </w:r>
      <w:r w:rsidRPr="00F311FA">
        <w:rPr>
          <w:rFonts w:ascii="Arial" w:hAnsi="Arial" w:cs="Arial"/>
          <w:color w:val="595959" w:themeColor="text1" w:themeTint="A6"/>
        </w:rPr>
        <w:t xml:space="preserve"> the formation of native fibrillar ECM</w:t>
      </w:r>
      <w:r w:rsidR="00AE7969">
        <w:rPr>
          <w:rFonts w:ascii="Arial" w:hAnsi="Arial" w:cs="Arial"/>
          <w:color w:val="595959" w:themeColor="text1" w:themeTint="A6"/>
        </w:rPr>
        <w:t xml:space="preserve">. Analysis at both the gene and protein level </w:t>
      </w:r>
      <w:r w:rsidR="00DC60C7">
        <w:rPr>
          <w:rFonts w:ascii="Arial" w:hAnsi="Arial" w:cs="Arial"/>
          <w:color w:val="595959" w:themeColor="text1" w:themeTint="A6"/>
        </w:rPr>
        <w:t xml:space="preserve">confirmed that NOF-DM and CAF-DM </w:t>
      </w:r>
      <w:r w:rsidRPr="00F311FA">
        <w:rPr>
          <w:rFonts w:ascii="Arial" w:hAnsi="Arial" w:cs="Arial"/>
          <w:color w:val="595959" w:themeColor="text1" w:themeTint="A6"/>
        </w:rPr>
        <w:t>were representative of both normal and cancer ECM</w:t>
      </w:r>
      <w:r w:rsidR="004A6465">
        <w:rPr>
          <w:rFonts w:ascii="Arial" w:hAnsi="Arial" w:cs="Arial"/>
          <w:color w:val="595959" w:themeColor="text1" w:themeTint="A6"/>
        </w:rPr>
        <w:t xml:space="preserve"> as reported in the literature</w:t>
      </w:r>
      <w:r w:rsidRPr="00F311FA">
        <w:rPr>
          <w:rFonts w:ascii="Arial" w:hAnsi="Arial" w:cs="Arial"/>
          <w:color w:val="595959" w:themeColor="text1" w:themeTint="A6"/>
        </w:rPr>
        <w:t xml:space="preserve"> and remained stable in long-term culture conditions</w:t>
      </w:r>
      <w:r w:rsidR="00DA66A2">
        <w:rPr>
          <w:rFonts w:ascii="Arial" w:hAnsi="Arial" w:cs="Arial"/>
          <w:color w:val="595959" w:themeColor="text1" w:themeTint="A6"/>
        </w:rPr>
        <w:t>.</w:t>
      </w:r>
      <w:r w:rsidRPr="00F311FA">
        <w:rPr>
          <w:rFonts w:ascii="Arial" w:hAnsi="Arial" w:cs="Arial"/>
          <w:color w:val="595959" w:themeColor="text1" w:themeTint="A6"/>
        </w:rPr>
        <w:t xml:space="preserve"> CAF-DM deposition was distinct in both the thickness and composition, which is in agreement with other </w:t>
      </w:r>
      <w:r w:rsidR="00DA66A2">
        <w:rPr>
          <w:rFonts w:ascii="Arial" w:hAnsi="Arial" w:cs="Arial"/>
          <w:color w:val="595959" w:themeColor="text1" w:themeTint="A6"/>
        </w:rPr>
        <w:t>investigations</w:t>
      </w:r>
      <w:r w:rsidR="00E80F7C">
        <w:rPr>
          <w:rFonts w:ascii="Arial" w:hAnsi="Arial" w:cs="Arial"/>
          <w:color w:val="595959" w:themeColor="text1" w:themeTint="A6"/>
        </w:rPr>
        <w:t xml:space="preserve"> </w:t>
      </w:r>
      <w:r w:rsidR="00E80F7C" w:rsidRPr="00F311FA">
        <w:rPr>
          <w:rFonts w:ascii="Arial" w:hAnsi="Arial" w:cs="Arial"/>
          <w:color w:val="595959" w:themeColor="text1" w:themeTint="A6"/>
        </w:rPr>
        <w:t xml:space="preserve">(Malik </w:t>
      </w:r>
      <w:r w:rsidR="00E80F7C" w:rsidRPr="00F311FA">
        <w:rPr>
          <w:rFonts w:ascii="Arial" w:hAnsi="Arial" w:cs="Arial"/>
          <w:i/>
          <w:iCs/>
          <w:color w:val="595959" w:themeColor="text1" w:themeTint="A6"/>
        </w:rPr>
        <w:t>et al.,</w:t>
      </w:r>
      <w:r w:rsidR="00E80F7C" w:rsidRPr="00F311FA">
        <w:rPr>
          <w:rFonts w:ascii="Arial" w:hAnsi="Arial" w:cs="Arial"/>
          <w:color w:val="595959" w:themeColor="text1" w:themeTint="A6"/>
        </w:rPr>
        <w:t xml:space="preserve"> 2015</w:t>
      </w:r>
      <w:r w:rsidR="00E80F7C">
        <w:rPr>
          <w:rFonts w:ascii="Arial" w:hAnsi="Arial" w:cs="Arial"/>
          <w:color w:val="595959" w:themeColor="text1" w:themeTint="A6"/>
        </w:rPr>
        <w:t xml:space="preserve">, Lui </w:t>
      </w:r>
      <w:r w:rsidR="00E80F7C" w:rsidRPr="00E80F7C">
        <w:rPr>
          <w:rFonts w:ascii="Arial" w:hAnsi="Arial" w:cs="Arial"/>
          <w:i/>
          <w:iCs/>
          <w:color w:val="595959" w:themeColor="text1" w:themeTint="A6"/>
        </w:rPr>
        <w:t>et al.,</w:t>
      </w:r>
      <w:r w:rsidR="00E80F7C">
        <w:rPr>
          <w:rFonts w:ascii="Arial" w:hAnsi="Arial" w:cs="Arial"/>
          <w:color w:val="595959" w:themeColor="text1" w:themeTint="A6"/>
        </w:rPr>
        <w:t xml:space="preserve"> 2019</w:t>
      </w:r>
      <w:r w:rsidR="00E80F7C" w:rsidRPr="00F311FA">
        <w:rPr>
          <w:rFonts w:ascii="Arial" w:hAnsi="Arial" w:cs="Arial"/>
          <w:color w:val="595959" w:themeColor="text1" w:themeTint="A6"/>
        </w:rPr>
        <w:t>)</w:t>
      </w:r>
      <w:r w:rsidRPr="00F311FA">
        <w:rPr>
          <w:rFonts w:ascii="Arial" w:hAnsi="Arial" w:cs="Arial"/>
          <w:color w:val="595959" w:themeColor="text1" w:themeTint="A6"/>
        </w:rPr>
        <w:t xml:space="preserve">. </w:t>
      </w:r>
      <w:r w:rsidR="00E80F7C">
        <w:rPr>
          <w:rFonts w:ascii="Arial" w:hAnsi="Arial" w:cs="Arial"/>
          <w:color w:val="595959" w:themeColor="text1" w:themeTint="A6"/>
        </w:rPr>
        <w:t>S</w:t>
      </w:r>
      <w:r w:rsidRPr="00F311FA">
        <w:rPr>
          <w:rFonts w:ascii="Arial" w:hAnsi="Arial" w:cs="Arial"/>
          <w:color w:val="595959" w:themeColor="text1" w:themeTint="A6"/>
        </w:rPr>
        <w:t>olubilising the NOF- and CAF-DM and immunoblotting for the ECM components FN1-EDA, VCAN, LAMB-γ5, COL1A1 and the cytoskeletal filament αSMA</w:t>
      </w:r>
      <w:r w:rsidR="00E80F7C">
        <w:rPr>
          <w:rFonts w:ascii="Arial" w:hAnsi="Arial" w:cs="Arial"/>
          <w:color w:val="595959" w:themeColor="text1" w:themeTint="A6"/>
        </w:rPr>
        <w:t xml:space="preserve"> all</w:t>
      </w:r>
      <w:r w:rsidRPr="00F311FA">
        <w:rPr>
          <w:rFonts w:ascii="Arial" w:hAnsi="Arial" w:cs="Arial"/>
          <w:color w:val="595959" w:themeColor="text1" w:themeTint="A6"/>
        </w:rPr>
        <w:t xml:space="preserve"> </w:t>
      </w:r>
      <w:r w:rsidR="00E80F7C" w:rsidRPr="00F311FA">
        <w:rPr>
          <w:rFonts w:ascii="Arial" w:hAnsi="Arial" w:cs="Arial"/>
          <w:color w:val="595959" w:themeColor="text1" w:themeTint="A6"/>
        </w:rPr>
        <w:t>exhibited</w:t>
      </w:r>
      <w:r w:rsidRPr="00F311FA">
        <w:rPr>
          <w:rFonts w:ascii="Arial" w:hAnsi="Arial" w:cs="Arial"/>
          <w:color w:val="595959" w:themeColor="text1" w:themeTint="A6"/>
        </w:rPr>
        <w:t xml:space="preserve"> an increased abundance </w:t>
      </w:r>
      <w:r w:rsidR="00E80F7C">
        <w:rPr>
          <w:rFonts w:ascii="Arial" w:hAnsi="Arial" w:cs="Arial"/>
          <w:color w:val="595959" w:themeColor="text1" w:themeTint="A6"/>
        </w:rPr>
        <w:t xml:space="preserve">for each protein of interest </w:t>
      </w:r>
      <w:r w:rsidRPr="00F311FA">
        <w:rPr>
          <w:rFonts w:ascii="Arial" w:hAnsi="Arial" w:cs="Arial"/>
          <w:color w:val="595959" w:themeColor="text1" w:themeTint="A6"/>
        </w:rPr>
        <w:t xml:space="preserve">in CAF-DM compared to NOF-DM indicating that the deposition of ECM components is fundamentally altered in </w:t>
      </w:r>
      <w:r w:rsidR="00C1575F">
        <w:rPr>
          <w:rFonts w:ascii="Arial" w:hAnsi="Arial" w:cs="Arial"/>
          <w:color w:val="595959" w:themeColor="text1" w:themeTint="A6"/>
        </w:rPr>
        <w:t xml:space="preserve">OSCC </w:t>
      </w:r>
      <w:r w:rsidRPr="00F311FA">
        <w:rPr>
          <w:rFonts w:ascii="Arial" w:hAnsi="Arial" w:cs="Arial"/>
          <w:color w:val="595959" w:themeColor="text1" w:themeTint="A6"/>
        </w:rPr>
        <w:t xml:space="preserve">disease progression. </w:t>
      </w:r>
    </w:p>
    <w:p w14:paraId="304E97A8" w14:textId="73375262" w:rsidR="00F311FA" w:rsidRDefault="006033F8" w:rsidP="007F6968">
      <w:pPr>
        <w:pStyle w:val="Heading3"/>
        <w:rPr>
          <w:rFonts w:ascii="Arial" w:hAnsi="Arial" w:cs="Arial"/>
          <w:color w:val="595959" w:themeColor="text1" w:themeTint="A6"/>
          <w:sz w:val="22"/>
          <w:szCs w:val="22"/>
        </w:rPr>
      </w:pPr>
      <w:bookmarkStart w:id="495" w:name="_Toc34208482"/>
      <w:r w:rsidRPr="007F6968">
        <w:rPr>
          <w:rFonts w:ascii="Arial" w:hAnsi="Arial" w:cs="Arial"/>
          <w:color w:val="595959" w:themeColor="text1" w:themeTint="A6"/>
          <w:sz w:val="22"/>
          <w:szCs w:val="22"/>
        </w:rPr>
        <w:t>6</w:t>
      </w:r>
      <w:r w:rsidR="00F311FA" w:rsidRPr="007F6968">
        <w:rPr>
          <w:rFonts w:ascii="Arial" w:hAnsi="Arial" w:cs="Arial"/>
          <w:color w:val="595959" w:themeColor="text1" w:themeTint="A6"/>
          <w:sz w:val="22"/>
          <w:szCs w:val="22"/>
        </w:rPr>
        <w:t>.</w:t>
      </w:r>
      <w:r w:rsidR="004F6CA0">
        <w:rPr>
          <w:rFonts w:ascii="Arial" w:hAnsi="Arial" w:cs="Arial"/>
          <w:color w:val="595959" w:themeColor="text1" w:themeTint="A6"/>
          <w:sz w:val="22"/>
          <w:szCs w:val="22"/>
        </w:rPr>
        <w:t>3</w:t>
      </w:r>
      <w:r w:rsidR="00F311FA" w:rsidRPr="007F6968">
        <w:rPr>
          <w:rFonts w:ascii="Arial" w:hAnsi="Arial" w:cs="Arial"/>
          <w:color w:val="595959" w:themeColor="text1" w:themeTint="A6"/>
          <w:sz w:val="22"/>
          <w:szCs w:val="22"/>
        </w:rPr>
        <w:t>.2 Physical and mechanical properties of FDM in OSCC</w:t>
      </w:r>
      <w:bookmarkEnd w:id="495"/>
    </w:p>
    <w:p w14:paraId="49CC0212" w14:textId="77777777" w:rsidR="002316C5" w:rsidRDefault="002316C5" w:rsidP="00F311FA">
      <w:pPr>
        <w:tabs>
          <w:tab w:val="left" w:pos="1058"/>
        </w:tabs>
        <w:spacing w:line="480" w:lineRule="auto"/>
        <w:jc w:val="both"/>
      </w:pPr>
    </w:p>
    <w:p w14:paraId="521CDE59" w14:textId="66BF1CF3" w:rsidR="00F311FA" w:rsidRPr="00F311FA" w:rsidRDefault="00F311FA" w:rsidP="00F311FA">
      <w:pPr>
        <w:tabs>
          <w:tab w:val="left" w:pos="1058"/>
        </w:tabs>
        <w:spacing w:line="480" w:lineRule="auto"/>
        <w:jc w:val="both"/>
        <w:rPr>
          <w:rFonts w:ascii="Arial" w:hAnsi="Arial" w:cs="Arial"/>
          <w:color w:val="595959" w:themeColor="text1" w:themeTint="A6"/>
        </w:rPr>
      </w:pPr>
      <w:r w:rsidRPr="00F311FA">
        <w:rPr>
          <w:rFonts w:ascii="Arial" w:hAnsi="Arial" w:cs="Arial"/>
          <w:color w:val="595959" w:themeColor="text1" w:themeTint="A6"/>
        </w:rPr>
        <w:t xml:space="preserve">As previously described, abnormal ECM composition, architecture and stiffness play integral roles in cancer progression and in all steps of metastasis. Much of the mechanical properties of the ECM are attributable to the fibrillar structure of collagen, which resists compressive stresses at the periphery of a tumour (Gkretsi and Stylianopoulos, 2018). As an elevated expression of COL1A1 was observed in both 2D investigations as well as in CAF-DM, the role of collagen was further investigated as a protein of interest in OSCC progression. Further justification for this is that collagen remodelling has been shown to significantly affect the biological behaviour of OSCC tumours by making them more aggressive in nature (Kumari </w:t>
      </w:r>
      <w:r w:rsidRPr="00F311FA">
        <w:rPr>
          <w:rFonts w:ascii="Arial" w:hAnsi="Arial" w:cs="Arial"/>
          <w:i/>
          <w:iCs/>
          <w:color w:val="595959" w:themeColor="text1" w:themeTint="A6"/>
        </w:rPr>
        <w:t>et al.,</w:t>
      </w:r>
      <w:r w:rsidRPr="00F311FA">
        <w:rPr>
          <w:rFonts w:ascii="Arial" w:hAnsi="Arial" w:cs="Arial"/>
          <w:color w:val="595959" w:themeColor="text1" w:themeTint="A6"/>
        </w:rPr>
        <w:t xml:space="preserve"> 2016).  Collagen can be</w:t>
      </w:r>
      <w:r w:rsidR="00C53E33">
        <w:rPr>
          <w:rFonts w:ascii="Arial" w:hAnsi="Arial" w:cs="Arial"/>
          <w:color w:val="595959" w:themeColor="text1" w:themeTint="A6"/>
        </w:rPr>
        <w:t xml:space="preserve"> visualised </w:t>
      </w:r>
      <w:r w:rsidR="00D85237">
        <w:rPr>
          <w:rFonts w:ascii="Arial" w:hAnsi="Arial" w:cs="Arial"/>
          <w:color w:val="595959" w:themeColor="text1" w:themeTint="A6"/>
        </w:rPr>
        <w:t xml:space="preserve">by </w:t>
      </w:r>
      <w:r w:rsidRPr="00F311FA">
        <w:rPr>
          <w:rFonts w:ascii="Arial" w:hAnsi="Arial" w:cs="Arial"/>
          <w:color w:val="595959" w:themeColor="text1" w:themeTint="A6"/>
        </w:rPr>
        <w:t>routine histolog</w:t>
      </w:r>
      <w:r w:rsidR="00D85237">
        <w:rPr>
          <w:rFonts w:ascii="Arial" w:hAnsi="Arial" w:cs="Arial"/>
          <w:color w:val="595959" w:themeColor="text1" w:themeTint="A6"/>
        </w:rPr>
        <w:t>y</w:t>
      </w:r>
      <w:r w:rsidRPr="00F311FA">
        <w:rPr>
          <w:rFonts w:ascii="Arial" w:hAnsi="Arial" w:cs="Arial"/>
          <w:color w:val="595959" w:themeColor="text1" w:themeTint="A6"/>
        </w:rPr>
        <w:t xml:space="preserve"> or by more advanced optical techniques. In this study second harmonic generation microscopy was adopted to study </w:t>
      </w:r>
      <w:r w:rsidR="005E07E1">
        <w:rPr>
          <w:rFonts w:ascii="Arial" w:hAnsi="Arial" w:cs="Arial"/>
          <w:color w:val="595959" w:themeColor="text1" w:themeTint="A6"/>
        </w:rPr>
        <w:t xml:space="preserve">the native </w:t>
      </w:r>
      <w:r w:rsidRPr="00F311FA">
        <w:rPr>
          <w:rFonts w:ascii="Arial" w:hAnsi="Arial" w:cs="Arial"/>
          <w:color w:val="595959" w:themeColor="text1" w:themeTint="A6"/>
        </w:rPr>
        <w:t>collagen structure</w:t>
      </w:r>
      <w:r w:rsidR="00221C7F">
        <w:rPr>
          <w:rFonts w:ascii="Arial" w:hAnsi="Arial" w:cs="Arial"/>
          <w:color w:val="595959" w:themeColor="text1" w:themeTint="A6"/>
        </w:rPr>
        <w:t xml:space="preserve"> in FDM</w:t>
      </w:r>
      <w:r w:rsidRPr="00F311FA">
        <w:rPr>
          <w:rFonts w:ascii="Arial" w:hAnsi="Arial" w:cs="Arial"/>
          <w:color w:val="595959" w:themeColor="text1" w:themeTint="A6"/>
        </w:rPr>
        <w:t xml:space="preserve">. This was favoured over histology </w:t>
      </w:r>
      <w:r w:rsidR="00641E35">
        <w:rPr>
          <w:rFonts w:ascii="Arial" w:hAnsi="Arial" w:cs="Arial"/>
          <w:color w:val="595959" w:themeColor="text1" w:themeTint="A6"/>
        </w:rPr>
        <w:t xml:space="preserve">as it </w:t>
      </w:r>
      <w:r w:rsidRPr="00F311FA">
        <w:rPr>
          <w:rFonts w:ascii="Arial" w:hAnsi="Arial" w:cs="Arial"/>
          <w:color w:val="595959" w:themeColor="text1" w:themeTint="A6"/>
        </w:rPr>
        <w:t>could be performed on unfixed tissue</w:t>
      </w:r>
      <w:r w:rsidR="00BC2010">
        <w:rPr>
          <w:rFonts w:ascii="Arial" w:hAnsi="Arial" w:cs="Arial"/>
          <w:color w:val="595959" w:themeColor="text1" w:themeTint="A6"/>
        </w:rPr>
        <w:t xml:space="preserve"> and could be quantifiable</w:t>
      </w:r>
      <w:r w:rsidR="003030CE">
        <w:rPr>
          <w:rFonts w:ascii="Arial" w:hAnsi="Arial" w:cs="Arial"/>
          <w:color w:val="595959" w:themeColor="text1" w:themeTint="A6"/>
        </w:rPr>
        <w:t xml:space="preserve"> (</w:t>
      </w:r>
      <w:r w:rsidR="00E25468">
        <w:rPr>
          <w:rFonts w:ascii="Arial" w:hAnsi="Arial" w:cs="Arial"/>
          <w:color w:val="595959" w:themeColor="text1" w:themeTint="A6"/>
        </w:rPr>
        <w:t xml:space="preserve">Chen </w:t>
      </w:r>
      <w:r w:rsidR="00E25468" w:rsidRPr="00E25468">
        <w:rPr>
          <w:rFonts w:ascii="Arial" w:hAnsi="Arial" w:cs="Arial"/>
          <w:i/>
          <w:iCs/>
          <w:color w:val="595959" w:themeColor="text1" w:themeTint="A6"/>
        </w:rPr>
        <w:t>et al.,</w:t>
      </w:r>
      <w:r w:rsidR="00E25468">
        <w:rPr>
          <w:rFonts w:ascii="Arial" w:hAnsi="Arial" w:cs="Arial"/>
          <w:color w:val="595959" w:themeColor="text1" w:themeTint="A6"/>
        </w:rPr>
        <w:t xml:space="preserve"> 2012</w:t>
      </w:r>
      <w:r w:rsidR="003030CE">
        <w:rPr>
          <w:rFonts w:ascii="Arial" w:hAnsi="Arial" w:cs="Arial"/>
          <w:color w:val="595959" w:themeColor="text1" w:themeTint="A6"/>
        </w:rPr>
        <w:t>)</w:t>
      </w:r>
      <w:r w:rsidRPr="00F311FA">
        <w:rPr>
          <w:rFonts w:ascii="Arial" w:hAnsi="Arial" w:cs="Arial"/>
          <w:color w:val="595959" w:themeColor="text1" w:themeTint="A6"/>
        </w:rPr>
        <w:t xml:space="preserve">. Therefore, it was possible to generate label-free images of collagen structures and assess the re-organisation of collagen </w:t>
      </w:r>
      <w:r w:rsidR="00E80F7C">
        <w:rPr>
          <w:rFonts w:ascii="Arial" w:hAnsi="Arial" w:cs="Arial"/>
          <w:color w:val="595959" w:themeColor="text1" w:themeTint="A6"/>
        </w:rPr>
        <w:t>in</w:t>
      </w:r>
      <w:r w:rsidRPr="00F311FA">
        <w:rPr>
          <w:rFonts w:ascii="Arial" w:hAnsi="Arial" w:cs="Arial"/>
          <w:color w:val="595959" w:themeColor="text1" w:themeTint="A6"/>
        </w:rPr>
        <w:t xml:space="preserve"> NOF-</w:t>
      </w:r>
      <w:r w:rsidR="00E80F7C">
        <w:rPr>
          <w:rFonts w:ascii="Arial" w:hAnsi="Arial" w:cs="Arial"/>
          <w:color w:val="595959" w:themeColor="text1" w:themeTint="A6"/>
        </w:rPr>
        <w:t xml:space="preserve"> and</w:t>
      </w:r>
      <w:r w:rsidRPr="00F311FA">
        <w:rPr>
          <w:rFonts w:ascii="Arial" w:hAnsi="Arial" w:cs="Arial"/>
          <w:color w:val="595959" w:themeColor="text1" w:themeTint="A6"/>
        </w:rPr>
        <w:t xml:space="preserve"> CAF-DM. Further quantitative analysis of collagen fibres revealed significant</w:t>
      </w:r>
      <w:r w:rsidR="00E80F7C">
        <w:rPr>
          <w:rFonts w:ascii="Arial" w:hAnsi="Arial" w:cs="Arial"/>
          <w:color w:val="595959" w:themeColor="text1" w:themeTint="A6"/>
        </w:rPr>
        <w:t xml:space="preserve"> </w:t>
      </w:r>
      <w:r w:rsidRPr="00F311FA">
        <w:rPr>
          <w:rFonts w:ascii="Arial" w:hAnsi="Arial" w:cs="Arial"/>
          <w:color w:val="595959" w:themeColor="text1" w:themeTint="A6"/>
        </w:rPr>
        <w:t>difference</w:t>
      </w:r>
      <w:r w:rsidR="00E80F7C">
        <w:rPr>
          <w:rFonts w:ascii="Arial" w:hAnsi="Arial" w:cs="Arial"/>
          <w:color w:val="595959" w:themeColor="text1" w:themeTint="A6"/>
        </w:rPr>
        <w:t>s</w:t>
      </w:r>
      <w:r w:rsidRPr="00F311FA">
        <w:rPr>
          <w:rFonts w:ascii="Arial" w:hAnsi="Arial" w:cs="Arial"/>
          <w:color w:val="595959" w:themeColor="text1" w:themeTint="A6"/>
        </w:rPr>
        <w:t xml:space="preserve"> in collagen length, alignment and diameter in CAF-DM compared to NOF-DM. This first of its kind study on </w:t>
      </w:r>
      <w:r w:rsidR="00E80F7C">
        <w:rPr>
          <w:rFonts w:ascii="Arial" w:hAnsi="Arial" w:cs="Arial"/>
          <w:color w:val="595959" w:themeColor="text1" w:themeTint="A6"/>
        </w:rPr>
        <w:t xml:space="preserve">a tissue-engineered </w:t>
      </w:r>
      <w:r w:rsidRPr="00F311FA">
        <w:rPr>
          <w:rFonts w:ascii="Arial" w:hAnsi="Arial" w:cs="Arial"/>
          <w:color w:val="595959" w:themeColor="text1" w:themeTint="A6"/>
        </w:rPr>
        <w:t xml:space="preserve">oral CAF-DM </w:t>
      </w:r>
      <w:r w:rsidR="00E80F7C">
        <w:rPr>
          <w:rFonts w:ascii="Arial" w:hAnsi="Arial" w:cs="Arial"/>
          <w:color w:val="595959" w:themeColor="text1" w:themeTint="A6"/>
        </w:rPr>
        <w:t xml:space="preserve">and </w:t>
      </w:r>
      <w:r w:rsidRPr="00F311FA">
        <w:rPr>
          <w:rFonts w:ascii="Arial" w:hAnsi="Arial" w:cs="Arial"/>
          <w:color w:val="595959" w:themeColor="text1" w:themeTint="A6"/>
        </w:rPr>
        <w:t xml:space="preserve">suggests that collagen may indeed play an integral role in modifying the </w:t>
      </w:r>
      <w:r w:rsidR="00C02604">
        <w:rPr>
          <w:rFonts w:ascii="Arial" w:hAnsi="Arial" w:cs="Arial"/>
          <w:color w:val="595959" w:themeColor="text1" w:themeTint="A6"/>
        </w:rPr>
        <w:t xml:space="preserve">OSCC </w:t>
      </w:r>
      <w:r w:rsidRPr="00F311FA">
        <w:rPr>
          <w:rFonts w:ascii="Arial" w:hAnsi="Arial" w:cs="Arial"/>
          <w:color w:val="595959" w:themeColor="text1" w:themeTint="A6"/>
        </w:rPr>
        <w:t>tumour profile</w:t>
      </w:r>
      <w:r w:rsidR="00DD2002">
        <w:rPr>
          <w:rFonts w:ascii="Arial" w:hAnsi="Arial" w:cs="Arial"/>
          <w:color w:val="595959" w:themeColor="text1" w:themeTint="A6"/>
        </w:rPr>
        <w:t xml:space="preserve"> as well as validat</w:t>
      </w:r>
      <w:r w:rsidR="00CA3AD4">
        <w:rPr>
          <w:rFonts w:ascii="Arial" w:hAnsi="Arial" w:cs="Arial"/>
          <w:color w:val="595959" w:themeColor="text1" w:themeTint="A6"/>
        </w:rPr>
        <w:t>ing</w:t>
      </w:r>
      <w:r w:rsidR="00DD2002">
        <w:rPr>
          <w:rFonts w:ascii="Arial" w:hAnsi="Arial" w:cs="Arial"/>
          <w:color w:val="595959" w:themeColor="text1" w:themeTint="A6"/>
        </w:rPr>
        <w:t xml:space="preserve"> FDM</w:t>
      </w:r>
      <w:r w:rsidR="00491616">
        <w:rPr>
          <w:rFonts w:ascii="Arial" w:hAnsi="Arial" w:cs="Arial"/>
          <w:color w:val="595959" w:themeColor="text1" w:themeTint="A6"/>
        </w:rPr>
        <w:t xml:space="preserve"> as stromal models</w:t>
      </w:r>
      <w:r w:rsidR="00DD2002">
        <w:rPr>
          <w:rFonts w:ascii="Arial" w:hAnsi="Arial" w:cs="Arial"/>
          <w:color w:val="595959" w:themeColor="text1" w:themeTint="A6"/>
        </w:rPr>
        <w:t xml:space="preserve"> to study architectural changes </w:t>
      </w:r>
      <w:r w:rsidR="00DD2002" w:rsidRPr="00DD2002">
        <w:rPr>
          <w:rFonts w:ascii="Arial" w:hAnsi="Arial" w:cs="Arial"/>
          <w:i/>
          <w:iCs/>
          <w:color w:val="595959" w:themeColor="text1" w:themeTint="A6"/>
        </w:rPr>
        <w:t>in vitro</w:t>
      </w:r>
      <w:r w:rsidRPr="00F311FA">
        <w:rPr>
          <w:rFonts w:ascii="Arial" w:hAnsi="Arial" w:cs="Arial"/>
          <w:color w:val="595959" w:themeColor="text1" w:themeTint="A6"/>
        </w:rPr>
        <w:t xml:space="preserve">. </w:t>
      </w:r>
      <w:r w:rsidR="0084704B">
        <w:rPr>
          <w:rFonts w:ascii="Arial" w:hAnsi="Arial" w:cs="Arial"/>
          <w:color w:val="595959" w:themeColor="text1" w:themeTint="A6"/>
        </w:rPr>
        <w:t xml:space="preserve">Although reported in the literature </w:t>
      </w:r>
      <w:r w:rsidR="00B5577A">
        <w:rPr>
          <w:rFonts w:ascii="Arial" w:hAnsi="Arial" w:cs="Arial"/>
          <w:color w:val="595959" w:themeColor="text1" w:themeTint="A6"/>
        </w:rPr>
        <w:t xml:space="preserve">by </w:t>
      </w:r>
      <w:r w:rsidR="00B5577A" w:rsidRPr="00B5577A">
        <w:rPr>
          <w:rFonts w:ascii="Arial" w:hAnsi="Arial" w:cs="Arial"/>
          <w:i/>
          <w:iCs/>
          <w:color w:val="595959" w:themeColor="text1" w:themeTint="A6"/>
        </w:rPr>
        <w:t>Hanley et al.,</w:t>
      </w:r>
      <w:r w:rsidR="00B5577A">
        <w:rPr>
          <w:rFonts w:ascii="Arial" w:hAnsi="Arial" w:cs="Arial"/>
          <w:color w:val="595959" w:themeColor="text1" w:themeTint="A6"/>
        </w:rPr>
        <w:t xml:space="preserve"> for OSCC and </w:t>
      </w:r>
      <w:r w:rsidR="00B5577A" w:rsidRPr="00B5577A">
        <w:rPr>
          <w:rFonts w:ascii="Arial" w:hAnsi="Arial" w:cs="Arial"/>
          <w:i/>
          <w:iCs/>
          <w:color w:val="595959" w:themeColor="text1" w:themeTint="A6"/>
        </w:rPr>
        <w:t>Provenzano et al.,</w:t>
      </w:r>
      <w:r w:rsidR="00B5577A">
        <w:rPr>
          <w:rFonts w:ascii="Arial" w:hAnsi="Arial" w:cs="Arial"/>
          <w:i/>
          <w:iCs/>
          <w:color w:val="595959" w:themeColor="text1" w:themeTint="A6"/>
        </w:rPr>
        <w:t xml:space="preserve"> </w:t>
      </w:r>
      <w:r w:rsidR="00B5577A">
        <w:rPr>
          <w:rFonts w:ascii="Arial" w:hAnsi="Arial" w:cs="Arial"/>
          <w:color w:val="595959" w:themeColor="text1" w:themeTint="A6"/>
        </w:rPr>
        <w:t>in breast carcinoma</w:t>
      </w:r>
      <w:r w:rsidR="00D845E7">
        <w:rPr>
          <w:rFonts w:ascii="Arial" w:hAnsi="Arial" w:cs="Arial"/>
          <w:color w:val="595959" w:themeColor="text1" w:themeTint="A6"/>
        </w:rPr>
        <w:t xml:space="preserve">, </w:t>
      </w:r>
      <w:r w:rsidRPr="00F311FA">
        <w:rPr>
          <w:rFonts w:ascii="Arial" w:hAnsi="Arial" w:cs="Arial"/>
          <w:color w:val="595959" w:themeColor="text1" w:themeTint="A6"/>
        </w:rPr>
        <w:t xml:space="preserve">a comparison study </w:t>
      </w:r>
      <w:r w:rsidR="00D845E7">
        <w:rPr>
          <w:rFonts w:ascii="Arial" w:hAnsi="Arial" w:cs="Arial"/>
          <w:color w:val="595959" w:themeColor="text1" w:themeTint="A6"/>
        </w:rPr>
        <w:t>of</w:t>
      </w:r>
      <w:r w:rsidRPr="00F311FA">
        <w:rPr>
          <w:rFonts w:ascii="Arial" w:hAnsi="Arial" w:cs="Arial"/>
          <w:color w:val="595959" w:themeColor="text1" w:themeTint="A6"/>
        </w:rPr>
        <w:t xml:space="preserve"> OSCC patient material to conclude whether this </w:t>
      </w:r>
      <w:r w:rsidR="009A17E0">
        <w:rPr>
          <w:rFonts w:ascii="Arial" w:hAnsi="Arial" w:cs="Arial"/>
          <w:color w:val="595959" w:themeColor="text1" w:themeTint="A6"/>
        </w:rPr>
        <w:t>trend i</w:t>
      </w:r>
      <w:r w:rsidRPr="00F311FA">
        <w:rPr>
          <w:rFonts w:ascii="Arial" w:hAnsi="Arial" w:cs="Arial"/>
          <w:color w:val="595959" w:themeColor="text1" w:themeTint="A6"/>
        </w:rPr>
        <w:t>s also observed in explant tissue</w:t>
      </w:r>
      <w:r w:rsidR="00B650E3">
        <w:rPr>
          <w:rFonts w:ascii="Arial" w:hAnsi="Arial" w:cs="Arial"/>
          <w:color w:val="595959" w:themeColor="text1" w:themeTint="A6"/>
        </w:rPr>
        <w:t xml:space="preserve"> would have been beneficial. </w:t>
      </w:r>
    </w:p>
    <w:p w14:paraId="388ADFC3" w14:textId="0840A6B5" w:rsidR="00F311FA" w:rsidRPr="00F311FA" w:rsidRDefault="00F311FA" w:rsidP="00F311FA">
      <w:pPr>
        <w:tabs>
          <w:tab w:val="left" w:pos="1058"/>
        </w:tabs>
        <w:spacing w:line="480" w:lineRule="auto"/>
        <w:jc w:val="both"/>
        <w:rPr>
          <w:rFonts w:ascii="Arial" w:hAnsi="Arial" w:cs="Arial"/>
          <w:color w:val="595959" w:themeColor="text1" w:themeTint="A6"/>
        </w:rPr>
      </w:pPr>
      <w:r w:rsidRPr="00F311FA">
        <w:rPr>
          <w:rFonts w:ascii="Arial" w:hAnsi="Arial" w:cs="Arial"/>
          <w:color w:val="595959" w:themeColor="text1" w:themeTint="A6"/>
        </w:rPr>
        <w:t xml:space="preserve">With the role of collagen cross-linking and subsequent stiffening of the ECM, this increased rigidity is well established in the progression of solid tumours (Tilghman </w:t>
      </w:r>
      <w:r w:rsidRPr="00F311FA">
        <w:rPr>
          <w:rFonts w:ascii="Arial" w:hAnsi="Arial" w:cs="Arial"/>
          <w:i/>
          <w:iCs/>
          <w:color w:val="595959" w:themeColor="text1" w:themeTint="A6"/>
        </w:rPr>
        <w:t>et al.,</w:t>
      </w:r>
      <w:r w:rsidRPr="00F311FA">
        <w:rPr>
          <w:rFonts w:ascii="Arial" w:hAnsi="Arial" w:cs="Arial"/>
          <w:color w:val="595959" w:themeColor="text1" w:themeTint="A6"/>
        </w:rPr>
        <w:t xml:space="preserve"> 2010 and Chaudhuri </w:t>
      </w:r>
      <w:r w:rsidRPr="00F311FA">
        <w:rPr>
          <w:rFonts w:ascii="Arial" w:hAnsi="Arial" w:cs="Arial"/>
          <w:i/>
          <w:iCs/>
          <w:color w:val="595959" w:themeColor="text1" w:themeTint="A6"/>
        </w:rPr>
        <w:t>et al.,</w:t>
      </w:r>
      <w:r w:rsidRPr="00F311FA">
        <w:rPr>
          <w:rFonts w:ascii="Arial" w:hAnsi="Arial" w:cs="Arial"/>
          <w:color w:val="595959" w:themeColor="text1" w:themeTint="A6"/>
        </w:rPr>
        <w:t xml:space="preserve"> 2014). Mechanical stress can directly </w:t>
      </w:r>
      <w:r w:rsidR="004A27D1" w:rsidRPr="00F311FA">
        <w:rPr>
          <w:rFonts w:ascii="Arial" w:hAnsi="Arial" w:cs="Arial"/>
          <w:color w:val="595959" w:themeColor="text1" w:themeTint="A6"/>
        </w:rPr>
        <w:t>affect</w:t>
      </w:r>
      <w:r w:rsidRPr="00F311FA">
        <w:rPr>
          <w:rFonts w:ascii="Arial" w:hAnsi="Arial" w:cs="Arial"/>
          <w:color w:val="595959" w:themeColor="text1" w:themeTint="A6"/>
        </w:rPr>
        <w:t xml:space="preserve"> tumour growth and progression, by placing cells in a unique physiological environment. Atomic force microscopy was conducted to decipher solid stress differences between NOF- and CAF-DM. Preliminary evidence indicate</w:t>
      </w:r>
      <w:r w:rsidR="009A17E0">
        <w:rPr>
          <w:rFonts w:ascii="Arial" w:hAnsi="Arial" w:cs="Arial"/>
          <w:color w:val="595959" w:themeColor="text1" w:themeTint="A6"/>
        </w:rPr>
        <w:t xml:space="preserve">d </w:t>
      </w:r>
      <w:r w:rsidRPr="00F311FA">
        <w:rPr>
          <w:rFonts w:ascii="Arial" w:hAnsi="Arial" w:cs="Arial"/>
          <w:color w:val="595959" w:themeColor="text1" w:themeTint="A6"/>
        </w:rPr>
        <w:t>that CAF-DM produced a stiffer native ECM than NOF-DM which is in agreement with other investigations</w:t>
      </w:r>
      <w:r w:rsidR="009A17E0">
        <w:rPr>
          <w:rFonts w:ascii="Arial" w:hAnsi="Arial" w:cs="Arial"/>
          <w:color w:val="595959" w:themeColor="text1" w:themeTint="A6"/>
        </w:rPr>
        <w:t xml:space="preserve"> (</w:t>
      </w:r>
      <w:r w:rsidR="00A57ADB" w:rsidRPr="00A57ADB">
        <w:rPr>
          <w:rFonts w:ascii="Arial" w:hAnsi="Arial" w:cs="Arial"/>
          <w:color w:val="595959" w:themeColor="text1" w:themeTint="A6"/>
        </w:rPr>
        <w:t>Stylianou</w:t>
      </w:r>
      <w:r w:rsidR="00A57ADB">
        <w:rPr>
          <w:rFonts w:ascii="Arial" w:hAnsi="Arial" w:cs="Arial"/>
          <w:color w:val="595959" w:themeColor="text1" w:themeTint="A6"/>
        </w:rPr>
        <w:t xml:space="preserve"> </w:t>
      </w:r>
      <w:r w:rsidR="00A57ADB" w:rsidRPr="00A57ADB">
        <w:rPr>
          <w:rFonts w:ascii="Arial" w:hAnsi="Arial" w:cs="Arial"/>
          <w:i/>
          <w:iCs/>
          <w:color w:val="595959" w:themeColor="text1" w:themeTint="A6"/>
        </w:rPr>
        <w:t>et al.,</w:t>
      </w:r>
      <w:r w:rsidR="00A57ADB">
        <w:rPr>
          <w:rFonts w:ascii="Arial" w:hAnsi="Arial" w:cs="Arial"/>
          <w:color w:val="595959" w:themeColor="text1" w:themeTint="A6"/>
        </w:rPr>
        <w:t xml:space="preserve"> 2018, </w:t>
      </w:r>
      <w:r w:rsidR="00FD0B5B">
        <w:rPr>
          <w:rFonts w:ascii="Arial" w:hAnsi="Arial" w:cs="Arial"/>
          <w:color w:val="595959" w:themeColor="text1" w:themeTint="A6"/>
        </w:rPr>
        <w:t xml:space="preserve">Lui </w:t>
      </w:r>
      <w:r w:rsidR="00FD0B5B" w:rsidRPr="00FD0B5B">
        <w:rPr>
          <w:rFonts w:ascii="Arial" w:hAnsi="Arial" w:cs="Arial"/>
          <w:i/>
          <w:iCs/>
          <w:color w:val="595959" w:themeColor="text1" w:themeTint="A6"/>
        </w:rPr>
        <w:t>et al.,</w:t>
      </w:r>
      <w:r w:rsidR="00FD0B5B">
        <w:rPr>
          <w:rFonts w:ascii="Arial" w:hAnsi="Arial" w:cs="Arial"/>
          <w:color w:val="595959" w:themeColor="text1" w:themeTint="A6"/>
        </w:rPr>
        <w:t xml:space="preserve"> 2019</w:t>
      </w:r>
      <w:r w:rsidR="009A17E0">
        <w:rPr>
          <w:rFonts w:ascii="Arial" w:hAnsi="Arial" w:cs="Arial"/>
          <w:color w:val="595959" w:themeColor="text1" w:themeTint="A6"/>
        </w:rPr>
        <w:t>)</w:t>
      </w:r>
      <w:r w:rsidRPr="00F311FA">
        <w:rPr>
          <w:rFonts w:ascii="Arial" w:hAnsi="Arial" w:cs="Arial"/>
          <w:color w:val="595959" w:themeColor="text1" w:themeTint="A6"/>
        </w:rPr>
        <w:t>. Further</w:t>
      </w:r>
      <w:r w:rsidR="00D62C88">
        <w:rPr>
          <w:rFonts w:ascii="Arial" w:hAnsi="Arial" w:cs="Arial"/>
          <w:color w:val="595959" w:themeColor="text1" w:themeTint="A6"/>
        </w:rPr>
        <w:t xml:space="preserve"> experimental </w:t>
      </w:r>
      <w:r w:rsidRPr="00F311FA">
        <w:rPr>
          <w:rFonts w:ascii="Arial" w:hAnsi="Arial" w:cs="Arial"/>
          <w:color w:val="595959" w:themeColor="text1" w:themeTint="A6"/>
        </w:rPr>
        <w:t xml:space="preserve">repeats are </w:t>
      </w:r>
      <w:r w:rsidR="00D62C88">
        <w:rPr>
          <w:rFonts w:ascii="Arial" w:hAnsi="Arial" w:cs="Arial"/>
          <w:color w:val="595959" w:themeColor="text1" w:themeTint="A6"/>
        </w:rPr>
        <w:t>necessary</w:t>
      </w:r>
      <w:r w:rsidRPr="00F311FA">
        <w:rPr>
          <w:rFonts w:ascii="Arial" w:hAnsi="Arial" w:cs="Arial"/>
          <w:color w:val="595959" w:themeColor="text1" w:themeTint="A6"/>
        </w:rPr>
        <w:t xml:space="preserve"> to fully conclude whether CAF-DM stiffness contributes to </w:t>
      </w:r>
      <w:r w:rsidR="00D62C88">
        <w:rPr>
          <w:rFonts w:ascii="Arial" w:hAnsi="Arial" w:cs="Arial"/>
          <w:color w:val="595959" w:themeColor="text1" w:themeTint="A6"/>
        </w:rPr>
        <w:t xml:space="preserve">an </w:t>
      </w:r>
      <w:r w:rsidRPr="00F311FA">
        <w:rPr>
          <w:rFonts w:ascii="Arial" w:hAnsi="Arial" w:cs="Arial"/>
          <w:color w:val="595959" w:themeColor="text1" w:themeTint="A6"/>
        </w:rPr>
        <w:t xml:space="preserve">altered cancer cell phenotype. </w:t>
      </w:r>
    </w:p>
    <w:p w14:paraId="42B7171A" w14:textId="64974F78" w:rsidR="00F311FA" w:rsidRDefault="006033F8" w:rsidP="004F6CA0">
      <w:pPr>
        <w:pStyle w:val="Heading3"/>
        <w:rPr>
          <w:rFonts w:ascii="Arial" w:hAnsi="Arial" w:cs="Arial"/>
          <w:color w:val="595959" w:themeColor="text1" w:themeTint="A6"/>
          <w:sz w:val="22"/>
          <w:szCs w:val="22"/>
        </w:rPr>
      </w:pPr>
      <w:bookmarkStart w:id="496" w:name="_Toc34208483"/>
      <w:r w:rsidRPr="004F6CA0">
        <w:rPr>
          <w:rFonts w:ascii="Arial" w:hAnsi="Arial" w:cs="Arial"/>
          <w:color w:val="595959" w:themeColor="text1" w:themeTint="A6"/>
          <w:sz w:val="22"/>
          <w:szCs w:val="22"/>
        </w:rPr>
        <w:t>6</w:t>
      </w:r>
      <w:r w:rsidR="00F311FA" w:rsidRPr="004F6CA0">
        <w:rPr>
          <w:rFonts w:ascii="Arial" w:hAnsi="Arial" w:cs="Arial"/>
          <w:color w:val="595959" w:themeColor="text1" w:themeTint="A6"/>
          <w:sz w:val="22"/>
          <w:szCs w:val="22"/>
        </w:rPr>
        <w:t>.</w:t>
      </w:r>
      <w:r w:rsidR="004F6CA0" w:rsidRPr="004F6CA0">
        <w:rPr>
          <w:rFonts w:ascii="Arial" w:hAnsi="Arial" w:cs="Arial"/>
          <w:color w:val="595959" w:themeColor="text1" w:themeTint="A6"/>
          <w:sz w:val="22"/>
          <w:szCs w:val="22"/>
        </w:rPr>
        <w:t>3</w:t>
      </w:r>
      <w:r w:rsidR="00F311FA" w:rsidRPr="004F6CA0">
        <w:rPr>
          <w:rFonts w:ascii="Arial" w:hAnsi="Arial" w:cs="Arial"/>
          <w:color w:val="595959" w:themeColor="text1" w:themeTint="A6"/>
          <w:sz w:val="22"/>
          <w:szCs w:val="22"/>
        </w:rPr>
        <w:t>.3 Biochemical properties of FDM</w:t>
      </w:r>
      <w:bookmarkEnd w:id="496"/>
    </w:p>
    <w:p w14:paraId="1BD0A8A8" w14:textId="77777777" w:rsidR="004F6CA0" w:rsidRPr="004F6CA0" w:rsidRDefault="004F6CA0" w:rsidP="004F6CA0"/>
    <w:p w14:paraId="04FE236E" w14:textId="5E6013E2" w:rsidR="00F311FA" w:rsidRPr="00F311FA" w:rsidRDefault="00F311FA" w:rsidP="00F311FA">
      <w:pPr>
        <w:tabs>
          <w:tab w:val="left" w:pos="1058"/>
        </w:tabs>
        <w:spacing w:line="480" w:lineRule="auto"/>
        <w:jc w:val="both"/>
        <w:rPr>
          <w:rFonts w:ascii="Arial" w:hAnsi="Arial" w:cs="Arial"/>
          <w:color w:val="595959" w:themeColor="text1" w:themeTint="A6"/>
        </w:rPr>
      </w:pPr>
      <w:r w:rsidRPr="00F311FA">
        <w:rPr>
          <w:rFonts w:ascii="Arial" w:hAnsi="Arial" w:cs="Arial"/>
          <w:color w:val="595959" w:themeColor="text1" w:themeTint="A6"/>
        </w:rPr>
        <w:t xml:space="preserve">Cell behaviour and response to the ECM is regulated by a complex set of environmental cues, including ECM ligand availability and stiffness (Kaukonen </w:t>
      </w:r>
      <w:r w:rsidRPr="00F311FA">
        <w:rPr>
          <w:rFonts w:ascii="Arial" w:hAnsi="Arial" w:cs="Arial"/>
          <w:i/>
          <w:iCs/>
          <w:color w:val="595959" w:themeColor="text1" w:themeTint="A6"/>
        </w:rPr>
        <w:t>et al.,</w:t>
      </w:r>
      <w:r w:rsidRPr="00F311FA">
        <w:rPr>
          <w:rFonts w:ascii="Arial" w:hAnsi="Arial" w:cs="Arial"/>
          <w:color w:val="595959" w:themeColor="text1" w:themeTint="A6"/>
        </w:rPr>
        <w:t xml:space="preserve"> 2017). ECM composition has been shown to influence the proliferation and migration of normal and cancer cells (Bomo </w:t>
      </w:r>
      <w:r w:rsidRPr="00F311FA">
        <w:rPr>
          <w:rFonts w:ascii="Arial" w:hAnsi="Arial" w:cs="Arial"/>
          <w:i/>
          <w:iCs/>
          <w:color w:val="595959" w:themeColor="text1" w:themeTint="A6"/>
        </w:rPr>
        <w:t>et al.,</w:t>
      </w:r>
      <w:r w:rsidRPr="00F311FA">
        <w:rPr>
          <w:rFonts w:ascii="Arial" w:hAnsi="Arial" w:cs="Arial"/>
          <w:color w:val="595959" w:themeColor="text1" w:themeTint="A6"/>
        </w:rPr>
        <w:t xml:space="preserve"> 2106). Live-cell imaging microscopy was employed to assess the effects of NOF- and CAF-DM on the behaviour of H357 and FNB6 cells. Both </w:t>
      </w:r>
      <w:r w:rsidR="006033F8">
        <w:rPr>
          <w:rFonts w:ascii="Arial" w:hAnsi="Arial" w:cs="Arial"/>
          <w:color w:val="595959" w:themeColor="text1" w:themeTint="A6"/>
        </w:rPr>
        <w:t>normal and cancer cells showed a significant increase in proliferation when they resided on CAF-DM</w:t>
      </w:r>
      <w:r w:rsidR="00677011">
        <w:rPr>
          <w:rFonts w:ascii="Arial" w:hAnsi="Arial" w:cs="Arial"/>
          <w:color w:val="595959" w:themeColor="text1" w:themeTint="A6"/>
        </w:rPr>
        <w:t xml:space="preserve">, and overall H357 on CAF-DM exhibited the greatest rate of proliferation, which demonstrates the suitability of these FDM to study cancer cell proliferation </w:t>
      </w:r>
      <w:r w:rsidR="00677011" w:rsidRPr="00677011">
        <w:rPr>
          <w:rFonts w:ascii="Arial" w:hAnsi="Arial" w:cs="Arial"/>
          <w:i/>
          <w:iCs/>
          <w:color w:val="595959" w:themeColor="text1" w:themeTint="A6"/>
        </w:rPr>
        <w:t>in vitro</w:t>
      </w:r>
      <w:r w:rsidR="00677011">
        <w:rPr>
          <w:rFonts w:ascii="Arial" w:hAnsi="Arial" w:cs="Arial"/>
          <w:color w:val="595959" w:themeColor="text1" w:themeTint="A6"/>
        </w:rPr>
        <w:t xml:space="preserve">, which is another alternative to other 3D methods for example spheroid-formation assays (Kaukonen </w:t>
      </w:r>
      <w:r w:rsidR="00677011" w:rsidRPr="00677011">
        <w:rPr>
          <w:rFonts w:ascii="Arial" w:hAnsi="Arial" w:cs="Arial"/>
          <w:i/>
          <w:iCs/>
          <w:color w:val="595959" w:themeColor="text1" w:themeTint="A6"/>
        </w:rPr>
        <w:t>et al.,</w:t>
      </w:r>
      <w:r w:rsidR="00677011">
        <w:rPr>
          <w:rFonts w:ascii="Arial" w:hAnsi="Arial" w:cs="Arial"/>
          <w:color w:val="595959" w:themeColor="text1" w:themeTint="A6"/>
        </w:rPr>
        <w:t xml:space="preserve"> 2017).  </w:t>
      </w:r>
      <w:r w:rsidR="00FA17AA">
        <w:rPr>
          <w:rFonts w:ascii="Arial" w:hAnsi="Arial" w:cs="Arial"/>
          <w:color w:val="595959" w:themeColor="text1" w:themeTint="A6"/>
        </w:rPr>
        <w:t>Using the models, i</w:t>
      </w:r>
      <w:r w:rsidR="00677011">
        <w:rPr>
          <w:rFonts w:ascii="Arial" w:hAnsi="Arial" w:cs="Arial"/>
          <w:color w:val="595959" w:themeColor="text1" w:themeTint="A6"/>
        </w:rPr>
        <w:t xml:space="preserve">t </w:t>
      </w:r>
      <w:r w:rsidR="008B5099">
        <w:rPr>
          <w:rFonts w:ascii="Arial" w:hAnsi="Arial" w:cs="Arial"/>
          <w:color w:val="595959" w:themeColor="text1" w:themeTint="A6"/>
        </w:rPr>
        <w:t>i</w:t>
      </w:r>
      <w:r w:rsidR="00677011">
        <w:rPr>
          <w:rFonts w:ascii="Arial" w:hAnsi="Arial" w:cs="Arial"/>
          <w:color w:val="595959" w:themeColor="text1" w:themeTint="A6"/>
        </w:rPr>
        <w:t>s also</w:t>
      </w:r>
      <w:r w:rsidR="008B5099">
        <w:rPr>
          <w:rFonts w:ascii="Arial" w:hAnsi="Arial" w:cs="Arial"/>
          <w:color w:val="595959" w:themeColor="text1" w:themeTint="A6"/>
        </w:rPr>
        <w:t xml:space="preserve"> </w:t>
      </w:r>
      <w:r w:rsidR="00677011">
        <w:rPr>
          <w:rFonts w:ascii="Arial" w:hAnsi="Arial" w:cs="Arial"/>
          <w:color w:val="595959" w:themeColor="text1" w:themeTint="A6"/>
        </w:rPr>
        <w:t xml:space="preserve">possible to assess variations in migration </w:t>
      </w:r>
      <w:r w:rsidR="00863E2B">
        <w:rPr>
          <w:rFonts w:ascii="Arial" w:hAnsi="Arial" w:cs="Arial"/>
          <w:color w:val="595959" w:themeColor="text1" w:themeTint="A6"/>
        </w:rPr>
        <w:t xml:space="preserve">when these cells reside on NOF- and CAF-DM in a more </w:t>
      </w:r>
      <w:r w:rsidR="00863E2B" w:rsidRPr="00863E2B">
        <w:rPr>
          <w:rFonts w:ascii="Arial" w:hAnsi="Arial" w:cs="Arial"/>
          <w:i/>
          <w:iCs/>
          <w:color w:val="595959" w:themeColor="text1" w:themeTint="A6"/>
        </w:rPr>
        <w:t>in-vivo</w:t>
      </w:r>
      <w:r w:rsidR="00863E2B">
        <w:rPr>
          <w:rFonts w:ascii="Arial" w:hAnsi="Arial" w:cs="Arial"/>
          <w:color w:val="595959" w:themeColor="text1" w:themeTint="A6"/>
        </w:rPr>
        <w:t xml:space="preserve">-like microenvironment. </w:t>
      </w:r>
      <w:r w:rsidR="00956769">
        <w:rPr>
          <w:rFonts w:ascii="Arial" w:hAnsi="Arial" w:cs="Arial"/>
          <w:color w:val="595959" w:themeColor="text1" w:themeTint="A6"/>
        </w:rPr>
        <w:t xml:space="preserve">Elevated migration rates were observed for H357 on CAF-DM with increased speed and directness. This is also observable for other cancer cells </w:t>
      </w:r>
      <w:r w:rsidR="00956769" w:rsidRPr="00956769">
        <w:rPr>
          <w:rFonts w:ascii="Arial" w:hAnsi="Arial" w:cs="Arial"/>
          <w:i/>
          <w:iCs/>
          <w:color w:val="595959" w:themeColor="text1" w:themeTint="A6"/>
        </w:rPr>
        <w:t>in vitro</w:t>
      </w:r>
      <w:r w:rsidR="00956769">
        <w:rPr>
          <w:rFonts w:ascii="Arial" w:hAnsi="Arial" w:cs="Arial"/>
          <w:color w:val="595959" w:themeColor="text1" w:themeTint="A6"/>
        </w:rPr>
        <w:t xml:space="preserve"> and </w:t>
      </w:r>
      <w:r w:rsidR="00956769" w:rsidRPr="00956769">
        <w:rPr>
          <w:rFonts w:ascii="Arial" w:hAnsi="Arial" w:cs="Arial"/>
          <w:i/>
          <w:iCs/>
          <w:color w:val="595959" w:themeColor="text1" w:themeTint="A6"/>
        </w:rPr>
        <w:t>in vivo</w:t>
      </w:r>
      <w:r w:rsidR="00956769">
        <w:rPr>
          <w:rFonts w:ascii="Arial" w:hAnsi="Arial" w:cs="Arial"/>
          <w:color w:val="595959" w:themeColor="text1" w:themeTint="A6"/>
        </w:rPr>
        <w:t xml:space="preserve"> </w:t>
      </w:r>
      <w:r w:rsidR="00985666">
        <w:rPr>
          <w:rFonts w:ascii="Arial" w:hAnsi="Arial" w:cs="Arial"/>
          <w:color w:val="595959" w:themeColor="text1" w:themeTint="A6"/>
        </w:rPr>
        <w:t xml:space="preserve">indicated the use of such FDM to assess the role of a pathway/protein or compound and the effects of these on migration </w:t>
      </w:r>
      <w:r w:rsidR="00956769">
        <w:rPr>
          <w:rFonts w:ascii="Arial" w:hAnsi="Arial" w:cs="Arial"/>
          <w:color w:val="595959" w:themeColor="text1" w:themeTint="A6"/>
        </w:rPr>
        <w:t xml:space="preserve">(Rainero </w:t>
      </w:r>
      <w:r w:rsidR="00956769" w:rsidRPr="00956769">
        <w:rPr>
          <w:rFonts w:ascii="Arial" w:hAnsi="Arial" w:cs="Arial"/>
          <w:i/>
          <w:iCs/>
          <w:color w:val="595959" w:themeColor="text1" w:themeTint="A6"/>
        </w:rPr>
        <w:t>et al.,</w:t>
      </w:r>
      <w:r w:rsidR="00956769">
        <w:rPr>
          <w:rFonts w:ascii="Arial" w:hAnsi="Arial" w:cs="Arial"/>
          <w:color w:val="595959" w:themeColor="text1" w:themeTint="A6"/>
        </w:rPr>
        <w:t xml:space="preserve"> 2012, Jacquemet </w:t>
      </w:r>
      <w:r w:rsidR="00956769" w:rsidRPr="00956769">
        <w:rPr>
          <w:rFonts w:ascii="Arial" w:hAnsi="Arial" w:cs="Arial"/>
          <w:i/>
          <w:iCs/>
          <w:color w:val="595959" w:themeColor="text1" w:themeTint="A6"/>
        </w:rPr>
        <w:t>et al.,</w:t>
      </w:r>
      <w:r w:rsidR="00956769">
        <w:rPr>
          <w:rFonts w:ascii="Arial" w:hAnsi="Arial" w:cs="Arial"/>
          <w:color w:val="595959" w:themeColor="text1" w:themeTint="A6"/>
        </w:rPr>
        <w:t xml:space="preserve"> 2017, Paul </w:t>
      </w:r>
      <w:r w:rsidR="00956769" w:rsidRPr="00956769">
        <w:rPr>
          <w:rFonts w:ascii="Arial" w:hAnsi="Arial" w:cs="Arial"/>
          <w:i/>
          <w:iCs/>
          <w:color w:val="595959" w:themeColor="text1" w:themeTint="A6"/>
        </w:rPr>
        <w:t>et al.,</w:t>
      </w:r>
      <w:r w:rsidR="00956769">
        <w:rPr>
          <w:rFonts w:ascii="Arial" w:hAnsi="Arial" w:cs="Arial"/>
          <w:color w:val="595959" w:themeColor="text1" w:themeTint="A6"/>
        </w:rPr>
        <w:t xml:space="preserve"> 2015).</w:t>
      </w:r>
      <w:r w:rsidR="00CA3AD4">
        <w:rPr>
          <w:rFonts w:ascii="Arial" w:hAnsi="Arial" w:cs="Arial"/>
          <w:color w:val="595959" w:themeColor="text1" w:themeTint="A6"/>
        </w:rPr>
        <w:t xml:space="preserve"> Evidence for tumour reactive stroma having a tumorigenic effect on epithelial cells. </w:t>
      </w:r>
    </w:p>
    <w:p w14:paraId="2C84C3E5" w14:textId="1DFC61F3" w:rsidR="00F311FA" w:rsidRDefault="006033F8" w:rsidP="002316C5">
      <w:pPr>
        <w:pStyle w:val="Heading2"/>
        <w:rPr>
          <w:rFonts w:ascii="Arial" w:hAnsi="Arial" w:cs="Arial"/>
          <w:color w:val="595959" w:themeColor="text1" w:themeTint="A6"/>
          <w:sz w:val="22"/>
          <w:szCs w:val="22"/>
        </w:rPr>
      </w:pPr>
      <w:bookmarkStart w:id="497" w:name="_Toc34208484"/>
      <w:r w:rsidRPr="002316C5">
        <w:rPr>
          <w:rFonts w:ascii="Arial" w:hAnsi="Arial" w:cs="Arial"/>
          <w:color w:val="595959" w:themeColor="text1" w:themeTint="A6"/>
          <w:sz w:val="22"/>
          <w:szCs w:val="22"/>
        </w:rPr>
        <w:t>6</w:t>
      </w:r>
      <w:r w:rsidR="00F311FA" w:rsidRPr="002316C5">
        <w:rPr>
          <w:rFonts w:ascii="Arial" w:hAnsi="Arial" w:cs="Arial"/>
          <w:color w:val="595959" w:themeColor="text1" w:themeTint="A6"/>
          <w:sz w:val="22"/>
          <w:szCs w:val="22"/>
        </w:rPr>
        <w:t>.</w:t>
      </w:r>
      <w:r w:rsidR="002316C5" w:rsidRPr="002316C5">
        <w:rPr>
          <w:rFonts w:ascii="Arial" w:hAnsi="Arial" w:cs="Arial"/>
          <w:color w:val="595959" w:themeColor="text1" w:themeTint="A6"/>
          <w:sz w:val="22"/>
          <w:szCs w:val="22"/>
        </w:rPr>
        <w:t>4</w:t>
      </w:r>
      <w:r w:rsidR="00F311FA" w:rsidRPr="002316C5">
        <w:rPr>
          <w:rFonts w:ascii="Arial" w:hAnsi="Arial" w:cs="Arial"/>
          <w:color w:val="595959" w:themeColor="text1" w:themeTint="A6"/>
          <w:sz w:val="22"/>
          <w:szCs w:val="22"/>
        </w:rPr>
        <w:t xml:space="preserve"> FDM as three-dimensional platforms for drug screening</w:t>
      </w:r>
      <w:bookmarkEnd w:id="497"/>
      <w:r w:rsidR="00F311FA" w:rsidRPr="002316C5">
        <w:rPr>
          <w:rFonts w:ascii="Arial" w:hAnsi="Arial" w:cs="Arial"/>
          <w:color w:val="595959" w:themeColor="text1" w:themeTint="A6"/>
          <w:sz w:val="22"/>
          <w:szCs w:val="22"/>
        </w:rPr>
        <w:t xml:space="preserve"> </w:t>
      </w:r>
    </w:p>
    <w:p w14:paraId="76465A4D" w14:textId="77777777" w:rsidR="002316C5" w:rsidRPr="002316C5" w:rsidRDefault="002316C5" w:rsidP="002316C5"/>
    <w:p w14:paraId="5131ADEC" w14:textId="57FC8B10" w:rsidR="003D7FB1" w:rsidRDefault="00F311FA" w:rsidP="00F311FA">
      <w:pPr>
        <w:tabs>
          <w:tab w:val="left" w:pos="1058"/>
        </w:tabs>
        <w:spacing w:line="480" w:lineRule="auto"/>
        <w:jc w:val="both"/>
        <w:rPr>
          <w:rFonts w:ascii="Arial" w:hAnsi="Arial" w:cs="Arial"/>
          <w:color w:val="595959" w:themeColor="text1" w:themeTint="A6"/>
        </w:rPr>
      </w:pPr>
      <w:r w:rsidRPr="00F311FA">
        <w:rPr>
          <w:rFonts w:ascii="Arial" w:hAnsi="Arial" w:cs="Arial"/>
          <w:color w:val="595959" w:themeColor="text1" w:themeTint="A6"/>
        </w:rPr>
        <w:t>Tumours are highly complex, and this pose</w:t>
      </w:r>
      <w:r w:rsidR="00985666">
        <w:rPr>
          <w:rFonts w:ascii="Arial" w:hAnsi="Arial" w:cs="Arial"/>
          <w:color w:val="595959" w:themeColor="text1" w:themeTint="A6"/>
        </w:rPr>
        <w:t xml:space="preserve">s </w:t>
      </w:r>
      <w:r w:rsidRPr="00F311FA">
        <w:rPr>
          <w:rFonts w:ascii="Arial" w:hAnsi="Arial" w:cs="Arial"/>
          <w:color w:val="595959" w:themeColor="text1" w:themeTint="A6"/>
        </w:rPr>
        <w:t xml:space="preserve">many limitations in </w:t>
      </w:r>
      <w:r w:rsidR="00985666">
        <w:rPr>
          <w:rFonts w:ascii="Arial" w:hAnsi="Arial" w:cs="Arial"/>
          <w:color w:val="595959" w:themeColor="text1" w:themeTint="A6"/>
        </w:rPr>
        <w:t xml:space="preserve">the </w:t>
      </w:r>
      <w:r w:rsidRPr="00F311FA">
        <w:rPr>
          <w:rFonts w:ascii="Arial" w:hAnsi="Arial" w:cs="Arial"/>
          <w:color w:val="595959" w:themeColor="text1" w:themeTint="A6"/>
        </w:rPr>
        <w:t>deliver</w:t>
      </w:r>
      <w:r w:rsidR="00985666">
        <w:rPr>
          <w:rFonts w:ascii="Arial" w:hAnsi="Arial" w:cs="Arial"/>
          <w:color w:val="595959" w:themeColor="text1" w:themeTint="A6"/>
        </w:rPr>
        <w:t>y of</w:t>
      </w:r>
      <w:r w:rsidRPr="00F311FA">
        <w:rPr>
          <w:rFonts w:ascii="Arial" w:hAnsi="Arial" w:cs="Arial"/>
          <w:color w:val="595959" w:themeColor="text1" w:themeTint="A6"/>
        </w:rPr>
        <w:t xml:space="preserve"> proper and effective doses of chemotherapeutic drugs to specifically target CAF</w:t>
      </w:r>
      <w:r w:rsidR="009A17E0">
        <w:rPr>
          <w:rFonts w:ascii="Arial" w:hAnsi="Arial" w:cs="Arial"/>
          <w:color w:val="595959" w:themeColor="text1" w:themeTint="A6"/>
        </w:rPr>
        <w:t xml:space="preserve">, this is in part due to the </w:t>
      </w:r>
      <w:r w:rsidRPr="00F311FA">
        <w:rPr>
          <w:rFonts w:ascii="Arial" w:hAnsi="Arial" w:cs="Arial"/>
          <w:color w:val="595959" w:themeColor="text1" w:themeTint="A6"/>
        </w:rPr>
        <w:t xml:space="preserve">abnormal structure of tumour tissues, </w:t>
      </w:r>
      <w:r w:rsidR="009A17E0">
        <w:rPr>
          <w:rFonts w:ascii="Arial" w:hAnsi="Arial" w:cs="Arial"/>
          <w:color w:val="595959" w:themeColor="text1" w:themeTint="A6"/>
        </w:rPr>
        <w:t xml:space="preserve">thereby compromising the </w:t>
      </w:r>
      <w:r w:rsidRPr="00F311FA">
        <w:rPr>
          <w:rFonts w:ascii="Arial" w:hAnsi="Arial" w:cs="Arial"/>
          <w:color w:val="595959" w:themeColor="text1" w:themeTint="A6"/>
        </w:rPr>
        <w:t>major routes of drug delivery (Egebald</w:t>
      </w:r>
      <w:r w:rsidRPr="00F311FA">
        <w:rPr>
          <w:rFonts w:ascii="Arial" w:hAnsi="Arial" w:cs="Arial"/>
          <w:i/>
          <w:iCs/>
          <w:color w:val="595959" w:themeColor="text1" w:themeTint="A6"/>
        </w:rPr>
        <w:t xml:space="preserve"> et al.,</w:t>
      </w:r>
      <w:r w:rsidRPr="00F311FA">
        <w:rPr>
          <w:rFonts w:ascii="Arial" w:hAnsi="Arial" w:cs="Arial"/>
          <w:color w:val="595959" w:themeColor="text1" w:themeTint="A6"/>
        </w:rPr>
        <w:t xml:space="preserve"> 2010). The major abnormalities that are recapitulated in the models</w:t>
      </w:r>
      <w:r w:rsidR="009A17E0">
        <w:rPr>
          <w:rFonts w:ascii="Arial" w:hAnsi="Arial" w:cs="Arial"/>
          <w:color w:val="595959" w:themeColor="text1" w:themeTint="A6"/>
        </w:rPr>
        <w:t xml:space="preserve"> developed here </w:t>
      </w:r>
      <w:r w:rsidRPr="00F311FA">
        <w:rPr>
          <w:rFonts w:ascii="Arial" w:hAnsi="Arial" w:cs="Arial"/>
          <w:color w:val="595959" w:themeColor="text1" w:themeTint="A6"/>
        </w:rPr>
        <w:t xml:space="preserve">are a highly dense ECM accumulation </w:t>
      </w:r>
      <w:r w:rsidR="0053451E">
        <w:rPr>
          <w:rFonts w:ascii="Arial" w:hAnsi="Arial" w:cs="Arial"/>
          <w:color w:val="595959" w:themeColor="text1" w:themeTint="A6"/>
        </w:rPr>
        <w:t xml:space="preserve">by CAF </w:t>
      </w:r>
      <w:r w:rsidRPr="00F311FA">
        <w:rPr>
          <w:rFonts w:ascii="Arial" w:hAnsi="Arial" w:cs="Arial"/>
          <w:color w:val="595959" w:themeColor="text1" w:themeTint="A6"/>
        </w:rPr>
        <w:t xml:space="preserve">that acts as barrier to interstitial transport. </w:t>
      </w:r>
      <w:r w:rsidR="00356E93">
        <w:rPr>
          <w:rFonts w:ascii="Arial" w:hAnsi="Arial" w:cs="Arial"/>
          <w:color w:val="595959" w:themeColor="text1" w:themeTint="A6"/>
        </w:rPr>
        <w:t xml:space="preserve">The implications of treatment with </w:t>
      </w:r>
      <w:r w:rsidRPr="00F311FA">
        <w:rPr>
          <w:rFonts w:ascii="Arial" w:hAnsi="Arial" w:cs="Arial"/>
          <w:color w:val="595959" w:themeColor="text1" w:themeTint="A6"/>
        </w:rPr>
        <w:t xml:space="preserve">Scriptaid and Batimastat were assessed </w:t>
      </w:r>
      <w:r w:rsidR="009225A9">
        <w:rPr>
          <w:rFonts w:ascii="Arial" w:hAnsi="Arial" w:cs="Arial"/>
          <w:color w:val="595959" w:themeColor="text1" w:themeTint="A6"/>
        </w:rPr>
        <w:t xml:space="preserve">in </w:t>
      </w:r>
      <w:r w:rsidRPr="00F311FA">
        <w:rPr>
          <w:rFonts w:ascii="Arial" w:hAnsi="Arial" w:cs="Arial"/>
          <w:color w:val="595959" w:themeColor="text1" w:themeTint="A6"/>
        </w:rPr>
        <w:t xml:space="preserve">2D </w:t>
      </w:r>
      <w:r w:rsidR="002F4792">
        <w:rPr>
          <w:rFonts w:ascii="Arial" w:hAnsi="Arial" w:cs="Arial"/>
          <w:color w:val="595959" w:themeColor="text1" w:themeTint="A6"/>
        </w:rPr>
        <w:t>cultures a</w:t>
      </w:r>
      <w:r w:rsidRPr="00F311FA">
        <w:rPr>
          <w:rFonts w:ascii="Arial" w:hAnsi="Arial" w:cs="Arial"/>
          <w:color w:val="595959" w:themeColor="text1" w:themeTint="A6"/>
        </w:rPr>
        <w:t>nd</w:t>
      </w:r>
      <w:r w:rsidR="009225A9">
        <w:rPr>
          <w:rFonts w:ascii="Arial" w:hAnsi="Arial" w:cs="Arial"/>
          <w:color w:val="595959" w:themeColor="text1" w:themeTint="A6"/>
        </w:rPr>
        <w:t xml:space="preserve"> in</w:t>
      </w:r>
      <w:r w:rsidRPr="00F311FA">
        <w:rPr>
          <w:rFonts w:ascii="Arial" w:hAnsi="Arial" w:cs="Arial"/>
          <w:color w:val="595959" w:themeColor="text1" w:themeTint="A6"/>
        </w:rPr>
        <w:t xml:space="preserve"> 3D</w:t>
      </w:r>
      <w:r w:rsidR="009D7BAA">
        <w:rPr>
          <w:rFonts w:ascii="Arial" w:hAnsi="Arial" w:cs="Arial"/>
          <w:color w:val="595959" w:themeColor="text1" w:themeTint="A6"/>
        </w:rPr>
        <w:t>,</w:t>
      </w:r>
      <w:r w:rsidRPr="00F311FA">
        <w:rPr>
          <w:rFonts w:ascii="Arial" w:hAnsi="Arial" w:cs="Arial"/>
          <w:color w:val="595959" w:themeColor="text1" w:themeTint="A6"/>
        </w:rPr>
        <w:t xml:space="preserve"> </w:t>
      </w:r>
      <w:r w:rsidR="009225A9">
        <w:rPr>
          <w:rFonts w:ascii="Arial" w:hAnsi="Arial" w:cs="Arial"/>
          <w:color w:val="595959" w:themeColor="text1" w:themeTint="A6"/>
        </w:rPr>
        <w:t>as</w:t>
      </w:r>
      <w:r w:rsidR="00F86669">
        <w:rPr>
          <w:rFonts w:ascii="Arial" w:hAnsi="Arial" w:cs="Arial"/>
          <w:color w:val="595959" w:themeColor="text1" w:themeTint="A6"/>
        </w:rPr>
        <w:t xml:space="preserve"> FDM scaffolds</w:t>
      </w:r>
      <w:r w:rsidRPr="00F311FA">
        <w:rPr>
          <w:rFonts w:ascii="Arial" w:hAnsi="Arial" w:cs="Arial"/>
          <w:color w:val="595959" w:themeColor="text1" w:themeTint="A6"/>
        </w:rPr>
        <w:t xml:space="preserve">. </w:t>
      </w:r>
      <w:r w:rsidR="009F7470">
        <w:rPr>
          <w:rFonts w:ascii="Arial" w:hAnsi="Arial" w:cs="Arial"/>
          <w:color w:val="595959" w:themeColor="text1" w:themeTint="A6"/>
        </w:rPr>
        <w:t xml:space="preserve">Preliminary results have indicated </w:t>
      </w:r>
      <w:r w:rsidR="00AF0BB0">
        <w:rPr>
          <w:rFonts w:ascii="Arial" w:hAnsi="Arial" w:cs="Arial"/>
          <w:color w:val="595959" w:themeColor="text1" w:themeTint="A6"/>
        </w:rPr>
        <w:t xml:space="preserve">similarities and </w:t>
      </w:r>
      <w:r w:rsidRPr="00F311FA">
        <w:rPr>
          <w:rFonts w:ascii="Arial" w:hAnsi="Arial" w:cs="Arial"/>
          <w:color w:val="595959" w:themeColor="text1" w:themeTint="A6"/>
        </w:rPr>
        <w:t>differences in responses to drug therapies between 2D and 3</w:t>
      </w:r>
      <w:r w:rsidR="00DF2887">
        <w:rPr>
          <w:rFonts w:ascii="Arial" w:hAnsi="Arial" w:cs="Arial"/>
          <w:color w:val="595959" w:themeColor="text1" w:themeTint="A6"/>
        </w:rPr>
        <w:t>D</w:t>
      </w:r>
      <w:r w:rsidR="00E64C3B">
        <w:rPr>
          <w:rFonts w:ascii="Arial" w:hAnsi="Arial" w:cs="Arial"/>
          <w:color w:val="595959" w:themeColor="text1" w:themeTint="A6"/>
        </w:rPr>
        <w:t xml:space="preserve"> cultures</w:t>
      </w:r>
      <w:r w:rsidR="004636C6">
        <w:rPr>
          <w:rFonts w:ascii="Arial" w:hAnsi="Arial" w:cs="Arial"/>
          <w:color w:val="595959" w:themeColor="text1" w:themeTint="A6"/>
        </w:rPr>
        <w:t>.</w:t>
      </w:r>
      <w:r w:rsidR="00470DBC">
        <w:rPr>
          <w:rFonts w:ascii="Arial" w:hAnsi="Arial" w:cs="Arial"/>
          <w:color w:val="595959" w:themeColor="text1" w:themeTint="A6"/>
        </w:rPr>
        <w:t xml:space="preserve"> </w:t>
      </w:r>
      <w:r w:rsidR="009D7BAA">
        <w:rPr>
          <w:rFonts w:ascii="Arial" w:hAnsi="Arial" w:cs="Arial"/>
          <w:color w:val="595959" w:themeColor="text1" w:themeTint="A6"/>
        </w:rPr>
        <w:t xml:space="preserve">Scriptaid </w:t>
      </w:r>
      <w:r w:rsidR="00470DBC">
        <w:rPr>
          <w:rFonts w:ascii="Arial" w:hAnsi="Arial" w:cs="Arial"/>
          <w:color w:val="595959" w:themeColor="text1" w:themeTint="A6"/>
        </w:rPr>
        <w:t xml:space="preserve">treatment alone </w:t>
      </w:r>
      <w:r w:rsidR="009D7BAA">
        <w:rPr>
          <w:rFonts w:ascii="Arial" w:hAnsi="Arial" w:cs="Arial"/>
          <w:color w:val="595959" w:themeColor="text1" w:themeTint="A6"/>
        </w:rPr>
        <w:t>induced no significant changes to gene</w:t>
      </w:r>
      <w:r w:rsidR="00DB2F8C">
        <w:rPr>
          <w:rFonts w:ascii="Arial" w:hAnsi="Arial" w:cs="Arial"/>
          <w:color w:val="595959" w:themeColor="text1" w:themeTint="A6"/>
        </w:rPr>
        <w:t xml:space="preserve"> </w:t>
      </w:r>
      <w:r w:rsidR="00470DBC">
        <w:rPr>
          <w:rFonts w:ascii="Arial" w:hAnsi="Arial" w:cs="Arial"/>
          <w:color w:val="595959" w:themeColor="text1" w:themeTint="A6"/>
        </w:rPr>
        <w:t>levels f</w:t>
      </w:r>
      <w:r w:rsidR="009D7BAA">
        <w:rPr>
          <w:rFonts w:ascii="Arial" w:hAnsi="Arial" w:cs="Arial"/>
          <w:color w:val="595959" w:themeColor="text1" w:themeTint="A6"/>
        </w:rPr>
        <w:t xml:space="preserve">or </w:t>
      </w:r>
      <w:r w:rsidR="0003195B">
        <w:rPr>
          <w:rFonts w:ascii="Arial" w:hAnsi="Arial" w:cs="Arial"/>
          <w:color w:val="595959" w:themeColor="text1" w:themeTint="A6"/>
        </w:rPr>
        <w:t xml:space="preserve">NOF </w:t>
      </w:r>
      <w:r w:rsidR="00DB2F8C">
        <w:rPr>
          <w:rFonts w:ascii="Arial" w:hAnsi="Arial" w:cs="Arial"/>
          <w:color w:val="595959" w:themeColor="text1" w:themeTint="A6"/>
        </w:rPr>
        <w:t xml:space="preserve">and CAF, however a significant decrease was observed for </w:t>
      </w:r>
      <w:r w:rsidR="000A1794">
        <w:rPr>
          <w:rFonts w:ascii="Arial" w:hAnsi="Arial" w:cs="Arial"/>
          <w:color w:val="595959" w:themeColor="text1" w:themeTint="A6"/>
        </w:rPr>
        <w:t>αSMA</w:t>
      </w:r>
      <w:r w:rsidR="00DB2F8C">
        <w:rPr>
          <w:rFonts w:ascii="Arial" w:hAnsi="Arial" w:cs="Arial"/>
          <w:color w:val="595959" w:themeColor="text1" w:themeTint="A6"/>
        </w:rPr>
        <w:t xml:space="preserve"> and</w:t>
      </w:r>
      <w:r w:rsidR="000A1794">
        <w:rPr>
          <w:rFonts w:ascii="Arial" w:hAnsi="Arial" w:cs="Arial"/>
          <w:color w:val="595959" w:themeColor="text1" w:themeTint="A6"/>
        </w:rPr>
        <w:t xml:space="preserve"> </w:t>
      </w:r>
      <w:r w:rsidR="00DF24DD">
        <w:rPr>
          <w:rFonts w:ascii="Arial" w:hAnsi="Arial" w:cs="Arial"/>
          <w:color w:val="595959" w:themeColor="text1" w:themeTint="A6"/>
        </w:rPr>
        <w:t xml:space="preserve">FN1-EDA </w:t>
      </w:r>
      <w:r w:rsidR="00DB2F8C">
        <w:rPr>
          <w:rFonts w:ascii="Arial" w:hAnsi="Arial" w:cs="Arial"/>
          <w:color w:val="595959" w:themeColor="text1" w:themeTint="A6"/>
        </w:rPr>
        <w:t xml:space="preserve">protein </w:t>
      </w:r>
      <w:r w:rsidR="00DF24DD">
        <w:rPr>
          <w:rFonts w:ascii="Arial" w:hAnsi="Arial" w:cs="Arial"/>
          <w:color w:val="595959" w:themeColor="text1" w:themeTint="A6"/>
        </w:rPr>
        <w:t xml:space="preserve">in </w:t>
      </w:r>
      <w:r w:rsidR="0003195B">
        <w:rPr>
          <w:rFonts w:ascii="Arial" w:hAnsi="Arial" w:cs="Arial"/>
          <w:color w:val="595959" w:themeColor="text1" w:themeTint="A6"/>
        </w:rPr>
        <w:t>CA</w:t>
      </w:r>
      <w:r w:rsidR="007B1083">
        <w:rPr>
          <w:rFonts w:ascii="Arial" w:hAnsi="Arial" w:cs="Arial"/>
          <w:color w:val="595959" w:themeColor="text1" w:themeTint="A6"/>
        </w:rPr>
        <w:t>F</w:t>
      </w:r>
      <w:r w:rsidR="00470DBC">
        <w:rPr>
          <w:rFonts w:ascii="Arial" w:hAnsi="Arial" w:cs="Arial"/>
          <w:color w:val="595959" w:themeColor="text1" w:themeTint="A6"/>
        </w:rPr>
        <w:t>.</w:t>
      </w:r>
      <w:r w:rsidR="007B1083">
        <w:rPr>
          <w:rFonts w:ascii="Arial" w:hAnsi="Arial" w:cs="Arial"/>
          <w:color w:val="595959" w:themeColor="text1" w:themeTint="A6"/>
        </w:rPr>
        <w:t xml:space="preserve"> </w:t>
      </w:r>
      <w:r w:rsidR="003A6C0E">
        <w:rPr>
          <w:rFonts w:ascii="Arial" w:hAnsi="Arial" w:cs="Arial"/>
          <w:color w:val="595959" w:themeColor="text1" w:themeTint="A6"/>
        </w:rPr>
        <w:t>CAF-DM r</w:t>
      </w:r>
      <w:r w:rsidR="007B1083">
        <w:rPr>
          <w:rFonts w:ascii="Arial" w:hAnsi="Arial" w:cs="Arial"/>
          <w:color w:val="595959" w:themeColor="text1" w:themeTint="A6"/>
        </w:rPr>
        <w:t xml:space="preserve">esponse </w:t>
      </w:r>
      <w:r w:rsidR="004C053F">
        <w:rPr>
          <w:rFonts w:ascii="Arial" w:hAnsi="Arial" w:cs="Arial"/>
          <w:color w:val="595959" w:themeColor="text1" w:themeTint="A6"/>
        </w:rPr>
        <w:t xml:space="preserve">to </w:t>
      </w:r>
      <w:r w:rsidR="007B1083">
        <w:rPr>
          <w:rFonts w:ascii="Arial" w:hAnsi="Arial" w:cs="Arial"/>
          <w:color w:val="595959" w:themeColor="text1" w:themeTint="A6"/>
        </w:rPr>
        <w:t xml:space="preserve">Batimastat </w:t>
      </w:r>
      <w:r w:rsidR="004C053F">
        <w:rPr>
          <w:rFonts w:ascii="Arial" w:hAnsi="Arial" w:cs="Arial"/>
          <w:color w:val="595959" w:themeColor="text1" w:themeTint="A6"/>
        </w:rPr>
        <w:t>treatment indicates there could be therapeutic benefit</w:t>
      </w:r>
      <w:r w:rsidR="003A6C0E">
        <w:rPr>
          <w:rFonts w:ascii="Arial" w:hAnsi="Arial" w:cs="Arial"/>
          <w:color w:val="595959" w:themeColor="text1" w:themeTint="A6"/>
        </w:rPr>
        <w:t xml:space="preserve">, but </w:t>
      </w:r>
      <w:r w:rsidR="00AC45CE">
        <w:rPr>
          <w:rFonts w:ascii="Arial" w:hAnsi="Arial" w:cs="Arial"/>
          <w:color w:val="595959" w:themeColor="text1" w:themeTint="A6"/>
        </w:rPr>
        <w:t xml:space="preserve">discrepancies </w:t>
      </w:r>
      <w:r w:rsidR="003D7FB1" w:rsidRPr="008C21BF">
        <w:rPr>
          <w:rFonts w:ascii="Arial" w:eastAsia="Times New Roman" w:hAnsi="Arial" w:cs="Arial"/>
          <w:color w:val="595959" w:themeColor="text1" w:themeTint="A6"/>
          <w:lang w:eastAsia="en-GB"/>
        </w:rPr>
        <w:t xml:space="preserve">suggests that there may be compensatory pathways having an effect or that CAF heterogeneity means responses to treatments vary in culture. Other caveats in this stromal-targeting investigation suggest these findings are in their infancy regarding our understanding into the complete picture for the reversing pathological ECM deposition. Previous work has demonstrated that this epigenetic regulation via Scriptaid may not be permanent and that Scriptaid-treated CAF can revert back to their tumour-supportive functions when treatment is absent (Kim </w:t>
      </w:r>
      <w:r w:rsidR="003D7FB1" w:rsidRPr="008C21BF">
        <w:rPr>
          <w:rFonts w:ascii="Arial" w:eastAsia="Times New Roman" w:hAnsi="Arial" w:cs="Arial"/>
          <w:i/>
          <w:color w:val="595959" w:themeColor="text1" w:themeTint="A6"/>
          <w:lang w:eastAsia="en-GB"/>
        </w:rPr>
        <w:t>et al.,</w:t>
      </w:r>
      <w:r w:rsidR="003D7FB1" w:rsidRPr="008C21BF">
        <w:rPr>
          <w:rFonts w:ascii="Arial" w:eastAsia="Times New Roman" w:hAnsi="Arial" w:cs="Arial"/>
          <w:color w:val="595959" w:themeColor="text1" w:themeTint="A6"/>
          <w:lang w:eastAsia="en-GB"/>
        </w:rPr>
        <w:t xml:space="preserve"> 2018).  There are also potential off-target effects of drug treatment, such as further downstream targets or the known affect that Scriptaid has on reducing CAF proliferation. Another limitation to this study is that the tumour microenvironment contains a diverse collection of cells and protein components and therefore the impact of Scriptaid and Batimastat could alter with the presence of this dynamic milieu. </w:t>
      </w:r>
      <w:r w:rsidR="000B0CE1">
        <w:rPr>
          <w:rFonts w:ascii="Arial" w:eastAsia="Times New Roman" w:hAnsi="Arial" w:cs="Arial"/>
          <w:color w:val="595959" w:themeColor="text1" w:themeTint="A6"/>
          <w:lang w:eastAsia="en-GB"/>
        </w:rPr>
        <w:t>A</w:t>
      </w:r>
      <w:r w:rsidR="003D7FB1" w:rsidRPr="008C21BF">
        <w:rPr>
          <w:rFonts w:ascii="Arial" w:eastAsia="Times New Roman" w:hAnsi="Arial" w:cs="Arial"/>
          <w:color w:val="595959" w:themeColor="text1" w:themeTint="A6"/>
          <w:lang w:eastAsia="en-GB"/>
        </w:rPr>
        <w:t xml:space="preserve">lternative approaches </w:t>
      </w:r>
      <w:r w:rsidR="00255D4F">
        <w:rPr>
          <w:rFonts w:ascii="Arial" w:eastAsia="Times New Roman" w:hAnsi="Arial" w:cs="Arial"/>
          <w:color w:val="595959" w:themeColor="text1" w:themeTint="A6"/>
          <w:lang w:eastAsia="en-GB"/>
        </w:rPr>
        <w:t>could</w:t>
      </w:r>
      <w:r w:rsidR="00A05336">
        <w:rPr>
          <w:rFonts w:ascii="Arial" w:eastAsia="Times New Roman" w:hAnsi="Arial" w:cs="Arial"/>
          <w:color w:val="595959" w:themeColor="text1" w:themeTint="A6"/>
          <w:lang w:eastAsia="en-GB"/>
        </w:rPr>
        <w:t xml:space="preserve"> investigate the </w:t>
      </w:r>
      <w:r w:rsidR="003D7FB1" w:rsidRPr="008C21BF">
        <w:rPr>
          <w:rFonts w:ascii="Arial" w:eastAsia="Times New Roman" w:hAnsi="Arial" w:cs="Arial"/>
          <w:color w:val="595959" w:themeColor="text1" w:themeTint="A6"/>
          <w:lang w:eastAsia="en-GB"/>
        </w:rPr>
        <w:t>contractile phenotype of CAF</w:t>
      </w:r>
      <w:r w:rsidR="00A05336">
        <w:rPr>
          <w:rFonts w:ascii="Arial" w:eastAsia="Times New Roman" w:hAnsi="Arial" w:cs="Arial"/>
          <w:color w:val="595959" w:themeColor="text1" w:themeTint="A6"/>
          <w:lang w:eastAsia="en-GB"/>
        </w:rPr>
        <w:t>,</w:t>
      </w:r>
      <w:r w:rsidR="003D7FB1" w:rsidRPr="008C21BF">
        <w:rPr>
          <w:rFonts w:ascii="Arial" w:eastAsia="Times New Roman" w:hAnsi="Arial" w:cs="Arial"/>
          <w:color w:val="595959" w:themeColor="text1" w:themeTint="A6"/>
          <w:lang w:eastAsia="en-GB"/>
        </w:rPr>
        <w:t xml:space="preserve"> measured by AFM</w:t>
      </w:r>
      <w:r w:rsidR="00504192">
        <w:rPr>
          <w:rFonts w:ascii="Arial" w:eastAsia="Times New Roman" w:hAnsi="Arial" w:cs="Arial"/>
          <w:color w:val="595959" w:themeColor="text1" w:themeTint="A6"/>
          <w:lang w:eastAsia="en-GB"/>
        </w:rPr>
        <w:t>.</w:t>
      </w:r>
      <w:r w:rsidR="003D7FB1" w:rsidRPr="008C21BF">
        <w:rPr>
          <w:rFonts w:ascii="Arial" w:eastAsia="Times New Roman" w:hAnsi="Arial" w:cs="Arial"/>
          <w:color w:val="595959" w:themeColor="text1" w:themeTint="A6"/>
          <w:lang w:eastAsia="en-GB"/>
        </w:rPr>
        <w:t xml:space="preserve"> </w:t>
      </w:r>
      <w:r w:rsidR="00504192">
        <w:rPr>
          <w:rFonts w:ascii="Arial" w:eastAsia="Times New Roman" w:hAnsi="Arial" w:cs="Arial"/>
          <w:color w:val="595959" w:themeColor="text1" w:themeTint="A6"/>
          <w:lang w:eastAsia="en-GB"/>
        </w:rPr>
        <w:t xml:space="preserve">Measuring </w:t>
      </w:r>
      <w:r w:rsidR="003D7FB1" w:rsidRPr="008C21BF">
        <w:rPr>
          <w:rFonts w:ascii="Arial" w:eastAsia="Times New Roman" w:hAnsi="Arial" w:cs="Arial"/>
          <w:color w:val="595959" w:themeColor="text1" w:themeTint="A6"/>
          <w:lang w:eastAsia="en-GB"/>
        </w:rPr>
        <w:t xml:space="preserve">CAF stiffness and </w:t>
      </w:r>
      <w:r w:rsidR="00504192">
        <w:rPr>
          <w:rFonts w:ascii="Arial" w:eastAsia="Times New Roman" w:hAnsi="Arial" w:cs="Arial"/>
          <w:color w:val="595959" w:themeColor="text1" w:themeTint="A6"/>
          <w:lang w:eastAsia="en-GB"/>
        </w:rPr>
        <w:t xml:space="preserve">assessing pathological </w:t>
      </w:r>
      <w:r w:rsidR="003D7FB1" w:rsidRPr="008C21BF">
        <w:rPr>
          <w:rFonts w:ascii="Arial" w:eastAsia="Times New Roman" w:hAnsi="Arial" w:cs="Arial"/>
          <w:color w:val="595959" w:themeColor="text1" w:themeTint="A6"/>
          <w:lang w:eastAsia="en-GB"/>
        </w:rPr>
        <w:t xml:space="preserve">changes with inhibitor treatment, would </w:t>
      </w:r>
      <w:r w:rsidR="00EE69B2">
        <w:rPr>
          <w:rFonts w:ascii="Arial" w:eastAsia="Times New Roman" w:hAnsi="Arial" w:cs="Arial"/>
          <w:color w:val="595959" w:themeColor="text1" w:themeTint="A6"/>
          <w:lang w:eastAsia="en-GB"/>
        </w:rPr>
        <w:t xml:space="preserve">also provide further evidence for </w:t>
      </w:r>
      <w:r w:rsidR="003D7FB1" w:rsidRPr="008C21BF">
        <w:rPr>
          <w:rFonts w:ascii="Arial" w:eastAsia="Times New Roman" w:hAnsi="Arial" w:cs="Arial"/>
          <w:color w:val="595959" w:themeColor="text1" w:themeTint="A6"/>
          <w:lang w:eastAsia="en-GB"/>
        </w:rPr>
        <w:t xml:space="preserve">CAF-DM </w:t>
      </w:r>
      <w:r w:rsidR="00FA68F2">
        <w:rPr>
          <w:rFonts w:ascii="Arial" w:eastAsia="Times New Roman" w:hAnsi="Arial" w:cs="Arial"/>
          <w:color w:val="595959" w:themeColor="text1" w:themeTint="A6"/>
          <w:lang w:eastAsia="en-GB"/>
        </w:rPr>
        <w:t xml:space="preserve">acting </w:t>
      </w:r>
      <w:r w:rsidR="00EE69B2">
        <w:rPr>
          <w:rFonts w:ascii="Arial" w:eastAsia="Times New Roman" w:hAnsi="Arial" w:cs="Arial"/>
          <w:color w:val="595959" w:themeColor="text1" w:themeTint="A6"/>
          <w:lang w:eastAsia="en-GB"/>
        </w:rPr>
        <w:t xml:space="preserve">as a permissive </w:t>
      </w:r>
      <w:r w:rsidR="00FA68F2">
        <w:rPr>
          <w:rFonts w:ascii="Arial" w:eastAsia="Times New Roman" w:hAnsi="Arial" w:cs="Arial"/>
          <w:color w:val="595959" w:themeColor="text1" w:themeTint="A6"/>
          <w:lang w:eastAsia="en-GB"/>
        </w:rPr>
        <w:t>environment in OSCC</w:t>
      </w:r>
      <w:r w:rsidR="003D7FB1" w:rsidRPr="008C21BF">
        <w:rPr>
          <w:rFonts w:ascii="Arial" w:eastAsia="Times New Roman" w:hAnsi="Arial" w:cs="Arial"/>
          <w:color w:val="595959" w:themeColor="text1" w:themeTint="A6"/>
          <w:lang w:eastAsia="en-GB"/>
        </w:rPr>
        <w:t xml:space="preserve">. </w:t>
      </w:r>
      <w:r w:rsidR="003D7FB1">
        <w:rPr>
          <w:rFonts w:ascii="Arial" w:eastAsia="Times New Roman" w:hAnsi="Arial" w:cs="Arial"/>
          <w:color w:val="595959" w:themeColor="text1" w:themeTint="A6"/>
          <w:lang w:eastAsia="en-GB"/>
        </w:rPr>
        <w:t>There</w:t>
      </w:r>
      <w:r w:rsidR="00FA68F2">
        <w:rPr>
          <w:rFonts w:ascii="Arial" w:eastAsia="Times New Roman" w:hAnsi="Arial" w:cs="Arial"/>
          <w:color w:val="595959" w:themeColor="text1" w:themeTint="A6"/>
          <w:lang w:eastAsia="en-GB"/>
        </w:rPr>
        <w:t xml:space="preserve"> were</w:t>
      </w:r>
      <w:r w:rsidR="003D7FB1">
        <w:rPr>
          <w:rFonts w:ascii="Arial" w:eastAsia="Times New Roman" w:hAnsi="Arial" w:cs="Arial"/>
          <w:color w:val="595959" w:themeColor="text1" w:themeTint="A6"/>
          <w:lang w:eastAsia="en-GB"/>
        </w:rPr>
        <w:t xml:space="preserve"> not</w:t>
      </w:r>
      <w:r w:rsidR="00FA68F2">
        <w:rPr>
          <w:rFonts w:ascii="Arial" w:eastAsia="Times New Roman" w:hAnsi="Arial" w:cs="Arial"/>
          <w:color w:val="595959" w:themeColor="text1" w:themeTint="A6"/>
          <w:lang w:eastAsia="en-GB"/>
        </w:rPr>
        <w:t>able</w:t>
      </w:r>
      <w:r w:rsidR="003D7FB1">
        <w:rPr>
          <w:rFonts w:ascii="Arial" w:eastAsia="Times New Roman" w:hAnsi="Arial" w:cs="Arial"/>
          <w:color w:val="595959" w:themeColor="text1" w:themeTint="A6"/>
          <w:lang w:eastAsia="en-GB"/>
        </w:rPr>
        <w:t xml:space="preserve"> difference</w:t>
      </w:r>
      <w:r w:rsidR="00D31DC4">
        <w:rPr>
          <w:rFonts w:ascii="Arial" w:eastAsia="Times New Roman" w:hAnsi="Arial" w:cs="Arial"/>
          <w:color w:val="595959" w:themeColor="text1" w:themeTint="A6"/>
          <w:lang w:eastAsia="en-GB"/>
        </w:rPr>
        <w:t>s</w:t>
      </w:r>
      <w:r w:rsidR="003D7FB1">
        <w:rPr>
          <w:rFonts w:ascii="Arial" w:eastAsia="Times New Roman" w:hAnsi="Arial" w:cs="Arial"/>
          <w:color w:val="595959" w:themeColor="text1" w:themeTint="A6"/>
          <w:lang w:eastAsia="en-GB"/>
        </w:rPr>
        <w:t xml:space="preserve"> in the phenotypic response of CAF in 2D and 3D to these drugs. One explanation </w:t>
      </w:r>
      <w:r w:rsidR="003D7FB1" w:rsidRPr="000B402A">
        <w:rPr>
          <w:rFonts w:ascii="Arial" w:eastAsia="Times New Roman" w:hAnsi="Arial" w:cs="Arial"/>
          <w:color w:val="595959" w:themeColor="text1" w:themeTint="A6"/>
          <w:lang w:eastAsia="en-GB"/>
        </w:rPr>
        <w:t>could be due to the presence of serum derived growth factors supplemented in the long-term culturing of these oral fibroblast- derived matrices</w:t>
      </w:r>
      <w:r w:rsidR="003D7FB1">
        <w:rPr>
          <w:rFonts w:ascii="Arial" w:eastAsia="Times New Roman" w:hAnsi="Arial" w:cs="Arial"/>
          <w:color w:val="595959" w:themeColor="text1" w:themeTint="A6"/>
          <w:lang w:eastAsia="en-GB"/>
        </w:rPr>
        <w:t>, as 2D cultures were analysed in serum free conditions</w:t>
      </w:r>
      <w:r w:rsidR="003D7FB1" w:rsidRPr="000B402A">
        <w:rPr>
          <w:rFonts w:ascii="Arial" w:eastAsia="Times New Roman" w:hAnsi="Arial" w:cs="Arial"/>
          <w:color w:val="595959" w:themeColor="text1" w:themeTint="A6"/>
          <w:lang w:eastAsia="en-GB"/>
        </w:rPr>
        <w:t xml:space="preserve">. Foetal bovine serum (FBS) </w:t>
      </w:r>
      <w:r w:rsidR="00CA3AD4">
        <w:rPr>
          <w:rFonts w:ascii="Arial" w:eastAsia="Times New Roman" w:hAnsi="Arial" w:cs="Arial"/>
          <w:color w:val="595959" w:themeColor="text1" w:themeTint="A6"/>
          <w:lang w:eastAsia="en-GB"/>
        </w:rPr>
        <w:t xml:space="preserve">can </w:t>
      </w:r>
      <w:r w:rsidR="003D7FB1" w:rsidRPr="000B402A">
        <w:rPr>
          <w:rFonts w:ascii="Arial" w:eastAsia="Times New Roman" w:hAnsi="Arial" w:cs="Arial"/>
          <w:color w:val="595959" w:themeColor="text1" w:themeTint="A6"/>
          <w:lang w:eastAsia="en-GB"/>
        </w:rPr>
        <w:t xml:space="preserve">contain a high level of latent TGFβ-1. In order to maintain the FDM long-term, serum is an essential media supplement, therefore it was not possible to remove this in cultures. In order to improve this, one method that could be adopted is to dialyse the FBS to remove growth factors then assay for background levels. Also, the use of an anti-TGF, anti- EGF and anti-FGF blocking antibody to media </w:t>
      </w:r>
      <w:r w:rsidR="003D7FB1">
        <w:rPr>
          <w:rFonts w:ascii="Arial" w:eastAsia="Times New Roman" w:hAnsi="Arial" w:cs="Arial"/>
          <w:color w:val="595959" w:themeColor="text1" w:themeTint="A6"/>
          <w:lang w:eastAsia="en-GB"/>
        </w:rPr>
        <w:t xml:space="preserve">which may </w:t>
      </w:r>
      <w:r w:rsidR="003D7FB1" w:rsidRPr="000B402A">
        <w:rPr>
          <w:rFonts w:ascii="Arial" w:eastAsia="Times New Roman" w:hAnsi="Arial" w:cs="Arial"/>
          <w:color w:val="595959" w:themeColor="text1" w:themeTint="A6"/>
          <w:lang w:eastAsia="en-GB"/>
        </w:rPr>
        <w:t xml:space="preserve">establish clearer results. </w:t>
      </w:r>
    </w:p>
    <w:p w14:paraId="59C10801" w14:textId="61BCE827" w:rsidR="00F311FA" w:rsidRDefault="006033F8" w:rsidP="002316C5">
      <w:pPr>
        <w:pStyle w:val="Heading2"/>
        <w:rPr>
          <w:rFonts w:ascii="Arial" w:hAnsi="Arial" w:cs="Arial"/>
          <w:color w:val="595959" w:themeColor="text1" w:themeTint="A6"/>
          <w:sz w:val="22"/>
          <w:szCs w:val="22"/>
        </w:rPr>
      </w:pPr>
      <w:bookmarkStart w:id="498" w:name="_Toc34208485"/>
      <w:r w:rsidRPr="002316C5">
        <w:rPr>
          <w:rFonts w:ascii="Arial" w:hAnsi="Arial" w:cs="Arial"/>
          <w:color w:val="595959" w:themeColor="text1" w:themeTint="A6"/>
          <w:sz w:val="22"/>
          <w:szCs w:val="22"/>
        </w:rPr>
        <w:t>6</w:t>
      </w:r>
      <w:r w:rsidR="00F311FA" w:rsidRPr="002316C5">
        <w:rPr>
          <w:rFonts w:ascii="Arial" w:hAnsi="Arial" w:cs="Arial"/>
          <w:color w:val="595959" w:themeColor="text1" w:themeTint="A6"/>
          <w:sz w:val="22"/>
          <w:szCs w:val="22"/>
        </w:rPr>
        <w:t>.</w:t>
      </w:r>
      <w:r w:rsidR="002316C5" w:rsidRPr="002316C5">
        <w:rPr>
          <w:rFonts w:ascii="Arial" w:hAnsi="Arial" w:cs="Arial"/>
          <w:color w:val="595959" w:themeColor="text1" w:themeTint="A6"/>
          <w:sz w:val="22"/>
          <w:szCs w:val="22"/>
        </w:rPr>
        <w:t>5</w:t>
      </w:r>
      <w:r w:rsidR="00F311FA" w:rsidRPr="002316C5">
        <w:rPr>
          <w:rFonts w:ascii="Arial" w:hAnsi="Arial" w:cs="Arial"/>
          <w:color w:val="595959" w:themeColor="text1" w:themeTint="A6"/>
          <w:sz w:val="22"/>
          <w:szCs w:val="22"/>
        </w:rPr>
        <w:t xml:space="preserve"> Generating full-thickness oral mucosa models in OSCC progression</w:t>
      </w:r>
      <w:bookmarkEnd w:id="498"/>
    </w:p>
    <w:p w14:paraId="2723010D" w14:textId="77777777" w:rsidR="002316C5" w:rsidRPr="002316C5" w:rsidRDefault="002316C5" w:rsidP="002316C5"/>
    <w:p w14:paraId="0870C424" w14:textId="0B6381A7" w:rsidR="004C43B4" w:rsidRPr="00F311FA" w:rsidRDefault="002A3D2A" w:rsidP="00F311FA">
      <w:pPr>
        <w:tabs>
          <w:tab w:val="left" w:pos="1058"/>
        </w:tabs>
        <w:spacing w:line="480" w:lineRule="auto"/>
        <w:jc w:val="both"/>
        <w:rPr>
          <w:rFonts w:ascii="Arial" w:hAnsi="Arial" w:cs="Arial"/>
          <w:color w:val="595959" w:themeColor="text1" w:themeTint="A6"/>
        </w:rPr>
      </w:pPr>
      <w:r>
        <w:rPr>
          <w:rFonts w:ascii="Arial" w:hAnsi="Arial" w:cs="Arial"/>
          <w:color w:val="595959" w:themeColor="text1" w:themeTint="A6"/>
        </w:rPr>
        <w:t>The advantages and disadvantages of various 3D tumour models ha</w:t>
      </w:r>
      <w:r w:rsidR="00BD762E">
        <w:rPr>
          <w:rFonts w:ascii="Arial" w:hAnsi="Arial" w:cs="Arial"/>
          <w:color w:val="595959" w:themeColor="text1" w:themeTint="A6"/>
        </w:rPr>
        <w:t>ve</w:t>
      </w:r>
      <w:r>
        <w:rPr>
          <w:rFonts w:ascii="Arial" w:hAnsi="Arial" w:cs="Arial"/>
          <w:color w:val="595959" w:themeColor="text1" w:themeTint="A6"/>
        </w:rPr>
        <w:t xml:space="preserve"> been discussed within the introduction chapter of this study</w:t>
      </w:r>
      <w:r w:rsidR="00384625">
        <w:rPr>
          <w:rFonts w:ascii="Arial" w:hAnsi="Arial" w:cs="Arial"/>
          <w:color w:val="595959" w:themeColor="text1" w:themeTint="A6"/>
        </w:rPr>
        <w:t xml:space="preserve">. </w:t>
      </w:r>
      <w:r>
        <w:rPr>
          <w:rFonts w:ascii="Arial" w:hAnsi="Arial" w:cs="Arial"/>
          <w:color w:val="595959" w:themeColor="text1" w:themeTint="A6"/>
        </w:rPr>
        <w:t xml:space="preserve">In order to combat some of these, we sort to generate heterologous 3D tumour models of the oral mucosa that had an all human-cell component </w:t>
      </w:r>
      <w:r w:rsidR="00384625">
        <w:rPr>
          <w:rFonts w:ascii="Arial" w:hAnsi="Arial" w:cs="Arial"/>
          <w:color w:val="595959" w:themeColor="text1" w:themeTint="A6"/>
        </w:rPr>
        <w:t xml:space="preserve">to model </w:t>
      </w:r>
      <w:r>
        <w:rPr>
          <w:rFonts w:ascii="Arial" w:hAnsi="Arial" w:cs="Arial"/>
          <w:color w:val="595959" w:themeColor="text1" w:themeTint="A6"/>
        </w:rPr>
        <w:t>OSCC progression. The ad</w:t>
      </w:r>
      <w:r w:rsidR="00F311FA" w:rsidRPr="00F311FA">
        <w:rPr>
          <w:rFonts w:ascii="Arial" w:hAnsi="Arial" w:cs="Arial"/>
          <w:color w:val="595959" w:themeColor="text1" w:themeTint="A6"/>
        </w:rPr>
        <w:t>dition of human stable immortalised epithelial keratinocyte cell line; FNB6 on a NOF</w:t>
      </w:r>
      <w:r w:rsidR="008B6D91">
        <w:rPr>
          <w:rFonts w:ascii="Arial" w:hAnsi="Arial" w:cs="Arial"/>
          <w:color w:val="595959" w:themeColor="text1" w:themeTint="A6"/>
        </w:rPr>
        <w:t xml:space="preserve">-DM </w:t>
      </w:r>
      <w:r w:rsidR="008B6D91" w:rsidRPr="00F311FA">
        <w:rPr>
          <w:rFonts w:ascii="Arial" w:hAnsi="Arial" w:cs="Arial"/>
          <w:color w:val="595959" w:themeColor="text1" w:themeTint="A6"/>
        </w:rPr>
        <w:t>facilitated</w:t>
      </w:r>
      <w:r w:rsidR="00F311FA" w:rsidRPr="00F311FA">
        <w:rPr>
          <w:rFonts w:ascii="Arial" w:hAnsi="Arial" w:cs="Arial"/>
          <w:color w:val="595959" w:themeColor="text1" w:themeTint="A6"/>
        </w:rPr>
        <w:t xml:space="preserve"> the establishment of a well-stratified and differentiated oral epithelium</w:t>
      </w:r>
      <w:r w:rsidR="008B6D91">
        <w:rPr>
          <w:rFonts w:ascii="Arial" w:hAnsi="Arial" w:cs="Arial"/>
          <w:color w:val="595959" w:themeColor="text1" w:themeTint="A6"/>
        </w:rPr>
        <w:t>, with all the necessary features of a healthy mucosa</w:t>
      </w:r>
      <w:r w:rsidR="00B65D14">
        <w:rPr>
          <w:rFonts w:ascii="Arial" w:hAnsi="Arial" w:cs="Arial"/>
          <w:color w:val="595959" w:themeColor="text1" w:themeTint="A6"/>
        </w:rPr>
        <w:t xml:space="preserve"> (Moharam</w:t>
      </w:r>
      <w:r w:rsidR="008E7327">
        <w:rPr>
          <w:rFonts w:ascii="Arial" w:hAnsi="Arial" w:cs="Arial"/>
          <w:color w:val="595959" w:themeColor="text1" w:themeTint="A6"/>
        </w:rPr>
        <w:t xml:space="preserve">zadeh </w:t>
      </w:r>
      <w:r w:rsidR="008E7327" w:rsidRPr="008E7327">
        <w:rPr>
          <w:rFonts w:ascii="Arial" w:hAnsi="Arial" w:cs="Arial"/>
          <w:i/>
          <w:iCs/>
          <w:color w:val="595959" w:themeColor="text1" w:themeTint="A6"/>
        </w:rPr>
        <w:t xml:space="preserve">et al., </w:t>
      </w:r>
      <w:r w:rsidR="008E7327">
        <w:rPr>
          <w:rFonts w:ascii="Arial" w:hAnsi="Arial" w:cs="Arial"/>
          <w:color w:val="595959" w:themeColor="text1" w:themeTint="A6"/>
        </w:rPr>
        <w:t>2007)</w:t>
      </w:r>
      <w:r w:rsidR="008B6D91">
        <w:rPr>
          <w:rFonts w:ascii="Arial" w:hAnsi="Arial" w:cs="Arial"/>
          <w:color w:val="595959" w:themeColor="text1" w:themeTint="A6"/>
        </w:rPr>
        <w:t>.</w:t>
      </w:r>
      <w:r w:rsidR="00F311FA" w:rsidRPr="00F311FA">
        <w:rPr>
          <w:rFonts w:ascii="Arial" w:hAnsi="Arial" w:cs="Arial"/>
          <w:color w:val="595959" w:themeColor="text1" w:themeTint="A6"/>
        </w:rPr>
        <w:t xml:space="preserve"> However, </w:t>
      </w:r>
      <w:r w:rsidR="008B6D91">
        <w:rPr>
          <w:rFonts w:ascii="Arial" w:hAnsi="Arial" w:cs="Arial"/>
          <w:color w:val="595959" w:themeColor="text1" w:themeTint="A6"/>
        </w:rPr>
        <w:t>the</w:t>
      </w:r>
      <w:r w:rsidR="00F311FA" w:rsidRPr="00F311FA">
        <w:rPr>
          <w:rFonts w:ascii="Arial" w:hAnsi="Arial" w:cs="Arial"/>
          <w:color w:val="595959" w:themeColor="text1" w:themeTint="A6"/>
        </w:rPr>
        <w:t xml:space="preserve"> addition of </w:t>
      </w:r>
      <w:r w:rsidR="008B6D91">
        <w:rPr>
          <w:rFonts w:ascii="Arial" w:hAnsi="Arial" w:cs="Arial"/>
          <w:color w:val="595959" w:themeColor="text1" w:themeTint="A6"/>
        </w:rPr>
        <w:t xml:space="preserve">same </w:t>
      </w:r>
      <w:r w:rsidR="00F311FA" w:rsidRPr="00F311FA">
        <w:rPr>
          <w:rFonts w:ascii="Arial" w:hAnsi="Arial" w:cs="Arial"/>
          <w:color w:val="595959" w:themeColor="text1" w:themeTint="A6"/>
        </w:rPr>
        <w:t>FNB6</w:t>
      </w:r>
      <w:r w:rsidR="008B6D91">
        <w:rPr>
          <w:rFonts w:ascii="Arial" w:hAnsi="Arial" w:cs="Arial"/>
          <w:color w:val="595959" w:themeColor="text1" w:themeTint="A6"/>
        </w:rPr>
        <w:t xml:space="preserve"> cells</w:t>
      </w:r>
      <w:r w:rsidR="00F311FA" w:rsidRPr="00F311FA">
        <w:rPr>
          <w:rFonts w:ascii="Arial" w:hAnsi="Arial" w:cs="Arial"/>
          <w:color w:val="595959" w:themeColor="text1" w:themeTint="A6"/>
        </w:rPr>
        <w:t xml:space="preserve"> to a CAF-</w:t>
      </w:r>
      <w:r w:rsidR="008B6D91">
        <w:rPr>
          <w:rFonts w:ascii="Arial" w:hAnsi="Arial" w:cs="Arial"/>
          <w:color w:val="595959" w:themeColor="text1" w:themeTint="A6"/>
        </w:rPr>
        <w:t>DM</w:t>
      </w:r>
      <w:r w:rsidR="00F311FA" w:rsidRPr="00F311FA">
        <w:rPr>
          <w:rFonts w:ascii="Arial" w:hAnsi="Arial" w:cs="Arial"/>
          <w:color w:val="595959" w:themeColor="text1" w:themeTint="A6"/>
        </w:rPr>
        <w:t xml:space="preserve"> </w:t>
      </w:r>
      <w:r w:rsidR="00BC197C">
        <w:rPr>
          <w:rFonts w:ascii="Arial" w:hAnsi="Arial" w:cs="Arial"/>
          <w:color w:val="595959" w:themeColor="text1" w:themeTint="A6"/>
        </w:rPr>
        <w:t>showed abnormal epithelial cell morphology, reduced stratification, and evidence of invasion into the CAF-rich stroma</w:t>
      </w:r>
      <w:r w:rsidR="005430B7">
        <w:rPr>
          <w:rFonts w:ascii="Arial" w:hAnsi="Arial" w:cs="Arial"/>
          <w:color w:val="595959" w:themeColor="text1" w:themeTint="A6"/>
        </w:rPr>
        <w:t>, generating a model of atypical mucosa</w:t>
      </w:r>
      <w:r w:rsidR="00544009">
        <w:rPr>
          <w:rFonts w:ascii="Arial" w:hAnsi="Arial" w:cs="Arial"/>
          <w:color w:val="595959" w:themeColor="text1" w:themeTint="A6"/>
        </w:rPr>
        <w:t>, w</w:t>
      </w:r>
      <w:r w:rsidR="005430B7">
        <w:rPr>
          <w:rFonts w:ascii="Arial" w:hAnsi="Arial" w:cs="Arial"/>
          <w:color w:val="595959" w:themeColor="text1" w:themeTint="A6"/>
        </w:rPr>
        <w:t>ith evidence of some ‘dysplastic’ like features</w:t>
      </w:r>
      <w:r w:rsidR="00544009">
        <w:rPr>
          <w:rFonts w:ascii="Arial" w:hAnsi="Arial" w:cs="Arial"/>
          <w:color w:val="595959" w:themeColor="text1" w:themeTint="A6"/>
        </w:rPr>
        <w:t xml:space="preserve">. </w:t>
      </w:r>
      <w:r w:rsidR="00BC197C">
        <w:rPr>
          <w:rFonts w:ascii="Arial" w:hAnsi="Arial" w:cs="Arial"/>
          <w:color w:val="595959" w:themeColor="text1" w:themeTint="A6"/>
        </w:rPr>
        <w:t>This model could contain vital information for evidencing further the ‘seed and soil’ hypothesis described by Paget in the 1</w:t>
      </w:r>
      <w:r w:rsidR="00544009">
        <w:rPr>
          <w:rFonts w:ascii="Arial" w:hAnsi="Arial" w:cs="Arial"/>
          <w:color w:val="595959" w:themeColor="text1" w:themeTint="A6"/>
        </w:rPr>
        <w:t>80</w:t>
      </w:r>
      <w:r w:rsidR="00BC197C">
        <w:rPr>
          <w:rFonts w:ascii="Arial" w:hAnsi="Arial" w:cs="Arial"/>
          <w:color w:val="595959" w:themeColor="text1" w:themeTint="A6"/>
        </w:rPr>
        <w:t>0’s</w:t>
      </w:r>
      <w:r w:rsidR="00544009">
        <w:rPr>
          <w:rFonts w:ascii="Arial" w:hAnsi="Arial" w:cs="Arial"/>
          <w:color w:val="595959" w:themeColor="text1" w:themeTint="A6"/>
        </w:rPr>
        <w:t xml:space="preserve">, in which the CAF stroma provides a permissive microenvironment for cells to invade. </w:t>
      </w:r>
      <w:r w:rsidR="004C43B4">
        <w:rPr>
          <w:rFonts w:ascii="Arial" w:hAnsi="Arial" w:cs="Arial"/>
          <w:color w:val="595959" w:themeColor="text1" w:themeTint="A6"/>
        </w:rPr>
        <w:t xml:space="preserve">An OSCC model was also developed by seeding H357 onto CAF-DM. This model </w:t>
      </w:r>
      <w:r w:rsidR="00136047">
        <w:rPr>
          <w:rFonts w:ascii="Arial" w:hAnsi="Arial" w:cs="Arial"/>
          <w:color w:val="595959" w:themeColor="text1" w:themeTint="A6"/>
        </w:rPr>
        <w:t>displayed</w:t>
      </w:r>
      <w:r w:rsidR="004C43B4">
        <w:rPr>
          <w:rFonts w:ascii="Arial" w:hAnsi="Arial" w:cs="Arial"/>
          <w:color w:val="595959" w:themeColor="text1" w:themeTint="A6"/>
        </w:rPr>
        <w:t>, distinctly more invasion into the stroma from cancer cells, as well as a lack of epithelial stratification, characteristic of</w:t>
      </w:r>
      <w:r w:rsidR="000C5F10">
        <w:rPr>
          <w:rFonts w:ascii="Arial" w:hAnsi="Arial" w:cs="Arial"/>
          <w:color w:val="595959" w:themeColor="text1" w:themeTint="A6"/>
        </w:rPr>
        <w:t xml:space="preserve"> OSCC</w:t>
      </w:r>
      <w:r w:rsidR="004C43B4">
        <w:rPr>
          <w:rFonts w:ascii="Arial" w:hAnsi="Arial" w:cs="Arial"/>
          <w:color w:val="595959" w:themeColor="text1" w:themeTint="A6"/>
        </w:rPr>
        <w:t xml:space="preserve"> tumour models (</w:t>
      </w:r>
      <w:r w:rsidR="00D56E2C">
        <w:rPr>
          <w:rFonts w:ascii="Arial" w:hAnsi="Arial" w:cs="Arial"/>
          <w:color w:val="595959" w:themeColor="text1" w:themeTint="A6"/>
        </w:rPr>
        <w:t xml:space="preserve">Jennings </w:t>
      </w:r>
      <w:r w:rsidR="00D56E2C" w:rsidRPr="00D56E2C">
        <w:rPr>
          <w:rFonts w:ascii="Arial" w:hAnsi="Arial" w:cs="Arial"/>
          <w:i/>
          <w:iCs/>
          <w:color w:val="595959" w:themeColor="text1" w:themeTint="A6"/>
        </w:rPr>
        <w:t>et al.,</w:t>
      </w:r>
      <w:r w:rsidR="00D56E2C">
        <w:rPr>
          <w:rFonts w:ascii="Arial" w:hAnsi="Arial" w:cs="Arial"/>
          <w:color w:val="595959" w:themeColor="text1" w:themeTint="A6"/>
        </w:rPr>
        <w:t xml:space="preserve"> 2016</w:t>
      </w:r>
      <w:r w:rsidR="003B4694">
        <w:rPr>
          <w:rFonts w:ascii="Arial" w:hAnsi="Arial" w:cs="Arial"/>
          <w:color w:val="595959" w:themeColor="text1" w:themeTint="A6"/>
        </w:rPr>
        <w:t xml:space="preserve">, Duong </w:t>
      </w:r>
      <w:r w:rsidR="003B4694" w:rsidRPr="003B4694">
        <w:rPr>
          <w:rFonts w:ascii="Arial" w:hAnsi="Arial" w:cs="Arial"/>
          <w:i/>
          <w:iCs/>
          <w:color w:val="595959" w:themeColor="text1" w:themeTint="A6"/>
        </w:rPr>
        <w:t>et al.,</w:t>
      </w:r>
      <w:r w:rsidR="003B4694">
        <w:rPr>
          <w:rFonts w:ascii="Arial" w:hAnsi="Arial" w:cs="Arial"/>
          <w:color w:val="595959" w:themeColor="text1" w:themeTint="A6"/>
        </w:rPr>
        <w:t xml:space="preserve"> 2005</w:t>
      </w:r>
      <w:r w:rsidR="004C43B4">
        <w:rPr>
          <w:rFonts w:ascii="Arial" w:hAnsi="Arial" w:cs="Arial"/>
          <w:color w:val="595959" w:themeColor="text1" w:themeTint="A6"/>
        </w:rPr>
        <w:t xml:space="preserve">). </w:t>
      </w:r>
    </w:p>
    <w:p w14:paraId="5321E395" w14:textId="4D4531CD" w:rsidR="00F311FA" w:rsidRPr="00286E75" w:rsidRDefault="006033F8" w:rsidP="002316C5">
      <w:pPr>
        <w:pStyle w:val="Heading3"/>
        <w:rPr>
          <w:rFonts w:ascii="Arial" w:hAnsi="Arial" w:cs="Arial"/>
          <w:color w:val="595959" w:themeColor="text1" w:themeTint="A6"/>
          <w:sz w:val="22"/>
          <w:szCs w:val="22"/>
        </w:rPr>
      </w:pPr>
      <w:bookmarkStart w:id="499" w:name="_Toc34208486"/>
      <w:r w:rsidRPr="00286E75">
        <w:rPr>
          <w:rFonts w:ascii="Arial" w:hAnsi="Arial" w:cs="Arial"/>
          <w:color w:val="595959" w:themeColor="text1" w:themeTint="A6"/>
          <w:sz w:val="22"/>
          <w:szCs w:val="22"/>
        </w:rPr>
        <w:t>6</w:t>
      </w:r>
      <w:r w:rsidR="00F311FA" w:rsidRPr="00286E75">
        <w:rPr>
          <w:rFonts w:ascii="Arial" w:hAnsi="Arial" w:cs="Arial"/>
          <w:color w:val="595959" w:themeColor="text1" w:themeTint="A6"/>
          <w:sz w:val="22"/>
          <w:szCs w:val="22"/>
        </w:rPr>
        <w:t>.</w:t>
      </w:r>
      <w:r w:rsidR="002316C5" w:rsidRPr="00286E75">
        <w:rPr>
          <w:rFonts w:ascii="Arial" w:hAnsi="Arial" w:cs="Arial"/>
          <w:color w:val="595959" w:themeColor="text1" w:themeTint="A6"/>
          <w:sz w:val="22"/>
          <w:szCs w:val="22"/>
        </w:rPr>
        <w:t>5</w:t>
      </w:r>
      <w:r w:rsidR="00F311FA" w:rsidRPr="00286E75">
        <w:rPr>
          <w:rFonts w:ascii="Arial" w:hAnsi="Arial" w:cs="Arial"/>
          <w:color w:val="595959" w:themeColor="text1" w:themeTint="A6"/>
          <w:sz w:val="22"/>
          <w:szCs w:val="22"/>
        </w:rPr>
        <w:t>.1 Dysregulation of ECM molecules and remodelling in OSCC progression</w:t>
      </w:r>
      <w:bookmarkEnd w:id="499"/>
    </w:p>
    <w:p w14:paraId="729474BD" w14:textId="77777777" w:rsidR="002316C5" w:rsidRPr="002316C5" w:rsidRDefault="002316C5" w:rsidP="002316C5"/>
    <w:p w14:paraId="5859252B" w14:textId="1F7AE998" w:rsidR="00583875" w:rsidRDefault="00CC23A6" w:rsidP="00F311FA">
      <w:pPr>
        <w:tabs>
          <w:tab w:val="left" w:pos="1058"/>
        </w:tabs>
        <w:spacing w:line="480" w:lineRule="auto"/>
        <w:jc w:val="both"/>
        <w:rPr>
          <w:rFonts w:ascii="Arial" w:hAnsi="Arial" w:cs="Arial"/>
          <w:color w:val="595959" w:themeColor="text1" w:themeTint="A6"/>
        </w:rPr>
      </w:pPr>
      <w:r>
        <w:rPr>
          <w:rFonts w:ascii="Arial" w:hAnsi="Arial" w:cs="Arial"/>
          <w:color w:val="595959" w:themeColor="text1" w:themeTint="A6"/>
        </w:rPr>
        <w:t>Arrang</w:t>
      </w:r>
      <w:r w:rsidR="00136047">
        <w:rPr>
          <w:rFonts w:ascii="Arial" w:hAnsi="Arial" w:cs="Arial"/>
          <w:color w:val="595959" w:themeColor="text1" w:themeTint="A6"/>
        </w:rPr>
        <w:t>e</w:t>
      </w:r>
      <w:r>
        <w:rPr>
          <w:rFonts w:ascii="Arial" w:hAnsi="Arial" w:cs="Arial"/>
          <w:color w:val="595959" w:themeColor="text1" w:themeTint="A6"/>
        </w:rPr>
        <w:t xml:space="preserve">ment and </w:t>
      </w:r>
      <w:r w:rsidR="00136047">
        <w:rPr>
          <w:rFonts w:ascii="Arial" w:hAnsi="Arial" w:cs="Arial"/>
          <w:color w:val="595959" w:themeColor="text1" w:themeTint="A6"/>
        </w:rPr>
        <w:t>orientation of ECM forms a tissue-specific microenvironment that is crucial in all aspects of tumour progression</w:t>
      </w:r>
      <w:r w:rsidR="009F1D21">
        <w:rPr>
          <w:rFonts w:ascii="Arial" w:hAnsi="Arial" w:cs="Arial"/>
          <w:color w:val="595959" w:themeColor="text1" w:themeTint="A6"/>
        </w:rPr>
        <w:t xml:space="preserve"> (Walker </w:t>
      </w:r>
      <w:r w:rsidR="009F1D21" w:rsidRPr="009F1D21">
        <w:rPr>
          <w:rFonts w:ascii="Arial" w:hAnsi="Arial" w:cs="Arial"/>
          <w:i/>
          <w:iCs/>
          <w:color w:val="595959" w:themeColor="text1" w:themeTint="A6"/>
        </w:rPr>
        <w:t>et al.,</w:t>
      </w:r>
      <w:r w:rsidR="009F1D21">
        <w:rPr>
          <w:rFonts w:ascii="Arial" w:hAnsi="Arial" w:cs="Arial"/>
          <w:color w:val="595959" w:themeColor="text1" w:themeTint="A6"/>
        </w:rPr>
        <w:t xml:space="preserve"> 2018)</w:t>
      </w:r>
      <w:r w:rsidR="00136047">
        <w:rPr>
          <w:rFonts w:ascii="Arial" w:hAnsi="Arial" w:cs="Arial"/>
          <w:color w:val="595959" w:themeColor="text1" w:themeTint="A6"/>
        </w:rPr>
        <w:t xml:space="preserve">.  </w:t>
      </w:r>
      <w:r w:rsidR="00E21814">
        <w:rPr>
          <w:rFonts w:ascii="Arial" w:hAnsi="Arial" w:cs="Arial"/>
          <w:color w:val="595959" w:themeColor="text1" w:themeTint="A6"/>
        </w:rPr>
        <w:t>CAF secrete MMP which remodel the stroma to promote a permissive environment for cancer cell migration, proliferation and invasion</w:t>
      </w:r>
      <w:r w:rsidR="003552ED">
        <w:rPr>
          <w:rFonts w:ascii="Arial" w:hAnsi="Arial" w:cs="Arial"/>
          <w:color w:val="595959" w:themeColor="text1" w:themeTint="A6"/>
        </w:rPr>
        <w:t xml:space="preserve"> and </w:t>
      </w:r>
      <w:r w:rsidR="000B402A">
        <w:rPr>
          <w:rFonts w:ascii="Arial" w:hAnsi="Arial" w:cs="Arial"/>
          <w:color w:val="595959" w:themeColor="text1" w:themeTint="A6"/>
        </w:rPr>
        <w:t xml:space="preserve">MMP </w:t>
      </w:r>
      <w:r w:rsidR="003552ED">
        <w:rPr>
          <w:rFonts w:ascii="Arial" w:hAnsi="Arial" w:cs="Arial"/>
          <w:color w:val="595959" w:themeColor="text1" w:themeTint="A6"/>
        </w:rPr>
        <w:t xml:space="preserve">activity </w:t>
      </w:r>
      <w:r w:rsidR="000B402A">
        <w:rPr>
          <w:rFonts w:ascii="Arial" w:hAnsi="Arial" w:cs="Arial"/>
          <w:color w:val="595959" w:themeColor="text1" w:themeTint="A6"/>
        </w:rPr>
        <w:t>in cancer progression is multi-faceted</w:t>
      </w:r>
      <w:r w:rsidR="006B7591">
        <w:rPr>
          <w:rFonts w:ascii="Arial" w:hAnsi="Arial" w:cs="Arial"/>
          <w:color w:val="595959" w:themeColor="text1" w:themeTint="A6"/>
        </w:rPr>
        <w:t xml:space="preserve"> (Lui </w:t>
      </w:r>
      <w:r w:rsidR="006B7591" w:rsidRPr="006B7591">
        <w:rPr>
          <w:rFonts w:ascii="Arial" w:hAnsi="Arial" w:cs="Arial"/>
          <w:i/>
          <w:iCs/>
          <w:color w:val="595959" w:themeColor="text1" w:themeTint="A6"/>
        </w:rPr>
        <w:t>et al.,</w:t>
      </w:r>
      <w:r w:rsidR="006B7591">
        <w:rPr>
          <w:rFonts w:ascii="Arial" w:hAnsi="Arial" w:cs="Arial"/>
          <w:color w:val="595959" w:themeColor="text1" w:themeTint="A6"/>
        </w:rPr>
        <w:t xml:space="preserve"> 2019)</w:t>
      </w:r>
      <w:r w:rsidR="003552ED">
        <w:rPr>
          <w:rFonts w:ascii="Arial" w:hAnsi="Arial" w:cs="Arial"/>
          <w:color w:val="595959" w:themeColor="text1" w:themeTint="A6"/>
        </w:rPr>
        <w:t>.</w:t>
      </w:r>
      <w:r w:rsidR="008B6D91">
        <w:rPr>
          <w:rFonts w:ascii="Arial" w:hAnsi="Arial" w:cs="Arial"/>
          <w:color w:val="595959" w:themeColor="text1" w:themeTint="A6"/>
        </w:rPr>
        <w:t xml:space="preserve"> </w:t>
      </w:r>
      <w:r w:rsidR="003552ED">
        <w:rPr>
          <w:rFonts w:ascii="Arial" w:hAnsi="Arial" w:cs="Arial"/>
          <w:color w:val="595959" w:themeColor="text1" w:themeTint="A6"/>
        </w:rPr>
        <w:t xml:space="preserve">MMP </w:t>
      </w:r>
      <w:r w:rsidR="008B6D91">
        <w:rPr>
          <w:rFonts w:ascii="Arial" w:hAnsi="Arial" w:cs="Arial"/>
          <w:color w:val="595959" w:themeColor="text1" w:themeTint="A6"/>
        </w:rPr>
        <w:t xml:space="preserve">assist in the degradation of surrounding ECM as well as </w:t>
      </w:r>
      <w:r w:rsidR="003552ED">
        <w:rPr>
          <w:rFonts w:ascii="Arial" w:hAnsi="Arial" w:cs="Arial"/>
          <w:color w:val="595959" w:themeColor="text1" w:themeTint="A6"/>
        </w:rPr>
        <w:t>controlling</w:t>
      </w:r>
      <w:r w:rsidR="008B6D91">
        <w:rPr>
          <w:rFonts w:ascii="Arial" w:hAnsi="Arial" w:cs="Arial"/>
          <w:color w:val="595959" w:themeColor="text1" w:themeTint="A6"/>
        </w:rPr>
        <w:t xml:space="preserve"> the release of active growth factors that enhance cellular function. </w:t>
      </w:r>
      <w:r w:rsidR="003552ED">
        <w:rPr>
          <w:rFonts w:ascii="Arial" w:hAnsi="Arial" w:cs="Arial"/>
          <w:color w:val="595959" w:themeColor="text1" w:themeTint="A6"/>
        </w:rPr>
        <w:t xml:space="preserve">MMP-2 and MMP-9 activity was investigated in models of OSCC progression, whereby </w:t>
      </w:r>
      <w:r w:rsidR="00BC49EA">
        <w:rPr>
          <w:rFonts w:ascii="Arial" w:hAnsi="Arial" w:cs="Arial"/>
          <w:color w:val="595959" w:themeColor="text1" w:themeTint="A6"/>
        </w:rPr>
        <w:t xml:space="preserve">a significant </w:t>
      </w:r>
      <w:r w:rsidR="003552ED">
        <w:rPr>
          <w:rFonts w:ascii="Arial" w:hAnsi="Arial" w:cs="Arial"/>
          <w:color w:val="595959" w:themeColor="text1" w:themeTint="A6"/>
        </w:rPr>
        <w:t>increase</w:t>
      </w:r>
      <w:r w:rsidR="00BC49EA">
        <w:rPr>
          <w:rFonts w:ascii="Arial" w:hAnsi="Arial" w:cs="Arial"/>
          <w:color w:val="595959" w:themeColor="text1" w:themeTint="A6"/>
        </w:rPr>
        <w:t xml:space="preserve"> in </w:t>
      </w:r>
      <w:r w:rsidR="003552ED">
        <w:rPr>
          <w:rFonts w:ascii="Arial" w:hAnsi="Arial" w:cs="Arial"/>
          <w:color w:val="595959" w:themeColor="text1" w:themeTint="A6"/>
        </w:rPr>
        <w:t>MMP-9</w:t>
      </w:r>
      <w:r w:rsidR="00BC49EA">
        <w:rPr>
          <w:rFonts w:ascii="Arial" w:hAnsi="Arial" w:cs="Arial"/>
          <w:color w:val="595959" w:themeColor="text1" w:themeTint="A6"/>
        </w:rPr>
        <w:t xml:space="preserve"> activity</w:t>
      </w:r>
      <w:r w:rsidR="003552ED">
        <w:rPr>
          <w:rFonts w:ascii="Arial" w:hAnsi="Arial" w:cs="Arial"/>
          <w:color w:val="595959" w:themeColor="text1" w:themeTint="A6"/>
        </w:rPr>
        <w:t xml:space="preserve"> was detected in models of TEAOM and TESCCM</w:t>
      </w:r>
      <w:r w:rsidR="00B67674">
        <w:rPr>
          <w:rFonts w:ascii="Arial" w:hAnsi="Arial" w:cs="Arial"/>
          <w:color w:val="595959" w:themeColor="text1" w:themeTint="A6"/>
        </w:rPr>
        <w:t>.</w:t>
      </w:r>
      <w:r w:rsidR="003552ED">
        <w:rPr>
          <w:rFonts w:ascii="Arial" w:hAnsi="Arial" w:cs="Arial"/>
          <w:color w:val="595959" w:themeColor="text1" w:themeTint="A6"/>
        </w:rPr>
        <w:t xml:space="preserve"> </w:t>
      </w:r>
      <w:r w:rsidR="00CE7CC4">
        <w:rPr>
          <w:rFonts w:ascii="Arial" w:hAnsi="Arial" w:cs="Arial"/>
          <w:color w:val="595959" w:themeColor="text1" w:themeTint="A6"/>
        </w:rPr>
        <w:t>Interestingly MMP-9 activity is associated with a microenvironment favourable with invasion and metas</w:t>
      </w:r>
      <w:r w:rsidR="00583875">
        <w:rPr>
          <w:rFonts w:ascii="Arial" w:hAnsi="Arial" w:cs="Arial"/>
          <w:color w:val="595959" w:themeColor="text1" w:themeTint="A6"/>
        </w:rPr>
        <w:t>tasis</w:t>
      </w:r>
      <w:r w:rsidR="00A03ABC">
        <w:rPr>
          <w:rFonts w:ascii="Arial" w:hAnsi="Arial" w:cs="Arial"/>
          <w:color w:val="595959" w:themeColor="text1" w:themeTint="A6"/>
        </w:rPr>
        <w:t xml:space="preserve"> through activation of TGFβ-1 and the deposition of ECM components</w:t>
      </w:r>
      <w:r w:rsidR="00A21A4D">
        <w:rPr>
          <w:rFonts w:ascii="Arial" w:hAnsi="Arial" w:cs="Arial"/>
          <w:color w:val="595959" w:themeColor="text1" w:themeTint="A6"/>
        </w:rPr>
        <w:t xml:space="preserve"> (</w:t>
      </w:r>
      <w:r w:rsidR="00A62E16">
        <w:rPr>
          <w:rFonts w:ascii="Arial" w:hAnsi="Arial" w:cs="Arial"/>
          <w:color w:val="595959" w:themeColor="text1" w:themeTint="A6"/>
        </w:rPr>
        <w:t>Lynch and Matrisian, 200</w:t>
      </w:r>
      <w:r w:rsidR="006F6F28">
        <w:rPr>
          <w:rFonts w:ascii="Arial" w:hAnsi="Arial" w:cs="Arial"/>
          <w:color w:val="595959" w:themeColor="text1" w:themeTint="A6"/>
        </w:rPr>
        <w:t>2, Sternlic</w:t>
      </w:r>
      <w:r w:rsidR="004A4F25">
        <w:rPr>
          <w:rFonts w:ascii="Arial" w:hAnsi="Arial" w:cs="Arial"/>
          <w:color w:val="595959" w:themeColor="text1" w:themeTint="A6"/>
        </w:rPr>
        <w:t>h</w:t>
      </w:r>
      <w:r w:rsidR="006F6F28">
        <w:rPr>
          <w:rFonts w:ascii="Arial" w:hAnsi="Arial" w:cs="Arial"/>
          <w:color w:val="595959" w:themeColor="text1" w:themeTint="A6"/>
        </w:rPr>
        <w:t>t and</w:t>
      </w:r>
      <w:r w:rsidR="004A4F25">
        <w:rPr>
          <w:rFonts w:ascii="Arial" w:hAnsi="Arial" w:cs="Arial"/>
          <w:color w:val="595959" w:themeColor="text1" w:themeTint="A6"/>
        </w:rPr>
        <w:t xml:space="preserve"> Werb, 2001</w:t>
      </w:r>
      <w:r w:rsidR="006E6AD2">
        <w:rPr>
          <w:rFonts w:ascii="Arial" w:hAnsi="Arial" w:cs="Arial"/>
          <w:color w:val="595959" w:themeColor="text1" w:themeTint="A6"/>
        </w:rPr>
        <w:t xml:space="preserve">, Calon, </w:t>
      </w:r>
      <w:r w:rsidR="006E6AD2" w:rsidRPr="006E6AD2">
        <w:rPr>
          <w:rFonts w:ascii="Arial" w:hAnsi="Arial" w:cs="Arial"/>
          <w:i/>
          <w:iCs/>
          <w:color w:val="595959" w:themeColor="text1" w:themeTint="A6"/>
        </w:rPr>
        <w:t>et al.,</w:t>
      </w:r>
      <w:r w:rsidR="006E6AD2">
        <w:rPr>
          <w:rFonts w:ascii="Arial" w:hAnsi="Arial" w:cs="Arial"/>
          <w:color w:val="595959" w:themeColor="text1" w:themeTint="A6"/>
        </w:rPr>
        <w:t xml:space="preserve"> 2014). </w:t>
      </w:r>
      <w:r w:rsidR="006F6F28">
        <w:rPr>
          <w:rFonts w:ascii="Arial" w:hAnsi="Arial" w:cs="Arial"/>
          <w:color w:val="595959" w:themeColor="text1" w:themeTint="A6"/>
        </w:rPr>
        <w:t xml:space="preserve"> </w:t>
      </w:r>
    </w:p>
    <w:p w14:paraId="70AF0515" w14:textId="0610FD8B" w:rsidR="005242D5" w:rsidRPr="003371CD" w:rsidRDefault="00620236" w:rsidP="00F311FA">
      <w:pPr>
        <w:tabs>
          <w:tab w:val="left" w:pos="1058"/>
        </w:tabs>
        <w:spacing w:line="480" w:lineRule="auto"/>
        <w:jc w:val="both"/>
        <w:rPr>
          <w:rFonts w:ascii="Arial" w:hAnsi="Arial" w:cs="Arial"/>
          <w:color w:val="595959" w:themeColor="text1" w:themeTint="A6"/>
        </w:rPr>
      </w:pPr>
      <w:r w:rsidRPr="003371CD">
        <w:rPr>
          <w:rFonts w:ascii="Arial" w:hAnsi="Arial" w:cs="Arial"/>
          <w:color w:val="595959" w:themeColor="text1" w:themeTint="A6"/>
        </w:rPr>
        <w:t>Recent years, the number of molecular-based assays has increased but histopathology remains the gold standard for</w:t>
      </w:r>
      <w:r w:rsidR="00BD7BC2" w:rsidRPr="003371CD">
        <w:rPr>
          <w:rFonts w:ascii="Arial" w:hAnsi="Arial" w:cs="Arial"/>
          <w:color w:val="595959" w:themeColor="text1" w:themeTint="A6"/>
        </w:rPr>
        <w:t xml:space="preserve"> </w:t>
      </w:r>
      <w:r w:rsidRPr="003371CD">
        <w:rPr>
          <w:rFonts w:ascii="Arial" w:hAnsi="Arial" w:cs="Arial"/>
          <w:color w:val="595959" w:themeColor="text1" w:themeTint="A6"/>
        </w:rPr>
        <w:t>most diagnostic and therapeutic decisions</w:t>
      </w:r>
      <w:r w:rsidR="00BD7BC2" w:rsidRPr="003371CD">
        <w:rPr>
          <w:rFonts w:ascii="Arial" w:hAnsi="Arial" w:cs="Arial"/>
          <w:color w:val="595959" w:themeColor="text1" w:themeTint="A6"/>
        </w:rPr>
        <w:t xml:space="preserve"> (</w:t>
      </w:r>
      <w:r w:rsidR="00437524" w:rsidRPr="003371CD">
        <w:rPr>
          <w:rFonts w:ascii="Arial" w:hAnsi="Arial" w:cs="Arial"/>
          <w:color w:val="595959" w:themeColor="text1" w:themeTint="A6"/>
        </w:rPr>
        <w:t xml:space="preserve">Oliveira </w:t>
      </w:r>
      <w:r w:rsidR="004C0A91" w:rsidRPr="003371CD">
        <w:rPr>
          <w:rFonts w:ascii="Arial" w:hAnsi="Arial" w:cs="Arial"/>
          <w:color w:val="595959" w:themeColor="text1" w:themeTint="A6"/>
        </w:rPr>
        <w:t xml:space="preserve">and Silva, 2011). </w:t>
      </w:r>
      <w:r w:rsidR="00760A28" w:rsidRPr="003371CD">
        <w:rPr>
          <w:rFonts w:ascii="Arial" w:hAnsi="Arial" w:cs="Arial"/>
          <w:color w:val="595959" w:themeColor="text1" w:themeTint="A6"/>
        </w:rPr>
        <w:t xml:space="preserve"> </w:t>
      </w:r>
      <w:r w:rsidR="005242D5" w:rsidRPr="003371CD">
        <w:rPr>
          <w:rFonts w:ascii="Arial" w:hAnsi="Arial" w:cs="Arial"/>
          <w:color w:val="595959" w:themeColor="text1" w:themeTint="A6"/>
        </w:rPr>
        <w:t xml:space="preserve">For this reason, </w:t>
      </w:r>
      <w:r w:rsidR="008F6955">
        <w:rPr>
          <w:rFonts w:ascii="Arial" w:hAnsi="Arial" w:cs="Arial"/>
          <w:color w:val="595959" w:themeColor="text1" w:themeTint="A6"/>
        </w:rPr>
        <w:t xml:space="preserve">the </w:t>
      </w:r>
      <w:r w:rsidR="005242D5" w:rsidRPr="003371CD">
        <w:rPr>
          <w:rFonts w:ascii="Arial" w:hAnsi="Arial" w:cs="Arial"/>
          <w:color w:val="595959" w:themeColor="text1" w:themeTint="A6"/>
        </w:rPr>
        <w:t>T</w:t>
      </w:r>
      <w:r w:rsidR="00457F25" w:rsidRPr="003371CD">
        <w:rPr>
          <w:rFonts w:ascii="Arial" w:hAnsi="Arial" w:cs="Arial"/>
          <w:color w:val="595959" w:themeColor="text1" w:themeTint="A6"/>
        </w:rPr>
        <w:t xml:space="preserve">EOM models </w:t>
      </w:r>
      <w:r w:rsidR="008F6955">
        <w:rPr>
          <w:rFonts w:ascii="Arial" w:hAnsi="Arial" w:cs="Arial"/>
          <w:color w:val="595959" w:themeColor="text1" w:themeTint="A6"/>
        </w:rPr>
        <w:t xml:space="preserve">generated in this investigation </w:t>
      </w:r>
      <w:r w:rsidR="00457F25" w:rsidRPr="003371CD">
        <w:rPr>
          <w:rFonts w:ascii="Arial" w:hAnsi="Arial" w:cs="Arial"/>
          <w:color w:val="595959" w:themeColor="text1" w:themeTint="A6"/>
        </w:rPr>
        <w:t xml:space="preserve">were stained for </w:t>
      </w:r>
      <w:r w:rsidR="00C14663">
        <w:rPr>
          <w:rFonts w:ascii="Arial" w:hAnsi="Arial" w:cs="Arial"/>
          <w:color w:val="595959" w:themeColor="text1" w:themeTint="A6"/>
        </w:rPr>
        <w:t xml:space="preserve">ECM, epithelial and basement membrane </w:t>
      </w:r>
      <w:r w:rsidR="00457F25" w:rsidRPr="003371CD">
        <w:rPr>
          <w:rFonts w:ascii="Arial" w:hAnsi="Arial" w:cs="Arial"/>
          <w:color w:val="595959" w:themeColor="text1" w:themeTint="A6"/>
        </w:rPr>
        <w:t xml:space="preserve">markers </w:t>
      </w:r>
      <w:r w:rsidR="008F6955">
        <w:rPr>
          <w:rFonts w:ascii="Arial" w:hAnsi="Arial" w:cs="Arial"/>
          <w:color w:val="595959" w:themeColor="text1" w:themeTint="A6"/>
        </w:rPr>
        <w:t xml:space="preserve">to assess their suitability to mimic </w:t>
      </w:r>
      <w:r w:rsidR="00C14663">
        <w:rPr>
          <w:rFonts w:ascii="Arial" w:hAnsi="Arial" w:cs="Arial"/>
          <w:color w:val="595959" w:themeColor="text1" w:themeTint="A6"/>
        </w:rPr>
        <w:t xml:space="preserve">protein </w:t>
      </w:r>
      <w:r w:rsidR="008F6955">
        <w:rPr>
          <w:rFonts w:ascii="Arial" w:hAnsi="Arial" w:cs="Arial"/>
          <w:color w:val="595959" w:themeColor="text1" w:themeTint="A6"/>
        </w:rPr>
        <w:t xml:space="preserve">changes </w:t>
      </w:r>
      <w:r w:rsidR="00792678">
        <w:rPr>
          <w:rFonts w:ascii="Arial" w:hAnsi="Arial" w:cs="Arial"/>
          <w:color w:val="595959" w:themeColor="text1" w:themeTint="A6"/>
        </w:rPr>
        <w:t xml:space="preserve">associated with </w:t>
      </w:r>
      <w:r w:rsidR="008F6955">
        <w:rPr>
          <w:rFonts w:ascii="Arial" w:hAnsi="Arial" w:cs="Arial"/>
          <w:color w:val="595959" w:themeColor="text1" w:themeTint="A6"/>
        </w:rPr>
        <w:t>OSCC</w:t>
      </w:r>
      <w:r w:rsidR="00792678">
        <w:rPr>
          <w:rFonts w:ascii="Arial" w:hAnsi="Arial" w:cs="Arial"/>
          <w:color w:val="595959" w:themeColor="text1" w:themeTint="A6"/>
        </w:rPr>
        <w:t xml:space="preserve"> disease progression</w:t>
      </w:r>
      <w:r w:rsidR="00D9295C">
        <w:rPr>
          <w:rFonts w:ascii="Arial" w:hAnsi="Arial" w:cs="Arial"/>
          <w:color w:val="595959" w:themeColor="text1" w:themeTint="A6"/>
        </w:rPr>
        <w:t xml:space="preserve">. These models were successfully characterised by IHC and displayed the features of </w:t>
      </w:r>
      <w:r w:rsidR="00CF5362">
        <w:rPr>
          <w:rFonts w:ascii="Arial" w:hAnsi="Arial" w:cs="Arial"/>
          <w:color w:val="595959" w:themeColor="text1" w:themeTint="A6"/>
        </w:rPr>
        <w:t>anomalous protein expression</w:t>
      </w:r>
      <w:r w:rsidR="00436252">
        <w:rPr>
          <w:rFonts w:ascii="Arial" w:hAnsi="Arial" w:cs="Arial"/>
          <w:color w:val="595959" w:themeColor="text1" w:themeTint="A6"/>
        </w:rPr>
        <w:t xml:space="preserve"> with an increased disease phenotype. Further characterisation would include </w:t>
      </w:r>
      <w:r w:rsidR="00FB45C6">
        <w:rPr>
          <w:rFonts w:ascii="Arial" w:hAnsi="Arial" w:cs="Arial"/>
          <w:color w:val="595959" w:themeColor="text1" w:themeTint="A6"/>
        </w:rPr>
        <w:t xml:space="preserve">performing </w:t>
      </w:r>
      <w:r w:rsidR="00436252">
        <w:rPr>
          <w:rFonts w:ascii="Arial" w:hAnsi="Arial" w:cs="Arial"/>
          <w:color w:val="595959" w:themeColor="text1" w:themeTint="A6"/>
        </w:rPr>
        <w:t xml:space="preserve">transmission electron microscopy to further study </w:t>
      </w:r>
      <w:r w:rsidR="00FB45C6">
        <w:rPr>
          <w:rFonts w:ascii="Arial" w:hAnsi="Arial" w:cs="Arial"/>
          <w:color w:val="595959" w:themeColor="text1" w:themeTint="A6"/>
        </w:rPr>
        <w:t>mi</w:t>
      </w:r>
      <w:r w:rsidR="006C1150">
        <w:rPr>
          <w:rFonts w:ascii="Arial" w:hAnsi="Arial" w:cs="Arial"/>
          <w:color w:val="595959" w:themeColor="text1" w:themeTint="A6"/>
        </w:rPr>
        <w:t xml:space="preserve">croscopic changes in adhesion proteins and </w:t>
      </w:r>
      <w:r w:rsidR="000E375B">
        <w:rPr>
          <w:rFonts w:ascii="Arial" w:hAnsi="Arial" w:cs="Arial"/>
          <w:color w:val="595959" w:themeColor="text1" w:themeTint="A6"/>
        </w:rPr>
        <w:t xml:space="preserve">visualise </w:t>
      </w:r>
      <w:r w:rsidR="006C1150">
        <w:rPr>
          <w:rFonts w:ascii="Arial" w:hAnsi="Arial" w:cs="Arial"/>
          <w:color w:val="595959" w:themeColor="text1" w:themeTint="A6"/>
        </w:rPr>
        <w:t xml:space="preserve">invasion by disruption of basement membrane proteins. </w:t>
      </w:r>
    </w:p>
    <w:p w14:paraId="1B82DEE3" w14:textId="444F6CBF" w:rsidR="00F311FA" w:rsidRDefault="006033F8" w:rsidP="002316C5">
      <w:pPr>
        <w:pStyle w:val="Heading2"/>
        <w:rPr>
          <w:rFonts w:ascii="Arial" w:hAnsi="Arial" w:cs="Arial"/>
          <w:color w:val="595959" w:themeColor="text1" w:themeTint="A6"/>
          <w:sz w:val="22"/>
          <w:szCs w:val="22"/>
        </w:rPr>
      </w:pPr>
      <w:bookmarkStart w:id="500" w:name="_Toc34208487"/>
      <w:r w:rsidRPr="002316C5">
        <w:rPr>
          <w:rFonts w:ascii="Arial" w:hAnsi="Arial" w:cs="Arial"/>
          <w:color w:val="595959" w:themeColor="text1" w:themeTint="A6"/>
          <w:sz w:val="22"/>
          <w:szCs w:val="22"/>
        </w:rPr>
        <w:t>6</w:t>
      </w:r>
      <w:r w:rsidR="00F311FA" w:rsidRPr="002316C5">
        <w:rPr>
          <w:rFonts w:ascii="Arial" w:hAnsi="Arial" w:cs="Arial"/>
          <w:color w:val="595959" w:themeColor="text1" w:themeTint="A6"/>
          <w:sz w:val="22"/>
          <w:szCs w:val="22"/>
        </w:rPr>
        <w:t>.</w:t>
      </w:r>
      <w:r w:rsidR="002316C5" w:rsidRPr="002316C5">
        <w:rPr>
          <w:rFonts w:ascii="Arial" w:hAnsi="Arial" w:cs="Arial"/>
          <w:color w:val="595959" w:themeColor="text1" w:themeTint="A6"/>
          <w:sz w:val="22"/>
          <w:szCs w:val="22"/>
        </w:rPr>
        <w:t>6</w:t>
      </w:r>
      <w:r w:rsidR="00F311FA" w:rsidRPr="002316C5">
        <w:rPr>
          <w:rFonts w:ascii="Arial" w:hAnsi="Arial" w:cs="Arial"/>
          <w:color w:val="595959" w:themeColor="text1" w:themeTint="A6"/>
          <w:sz w:val="22"/>
          <w:szCs w:val="22"/>
        </w:rPr>
        <w:t xml:space="preserve"> Future work</w:t>
      </w:r>
      <w:bookmarkEnd w:id="500"/>
    </w:p>
    <w:p w14:paraId="360BBF6B" w14:textId="77777777" w:rsidR="002316C5" w:rsidRPr="002316C5" w:rsidRDefault="002316C5" w:rsidP="002316C5"/>
    <w:p w14:paraId="2522B1A5" w14:textId="43445546" w:rsidR="00F311FA" w:rsidRPr="00F311FA" w:rsidRDefault="001E32F2" w:rsidP="00F311FA">
      <w:pPr>
        <w:tabs>
          <w:tab w:val="left" w:pos="1058"/>
        </w:tabs>
        <w:spacing w:line="480" w:lineRule="auto"/>
        <w:jc w:val="both"/>
        <w:rPr>
          <w:rFonts w:ascii="Arial" w:hAnsi="Arial" w:cs="Arial"/>
          <w:color w:val="595959" w:themeColor="text1" w:themeTint="A6"/>
        </w:rPr>
      </w:pPr>
      <w:r>
        <w:rPr>
          <w:rFonts w:ascii="Arial" w:hAnsi="Arial" w:cs="Arial"/>
          <w:color w:val="595959" w:themeColor="text1" w:themeTint="A6"/>
        </w:rPr>
        <w:t>3D models are becoming an increasingly important tool in many arms of biological research as researchers seek more complex, physiologically relevant systems</w:t>
      </w:r>
      <w:r w:rsidR="007157A3">
        <w:rPr>
          <w:rFonts w:ascii="Arial" w:hAnsi="Arial" w:cs="Arial"/>
          <w:color w:val="595959" w:themeColor="text1" w:themeTint="A6"/>
        </w:rPr>
        <w:t xml:space="preserve"> whilst moving away from animal experimentation. Validation of any models is the key to success. If resources had allowed</w:t>
      </w:r>
      <w:r w:rsidR="00836761">
        <w:rPr>
          <w:rFonts w:ascii="Arial" w:hAnsi="Arial" w:cs="Arial"/>
          <w:color w:val="595959" w:themeColor="text1" w:themeTint="A6"/>
        </w:rPr>
        <w:t xml:space="preserve">, </w:t>
      </w:r>
      <w:r w:rsidR="001B46B9">
        <w:rPr>
          <w:rFonts w:ascii="Arial" w:hAnsi="Arial" w:cs="Arial"/>
          <w:color w:val="595959" w:themeColor="text1" w:themeTint="A6"/>
        </w:rPr>
        <w:t xml:space="preserve">further </w:t>
      </w:r>
      <w:r w:rsidR="003552ED">
        <w:rPr>
          <w:rFonts w:ascii="Arial" w:hAnsi="Arial" w:cs="Arial"/>
          <w:color w:val="595959" w:themeColor="text1" w:themeTint="A6"/>
        </w:rPr>
        <w:t>p</w:t>
      </w:r>
      <w:r w:rsidR="00F311FA" w:rsidRPr="00F311FA">
        <w:rPr>
          <w:rFonts w:ascii="Arial" w:hAnsi="Arial" w:cs="Arial"/>
          <w:color w:val="595959" w:themeColor="text1" w:themeTint="A6"/>
        </w:rPr>
        <w:t>roteomic analysis would be beneficial, allow</w:t>
      </w:r>
      <w:r w:rsidR="00CA3AD4">
        <w:rPr>
          <w:rFonts w:ascii="Arial" w:hAnsi="Arial" w:cs="Arial"/>
          <w:color w:val="595959" w:themeColor="text1" w:themeTint="A6"/>
        </w:rPr>
        <w:t>ing for</w:t>
      </w:r>
      <w:r w:rsidR="00F311FA" w:rsidRPr="00F311FA">
        <w:rPr>
          <w:rFonts w:ascii="Arial" w:hAnsi="Arial" w:cs="Arial"/>
          <w:color w:val="595959" w:themeColor="text1" w:themeTint="A6"/>
        </w:rPr>
        <w:t xml:space="preserve"> </w:t>
      </w:r>
      <w:r w:rsidR="001B46B9">
        <w:rPr>
          <w:rFonts w:ascii="Arial" w:hAnsi="Arial" w:cs="Arial"/>
          <w:color w:val="595959" w:themeColor="text1" w:themeTint="A6"/>
        </w:rPr>
        <w:t>a more</w:t>
      </w:r>
      <w:r w:rsidR="00F311FA" w:rsidRPr="00F311FA">
        <w:rPr>
          <w:rFonts w:ascii="Arial" w:hAnsi="Arial" w:cs="Arial"/>
          <w:color w:val="595959" w:themeColor="text1" w:themeTint="A6"/>
        </w:rPr>
        <w:t xml:space="preserve"> comprehensive assessment of the distinct molecular profile of each model investigated, thus affording the opportunity of identifying novel prognostic markers and therapeutic targets. It would be possible to undertake global identification of matrix components by </w:t>
      </w:r>
      <w:r w:rsidR="00CB5D1F" w:rsidRPr="00CB5D1F">
        <w:rPr>
          <w:rFonts w:ascii="Arial" w:hAnsi="Arial" w:cs="Arial"/>
          <w:color w:val="595959" w:themeColor="text1" w:themeTint="A6"/>
        </w:rPr>
        <w:t>matrix-assisted laser desorption ioni</w:t>
      </w:r>
      <w:r w:rsidR="00A10E36">
        <w:rPr>
          <w:rFonts w:ascii="Arial" w:hAnsi="Arial" w:cs="Arial"/>
          <w:color w:val="595959" w:themeColor="text1" w:themeTint="A6"/>
        </w:rPr>
        <w:t>s</w:t>
      </w:r>
      <w:r w:rsidR="00CB5D1F" w:rsidRPr="00CB5D1F">
        <w:rPr>
          <w:rFonts w:ascii="Arial" w:hAnsi="Arial" w:cs="Arial"/>
          <w:color w:val="595959" w:themeColor="text1" w:themeTint="A6"/>
        </w:rPr>
        <w:t>ation </w:t>
      </w:r>
      <w:r w:rsidR="00A10E36">
        <w:rPr>
          <w:rFonts w:ascii="Arial" w:hAnsi="Arial" w:cs="Arial"/>
          <w:color w:val="595959" w:themeColor="text1" w:themeTint="A6"/>
        </w:rPr>
        <w:t>(</w:t>
      </w:r>
      <w:r w:rsidR="0078281C">
        <w:rPr>
          <w:rFonts w:ascii="Arial" w:hAnsi="Arial" w:cs="Arial"/>
          <w:color w:val="595959" w:themeColor="text1" w:themeTint="A6"/>
        </w:rPr>
        <w:t>MALDI</w:t>
      </w:r>
      <w:r w:rsidR="00A10E36">
        <w:rPr>
          <w:rFonts w:ascii="Arial" w:hAnsi="Arial" w:cs="Arial"/>
          <w:color w:val="595959" w:themeColor="text1" w:themeTint="A6"/>
        </w:rPr>
        <w:t xml:space="preserve">) </w:t>
      </w:r>
      <w:r w:rsidR="0078281C">
        <w:rPr>
          <w:rFonts w:ascii="Arial" w:hAnsi="Arial" w:cs="Arial"/>
          <w:color w:val="595959" w:themeColor="text1" w:themeTint="A6"/>
        </w:rPr>
        <w:t xml:space="preserve">-imaging </w:t>
      </w:r>
      <w:r w:rsidR="00F311FA" w:rsidRPr="00F311FA">
        <w:rPr>
          <w:rFonts w:ascii="Arial" w:hAnsi="Arial" w:cs="Arial"/>
          <w:color w:val="595959" w:themeColor="text1" w:themeTint="A6"/>
        </w:rPr>
        <w:t>mass spectrometry as well as bioinformatics approaches to compare ECM signatures in normal, atypical and OSCC models, a</w:t>
      </w:r>
      <w:r w:rsidR="00CA3AD4">
        <w:rPr>
          <w:rFonts w:ascii="Arial" w:hAnsi="Arial" w:cs="Arial"/>
          <w:color w:val="595959" w:themeColor="text1" w:themeTint="A6"/>
        </w:rPr>
        <w:t>nd</w:t>
      </w:r>
      <w:r w:rsidR="00F311FA" w:rsidRPr="00F311FA">
        <w:rPr>
          <w:rFonts w:ascii="Arial" w:hAnsi="Arial" w:cs="Arial"/>
          <w:color w:val="595959" w:themeColor="text1" w:themeTint="A6"/>
        </w:rPr>
        <w:t xml:space="preserve"> comparing these to patient OSCC explants</w:t>
      </w:r>
      <w:r w:rsidR="00836761">
        <w:rPr>
          <w:rFonts w:ascii="Arial" w:hAnsi="Arial" w:cs="Arial"/>
          <w:color w:val="595959" w:themeColor="text1" w:themeTint="A6"/>
        </w:rPr>
        <w:t xml:space="preserve"> </w:t>
      </w:r>
      <w:r w:rsidR="006B7591">
        <w:rPr>
          <w:rFonts w:ascii="Arial" w:hAnsi="Arial" w:cs="Arial"/>
          <w:color w:val="595959" w:themeColor="text1" w:themeTint="A6"/>
        </w:rPr>
        <w:t xml:space="preserve">(Pearce </w:t>
      </w:r>
      <w:r w:rsidR="006B7591" w:rsidRPr="006B7591">
        <w:rPr>
          <w:rFonts w:ascii="Arial" w:hAnsi="Arial" w:cs="Arial"/>
          <w:i/>
          <w:iCs/>
          <w:color w:val="595959" w:themeColor="text1" w:themeTint="A6"/>
        </w:rPr>
        <w:t xml:space="preserve">et </w:t>
      </w:r>
      <w:r w:rsidR="006B7591">
        <w:rPr>
          <w:rFonts w:ascii="Arial" w:hAnsi="Arial" w:cs="Arial"/>
          <w:i/>
          <w:iCs/>
          <w:color w:val="595959" w:themeColor="text1" w:themeTint="A6"/>
        </w:rPr>
        <w:t>a</w:t>
      </w:r>
      <w:r w:rsidR="006B7591" w:rsidRPr="006B7591">
        <w:rPr>
          <w:rFonts w:ascii="Arial" w:hAnsi="Arial" w:cs="Arial"/>
          <w:i/>
          <w:iCs/>
          <w:color w:val="595959" w:themeColor="text1" w:themeTint="A6"/>
        </w:rPr>
        <w:t>l.,</w:t>
      </w:r>
      <w:r w:rsidR="006B7591">
        <w:rPr>
          <w:rFonts w:ascii="Arial" w:hAnsi="Arial" w:cs="Arial"/>
          <w:color w:val="595959" w:themeColor="text1" w:themeTint="A6"/>
        </w:rPr>
        <w:t xml:space="preserve"> 2017, Mayorca-Guiliana </w:t>
      </w:r>
      <w:r w:rsidR="006B7591" w:rsidRPr="006B7591">
        <w:rPr>
          <w:rFonts w:ascii="Arial" w:hAnsi="Arial" w:cs="Arial"/>
          <w:i/>
          <w:iCs/>
          <w:color w:val="595959" w:themeColor="text1" w:themeTint="A6"/>
        </w:rPr>
        <w:t>et al.,</w:t>
      </w:r>
      <w:r w:rsidR="006B7591">
        <w:rPr>
          <w:rFonts w:ascii="Arial" w:hAnsi="Arial" w:cs="Arial"/>
          <w:color w:val="595959" w:themeColor="text1" w:themeTint="A6"/>
        </w:rPr>
        <w:t xml:space="preserve"> 2017, Angel </w:t>
      </w:r>
      <w:r w:rsidR="006B7591" w:rsidRPr="006B7591">
        <w:rPr>
          <w:rFonts w:ascii="Arial" w:hAnsi="Arial" w:cs="Arial"/>
          <w:i/>
          <w:iCs/>
          <w:color w:val="595959" w:themeColor="text1" w:themeTint="A6"/>
        </w:rPr>
        <w:t>et al.,</w:t>
      </w:r>
      <w:r w:rsidR="006B7591">
        <w:rPr>
          <w:rFonts w:ascii="Arial" w:hAnsi="Arial" w:cs="Arial"/>
          <w:color w:val="595959" w:themeColor="text1" w:themeTint="A6"/>
        </w:rPr>
        <w:t xml:space="preserve"> 2019)</w:t>
      </w:r>
      <w:r w:rsidR="00F311FA" w:rsidRPr="00F311FA">
        <w:rPr>
          <w:rFonts w:ascii="Arial" w:hAnsi="Arial" w:cs="Arial"/>
          <w:color w:val="595959" w:themeColor="text1" w:themeTint="A6"/>
        </w:rPr>
        <w:t xml:space="preserve">. </w:t>
      </w:r>
    </w:p>
    <w:p w14:paraId="5ADDC234" w14:textId="7D787CB5" w:rsidR="009C4620" w:rsidRDefault="00007D26" w:rsidP="00F311FA">
      <w:pPr>
        <w:tabs>
          <w:tab w:val="left" w:pos="1058"/>
        </w:tabs>
        <w:spacing w:line="480" w:lineRule="auto"/>
        <w:jc w:val="both"/>
        <w:rPr>
          <w:rFonts w:ascii="Arial" w:hAnsi="Arial" w:cs="Arial"/>
          <w:color w:val="595959" w:themeColor="text1" w:themeTint="A6"/>
        </w:rPr>
      </w:pPr>
      <w:r>
        <w:rPr>
          <w:rFonts w:ascii="Arial" w:hAnsi="Arial" w:cs="Arial"/>
          <w:color w:val="595959" w:themeColor="text1" w:themeTint="A6"/>
        </w:rPr>
        <w:t>C</w:t>
      </w:r>
      <w:r w:rsidR="006B7591">
        <w:rPr>
          <w:rFonts w:ascii="Arial" w:hAnsi="Arial" w:cs="Arial"/>
          <w:color w:val="595959" w:themeColor="text1" w:themeTint="A6"/>
        </w:rPr>
        <w:t xml:space="preserve">ulture </w:t>
      </w:r>
      <w:r>
        <w:rPr>
          <w:rFonts w:ascii="Arial" w:hAnsi="Arial" w:cs="Arial"/>
          <w:color w:val="595959" w:themeColor="text1" w:themeTint="A6"/>
        </w:rPr>
        <w:t xml:space="preserve">of </w:t>
      </w:r>
      <w:r w:rsidR="006B7591">
        <w:rPr>
          <w:rFonts w:ascii="Arial" w:hAnsi="Arial" w:cs="Arial"/>
          <w:color w:val="595959" w:themeColor="text1" w:themeTint="A6"/>
        </w:rPr>
        <w:t>the</w:t>
      </w:r>
      <w:r>
        <w:rPr>
          <w:rFonts w:ascii="Arial" w:hAnsi="Arial" w:cs="Arial"/>
          <w:color w:val="595959" w:themeColor="text1" w:themeTint="A6"/>
        </w:rPr>
        <w:t xml:space="preserve"> </w:t>
      </w:r>
      <w:r w:rsidR="006B7591">
        <w:rPr>
          <w:rFonts w:ascii="Arial" w:hAnsi="Arial" w:cs="Arial"/>
          <w:color w:val="595959" w:themeColor="text1" w:themeTint="A6"/>
        </w:rPr>
        <w:t>models for longer than the 42 days</w:t>
      </w:r>
      <w:r w:rsidR="007F5AF6">
        <w:rPr>
          <w:rFonts w:ascii="Arial" w:hAnsi="Arial" w:cs="Arial"/>
          <w:color w:val="595959" w:themeColor="text1" w:themeTint="A6"/>
        </w:rPr>
        <w:t xml:space="preserve"> </w:t>
      </w:r>
      <w:r>
        <w:rPr>
          <w:rFonts w:ascii="Arial" w:hAnsi="Arial" w:cs="Arial"/>
          <w:color w:val="595959" w:themeColor="text1" w:themeTint="A6"/>
        </w:rPr>
        <w:t>tested here is highly pro</w:t>
      </w:r>
      <w:r w:rsidR="00E9764E">
        <w:rPr>
          <w:rFonts w:ascii="Arial" w:hAnsi="Arial" w:cs="Arial"/>
          <w:color w:val="595959" w:themeColor="text1" w:themeTint="A6"/>
        </w:rPr>
        <w:t xml:space="preserve">bable and could be beneficial to study </w:t>
      </w:r>
      <w:r w:rsidR="007F5AF6">
        <w:rPr>
          <w:rFonts w:ascii="Arial" w:hAnsi="Arial" w:cs="Arial"/>
          <w:color w:val="595959" w:themeColor="text1" w:themeTint="A6"/>
        </w:rPr>
        <w:t>longer-term changes such as invasion in disease progression paradigm</w:t>
      </w:r>
      <w:r w:rsidR="007237E8">
        <w:rPr>
          <w:rFonts w:ascii="Arial" w:hAnsi="Arial" w:cs="Arial"/>
          <w:color w:val="595959" w:themeColor="text1" w:themeTint="A6"/>
        </w:rPr>
        <w:t xml:space="preserve">- or repeat dosing </w:t>
      </w:r>
      <w:r w:rsidR="00602734">
        <w:rPr>
          <w:rFonts w:ascii="Arial" w:hAnsi="Arial" w:cs="Arial"/>
          <w:color w:val="595959" w:themeColor="text1" w:themeTint="A6"/>
        </w:rPr>
        <w:t>regimens</w:t>
      </w:r>
      <w:r w:rsidR="007F5AF6">
        <w:rPr>
          <w:rFonts w:ascii="Arial" w:hAnsi="Arial" w:cs="Arial"/>
          <w:color w:val="595959" w:themeColor="text1" w:themeTint="A6"/>
        </w:rPr>
        <w:t xml:space="preserve">. With the use of live-imaging microscopy, fluorescently labelling cancer cells and monitoring the invasion process into CAF-DM could provide more answers into the </w:t>
      </w:r>
      <w:r w:rsidR="009C4620">
        <w:rPr>
          <w:rFonts w:ascii="Arial" w:hAnsi="Arial" w:cs="Arial"/>
          <w:color w:val="595959" w:themeColor="text1" w:themeTint="A6"/>
        </w:rPr>
        <w:t xml:space="preserve">molecular </w:t>
      </w:r>
      <w:r w:rsidR="007F5AF6">
        <w:rPr>
          <w:rFonts w:ascii="Arial" w:hAnsi="Arial" w:cs="Arial"/>
          <w:color w:val="595959" w:themeColor="text1" w:themeTint="A6"/>
        </w:rPr>
        <w:t>mechanisms</w:t>
      </w:r>
      <w:r w:rsidR="009C4620">
        <w:rPr>
          <w:rFonts w:ascii="Arial" w:hAnsi="Arial" w:cs="Arial"/>
          <w:color w:val="595959" w:themeColor="text1" w:themeTint="A6"/>
        </w:rPr>
        <w:t xml:space="preserve"> underpinning this process in OSCC.</w:t>
      </w:r>
      <w:r w:rsidR="00B0502E" w:rsidRPr="00B0502E">
        <w:rPr>
          <w:rFonts w:ascii="Times" w:hAnsi="Times" w:cs="Times"/>
          <w:color w:val="222222"/>
          <w:sz w:val="26"/>
          <w:szCs w:val="26"/>
          <w:shd w:val="clear" w:color="auto" w:fill="FFFFFF"/>
        </w:rPr>
        <w:t xml:space="preserve"> </w:t>
      </w:r>
      <w:r w:rsidR="00B0502E" w:rsidRPr="00AA216E">
        <w:rPr>
          <w:rFonts w:ascii="Arial" w:hAnsi="Arial" w:cs="Arial"/>
          <w:color w:val="595959" w:themeColor="text1" w:themeTint="A6"/>
        </w:rPr>
        <w:t>Despite recent therapeutic developments (</w:t>
      </w:r>
      <w:hyperlink r:id="rId173" w:anchor="ref27" w:tooltip="Mao L, El-Naggar AK, Papadimitrakopoulou V, Shin DM, Shin HC, Fan Y, Zhou X, Clayman G, Lee JJ, Lee JS, Hittelman WN, Lippman SM, Hong WK (1998) Phenotype and genotype of advanced premalignant head and neck lesions after chemopreventive therapy. J Natl Cancer " w:history="1">
        <w:r w:rsidR="00B0502E" w:rsidRPr="00AA216E">
          <w:rPr>
            <w:rStyle w:val="Hyperlink"/>
            <w:rFonts w:ascii="Arial" w:hAnsi="Arial" w:cs="Arial"/>
            <w:color w:val="595959" w:themeColor="text1" w:themeTint="A6"/>
            <w:u w:val="none"/>
          </w:rPr>
          <w:t xml:space="preserve">Mao </w:t>
        </w:r>
        <w:r w:rsidR="00B0502E" w:rsidRPr="00B43DFB">
          <w:rPr>
            <w:rStyle w:val="Hyperlink"/>
            <w:rFonts w:ascii="Arial" w:hAnsi="Arial" w:cs="Arial"/>
            <w:i/>
            <w:iCs/>
            <w:color w:val="595959" w:themeColor="text1" w:themeTint="A6"/>
            <w:u w:val="none"/>
          </w:rPr>
          <w:t xml:space="preserve">et al, </w:t>
        </w:r>
        <w:r w:rsidR="00B0502E" w:rsidRPr="00AA216E">
          <w:rPr>
            <w:rStyle w:val="Hyperlink"/>
            <w:rFonts w:ascii="Arial" w:hAnsi="Arial" w:cs="Arial"/>
            <w:color w:val="595959" w:themeColor="text1" w:themeTint="A6"/>
            <w:u w:val="none"/>
          </w:rPr>
          <w:t>1998</w:t>
        </w:r>
      </w:hyperlink>
      <w:r w:rsidR="00B0502E" w:rsidRPr="00AA216E">
        <w:rPr>
          <w:rFonts w:ascii="Arial" w:hAnsi="Arial" w:cs="Arial"/>
          <w:color w:val="595959" w:themeColor="text1" w:themeTint="A6"/>
        </w:rPr>
        <w:t>; </w:t>
      </w:r>
      <w:hyperlink r:id="rId174" w:anchor="ref41" w:tooltip="Rudin CM, Cohen EE, Papadimitrakopoulou VA, Silverman Jr S, Recant W, El-Naggar AK, Stenson K, Lippman SM, Hong WK, Vokes EE (2003) An attenuated adenovirus, ONYX-015, as mouthwash therapy for premalignant oral dysplasia. J Clin Oncol 21: 4546–4552" w:history="1">
        <w:r w:rsidR="00B0502E" w:rsidRPr="00AA216E">
          <w:rPr>
            <w:rStyle w:val="Hyperlink"/>
            <w:rFonts w:ascii="Arial" w:hAnsi="Arial" w:cs="Arial"/>
            <w:color w:val="595959" w:themeColor="text1" w:themeTint="A6"/>
            <w:u w:val="none"/>
          </w:rPr>
          <w:t xml:space="preserve">Rudin </w:t>
        </w:r>
        <w:r w:rsidR="00B0502E" w:rsidRPr="00B43DFB">
          <w:rPr>
            <w:rStyle w:val="Hyperlink"/>
            <w:rFonts w:ascii="Arial" w:hAnsi="Arial" w:cs="Arial"/>
            <w:i/>
            <w:iCs/>
            <w:color w:val="595959" w:themeColor="text1" w:themeTint="A6"/>
            <w:u w:val="none"/>
          </w:rPr>
          <w:t>et al</w:t>
        </w:r>
        <w:r w:rsidR="00B43DFB" w:rsidRPr="00B43DFB">
          <w:rPr>
            <w:rStyle w:val="Hyperlink"/>
            <w:rFonts w:ascii="Arial" w:hAnsi="Arial" w:cs="Arial"/>
            <w:i/>
            <w:iCs/>
            <w:color w:val="595959" w:themeColor="text1" w:themeTint="A6"/>
            <w:u w:val="none"/>
          </w:rPr>
          <w:t>.</w:t>
        </w:r>
        <w:r w:rsidR="00B0502E" w:rsidRPr="00B43DFB">
          <w:rPr>
            <w:rStyle w:val="Hyperlink"/>
            <w:rFonts w:ascii="Arial" w:hAnsi="Arial" w:cs="Arial"/>
            <w:i/>
            <w:iCs/>
            <w:color w:val="595959" w:themeColor="text1" w:themeTint="A6"/>
            <w:u w:val="none"/>
          </w:rPr>
          <w:t>,</w:t>
        </w:r>
        <w:r w:rsidR="00B0502E" w:rsidRPr="00AA216E">
          <w:rPr>
            <w:rStyle w:val="Hyperlink"/>
            <w:rFonts w:ascii="Arial" w:hAnsi="Arial" w:cs="Arial"/>
            <w:color w:val="595959" w:themeColor="text1" w:themeTint="A6"/>
            <w:u w:val="none"/>
          </w:rPr>
          <w:t xml:space="preserve"> 2003</w:t>
        </w:r>
      </w:hyperlink>
      <w:r w:rsidR="00B0502E" w:rsidRPr="00AA216E">
        <w:rPr>
          <w:rFonts w:ascii="Arial" w:hAnsi="Arial" w:cs="Arial"/>
          <w:color w:val="595959" w:themeColor="text1" w:themeTint="A6"/>
        </w:rPr>
        <w:t>; </w:t>
      </w:r>
      <w:hyperlink r:id="rId175" w:anchor="ref40" w:tooltip="Rhee JC, Khuri FR, Shin DM (2004) Advances in chemoprevention of head and neck cancer. Oncologist 9: 302–311" w:history="1">
        <w:r w:rsidR="00B0502E" w:rsidRPr="00AA216E">
          <w:rPr>
            <w:rStyle w:val="Hyperlink"/>
            <w:rFonts w:ascii="Arial" w:hAnsi="Arial" w:cs="Arial"/>
            <w:color w:val="595959" w:themeColor="text1" w:themeTint="A6"/>
            <w:u w:val="none"/>
          </w:rPr>
          <w:t xml:space="preserve">Rhee </w:t>
        </w:r>
        <w:r w:rsidR="00B0502E" w:rsidRPr="00B43DFB">
          <w:rPr>
            <w:rStyle w:val="Hyperlink"/>
            <w:rFonts w:ascii="Arial" w:hAnsi="Arial" w:cs="Arial"/>
            <w:i/>
            <w:iCs/>
            <w:color w:val="595959" w:themeColor="text1" w:themeTint="A6"/>
            <w:u w:val="none"/>
          </w:rPr>
          <w:t xml:space="preserve">et al, </w:t>
        </w:r>
        <w:r w:rsidR="00B0502E" w:rsidRPr="00AA216E">
          <w:rPr>
            <w:rStyle w:val="Hyperlink"/>
            <w:rFonts w:ascii="Arial" w:hAnsi="Arial" w:cs="Arial"/>
            <w:color w:val="595959" w:themeColor="text1" w:themeTint="A6"/>
            <w:u w:val="none"/>
          </w:rPr>
          <w:t>2004</w:t>
        </w:r>
      </w:hyperlink>
      <w:r w:rsidR="00B0502E" w:rsidRPr="00AA216E">
        <w:rPr>
          <w:rFonts w:ascii="Arial" w:hAnsi="Arial" w:cs="Arial"/>
          <w:color w:val="595959" w:themeColor="text1" w:themeTint="A6"/>
        </w:rPr>
        <w:t xml:space="preserve">), there </w:t>
      </w:r>
      <w:r w:rsidR="00D33A28">
        <w:rPr>
          <w:rFonts w:ascii="Arial" w:hAnsi="Arial" w:cs="Arial"/>
          <w:color w:val="595959" w:themeColor="text1" w:themeTint="A6"/>
        </w:rPr>
        <w:t>are</w:t>
      </w:r>
      <w:r w:rsidR="00B0502E" w:rsidRPr="00AA216E">
        <w:rPr>
          <w:rFonts w:ascii="Arial" w:hAnsi="Arial" w:cs="Arial"/>
          <w:color w:val="595959" w:themeColor="text1" w:themeTint="A6"/>
        </w:rPr>
        <w:t xml:space="preserve"> currently no effective treatment for dysplasia.</w:t>
      </w:r>
      <w:r w:rsidR="009C4620" w:rsidRPr="00AA216E">
        <w:rPr>
          <w:rFonts w:ascii="Arial" w:hAnsi="Arial" w:cs="Arial"/>
          <w:color w:val="595959" w:themeColor="text1" w:themeTint="A6"/>
        </w:rPr>
        <w:t xml:space="preserve"> </w:t>
      </w:r>
      <w:r w:rsidR="006706E6" w:rsidRPr="00AA216E">
        <w:rPr>
          <w:rFonts w:ascii="Arial" w:hAnsi="Arial" w:cs="Arial"/>
          <w:color w:val="595959" w:themeColor="text1" w:themeTint="A6"/>
        </w:rPr>
        <w:t xml:space="preserve">Using the techniques described here, </w:t>
      </w:r>
      <w:r w:rsidR="009B1787" w:rsidRPr="00AA216E">
        <w:rPr>
          <w:rFonts w:ascii="Arial" w:hAnsi="Arial" w:cs="Arial"/>
          <w:color w:val="595959" w:themeColor="text1" w:themeTint="A6"/>
        </w:rPr>
        <w:t>i</w:t>
      </w:r>
      <w:r w:rsidR="009C4620" w:rsidRPr="00AA216E">
        <w:rPr>
          <w:rFonts w:ascii="Arial" w:hAnsi="Arial" w:cs="Arial"/>
          <w:color w:val="595959" w:themeColor="text1" w:themeTint="A6"/>
        </w:rPr>
        <w:t xml:space="preserve">t may also be possible to generate a model of dysplasia by combining a dysplastic fibroblast-derived matrix </w:t>
      </w:r>
      <w:r w:rsidR="009B1787" w:rsidRPr="00AA216E">
        <w:rPr>
          <w:rFonts w:ascii="Arial" w:hAnsi="Arial" w:cs="Arial"/>
          <w:color w:val="595959" w:themeColor="text1" w:themeTint="A6"/>
        </w:rPr>
        <w:t xml:space="preserve">with </w:t>
      </w:r>
      <w:r w:rsidR="009C4620" w:rsidRPr="00AA216E">
        <w:rPr>
          <w:rFonts w:ascii="Arial" w:hAnsi="Arial" w:cs="Arial"/>
          <w:color w:val="595959" w:themeColor="text1" w:themeTint="A6"/>
        </w:rPr>
        <w:t>dysplastic epithelial cells and assess this phenotype</w:t>
      </w:r>
      <w:r w:rsidR="00B01DDC" w:rsidRPr="00AA216E">
        <w:rPr>
          <w:rFonts w:ascii="Arial" w:hAnsi="Arial" w:cs="Arial"/>
          <w:color w:val="595959" w:themeColor="text1" w:themeTint="A6"/>
        </w:rPr>
        <w:t xml:space="preserve">. </w:t>
      </w:r>
      <w:r w:rsidR="004456F9" w:rsidRPr="00AA216E">
        <w:rPr>
          <w:rFonts w:ascii="Arial" w:hAnsi="Arial" w:cs="Arial"/>
          <w:color w:val="595959" w:themeColor="text1" w:themeTint="A6"/>
        </w:rPr>
        <w:t xml:space="preserve">This would </w:t>
      </w:r>
      <w:r w:rsidR="00532C76" w:rsidRPr="00AA216E">
        <w:rPr>
          <w:rFonts w:ascii="Arial" w:hAnsi="Arial" w:cs="Arial"/>
          <w:color w:val="595959" w:themeColor="text1" w:themeTint="A6"/>
        </w:rPr>
        <w:t xml:space="preserve">facilitate study of early </w:t>
      </w:r>
      <w:r w:rsidR="004456F9" w:rsidRPr="00AA216E">
        <w:rPr>
          <w:rFonts w:ascii="Arial" w:hAnsi="Arial" w:cs="Arial"/>
          <w:color w:val="595959" w:themeColor="text1" w:themeTint="A6"/>
        </w:rPr>
        <w:t xml:space="preserve">OSCC </w:t>
      </w:r>
      <w:r w:rsidR="00532C76" w:rsidRPr="00AA216E">
        <w:rPr>
          <w:rFonts w:ascii="Arial" w:hAnsi="Arial" w:cs="Arial"/>
          <w:color w:val="595959" w:themeColor="text1" w:themeTint="A6"/>
        </w:rPr>
        <w:t>invasion and tumour growth as well as facilitate final stage </w:t>
      </w:r>
      <w:r w:rsidR="00532C76" w:rsidRPr="00AA216E">
        <w:rPr>
          <w:rFonts w:ascii="Arial" w:hAnsi="Arial" w:cs="Arial"/>
          <w:i/>
          <w:iCs/>
          <w:color w:val="595959" w:themeColor="text1" w:themeTint="A6"/>
        </w:rPr>
        <w:t>in vitro</w:t>
      </w:r>
      <w:r w:rsidR="00532C76" w:rsidRPr="00AA216E">
        <w:rPr>
          <w:rFonts w:ascii="Arial" w:hAnsi="Arial" w:cs="Arial"/>
          <w:color w:val="595959" w:themeColor="text1" w:themeTint="A6"/>
        </w:rPr>
        <w:t> testing of new treatments, diagnostic tests and</w:t>
      </w:r>
      <w:r w:rsidR="00D33A28">
        <w:rPr>
          <w:rFonts w:ascii="Arial" w:hAnsi="Arial" w:cs="Arial"/>
          <w:color w:val="595959" w:themeColor="text1" w:themeTint="A6"/>
        </w:rPr>
        <w:t xml:space="preserve"> provide a</w:t>
      </w:r>
      <w:r w:rsidR="00532C76" w:rsidRPr="00AA216E">
        <w:rPr>
          <w:rFonts w:ascii="Arial" w:hAnsi="Arial" w:cs="Arial"/>
          <w:color w:val="595959" w:themeColor="text1" w:themeTint="A6"/>
        </w:rPr>
        <w:t xml:space="preserve"> drug delivery </w:t>
      </w:r>
      <w:r w:rsidR="004B254A">
        <w:rPr>
          <w:rFonts w:ascii="Arial" w:hAnsi="Arial" w:cs="Arial"/>
          <w:color w:val="595959" w:themeColor="text1" w:themeTint="A6"/>
        </w:rPr>
        <w:t xml:space="preserve">or screening </w:t>
      </w:r>
      <w:r w:rsidR="00532C76" w:rsidRPr="00AA216E">
        <w:rPr>
          <w:rFonts w:ascii="Arial" w:hAnsi="Arial" w:cs="Arial"/>
          <w:color w:val="595959" w:themeColor="text1" w:themeTint="A6"/>
        </w:rPr>
        <w:t>system for OSCC</w:t>
      </w:r>
      <w:r w:rsidR="00AA216E" w:rsidRPr="00AA216E">
        <w:rPr>
          <w:rFonts w:ascii="Arial" w:hAnsi="Arial" w:cs="Arial"/>
          <w:color w:val="595959" w:themeColor="text1" w:themeTint="A6"/>
        </w:rPr>
        <w:t xml:space="preserve"> (Colley </w:t>
      </w:r>
      <w:r w:rsidR="00AA216E" w:rsidRPr="00AA216E">
        <w:rPr>
          <w:rFonts w:ascii="Arial" w:hAnsi="Arial" w:cs="Arial"/>
          <w:i/>
          <w:iCs/>
          <w:color w:val="595959" w:themeColor="text1" w:themeTint="A6"/>
        </w:rPr>
        <w:t>et al.,</w:t>
      </w:r>
      <w:r w:rsidR="00AA216E" w:rsidRPr="00AA216E">
        <w:rPr>
          <w:rFonts w:ascii="Arial" w:hAnsi="Arial" w:cs="Arial"/>
          <w:color w:val="595959" w:themeColor="text1" w:themeTint="A6"/>
        </w:rPr>
        <w:t xml:space="preserve"> 2011)</w:t>
      </w:r>
      <w:r w:rsidR="00532C76" w:rsidRPr="00AA216E">
        <w:rPr>
          <w:rFonts w:ascii="Arial" w:hAnsi="Arial" w:cs="Arial"/>
          <w:color w:val="595959" w:themeColor="text1" w:themeTint="A6"/>
        </w:rPr>
        <w:t>.</w:t>
      </w:r>
    </w:p>
    <w:p w14:paraId="2F1540F1" w14:textId="1A5344AD" w:rsidR="00F311FA" w:rsidRPr="00F311FA" w:rsidRDefault="00F311FA" w:rsidP="00F311FA">
      <w:pPr>
        <w:tabs>
          <w:tab w:val="left" w:pos="1058"/>
        </w:tabs>
        <w:spacing w:line="480" w:lineRule="auto"/>
        <w:jc w:val="both"/>
        <w:rPr>
          <w:rFonts w:ascii="Arial" w:hAnsi="Arial" w:cs="Arial"/>
          <w:color w:val="595959" w:themeColor="text1" w:themeTint="A6"/>
        </w:rPr>
      </w:pPr>
      <w:r w:rsidRPr="00F311FA">
        <w:rPr>
          <w:rFonts w:ascii="Arial" w:hAnsi="Arial" w:cs="Arial"/>
          <w:color w:val="595959" w:themeColor="text1" w:themeTint="A6"/>
        </w:rPr>
        <w:t xml:space="preserve">There are three requirements that are necessary to engineer human tissue, the first being co-localisation of different cell types with cell-cell interactions and the exchange of growth factors and biological effectors. The second being the development of native ECM to provide a functional 3D scaffold for appropriate mechanical stability of tissue and the capability to regulate cell function. The final requirement is the synthesis of interstitial fluid containing the appropriate nutrients and biological molecules required for tissue nourishment.  The latter requirement has not been recapitulated in the models developed here. Future work could investigate the effects of interstitial fluid flow (mechanical stress- fluid stress) on the tissue maturation and how this could impact stromal cells within the ECM component, specifically because </w:t>
      </w:r>
      <w:r w:rsidR="00CC23A6">
        <w:rPr>
          <w:rFonts w:ascii="Arial" w:hAnsi="Arial" w:cs="Arial"/>
          <w:color w:val="595959" w:themeColor="text1" w:themeTint="A6"/>
        </w:rPr>
        <w:t xml:space="preserve">an altered mechanical environment is a powerful regulator of tumour progression (Walker </w:t>
      </w:r>
      <w:r w:rsidR="00CC23A6" w:rsidRPr="00CC23A6">
        <w:rPr>
          <w:rFonts w:ascii="Arial" w:hAnsi="Arial" w:cs="Arial"/>
          <w:i/>
          <w:iCs/>
          <w:color w:val="595959" w:themeColor="text1" w:themeTint="A6"/>
        </w:rPr>
        <w:t>et al.,</w:t>
      </w:r>
      <w:r w:rsidR="00CC23A6">
        <w:rPr>
          <w:rFonts w:ascii="Arial" w:hAnsi="Arial" w:cs="Arial"/>
          <w:color w:val="595959" w:themeColor="text1" w:themeTint="A6"/>
        </w:rPr>
        <w:t xml:space="preserve"> 2018</w:t>
      </w:r>
      <w:r w:rsidR="009C4620">
        <w:rPr>
          <w:rFonts w:ascii="Arial" w:hAnsi="Arial" w:cs="Arial"/>
          <w:color w:val="595959" w:themeColor="text1" w:themeTint="A6"/>
        </w:rPr>
        <w:t xml:space="preserve">, </w:t>
      </w:r>
      <w:r w:rsidR="009C4620">
        <w:rPr>
          <w:rFonts w:ascii="Arial" w:hAnsi="Arial" w:cs="Arial"/>
          <w:iCs/>
          <w:color w:val="595959" w:themeColor="text1" w:themeTint="A6"/>
        </w:rPr>
        <w:t xml:space="preserve">Nithiananthan </w:t>
      </w:r>
      <w:r w:rsidR="009C4620" w:rsidRPr="009C4620">
        <w:rPr>
          <w:rFonts w:ascii="Arial" w:hAnsi="Arial" w:cs="Arial"/>
          <w:i/>
          <w:color w:val="595959" w:themeColor="text1" w:themeTint="A6"/>
        </w:rPr>
        <w:t>et al.,</w:t>
      </w:r>
      <w:r w:rsidR="009C4620">
        <w:rPr>
          <w:rFonts w:ascii="Arial" w:hAnsi="Arial" w:cs="Arial"/>
          <w:iCs/>
          <w:color w:val="595959" w:themeColor="text1" w:themeTint="A6"/>
        </w:rPr>
        <w:t xml:space="preserve"> 201</w:t>
      </w:r>
      <w:r w:rsidR="00CA3AD4">
        <w:rPr>
          <w:rFonts w:ascii="Arial" w:hAnsi="Arial" w:cs="Arial"/>
          <w:iCs/>
          <w:color w:val="595959" w:themeColor="text1" w:themeTint="A6"/>
        </w:rPr>
        <w:t>7</w:t>
      </w:r>
      <w:r w:rsidR="00CC23A6">
        <w:rPr>
          <w:rFonts w:ascii="Arial" w:hAnsi="Arial" w:cs="Arial"/>
          <w:color w:val="595959" w:themeColor="text1" w:themeTint="A6"/>
        </w:rPr>
        <w:t xml:space="preserve">). </w:t>
      </w:r>
    </w:p>
    <w:p w14:paraId="5D692E8C" w14:textId="78B05C18" w:rsidR="00F311FA" w:rsidRPr="00F311FA" w:rsidRDefault="009A17E0" w:rsidP="00F311FA">
      <w:pPr>
        <w:tabs>
          <w:tab w:val="left" w:pos="1058"/>
        </w:tabs>
        <w:spacing w:line="480" w:lineRule="auto"/>
        <w:jc w:val="both"/>
        <w:rPr>
          <w:rFonts w:ascii="Arial" w:hAnsi="Arial" w:cs="Arial"/>
          <w:color w:val="595959" w:themeColor="text1" w:themeTint="A6"/>
        </w:rPr>
      </w:pPr>
      <w:r>
        <w:rPr>
          <w:rFonts w:ascii="Arial" w:hAnsi="Arial" w:cs="Arial"/>
          <w:color w:val="595959" w:themeColor="text1" w:themeTint="A6"/>
        </w:rPr>
        <w:t>Finally, a</w:t>
      </w:r>
      <w:r w:rsidR="00F311FA" w:rsidRPr="00F311FA">
        <w:rPr>
          <w:rFonts w:ascii="Arial" w:hAnsi="Arial" w:cs="Arial"/>
          <w:color w:val="595959" w:themeColor="text1" w:themeTint="A6"/>
        </w:rPr>
        <w:t xml:space="preserve"> major challenge for future work </w:t>
      </w:r>
      <w:r w:rsidR="009C4620">
        <w:rPr>
          <w:rFonts w:ascii="Arial" w:hAnsi="Arial" w:cs="Arial"/>
          <w:color w:val="595959" w:themeColor="text1" w:themeTint="A6"/>
        </w:rPr>
        <w:t xml:space="preserve">utilising these models </w:t>
      </w:r>
      <w:r w:rsidR="00F311FA" w:rsidRPr="00F311FA">
        <w:rPr>
          <w:rFonts w:ascii="Arial" w:hAnsi="Arial" w:cs="Arial"/>
          <w:color w:val="595959" w:themeColor="text1" w:themeTint="A6"/>
        </w:rPr>
        <w:t xml:space="preserve">will be to </w:t>
      </w:r>
      <w:r w:rsidR="009C4620">
        <w:rPr>
          <w:rFonts w:ascii="Arial" w:hAnsi="Arial" w:cs="Arial"/>
          <w:color w:val="595959" w:themeColor="text1" w:themeTint="A6"/>
        </w:rPr>
        <w:t xml:space="preserve">fully </w:t>
      </w:r>
      <w:r w:rsidR="00F311FA" w:rsidRPr="00F311FA">
        <w:rPr>
          <w:rFonts w:ascii="Arial" w:hAnsi="Arial" w:cs="Arial"/>
          <w:color w:val="595959" w:themeColor="text1" w:themeTint="A6"/>
        </w:rPr>
        <w:t>elucidate the molecular functions underpin</w:t>
      </w:r>
      <w:r w:rsidR="009C4620">
        <w:rPr>
          <w:rFonts w:ascii="Arial" w:hAnsi="Arial" w:cs="Arial"/>
          <w:color w:val="595959" w:themeColor="text1" w:themeTint="A6"/>
        </w:rPr>
        <w:t>ning</w:t>
      </w:r>
      <w:r w:rsidR="00F311FA" w:rsidRPr="00F311FA">
        <w:rPr>
          <w:rFonts w:ascii="Arial" w:hAnsi="Arial" w:cs="Arial"/>
          <w:color w:val="595959" w:themeColor="text1" w:themeTint="A6"/>
        </w:rPr>
        <w:t xml:space="preserve"> the processes by which th</w:t>
      </w:r>
      <w:r w:rsidR="004C43B4">
        <w:rPr>
          <w:rFonts w:ascii="Arial" w:hAnsi="Arial" w:cs="Arial"/>
          <w:color w:val="595959" w:themeColor="text1" w:themeTint="A6"/>
        </w:rPr>
        <w:t>e CAF:</w:t>
      </w:r>
      <w:r w:rsidR="00F311FA" w:rsidRPr="00F311FA">
        <w:rPr>
          <w:rFonts w:ascii="Arial" w:hAnsi="Arial" w:cs="Arial"/>
          <w:color w:val="595959" w:themeColor="text1" w:themeTint="A6"/>
        </w:rPr>
        <w:t xml:space="preserve"> ECM</w:t>
      </w:r>
      <w:r w:rsidR="004C43B4">
        <w:rPr>
          <w:rFonts w:ascii="Arial" w:hAnsi="Arial" w:cs="Arial"/>
          <w:color w:val="595959" w:themeColor="text1" w:themeTint="A6"/>
        </w:rPr>
        <w:t xml:space="preserve"> interactions</w:t>
      </w:r>
      <w:r w:rsidR="00F311FA" w:rsidRPr="00F311FA">
        <w:rPr>
          <w:rFonts w:ascii="Arial" w:hAnsi="Arial" w:cs="Arial"/>
          <w:color w:val="595959" w:themeColor="text1" w:themeTint="A6"/>
        </w:rPr>
        <w:t xml:space="preserve"> alters with a disease phenotype; whether this involves receptor signalling, alterations in gene expression</w:t>
      </w:r>
      <w:r w:rsidR="009C4620">
        <w:rPr>
          <w:rFonts w:ascii="Arial" w:hAnsi="Arial" w:cs="Arial"/>
          <w:color w:val="595959" w:themeColor="text1" w:themeTint="A6"/>
        </w:rPr>
        <w:t>, including understanding CAF transcriptomics</w:t>
      </w:r>
      <w:r w:rsidR="00F311FA" w:rsidRPr="00F311FA">
        <w:rPr>
          <w:rFonts w:ascii="Arial" w:hAnsi="Arial" w:cs="Arial"/>
          <w:color w:val="595959" w:themeColor="text1" w:themeTint="A6"/>
        </w:rPr>
        <w:t>,</w:t>
      </w:r>
      <w:r w:rsidR="009C4620">
        <w:rPr>
          <w:rFonts w:ascii="Arial" w:hAnsi="Arial" w:cs="Arial"/>
          <w:color w:val="595959" w:themeColor="text1" w:themeTint="A6"/>
        </w:rPr>
        <w:t xml:space="preserve"> </w:t>
      </w:r>
      <w:r w:rsidR="00253E7E">
        <w:rPr>
          <w:rFonts w:ascii="Arial" w:hAnsi="Arial" w:cs="Arial"/>
          <w:color w:val="595959" w:themeColor="text1" w:themeTint="A6"/>
        </w:rPr>
        <w:t xml:space="preserve">or </w:t>
      </w:r>
      <w:r w:rsidR="009C4620">
        <w:rPr>
          <w:rFonts w:ascii="Arial" w:hAnsi="Arial" w:cs="Arial"/>
          <w:color w:val="595959" w:themeColor="text1" w:themeTint="A6"/>
        </w:rPr>
        <w:t>the</w:t>
      </w:r>
      <w:r w:rsidR="00F311FA" w:rsidRPr="00F311FA">
        <w:rPr>
          <w:rFonts w:ascii="Arial" w:hAnsi="Arial" w:cs="Arial"/>
          <w:color w:val="595959" w:themeColor="text1" w:themeTint="A6"/>
        </w:rPr>
        <w:t xml:space="preserve"> </w:t>
      </w:r>
      <w:r w:rsidR="004C43B4">
        <w:rPr>
          <w:rFonts w:ascii="Arial" w:hAnsi="Arial" w:cs="Arial"/>
          <w:color w:val="595959" w:themeColor="text1" w:themeTint="A6"/>
        </w:rPr>
        <w:t xml:space="preserve">release of extracellular vesicles </w:t>
      </w:r>
      <w:r w:rsidR="00C1065E">
        <w:rPr>
          <w:rFonts w:ascii="Arial" w:hAnsi="Arial" w:cs="Arial"/>
          <w:color w:val="595959" w:themeColor="text1" w:themeTint="A6"/>
        </w:rPr>
        <w:t xml:space="preserve">which can provide a more in depth understanding of the formation of pre-metastatic niches </w:t>
      </w:r>
      <w:r w:rsidR="004C43B4">
        <w:rPr>
          <w:rFonts w:ascii="Arial" w:hAnsi="Arial" w:cs="Arial"/>
          <w:color w:val="595959" w:themeColor="text1" w:themeTint="A6"/>
        </w:rPr>
        <w:t xml:space="preserve">(Dourado </w:t>
      </w:r>
      <w:r w:rsidR="004C43B4" w:rsidRPr="004C43B4">
        <w:rPr>
          <w:rFonts w:ascii="Arial" w:hAnsi="Arial" w:cs="Arial"/>
          <w:i/>
          <w:iCs/>
          <w:color w:val="595959" w:themeColor="text1" w:themeTint="A6"/>
        </w:rPr>
        <w:t>et al.,</w:t>
      </w:r>
      <w:r w:rsidR="004C43B4">
        <w:rPr>
          <w:rFonts w:ascii="Arial" w:hAnsi="Arial" w:cs="Arial"/>
          <w:color w:val="595959" w:themeColor="text1" w:themeTint="A6"/>
        </w:rPr>
        <w:t xml:space="preserve"> 2019) </w:t>
      </w:r>
      <w:r w:rsidR="00F311FA" w:rsidRPr="00F311FA">
        <w:rPr>
          <w:rFonts w:ascii="Arial" w:hAnsi="Arial" w:cs="Arial"/>
          <w:color w:val="595959" w:themeColor="text1" w:themeTint="A6"/>
        </w:rPr>
        <w:t xml:space="preserve">architectural and structural rearrangements or effects on cellular behaviour or all of the above. </w:t>
      </w:r>
    </w:p>
    <w:p w14:paraId="272B9843" w14:textId="73A0A0E5" w:rsidR="00F311FA" w:rsidRDefault="006033F8" w:rsidP="00061B71">
      <w:pPr>
        <w:pStyle w:val="Heading2"/>
        <w:rPr>
          <w:rFonts w:ascii="Arial" w:hAnsi="Arial" w:cs="Arial"/>
          <w:color w:val="595959" w:themeColor="text1" w:themeTint="A6"/>
          <w:sz w:val="22"/>
          <w:szCs w:val="22"/>
        </w:rPr>
      </w:pPr>
      <w:bookmarkStart w:id="501" w:name="_Toc34208488"/>
      <w:r w:rsidRPr="00061B71">
        <w:rPr>
          <w:rFonts w:ascii="Arial" w:hAnsi="Arial" w:cs="Arial"/>
          <w:color w:val="595959" w:themeColor="text1" w:themeTint="A6"/>
          <w:sz w:val="22"/>
          <w:szCs w:val="22"/>
        </w:rPr>
        <w:t>6</w:t>
      </w:r>
      <w:r w:rsidR="00F311FA" w:rsidRPr="00061B71">
        <w:rPr>
          <w:rFonts w:ascii="Arial" w:hAnsi="Arial" w:cs="Arial"/>
          <w:color w:val="595959" w:themeColor="text1" w:themeTint="A6"/>
          <w:sz w:val="22"/>
          <w:szCs w:val="22"/>
        </w:rPr>
        <w:t>.</w:t>
      </w:r>
      <w:r w:rsidR="002316C5" w:rsidRPr="00061B71">
        <w:rPr>
          <w:rFonts w:ascii="Arial" w:hAnsi="Arial" w:cs="Arial"/>
          <w:color w:val="595959" w:themeColor="text1" w:themeTint="A6"/>
          <w:sz w:val="22"/>
          <w:szCs w:val="22"/>
        </w:rPr>
        <w:t>7</w:t>
      </w:r>
      <w:r w:rsidR="00F311FA" w:rsidRPr="00061B71">
        <w:rPr>
          <w:rFonts w:ascii="Arial" w:hAnsi="Arial" w:cs="Arial"/>
          <w:color w:val="595959" w:themeColor="text1" w:themeTint="A6"/>
          <w:sz w:val="22"/>
          <w:szCs w:val="22"/>
        </w:rPr>
        <w:t xml:space="preserve"> Clinical significance</w:t>
      </w:r>
      <w:bookmarkEnd w:id="501"/>
      <w:r w:rsidR="00F311FA" w:rsidRPr="00061B71">
        <w:rPr>
          <w:rFonts w:ascii="Arial" w:hAnsi="Arial" w:cs="Arial"/>
          <w:color w:val="595959" w:themeColor="text1" w:themeTint="A6"/>
          <w:sz w:val="22"/>
          <w:szCs w:val="22"/>
        </w:rPr>
        <w:t xml:space="preserve"> </w:t>
      </w:r>
    </w:p>
    <w:p w14:paraId="7449651A" w14:textId="77777777" w:rsidR="00061B71" w:rsidRPr="00061B71" w:rsidRDefault="00061B71" w:rsidP="00061B71"/>
    <w:p w14:paraId="3ECF4B04" w14:textId="705C3701" w:rsidR="009C4620" w:rsidRDefault="00F311FA" w:rsidP="00F311FA">
      <w:pPr>
        <w:tabs>
          <w:tab w:val="left" w:pos="1058"/>
        </w:tabs>
        <w:spacing w:line="480" w:lineRule="auto"/>
        <w:jc w:val="both"/>
        <w:rPr>
          <w:rFonts w:ascii="Arial" w:hAnsi="Arial" w:cs="Arial"/>
          <w:color w:val="595959" w:themeColor="text1" w:themeTint="A6"/>
        </w:rPr>
      </w:pPr>
      <w:r w:rsidRPr="00F311FA">
        <w:rPr>
          <w:rFonts w:ascii="Arial" w:hAnsi="Arial" w:cs="Arial"/>
          <w:color w:val="595959" w:themeColor="text1" w:themeTint="A6"/>
        </w:rPr>
        <w:t>Translation of the use of such models for improvements to clinical applications, could involve underpinning aberrant ECM signatures</w:t>
      </w:r>
      <w:r w:rsidR="00956769">
        <w:rPr>
          <w:rFonts w:ascii="Arial" w:hAnsi="Arial" w:cs="Arial"/>
          <w:color w:val="595959" w:themeColor="text1" w:themeTint="A6"/>
        </w:rPr>
        <w:t xml:space="preserve"> for either diagnostic or prognostic </w:t>
      </w:r>
      <w:r w:rsidR="00985666">
        <w:rPr>
          <w:rFonts w:ascii="Arial" w:hAnsi="Arial" w:cs="Arial"/>
          <w:color w:val="595959" w:themeColor="text1" w:themeTint="A6"/>
        </w:rPr>
        <w:t xml:space="preserve">purposes in the treatment of OSCC. It is not routine to use many well-established markers </w:t>
      </w:r>
      <w:r w:rsidR="00C97DD6">
        <w:rPr>
          <w:rFonts w:ascii="Arial" w:hAnsi="Arial" w:cs="Arial"/>
          <w:color w:val="595959" w:themeColor="text1" w:themeTint="A6"/>
        </w:rPr>
        <w:t>to detect</w:t>
      </w:r>
      <w:r w:rsidR="00985666">
        <w:rPr>
          <w:rFonts w:ascii="Arial" w:hAnsi="Arial" w:cs="Arial"/>
          <w:color w:val="595959" w:themeColor="text1" w:themeTint="A6"/>
        </w:rPr>
        <w:t xml:space="preserve"> aberrant stromal behaviour to assist for pathological examination. However, these could be invaluable in the further understanding of </w:t>
      </w:r>
      <w:r w:rsidR="00C97DD6">
        <w:rPr>
          <w:rFonts w:ascii="Arial" w:hAnsi="Arial" w:cs="Arial"/>
          <w:color w:val="595959" w:themeColor="text1" w:themeTint="A6"/>
        </w:rPr>
        <w:t>anomalous</w:t>
      </w:r>
      <w:r w:rsidR="00985666">
        <w:rPr>
          <w:rFonts w:ascii="Arial" w:hAnsi="Arial" w:cs="Arial"/>
          <w:color w:val="595959" w:themeColor="text1" w:themeTint="A6"/>
        </w:rPr>
        <w:t xml:space="preserve"> changes in transitions of early dysplasia to malignancy.  Identifying novel molecular signatures could help decipher this process further, and this emphasises the use of more human</w:t>
      </w:r>
      <w:r w:rsidR="00C97DD6">
        <w:rPr>
          <w:rFonts w:ascii="Arial" w:hAnsi="Arial" w:cs="Arial"/>
          <w:color w:val="595959" w:themeColor="text1" w:themeTint="A6"/>
        </w:rPr>
        <w:t>ised OSCC</w:t>
      </w:r>
      <w:r w:rsidR="00985666">
        <w:rPr>
          <w:rFonts w:ascii="Arial" w:hAnsi="Arial" w:cs="Arial"/>
          <w:color w:val="595959" w:themeColor="text1" w:themeTint="A6"/>
        </w:rPr>
        <w:t xml:space="preserve"> tumour: ECM models to recapitulate this process. Further to this, there is a </w:t>
      </w:r>
      <w:r w:rsidR="00956769" w:rsidRPr="00F311FA">
        <w:rPr>
          <w:rFonts w:ascii="Arial" w:hAnsi="Arial" w:cs="Arial"/>
          <w:color w:val="595959" w:themeColor="text1" w:themeTint="A6"/>
        </w:rPr>
        <w:t>need for quantitative and physiologically relevant cellular systems in the drug-screening process</w:t>
      </w:r>
      <w:r w:rsidR="00985666">
        <w:rPr>
          <w:rFonts w:ascii="Arial" w:hAnsi="Arial" w:cs="Arial"/>
          <w:color w:val="595959" w:themeColor="text1" w:themeTint="A6"/>
        </w:rPr>
        <w:t xml:space="preserve">, particularly for oral cancer, where 60% </w:t>
      </w:r>
      <w:r w:rsidR="00C97DD6">
        <w:rPr>
          <w:rFonts w:ascii="Arial" w:hAnsi="Arial" w:cs="Arial"/>
          <w:color w:val="595959" w:themeColor="text1" w:themeTint="A6"/>
        </w:rPr>
        <w:t xml:space="preserve">of patients present late stage and treatment options </w:t>
      </w:r>
      <w:r w:rsidR="00C97DD6" w:rsidRPr="00CB4BB9">
        <w:rPr>
          <w:rFonts w:ascii="Arial" w:hAnsi="Arial" w:cs="Arial"/>
          <w:color w:val="595959" w:themeColor="text1" w:themeTint="A6"/>
        </w:rPr>
        <w:t>are limited</w:t>
      </w:r>
      <w:r w:rsidR="00730376" w:rsidRPr="00CB4BB9">
        <w:rPr>
          <w:rFonts w:ascii="Arial" w:hAnsi="Arial" w:cs="Arial"/>
          <w:color w:val="595959" w:themeColor="text1" w:themeTint="A6"/>
        </w:rPr>
        <w:t xml:space="preserve"> (</w:t>
      </w:r>
      <w:r w:rsidR="00CA3AD4" w:rsidRPr="00CB4BB9">
        <w:rPr>
          <w:rFonts w:ascii="Arial" w:hAnsi="Arial" w:cs="Arial"/>
          <w:color w:val="595959" w:themeColor="text1" w:themeTint="A6"/>
        </w:rPr>
        <w:t xml:space="preserve">Centelles </w:t>
      </w:r>
      <w:r w:rsidR="00CA3AD4" w:rsidRPr="00CB4BB9">
        <w:rPr>
          <w:rFonts w:ascii="Arial" w:hAnsi="Arial" w:cs="Arial"/>
          <w:i/>
          <w:iCs/>
          <w:color w:val="595959" w:themeColor="text1" w:themeTint="A6"/>
        </w:rPr>
        <w:t>et al.,</w:t>
      </w:r>
      <w:r w:rsidR="00CA3AD4" w:rsidRPr="00CB4BB9">
        <w:rPr>
          <w:rFonts w:ascii="Arial" w:hAnsi="Arial" w:cs="Arial"/>
          <w:color w:val="595959" w:themeColor="text1" w:themeTint="A6"/>
        </w:rPr>
        <w:t xml:space="preserve"> 2012</w:t>
      </w:r>
      <w:r w:rsidR="00730376" w:rsidRPr="00CB4BB9">
        <w:rPr>
          <w:rFonts w:ascii="Arial" w:hAnsi="Arial" w:cs="Arial"/>
          <w:color w:val="595959" w:themeColor="text1" w:themeTint="A6"/>
        </w:rPr>
        <w:t>)</w:t>
      </w:r>
      <w:r w:rsidR="00956769" w:rsidRPr="00CB4BB9">
        <w:rPr>
          <w:rFonts w:ascii="Arial" w:hAnsi="Arial" w:cs="Arial"/>
          <w:color w:val="595959" w:themeColor="text1" w:themeTint="A6"/>
        </w:rPr>
        <w:t xml:space="preserve">. </w:t>
      </w:r>
      <w:r w:rsidR="00C97DD6" w:rsidRPr="00CB4BB9">
        <w:rPr>
          <w:rFonts w:ascii="Arial" w:hAnsi="Arial" w:cs="Arial"/>
          <w:color w:val="595959" w:themeColor="text1" w:themeTint="A6"/>
        </w:rPr>
        <w:t xml:space="preserve">The </w:t>
      </w:r>
      <w:r w:rsidR="00C97DD6">
        <w:rPr>
          <w:rFonts w:ascii="Arial" w:hAnsi="Arial" w:cs="Arial"/>
          <w:color w:val="595959" w:themeColor="text1" w:themeTint="A6"/>
        </w:rPr>
        <w:t xml:space="preserve">use of these models could help in testing novel compounds that target OSCC and further test </w:t>
      </w:r>
      <w:r w:rsidRPr="00F311FA">
        <w:rPr>
          <w:rFonts w:ascii="Arial" w:hAnsi="Arial" w:cs="Arial"/>
          <w:color w:val="595959" w:themeColor="text1" w:themeTint="A6"/>
        </w:rPr>
        <w:t>response</w:t>
      </w:r>
      <w:r w:rsidR="00C97DD6">
        <w:rPr>
          <w:rFonts w:ascii="Arial" w:hAnsi="Arial" w:cs="Arial"/>
          <w:color w:val="595959" w:themeColor="text1" w:themeTint="A6"/>
        </w:rPr>
        <w:t>s</w:t>
      </w:r>
      <w:r w:rsidRPr="00F311FA">
        <w:rPr>
          <w:rFonts w:ascii="Arial" w:hAnsi="Arial" w:cs="Arial"/>
          <w:color w:val="595959" w:themeColor="text1" w:themeTint="A6"/>
        </w:rPr>
        <w:t xml:space="preserve"> to </w:t>
      </w:r>
      <w:r w:rsidR="009C4620">
        <w:rPr>
          <w:rFonts w:ascii="Arial" w:hAnsi="Arial" w:cs="Arial"/>
          <w:color w:val="595959" w:themeColor="text1" w:themeTint="A6"/>
        </w:rPr>
        <w:t xml:space="preserve">current </w:t>
      </w:r>
      <w:r w:rsidRPr="00F311FA">
        <w:rPr>
          <w:rFonts w:ascii="Arial" w:hAnsi="Arial" w:cs="Arial"/>
          <w:color w:val="595959" w:themeColor="text1" w:themeTint="A6"/>
        </w:rPr>
        <w:t>therapies in a more physiologically relevant way</w:t>
      </w:r>
      <w:r w:rsidR="00F43B94">
        <w:rPr>
          <w:rFonts w:ascii="Arial" w:hAnsi="Arial" w:cs="Arial"/>
          <w:color w:val="595959" w:themeColor="text1" w:themeTint="A6"/>
        </w:rPr>
        <w:t xml:space="preserve"> (Egebald </w:t>
      </w:r>
      <w:r w:rsidR="00F43B94" w:rsidRPr="00F43B94">
        <w:rPr>
          <w:rFonts w:ascii="Arial" w:hAnsi="Arial" w:cs="Arial"/>
          <w:i/>
          <w:iCs/>
          <w:color w:val="595959" w:themeColor="text1" w:themeTint="A6"/>
        </w:rPr>
        <w:t>et al.,</w:t>
      </w:r>
      <w:r w:rsidR="00F43B94">
        <w:rPr>
          <w:rFonts w:ascii="Arial" w:hAnsi="Arial" w:cs="Arial"/>
          <w:color w:val="595959" w:themeColor="text1" w:themeTint="A6"/>
        </w:rPr>
        <w:t xml:space="preserve"> 2010)</w:t>
      </w:r>
      <w:r w:rsidRPr="00F311FA">
        <w:rPr>
          <w:rFonts w:ascii="Arial" w:hAnsi="Arial" w:cs="Arial"/>
          <w:color w:val="595959" w:themeColor="text1" w:themeTint="A6"/>
        </w:rPr>
        <w:t>.</w:t>
      </w:r>
    </w:p>
    <w:p w14:paraId="501A4F27" w14:textId="2F82E31B" w:rsidR="00E634AC" w:rsidRDefault="00E634AC" w:rsidP="00061B71">
      <w:pPr>
        <w:pStyle w:val="Heading2"/>
        <w:rPr>
          <w:rFonts w:ascii="Arial" w:hAnsi="Arial" w:cs="Arial"/>
          <w:color w:val="595959" w:themeColor="text1" w:themeTint="A6"/>
          <w:sz w:val="22"/>
          <w:szCs w:val="22"/>
        </w:rPr>
      </w:pPr>
      <w:bookmarkStart w:id="502" w:name="_Toc34208489"/>
      <w:r w:rsidRPr="00B50409">
        <w:rPr>
          <w:rFonts w:ascii="Arial" w:hAnsi="Arial" w:cs="Arial"/>
          <w:color w:val="595959" w:themeColor="text1" w:themeTint="A6"/>
          <w:sz w:val="22"/>
          <w:szCs w:val="22"/>
        </w:rPr>
        <w:t>6.</w:t>
      </w:r>
      <w:r w:rsidR="002316C5">
        <w:rPr>
          <w:rFonts w:ascii="Arial" w:hAnsi="Arial" w:cs="Arial"/>
          <w:color w:val="595959" w:themeColor="text1" w:themeTint="A6"/>
          <w:sz w:val="22"/>
          <w:szCs w:val="22"/>
        </w:rPr>
        <w:t>8</w:t>
      </w:r>
      <w:r w:rsidRPr="00B50409">
        <w:rPr>
          <w:rFonts w:ascii="Arial" w:hAnsi="Arial" w:cs="Arial"/>
          <w:color w:val="595959" w:themeColor="text1" w:themeTint="A6"/>
          <w:sz w:val="22"/>
          <w:szCs w:val="22"/>
        </w:rPr>
        <w:t xml:space="preserve"> Conclusion</w:t>
      </w:r>
      <w:bookmarkEnd w:id="502"/>
      <w:r w:rsidRPr="00B50409">
        <w:rPr>
          <w:rFonts w:ascii="Arial" w:hAnsi="Arial" w:cs="Arial"/>
          <w:color w:val="595959" w:themeColor="text1" w:themeTint="A6"/>
          <w:sz w:val="22"/>
          <w:szCs w:val="22"/>
        </w:rPr>
        <w:t xml:space="preserve"> </w:t>
      </w:r>
    </w:p>
    <w:p w14:paraId="78E5105E" w14:textId="77777777" w:rsidR="00B50409" w:rsidRPr="00B50409" w:rsidRDefault="00B50409" w:rsidP="00B50409"/>
    <w:p w14:paraId="37B51341" w14:textId="77777777" w:rsidR="00CA3AD4" w:rsidRDefault="00C97DD6" w:rsidP="00F311FA">
      <w:pPr>
        <w:tabs>
          <w:tab w:val="left" w:pos="1058"/>
        </w:tabs>
        <w:spacing w:line="480" w:lineRule="auto"/>
        <w:jc w:val="both"/>
        <w:rPr>
          <w:rFonts w:ascii="Arial" w:hAnsi="Arial" w:cs="Arial"/>
          <w:color w:val="595959" w:themeColor="text1" w:themeTint="A6"/>
        </w:rPr>
      </w:pPr>
      <w:r>
        <w:rPr>
          <w:rFonts w:ascii="Arial" w:hAnsi="Arial" w:cs="Arial"/>
          <w:color w:val="595959" w:themeColor="text1" w:themeTint="A6"/>
        </w:rPr>
        <w:t>In conclusion</w:t>
      </w:r>
      <w:r w:rsidR="00F311FA" w:rsidRPr="00F311FA">
        <w:rPr>
          <w:rFonts w:ascii="Arial" w:hAnsi="Arial" w:cs="Arial"/>
          <w:color w:val="595959" w:themeColor="text1" w:themeTint="A6"/>
        </w:rPr>
        <w:t xml:space="preserve">, the initial understanding of cancer </w:t>
      </w:r>
      <w:r w:rsidR="00C14D79">
        <w:rPr>
          <w:rFonts w:ascii="Arial" w:hAnsi="Arial" w:cs="Arial"/>
          <w:color w:val="595959" w:themeColor="text1" w:themeTint="A6"/>
        </w:rPr>
        <w:t>wa</w:t>
      </w:r>
      <w:r w:rsidR="00F311FA" w:rsidRPr="00F311FA">
        <w:rPr>
          <w:rFonts w:ascii="Arial" w:hAnsi="Arial" w:cs="Arial"/>
          <w:color w:val="595959" w:themeColor="text1" w:themeTint="A6"/>
        </w:rPr>
        <w:t xml:space="preserve">s that the internal properties of cancer cells determine the major contributions to cancer initiation and progression. However, advances in our understanding of cancer biology, we know regard the disease as largely heterogeneous; where different underlying molecular aetiologies form the foundation of the same clinical outcome and that multiple cell types and non-cellular components like the ECM collectively coordinate to support the growth, survival and invasion of cancer cells. </w:t>
      </w:r>
    </w:p>
    <w:p w14:paraId="28E07DCC" w14:textId="0071E0C4" w:rsidR="00F311FA" w:rsidRDefault="00F311FA" w:rsidP="00F311FA">
      <w:pPr>
        <w:tabs>
          <w:tab w:val="left" w:pos="1058"/>
        </w:tabs>
        <w:spacing w:line="480" w:lineRule="auto"/>
        <w:jc w:val="both"/>
        <w:rPr>
          <w:rFonts w:ascii="Arial" w:hAnsi="Arial" w:cs="Arial"/>
          <w:color w:val="595959" w:themeColor="text1" w:themeTint="A6"/>
        </w:rPr>
      </w:pPr>
      <w:r w:rsidRPr="00F311FA">
        <w:rPr>
          <w:rFonts w:ascii="Arial" w:hAnsi="Arial" w:cs="Arial"/>
          <w:color w:val="595959" w:themeColor="text1" w:themeTint="A6"/>
        </w:rPr>
        <w:t>The findings within this investigation lead to the conclusion that aberrant changes found within the tissue stroma can cause rather than</w:t>
      </w:r>
      <w:r w:rsidR="00B70AE0">
        <w:rPr>
          <w:rFonts w:ascii="Arial" w:hAnsi="Arial" w:cs="Arial"/>
          <w:color w:val="595959" w:themeColor="text1" w:themeTint="A6"/>
        </w:rPr>
        <w:t xml:space="preserve"> </w:t>
      </w:r>
      <w:r w:rsidRPr="00F311FA">
        <w:rPr>
          <w:rFonts w:ascii="Arial" w:hAnsi="Arial" w:cs="Arial"/>
          <w:color w:val="595959" w:themeColor="text1" w:themeTint="A6"/>
        </w:rPr>
        <w:t>be</w:t>
      </w:r>
      <w:r w:rsidR="00AB6D2A">
        <w:rPr>
          <w:rFonts w:ascii="Arial" w:hAnsi="Arial" w:cs="Arial"/>
          <w:color w:val="595959" w:themeColor="text1" w:themeTint="A6"/>
        </w:rPr>
        <w:t xml:space="preserve">ing the </w:t>
      </w:r>
      <w:r w:rsidRPr="00F311FA">
        <w:rPr>
          <w:rFonts w:ascii="Arial" w:hAnsi="Arial" w:cs="Arial"/>
          <w:color w:val="595959" w:themeColor="text1" w:themeTint="A6"/>
        </w:rPr>
        <w:t>consequence of the OSCC malignant process and results in altered tissue fields and architecture</w:t>
      </w:r>
      <w:r w:rsidR="00076007">
        <w:rPr>
          <w:rFonts w:ascii="Arial" w:hAnsi="Arial" w:cs="Arial"/>
          <w:color w:val="595959" w:themeColor="text1" w:themeTint="A6"/>
        </w:rPr>
        <w:t xml:space="preserve"> (Gascard, 2016)</w:t>
      </w:r>
      <w:r w:rsidRPr="00F311FA">
        <w:rPr>
          <w:rFonts w:ascii="Arial" w:hAnsi="Arial" w:cs="Arial"/>
          <w:color w:val="595959" w:themeColor="text1" w:themeTint="A6"/>
        </w:rPr>
        <w:t xml:space="preserve">. </w:t>
      </w:r>
      <w:r w:rsidR="00A6588F">
        <w:rPr>
          <w:rFonts w:ascii="Arial" w:hAnsi="Arial" w:cs="Arial"/>
          <w:color w:val="595959" w:themeColor="text1" w:themeTint="A6"/>
        </w:rPr>
        <w:t>T</w:t>
      </w:r>
      <w:r w:rsidRPr="00F311FA">
        <w:rPr>
          <w:rFonts w:ascii="Arial" w:hAnsi="Arial" w:cs="Arial"/>
          <w:color w:val="595959" w:themeColor="text1" w:themeTint="A6"/>
        </w:rPr>
        <w:t xml:space="preserve">issue-engineered models of normal, atypical and OSCC </w:t>
      </w:r>
      <w:r w:rsidR="009A17E0">
        <w:rPr>
          <w:rFonts w:ascii="Arial" w:hAnsi="Arial" w:cs="Arial"/>
          <w:color w:val="595959" w:themeColor="text1" w:themeTint="A6"/>
        </w:rPr>
        <w:t xml:space="preserve">developed </w:t>
      </w:r>
      <w:r w:rsidR="00A6588F">
        <w:rPr>
          <w:rFonts w:ascii="Arial" w:hAnsi="Arial" w:cs="Arial"/>
          <w:color w:val="595959" w:themeColor="text1" w:themeTint="A6"/>
        </w:rPr>
        <w:t>within this investigation</w:t>
      </w:r>
      <w:r w:rsidR="009A17E0">
        <w:rPr>
          <w:rFonts w:ascii="Arial" w:hAnsi="Arial" w:cs="Arial"/>
          <w:color w:val="595959" w:themeColor="text1" w:themeTint="A6"/>
        </w:rPr>
        <w:t xml:space="preserve">, </w:t>
      </w:r>
      <w:r w:rsidRPr="00F311FA">
        <w:rPr>
          <w:rFonts w:ascii="Arial" w:hAnsi="Arial" w:cs="Arial"/>
          <w:color w:val="595959" w:themeColor="text1" w:themeTint="A6"/>
        </w:rPr>
        <w:t xml:space="preserve">act as </w:t>
      </w:r>
      <w:r w:rsidRPr="00F311FA">
        <w:rPr>
          <w:rFonts w:ascii="Arial" w:hAnsi="Arial" w:cs="Arial"/>
          <w:i/>
          <w:iCs/>
          <w:color w:val="595959" w:themeColor="text1" w:themeTint="A6"/>
        </w:rPr>
        <w:t>in vitro</w:t>
      </w:r>
      <w:r w:rsidRPr="00F311FA">
        <w:rPr>
          <w:rFonts w:ascii="Arial" w:hAnsi="Arial" w:cs="Arial"/>
          <w:color w:val="595959" w:themeColor="text1" w:themeTint="A6"/>
        </w:rPr>
        <w:t xml:space="preserve"> mimetics of the disease process and are suitable </w:t>
      </w:r>
      <w:r w:rsidR="00A7502B">
        <w:rPr>
          <w:rFonts w:ascii="Arial" w:hAnsi="Arial" w:cs="Arial"/>
          <w:color w:val="595959" w:themeColor="text1" w:themeTint="A6"/>
        </w:rPr>
        <w:t xml:space="preserve">platforms </w:t>
      </w:r>
      <w:r w:rsidRPr="00F311FA">
        <w:rPr>
          <w:rFonts w:ascii="Arial" w:hAnsi="Arial" w:cs="Arial"/>
          <w:color w:val="595959" w:themeColor="text1" w:themeTint="A6"/>
        </w:rPr>
        <w:t>to measure and quantify changes in ECM properties</w:t>
      </w:r>
      <w:r w:rsidR="00560ADF">
        <w:rPr>
          <w:rFonts w:ascii="Arial" w:hAnsi="Arial" w:cs="Arial"/>
          <w:color w:val="595959" w:themeColor="text1" w:themeTint="A6"/>
        </w:rPr>
        <w:t xml:space="preserve"> and</w:t>
      </w:r>
      <w:r w:rsidR="0032270B">
        <w:rPr>
          <w:rFonts w:ascii="Arial" w:hAnsi="Arial" w:cs="Arial"/>
          <w:color w:val="595959" w:themeColor="text1" w:themeTint="A6"/>
        </w:rPr>
        <w:t xml:space="preserve"> </w:t>
      </w:r>
      <w:r w:rsidR="00FD18E6">
        <w:rPr>
          <w:rFonts w:ascii="Arial" w:hAnsi="Arial" w:cs="Arial"/>
          <w:color w:val="595959" w:themeColor="text1" w:themeTint="A6"/>
        </w:rPr>
        <w:t>show promise</w:t>
      </w:r>
      <w:r w:rsidR="00560ADF">
        <w:rPr>
          <w:rFonts w:ascii="Arial" w:hAnsi="Arial" w:cs="Arial"/>
          <w:color w:val="595959" w:themeColor="text1" w:themeTint="A6"/>
        </w:rPr>
        <w:t xml:space="preserve"> </w:t>
      </w:r>
      <w:r w:rsidR="00FD18E6">
        <w:rPr>
          <w:rFonts w:ascii="Arial" w:hAnsi="Arial" w:cs="Arial"/>
          <w:color w:val="595959" w:themeColor="text1" w:themeTint="A6"/>
        </w:rPr>
        <w:t>for their use as</w:t>
      </w:r>
      <w:r w:rsidR="0032270B">
        <w:rPr>
          <w:rFonts w:ascii="Arial" w:hAnsi="Arial" w:cs="Arial"/>
          <w:color w:val="595959" w:themeColor="text1" w:themeTint="A6"/>
        </w:rPr>
        <w:t xml:space="preserve"> </w:t>
      </w:r>
      <w:r w:rsidR="00624857">
        <w:rPr>
          <w:rFonts w:ascii="Arial" w:hAnsi="Arial" w:cs="Arial"/>
          <w:color w:val="595959" w:themeColor="text1" w:themeTint="A6"/>
        </w:rPr>
        <w:t xml:space="preserve">3D </w:t>
      </w:r>
      <w:r w:rsidR="0032270B">
        <w:rPr>
          <w:rFonts w:ascii="Arial" w:hAnsi="Arial" w:cs="Arial"/>
          <w:color w:val="595959" w:themeColor="text1" w:themeTint="A6"/>
        </w:rPr>
        <w:t xml:space="preserve">drug </w:t>
      </w:r>
      <w:r w:rsidR="00624857">
        <w:rPr>
          <w:rFonts w:ascii="Arial" w:hAnsi="Arial" w:cs="Arial"/>
          <w:color w:val="595959" w:themeColor="text1" w:themeTint="A6"/>
        </w:rPr>
        <w:t>screening</w:t>
      </w:r>
      <w:r w:rsidR="0032270B">
        <w:rPr>
          <w:rFonts w:ascii="Arial" w:hAnsi="Arial" w:cs="Arial"/>
          <w:color w:val="595959" w:themeColor="text1" w:themeTint="A6"/>
        </w:rPr>
        <w:t xml:space="preserve"> platforms</w:t>
      </w:r>
      <w:r w:rsidR="00A50474">
        <w:rPr>
          <w:rFonts w:ascii="Arial" w:hAnsi="Arial" w:cs="Arial"/>
          <w:color w:val="595959" w:themeColor="text1" w:themeTint="A6"/>
        </w:rPr>
        <w:t>.</w:t>
      </w:r>
      <w:r w:rsidRPr="00F311FA">
        <w:rPr>
          <w:rFonts w:ascii="Arial" w:hAnsi="Arial" w:cs="Arial"/>
          <w:color w:val="595959" w:themeColor="text1" w:themeTint="A6"/>
        </w:rPr>
        <w:t xml:space="preserve"> </w:t>
      </w:r>
      <w:r w:rsidR="009404A5">
        <w:rPr>
          <w:rFonts w:ascii="Arial" w:hAnsi="Arial" w:cs="Arial"/>
          <w:color w:val="595959" w:themeColor="text1" w:themeTint="A6"/>
        </w:rPr>
        <w:t xml:space="preserve">These </w:t>
      </w:r>
      <w:r w:rsidR="00076007">
        <w:rPr>
          <w:rFonts w:ascii="Arial" w:hAnsi="Arial" w:cs="Arial"/>
          <w:color w:val="595959" w:themeColor="text1" w:themeTint="A6"/>
        </w:rPr>
        <w:t xml:space="preserve">models </w:t>
      </w:r>
      <w:r w:rsidR="009404A5">
        <w:rPr>
          <w:rFonts w:ascii="Arial" w:hAnsi="Arial" w:cs="Arial"/>
          <w:color w:val="595959" w:themeColor="text1" w:themeTint="A6"/>
        </w:rPr>
        <w:t>also validate</w:t>
      </w:r>
      <w:r w:rsidR="00F25400">
        <w:rPr>
          <w:rFonts w:ascii="Arial" w:hAnsi="Arial" w:cs="Arial"/>
          <w:color w:val="595959" w:themeColor="text1" w:themeTint="A6"/>
        </w:rPr>
        <w:t xml:space="preserve"> </w:t>
      </w:r>
      <w:r w:rsidRPr="00F311FA">
        <w:rPr>
          <w:rFonts w:ascii="Arial" w:hAnsi="Arial" w:cs="Arial"/>
          <w:color w:val="595959" w:themeColor="text1" w:themeTint="A6"/>
        </w:rPr>
        <w:t xml:space="preserve">that CAF in OSCC should not be seen as single cellular elements, but as a stromal cohort in which their phenotypic properties of enhancing cancer cell migration and proliferation, </w:t>
      </w:r>
      <w:r w:rsidR="00076007">
        <w:rPr>
          <w:rFonts w:ascii="Arial" w:hAnsi="Arial" w:cs="Arial"/>
          <w:color w:val="595959" w:themeColor="text1" w:themeTint="A6"/>
        </w:rPr>
        <w:t xml:space="preserve">and </w:t>
      </w:r>
      <w:r w:rsidRPr="00F311FA">
        <w:rPr>
          <w:rFonts w:ascii="Arial" w:hAnsi="Arial" w:cs="Arial"/>
          <w:color w:val="595959" w:themeColor="text1" w:themeTint="A6"/>
        </w:rPr>
        <w:t xml:space="preserve">desmoplastic release and remodelling of ECM components contribute to the onset and progression of OSCC. </w:t>
      </w:r>
    </w:p>
    <w:p w14:paraId="5A9171B2" w14:textId="18C3A184" w:rsidR="0093708B" w:rsidRDefault="0093708B" w:rsidP="00F311FA">
      <w:pPr>
        <w:tabs>
          <w:tab w:val="left" w:pos="1058"/>
        </w:tabs>
        <w:spacing w:line="480" w:lineRule="auto"/>
        <w:jc w:val="both"/>
        <w:rPr>
          <w:rFonts w:ascii="Arial" w:hAnsi="Arial" w:cs="Arial"/>
          <w:color w:val="595959" w:themeColor="text1" w:themeTint="A6"/>
        </w:rPr>
      </w:pPr>
    </w:p>
    <w:p w14:paraId="2418155A" w14:textId="77777777" w:rsidR="0093708B" w:rsidRDefault="0093708B" w:rsidP="00F311FA">
      <w:pPr>
        <w:tabs>
          <w:tab w:val="left" w:pos="1058"/>
        </w:tabs>
        <w:spacing w:line="480" w:lineRule="auto"/>
        <w:jc w:val="both"/>
        <w:rPr>
          <w:rFonts w:ascii="Arial" w:hAnsi="Arial" w:cs="Arial"/>
          <w:color w:val="595959" w:themeColor="text1" w:themeTint="A6"/>
        </w:rPr>
      </w:pPr>
    </w:p>
    <w:p w14:paraId="7BE45843" w14:textId="77777777" w:rsidR="00BC197C" w:rsidRPr="00F311FA" w:rsidRDefault="00BC197C" w:rsidP="00F311FA">
      <w:pPr>
        <w:tabs>
          <w:tab w:val="left" w:pos="1058"/>
        </w:tabs>
        <w:spacing w:line="480" w:lineRule="auto"/>
        <w:jc w:val="both"/>
        <w:rPr>
          <w:rFonts w:ascii="Arial" w:hAnsi="Arial" w:cs="Arial"/>
          <w:color w:val="595959" w:themeColor="text1" w:themeTint="A6"/>
        </w:rPr>
      </w:pPr>
    </w:p>
    <w:p w14:paraId="4746D59F" w14:textId="77777777" w:rsidR="00F311FA" w:rsidRPr="00F311FA" w:rsidRDefault="00F311FA" w:rsidP="00F311FA">
      <w:pPr>
        <w:tabs>
          <w:tab w:val="left" w:pos="1058"/>
        </w:tabs>
        <w:spacing w:line="480" w:lineRule="auto"/>
        <w:jc w:val="both"/>
        <w:rPr>
          <w:rFonts w:ascii="Arial" w:hAnsi="Arial" w:cs="Arial"/>
          <w:color w:val="595959" w:themeColor="text1" w:themeTint="A6"/>
        </w:rPr>
      </w:pPr>
    </w:p>
    <w:p w14:paraId="037E1ECA" w14:textId="77777777" w:rsidR="00F311FA" w:rsidRPr="00F311FA" w:rsidRDefault="00F311FA" w:rsidP="00F311FA">
      <w:pPr>
        <w:tabs>
          <w:tab w:val="left" w:pos="1058"/>
        </w:tabs>
        <w:spacing w:line="480" w:lineRule="auto"/>
        <w:jc w:val="both"/>
        <w:rPr>
          <w:rFonts w:ascii="Arial" w:hAnsi="Arial" w:cs="Arial"/>
          <w:color w:val="595959" w:themeColor="text1" w:themeTint="A6"/>
        </w:rPr>
      </w:pPr>
    </w:p>
    <w:p w14:paraId="186FDFAF" w14:textId="77777777" w:rsidR="00F311FA" w:rsidRPr="00F311FA" w:rsidRDefault="00F311FA" w:rsidP="00F311FA">
      <w:pPr>
        <w:tabs>
          <w:tab w:val="left" w:pos="1058"/>
        </w:tabs>
        <w:spacing w:line="480" w:lineRule="auto"/>
        <w:jc w:val="both"/>
        <w:rPr>
          <w:rFonts w:ascii="Arial" w:hAnsi="Arial" w:cs="Arial"/>
          <w:color w:val="595959" w:themeColor="text1" w:themeTint="A6"/>
        </w:rPr>
      </w:pPr>
    </w:p>
    <w:p w14:paraId="16E50E2D" w14:textId="6C12C1AF" w:rsidR="00F311FA" w:rsidRDefault="00F311FA" w:rsidP="00F311FA">
      <w:pPr>
        <w:tabs>
          <w:tab w:val="left" w:pos="1058"/>
        </w:tabs>
        <w:spacing w:line="480" w:lineRule="auto"/>
        <w:jc w:val="both"/>
        <w:rPr>
          <w:rFonts w:ascii="Arial" w:hAnsi="Arial" w:cs="Arial"/>
          <w:color w:val="595959" w:themeColor="text1" w:themeTint="A6"/>
        </w:rPr>
      </w:pPr>
    </w:p>
    <w:p w14:paraId="269D35F6" w14:textId="26C59691" w:rsidR="00980650" w:rsidRDefault="00980650" w:rsidP="00F311FA">
      <w:pPr>
        <w:tabs>
          <w:tab w:val="left" w:pos="1058"/>
        </w:tabs>
        <w:spacing w:line="480" w:lineRule="auto"/>
        <w:jc w:val="both"/>
        <w:rPr>
          <w:rFonts w:ascii="Arial" w:hAnsi="Arial" w:cs="Arial"/>
          <w:color w:val="595959" w:themeColor="text1" w:themeTint="A6"/>
        </w:rPr>
      </w:pPr>
    </w:p>
    <w:p w14:paraId="052E0CC0" w14:textId="52ABCD95" w:rsidR="00980650" w:rsidRDefault="00980650" w:rsidP="00F311FA">
      <w:pPr>
        <w:tabs>
          <w:tab w:val="left" w:pos="1058"/>
        </w:tabs>
        <w:spacing w:line="480" w:lineRule="auto"/>
        <w:jc w:val="both"/>
        <w:rPr>
          <w:rFonts w:ascii="Arial" w:hAnsi="Arial" w:cs="Arial"/>
          <w:color w:val="595959" w:themeColor="text1" w:themeTint="A6"/>
        </w:rPr>
      </w:pPr>
    </w:p>
    <w:p w14:paraId="23FAB0EF" w14:textId="63629890" w:rsidR="00980650" w:rsidRDefault="00980650" w:rsidP="00F311FA">
      <w:pPr>
        <w:tabs>
          <w:tab w:val="left" w:pos="1058"/>
        </w:tabs>
        <w:spacing w:line="480" w:lineRule="auto"/>
        <w:jc w:val="both"/>
        <w:rPr>
          <w:rFonts w:ascii="Arial" w:hAnsi="Arial" w:cs="Arial"/>
          <w:color w:val="595959" w:themeColor="text1" w:themeTint="A6"/>
        </w:rPr>
      </w:pPr>
    </w:p>
    <w:p w14:paraId="5883C10D" w14:textId="5191E969" w:rsidR="00980650" w:rsidRDefault="00980650" w:rsidP="00F311FA">
      <w:pPr>
        <w:tabs>
          <w:tab w:val="left" w:pos="1058"/>
        </w:tabs>
        <w:spacing w:line="480" w:lineRule="auto"/>
        <w:jc w:val="both"/>
        <w:rPr>
          <w:rFonts w:ascii="Arial" w:hAnsi="Arial" w:cs="Arial"/>
          <w:color w:val="595959" w:themeColor="text1" w:themeTint="A6"/>
        </w:rPr>
      </w:pPr>
    </w:p>
    <w:p w14:paraId="65B44B3E" w14:textId="50B76B28" w:rsidR="00980650" w:rsidRDefault="00980650" w:rsidP="00F311FA">
      <w:pPr>
        <w:tabs>
          <w:tab w:val="left" w:pos="1058"/>
        </w:tabs>
        <w:spacing w:line="480" w:lineRule="auto"/>
        <w:jc w:val="both"/>
        <w:rPr>
          <w:rFonts w:ascii="Arial" w:hAnsi="Arial" w:cs="Arial"/>
          <w:color w:val="595959" w:themeColor="text1" w:themeTint="A6"/>
        </w:rPr>
      </w:pPr>
    </w:p>
    <w:p w14:paraId="2796AB02" w14:textId="5A2B3E85" w:rsidR="00980650" w:rsidRDefault="00980650" w:rsidP="00F311FA">
      <w:pPr>
        <w:tabs>
          <w:tab w:val="left" w:pos="1058"/>
        </w:tabs>
        <w:spacing w:line="480" w:lineRule="auto"/>
        <w:jc w:val="both"/>
        <w:rPr>
          <w:rFonts w:ascii="Arial" w:hAnsi="Arial" w:cs="Arial"/>
          <w:color w:val="595959" w:themeColor="text1" w:themeTint="A6"/>
        </w:rPr>
      </w:pPr>
    </w:p>
    <w:p w14:paraId="480A6981" w14:textId="527E5700" w:rsidR="00980650" w:rsidRDefault="00980650" w:rsidP="00F311FA">
      <w:pPr>
        <w:tabs>
          <w:tab w:val="left" w:pos="1058"/>
        </w:tabs>
        <w:spacing w:line="480" w:lineRule="auto"/>
        <w:jc w:val="both"/>
        <w:rPr>
          <w:rFonts w:ascii="Arial" w:hAnsi="Arial" w:cs="Arial"/>
          <w:color w:val="595959" w:themeColor="text1" w:themeTint="A6"/>
        </w:rPr>
      </w:pPr>
    </w:p>
    <w:p w14:paraId="53DC6C5F" w14:textId="4A365C64" w:rsidR="00980650" w:rsidRDefault="00980650" w:rsidP="00F311FA">
      <w:pPr>
        <w:tabs>
          <w:tab w:val="left" w:pos="1058"/>
        </w:tabs>
        <w:spacing w:line="480" w:lineRule="auto"/>
        <w:jc w:val="both"/>
        <w:rPr>
          <w:rFonts w:ascii="Arial" w:hAnsi="Arial" w:cs="Arial"/>
          <w:color w:val="595959" w:themeColor="text1" w:themeTint="A6"/>
        </w:rPr>
      </w:pPr>
    </w:p>
    <w:p w14:paraId="2283470A" w14:textId="214914E4" w:rsidR="00980650" w:rsidRDefault="00980650" w:rsidP="00F311FA">
      <w:pPr>
        <w:tabs>
          <w:tab w:val="left" w:pos="1058"/>
        </w:tabs>
        <w:spacing w:line="480" w:lineRule="auto"/>
        <w:jc w:val="both"/>
        <w:rPr>
          <w:rFonts w:ascii="Arial" w:hAnsi="Arial" w:cs="Arial"/>
          <w:color w:val="595959" w:themeColor="text1" w:themeTint="A6"/>
        </w:rPr>
      </w:pPr>
    </w:p>
    <w:p w14:paraId="0BB32288" w14:textId="72407B9E" w:rsidR="00980650" w:rsidRDefault="00980650" w:rsidP="00F311FA">
      <w:pPr>
        <w:tabs>
          <w:tab w:val="left" w:pos="1058"/>
        </w:tabs>
        <w:spacing w:line="480" w:lineRule="auto"/>
        <w:jc w:val="both"/>
        <w:rPr>
          <w:rFonts w:ascii="Arial" w:hAnsi="Arial" w:cs="Arial"/>
          <w:color w:val="595959" w:themeColor="text1" w:themeTint="A6"/>
        </w:rPr>
      </w:pPr>
    </w:p>
    <w:p w14:paraId="2ED34FCA" w14:textId="77777777" w:rsidR="00980650" w:rsidRPr="00F311FA" w:rsidRDefault="00980650" w:rsidP="00F311FA">
      <w:pPr>
        <w:tabs>
          <w:tab w:val="left" w:pos="1058"/>
        </w:tabs>
        <w:spacing w:line="480" w:lineRule="auto"/>
        <w:jc w:val="both"/>
        <w:rPr>
          <w:rFonts w:ascii="Arial" w:hAnsi="Arial" w:cs="Arial"/>
          <w:color w:val="595959" w:themeColor="text1" w:themeTint="A6"/>
        </w:rPr>
      </w:pPr>
    </w:p>
    <w:p w14:paraId="6C5D8067" w14:textId="77777777" w:rsidR="00F311FA" w:rsidRPr="00F311FA" w:rsidRDefault="00F311FA" w:rsidP="00F311FA">
      <w:pPr>
        <w:tabs>
          <w:tab w:val="left" w:pos="1058"/>
        </w:tabs>
        <w:spacing w:line="480" w:lineRule="auto"/>
        <w:jc w:val="both"/>
        <w:rPr>
          <w:rFonts w:ascii="Arial" w:hAnsi="Arial" w:cs="Arial"/>
          <w:color w:val="595959" w:themeColor="text1" w:themeTint="A6"/>
        </w:rPr>
      </w:pPr>
    </w:p>
    <w:p w14:paraId="39C7E98F" w14:textId="1D2FF295" w:rsidR="009E0A85" w:rsidRDefault="009E0A85" w:rsidP="00F311FA">
      <w:pPr>
        <w:tabs>
          <w:tab w:val="left" w:pos="1058"/>
        </w:tabs>
        <w:spacing w:line="480" w:lineRule="auto"/>
        <w:jc w:val="both"/>
        <w:rPr>
          <w:rFonts w:ascii="Arial" w:hAnsi="Arial" w:cs="Arial"/>
          <w:color w:val="595959" w:themeColor="text1" w:themeTint="A6"/>
        </w:rPr>
      </w:pPr>
    </w:p>
    <w:p w14:paraId="5379F96F" w14:textId="766EBFC4" w:rsidR="009E0A85" w:rsidRDefault="009E0A85" w:rsidP="00F311FA">
      <w:pPr>
        <w:tabs>
          <w:tab w:val="left" w:pos="1058"/>
        </w:tabs>
        <w:spacing w:line="480" w:lineRule="auto"/>
        <w:jc w:val="both"/>
        <w:rPr>
          <w:rFonts w:ascii="Arial" w:hAnsi="Arial" w:cs="Arial"/>
          <w:color w:val="595959" w:themeColor="text1" w:themeTint="A6"/>
        </w:rPr>
      </w:pPr>
    </w:p>
    <w:p w14:paraId="11BFCB40" w14:textId="05E51245" w:rsidR="0038668D" w:rsidRDefault="0038668D" w:rsidP="00F311FA">
      <w:pPr>
        <w:tabs>
          <w:tab w:val="left" w:pos="1058"/>
        </w:tabs>
        <w:spacing w:line="480" w:lineRule="auto"/>
        <w:jc w:val="both"/>
        <w:rPr>
          <w:rFonts w:ascii="Arial" w:hAnsi="Arial" w:cs="Arial"/>
          <w:color w:val="595959" w:themeColor="text1" w:themeTint="A6"/>
        </w:rPr>
      </w:pPr>
    </w:p>
    <w:p w14:paraId="19805989" w14:textId="54B0667F" w:rsidR="0038668D" w:rsidRDefault="0038668D" w:rsidP="00F311FA">
      <w:pPr>
        <w:tabs>
          <w:tab w:val="left" w:pos="1058"/>
        </w:tabs>
        <w:spacing w:line="480" w:lineRule="auto"/>
        <w:jc w:val="both"/>
        <w:rPr>
          <w:rFonts w:ascii="Arial" w:hAnsi="Arial" w:cs="Arial"/>
          <w:color w:val="595959" w:themeColor="text1" w:themeTint="A6"/>
        </w:rPr>
      </w:pPr>
    </w:p>
    <w:p w14:paraId="0E590BED" w14:textId="77777777" w:rsidR="00061B71" w:rsidRDefault="00061B71" w:rsidP="00F311FA">
      <w:pPr>
        <w:tabs>
          <w:tab w:val="left" w:pos="1058"/>
        </w:tabs>
        <w:spacing w:line="480" w:lineRule="auto"/>
        <w:jc w:val="both"/>
        <w:rPr>
          <w:rFonts w:ascii="Arial" w:hAnsi="Arial" w:cs="Arial"/>
          <w:color w:val="595959" w:themeColor="text1" w:themeTint="A6"/>
        </w:rPr>
      </w:pPr>
    </w:p>
    <w:p w14:paraId="17B560E6" w14:textId="77777777" w:rsidR="0038668D" w:rsidRPr="00F311FA" w:rsidRDefault="0038668D" w:rsidP="00F311FA">
      <w:pPr>
        <w:tabs>
          <w:tab w:val="left" w:pos="1058"/>
        </w:tabs>
        <w:spacing w:line="480" w:lineRule="auto"/>
        <w:jc w:val="both"/>
        <w:rPr>
          <w:rFonts w:ascii="Arial" w:hAnsi="Arial" w:cs="Arial"/>
          <w:color w:val="595959" w:themeColor="text1" w:themeTint="A6"/>
        </w:rPr>
      </w:pPr>
    </w:p>
    <w:p w14:paraId="44493752" w14:textId="77777777" w:rsidR="00F311FA" w:rsidRPr="00F311FA" w:rsidRDefault="00F311FA" w:rsidP="00F311FA">
      <w:pPr>
        <w:tabs>
          <w:tab w:val="left" w:pos="1058"/>
        </w:tabs>
        <w:spacing w:line="480" w:lineRule="auto"/>
        <w:jc w:val="both"/>
        <w:rPr>
          <w:rFonts w:ascii="Arial" w:hAnsi="Arial" w:cs="Arial"/>
          <w:color w:val="595959" w:themeColor="text1" w:themeTint="A6"/>
        </w:rPr>
      </w:pPr>
    </w:p>
    <w:p w14:paraId="41DB220D" w14:textId="09B057BE" w:rsidR="006033F8" w:rsidRPr="00807AB1" w:rsidRDefault="006033F8" w:rsidP="00B347BF">
      <w:pPr>
        <w:pStyle w:val="Title"/>
        <w:jc w:val="center"/>
        <w:outlineLvl w:val="0"/>
        <w:rPr>
          <w:color w:val="4472C4" w:themeColor="accent1"/>
          <w:sz w:val="72"/>
          <w:szCs w:val="72"/>
        </w:rPr>
      </w:pPr>
      <w:bookmarkStart w:id="503" w:name="_Toc34208490"/>
      <w:r w:rsidRPr="00807AB1">
        <w:rPr>
          <w:color w:val="4472C4" w:themeColor="accent1"/>
          <w:sz w:val="72"/>
          <w:szCs w:val="72"/>
        </w:rPr>
        <w:t xml:space="preserve">Chapter </w:t>
      </w:r>
      <w:r>
        <w:rPr>
          <w:color w:val="4472C4" w:themeColor="accent1"/>
          <w:sz w:val="72"/>
          <w:szCs w:val="72"/>
        </w:rPr>
        <w:t>7</w:t>
      </w:r>
      <w:bookmarkEnd w:id="503"/>
    </w:p>
    <w:p w14:paraId="0EB6310E" w14:textId="5305D77A" w:rsidR="006033F8" w:rsidRPr="00807AB1" w:rsidRDefault="006033F8" w:rsidP="006033F8">
      <w:pPr>
        <w:pStyle w:val="Title"/>
        <w:jc w:val="center"/>
        <w:outlineLvl w:val="0"/>
        <w:rPr>
          <w:color w:val="4472C4" w:themeColor="accent1"/>
          <w:sz w:val="72"/>
          <w:szCs w:val="72"/>
        </w:rPr>
      </w:pPr>
      <w:bookmarkStart w:id="504" w:name="_Toc34208491"/>
      <w:r>
        <w:rPr>
          <w:color w:val="4472C4" w:themeColor="accent1"/>
          <w:sz w:val="72"/>
          <w:szCs w:val="72"/>
        </w:rPr>
        <w:t>Appendix</w:t>
      </w:r>
      <w:bookmarkEnd w:id="504"/>
      <w:r>
        <w:rPr>
          <w:color w:val="4472C4" w:themeColor="accent1"/>
          <w:sz w:val="72"/>
          <w:szCs w:val="72"/>
        </w:rPr>
        <w:t xml:space="preserve"> </w:t>
      </w:r>
    </w:p>
    <w:p w14:paraId="6503121F" w14:textId="77777777" w:rsidR="006033F8" w:rsidRPr="004E06B5" w:rsidRDefault="006033F8" w:rsidP="004E06B5">
      <w:pPr>
        <w:tabs>
          <w:tab w:val="left" w:pos="1058"/>
        </w:tabs>
        <w:spacing w:line="480" w:lineRule="auto"/>
        <w:jc w:val="both"/>
        <w:rPr>
          <w:rFonts w:ascii="Arial" w:hAnsi="Arial" w:cs="Arial"/>
          <w:color w:val="595959" w:themeColor="text1" w:themeTint="A6"/>
        </w:rPr>
      </w:pPr>
    </w:p>
    <w:p w14:paraId="58D4ED1D" w14:textId="77777777" w:rsidR="004E06B5" w:rsidRPr="004E06B5" w:rsidRDefault="004E06B5" w:rsidP="004E06B5"/>
    <w:p w14:paraId="5FEBBFF6" w14:textId="7102C243" w:rsidR="008C21BF" w:rsidRDefault="008C21BF" w:rsidP="008C21BF">
      <w:pPr>
        <w:spacing w:line="480" w:lineRule="auto"/>
        <w:ind w:firstLine="720"/>
        <w:jc w:val="both"/>
        <w:rPr>
          <w:rFonts w:ascii="Arial" w:hAnsi="Arial" w:cs="Arial"/>
          <w:color w:val="595959" w:themeColor="text1" w:themeTint="A6"/>
          <w:szCs w:val="24"/>
        </w:rPr>
      </w:pPr>
    </w:p>
    <w:p w14:paraId="25D093C7" w14:textId="13116E53" w:rsidR="001D7E29" w:rsidRDefault="001D7E29" w:rsidP="00396EB2">
      <w:pPr>
        <w:spacing w:line="480" w:lineRule="auto"/>
        <w:jc w:val="both"/>
        <w:rPr>
          <w:rFonts w:ascii="Arial" w:hAnsi="Arial" w:cs="Arial"/>
          <w:color w:val="595959" w:themeColor="text1" w:themeTint="A6"/>
          <w:szCs w:val="24"/>
        </w:rPr>
      </w:pPr>
    </w:p>
    <w:p w14:paraId="05EB6716" w14:textId="1D042D6D" w:rsidR="00396EB2" w:rsidRDefault="00396EB2" w:rsidP="00396EB2">
      <w:pPr>
        <w:spacing w:line="360" w:lineRule="auto"/>
        <w:jc w:val="both"/>
        <w:rPr>
          <w:rFonts w:ascii="Arial" w:hAnsi="Arial" w:cs="Arial"/>
          <w:color w:val="595959" w:themeColor="text1" w:themeTint="A6"/>
        </w:rPr>
      </w:pPr>
    </w:p>
    <w:p w14:paraId="444F6239" w14:textId="34780451" w:rsidR="002B2052" w:rsidRDefault="002B2052" w:rsidP="00396EB2">
      <w:pPr>
        <w:spacing w:line="360" w:lineRule="auto"/>
        <w:jc w:val="both"/>
        <w:rPr>
          <w:rFonts w:ascii="Arial" w:hAnsi="Arial" w:cs="Arial"/>
          <w:color w:val="595959" w:themeColor="text1" w:themeTint="A6"/>
        </w:rPr>
      </w:pPr>
    </w:p>
    <w:p w14:paraId="7B4A6892" w14:textId="77777777" w:rsidR="002B2052" w:rsidRDefault="002B2052" w:rsidP="00396EB2">
      <w:pPr>
        <w:spacing w:line="360" w:lineRule="auto"/>
        <w:jc w:val="both"/>
        <w:rPr>
          <w:rFonts w:ascii="Arial" w:hAnsi="Arial" w:cs="Arial"/>
          <w:color w:val="595959" w:themeColor="text1" w:themeTint="A6"/>
        </w:rPr>
      </w:pPr>
    </w:p>
    <w:p w14:paraId="18DE1852" w14:textId="77777777" w:rsidR="00396EB2" w:rsidRDefault="00396EB2" w:rsidP="00396EB2">
      <w:pPr>
        <w:spacing w:line="360" w:lineRule="auto"/>
        <w:jc w:val="both"/>
        <w:rPr>
          <w:rFonts w:ascii="Arial" w:hAnsi="Arial" w:cs="Arial"/>
          <w:color w:val="595959" w:themeColor="text1" w:themeTint="A6"/>
        </w:rPr>
      </w:pPr>
    </w:p>
    <w:p w14:paraId="5910C43A" w14:textId="1F6AF2EA" w:rsidR="00AB6D2A" w:rsidRDefault="00AB6D2A" w:rsidP="00E84280">
      <w:pPr>
        <w:spacing w:line="480" w:lineRule="auto"/>
        <w:jc w:val="both"/>
        <w:rPr>
          <w:rFonts w:ascii="Arial" w:hAnsi="Arial" w:cs="Arial"/>
          <w:color w:val="595959" w:themeColor="text1" w:themeTint="A6"/>
        </w:rPr>
      </w:pPr>
    </w:p>
    <w:p w14:paraId="64F5D046" w14:textId="45440265" w:rsidR="00B347BF" w:rsidRDefault="00B347BF" w:rsidP="00E84280">
      <w:pPr>
        <w:spacing w:line="480" w:lineRule="auto"/>
        <w:jc w:val="both"/>
        <w:rPr>
          <w:rFonts w:ascii="Arial" w:hAnsi="Arial" w:cs="Arial"/>
          <w:color w:val="595959" w:themeColor="text1" w:themeTint="A6"/>
        </w:rPr>
      </w:pPr>
    </w:p>
    <w:p w14:paraId="5D1CA4EC" w14:textId="2EEFCF79" w:rsidR="00B347BF" w:rsidRDefault="00B347BF" w:rsidP="00E84280">
      <w:pPr>
        <w:spacing w:line="480" w:lineRule="auto"/>
        <w:jc w:val="both"/>
        <w:rPr>
          <w:rFonts w:ascii="Arial" w:hAnsi="Arial" w:cs="Arial"/>
          <w:color w:val="595959" w:themeColor="text1" w:themeTint="A6"/>
        </w:rPr>
      </w:pPr>
    </w:p>
    <w:p w14:paraId="1154C7AD" w14:textId="77777777" w:rsidR="002E5497" w:rsidRDefault="002E5497" w:rsidP="00E84280">
      <w:pPr>
        <w:spacing w:line="480" w:lineRule="auto"/>
        <w:jc w:val="both"/>
        <w:rPr>
          <w:rFonts w:ascii="Arial" w:hAnsi="Arial" w:cs="Arial"/>
          <w:color w:val="595959" w:themeColor="text1" w:themeTint="A6"/>
        </w:rPr>
      </w:pPr>
    </w:p>
    <w:p w14:paraId="119A340A" w14:textId="12D948E6" w:rsidR="00E84280" w:rsidRDefault="00E84280" w:rsidP="00E84280">
      <w:pPr>
        <w:spacing w:line="480" w:lineRule="auto"/>
        <w:jc w:val="both"/>
        <w:rPr>
          <w:rFonts w:ascii="Arial" w:hAnsi="Arial" w:cs="Arial"/>
          <w:color w:val="595959" w:themeColor="text1" w:themeTint="A6"/>
        </w:rPr>
      </w:pPr>
      <w:r>
        <w:rPr>
          <w:rFonts w:ascii="Arial" w:hAnsi="Arial" w:cs="Arial"/>
          <w:color w:val="595959" w:themeColor="text1" w:themeTint="A6"/>
        </w:rPr>
        <w:t>Figure 7.1.</w:t>
      </w:r>
    </w:p>
    <w:p w14:paraId="63CB26FE" w14:textId="77777777" w:rsidR="00E84280" w:rsidRPr="00707627" w:rsidRDefault="00E84280" w:rsidP="00E84280">
      <w:pPr>
        <w:spacing w:line="480" w:lineRule="auto"/>
        <w:jc w:val="both"/>
        <w:rPr>
          <w:rFonts w:ascii="Arial" w:hAnsi="Arial" w:cs="Arial"/>
          <w:color w:val="595959" w:themeColor="text1" w:themeTint="A6"/>
        </w:rPr>
      </w:pPr>
      <w:r>
        <w:rPr>
          <w:rFonts w:ascii="Arial" w:hAnsi="Arial" w:cs="Arial"/>
          <w:color w:val="595959" w:themeColor="text1" w:themeTint="A6"/>
        </w:rPr>
        <w:t xml:space="preserve">H&amp;E staining revealed that in some instances, CAF-DM showed visible contraction in culture rather than adhere to the insert membrane. </w:t>
      </w:r>
    </w:p>
    <w:p w14:paraId="03A3C36E" w14:textId="77777777" w:rsidR="00E84280" w:rsidRDefault="00E84280" w:rsidP="00E84280">
      <w:pPr>
        <w:pStyle w:val="Title"/>
        <w:rPr>
          <w:color w:val="4472C4" w:themeColor="accent1"/>
          <w:szCs w:val="96"/>
        </w:rPr>
      </w:pPr>
    </w:p>
    <w:p w14:paraId="3C8D0EAE" w14:textId="77777777" w:rsidR="00E84280" w:rsidRDefault="00E84280" w:rsidP="00E84280">
      <w:r>
        <w:rPr>
          <w:rFonts w:ascii="Arial" w:hAnsi="Arial" w:cs="Arial"/>
          <w:noProof/>
          <w:color w:val="595959" w:themeColor="text1" w:themeTint="A6"/>
          <w:lang w:eastAsia="zh-CN"/>
        </w:rPr>
        <w:drawing>
          <wp:anchor distT="0" distB="0" distL="114300" distR="114300" simplePos="0" relativeHeight="251658454" behindDoc="0" locked="0" layoutInCell="1" allowOverlap="1" wp14:anchorId="30D46AC2" wp14:editId="34471919">
            <wp:simplePos x="0" y="0"/>
            <wp:positionH relativeFrom="margin">
              <wp:align>center</wp:align>
            </wp:positionH>
            <wp:positionV relativeFrom="paragraph">
              <wp:posOffset>6350</wp:posOffset>
            </wp:positionV>
            <wp:extent cx="5302579" cy="3045350"/>
            <wp:effectExtent l="0" t="0" r="0" b="3175"/>
            <wp:wrapNone/>
            <wp:docPr id="5284" name="Picture 5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76">
                      <a:extLst>
                        <a:ext uri="{28A0092B-C50C-407E-A947-70E740481C1C}">
                          <a14:useLocalDpi xmlns:a14="http://schemas.microsoft.com/office/drawing/2010/main" val="0"/>
                        </a:ext>
                      </a:extLst>
                    </a:blip>
                    <a:srcRect b="8144"/>
                    <a:stretch/>
                  </pic:blipFill>
                  <pic:spPr bwMode="auto">
                    <a:xfrm>
                      <a:off x="0" y="0"/>
                      <a:ext cx="5303152" cy="304567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A78FA23" w14:textId="77777777" w:rsidR="00E84280" w:rsidRPr="00780BF2" w:rsidRDefault="00E84280" w:rsidP="00E84280"/>
    <w:p w14:paraId="5E20CAC8" w14:textId="77777777" w:rsidR="00E84280" w:rsidRDefault="00E84280" w:rsidP="00E84280">
      <w:pPr>
        <w:jc w:val="both"/>
        <w:rPr>
          <w:rFonts w:ascii="Arial" w:hAnsi="Arial" w:cs="Arial"/>
          <w:color w:val="595959" w:themeColor="text1" w:themeTint="A6"/>
        </w:rPr>
      </w:pPr>
    </w:p>
    <w:p w14:paraId="2B105218" w14:textId="77777777" w:rsidR="00E84280" w:rsidRDefault="00E84280" w:rsidP="00E84280">
      <w:pPr>
        <w:jc w:val="both"/>
        <w:rPr>
          <w:rFonts w:ascii="Arial" w:hAnsi="Arial" w:cs="Arial"/>
          <w:color w:val="595959" w:themeColor="text1" w:themeTint="A6"/>
        </w:rPr>
      </w:pPr>
    </w:p>
    <w:p w14:paraId="2C2A2ABA" w14:textId="77777777" w:rsidR="00E84280" w:rsidRPr="000D1E77" w:rsidRDefault="00E84280" w:rsidP="00E84280">
      <w:pPr>
        <w:rPr>
          <w:rFonts w:ascii="Arial" w:hAnsi="Arial" w:cs="Arial"/>
        </w:rPr>
      </w:pPr>
    </w:p>
    <w:p w14:paraId="68B5EA66" w14:textId="77777777" w:rsidR="00E84280" w:rsidRPr="000D1E77" w:rsidRDefault="00E84280" w:rsidP="00E84280">
      <w:pPr>
        <w:rPr>
          <w:rFonts w:ascii="Arial" w:hAnsi="Arial" w:cs="Arial"/>
        </w:rPr>
      </w:pPr>
    </w:p>
    <w:p w14:paraId="25EE3A2D" w14:textId="77777777" w:rsidR="00E84280" w:rsidRPr="000D1E77" w:rsidRDefault="00E84280" w:rsidP="00E84280">
      <w:pPr>
        <w:rPr>
          <w:rFonts w:ascii="Arial" w:hAnsi="Arial" w:cs="Arial"/>
        </w:rPr>
      </w:pPr>
    </w:p>
    <w:p w14:paraId="3F3A9223" w14:textId="77777777" w:rsidR="00E84280" w:rsidRPr="000D1E77" w:rsidRDefault="00E84280" w:rsidP="00E84280">
      <w:pPr>
        <w:rPr>
          <w:rFonts w:ascii="Arial" w:hAnsi="Arial" w:cs="Arial"/>
        </w:rPr>
      </w:pPr>
    </w:p>
    <w:p w14:paraId="45050E9F" w14:textId="77777777" w:rsidR="00E84280" w:rsidRPr="000D1E77" w:rsidRDefault="00E84280" w:rsidP="00E84280">
      <w:pPr>
        <w:rPr>
          <w:rFonts w:ascii="Arial" w:hAnsi="Arial" w:cs="Arial"/>
        </w:rPr>
      </w:pPr>
    </w:p>
    <w:p w14:paraId="6E0ED5A8" w14:textId="77777777" w:rsidR="00E84280" w:rsidRPr="000D1E77" w:rsidRDefault="00E84280" w:rsidP="00E84280">
      <w:pPr>
        <w:rPr>
          <w:rFonts w:ascii="Arial" w:hAnsi="Arial" w:cs="Arial"/>
        </w:rPr>
      </w:pPr>
      <w:r w:rsidRPr="005B22E9">
        <w:rPr>
          <w:rFonts w:ascii="Arial" w:hAnsi="Arial" w:cs="Arial"/>
          <w:noProof/>
          <w:lang w:eastAsia="zh-CN"/>
        </w:rPr>
        <mc:AlternateContent>
          <mc:Choice Requires="wps">
            <w:drawing>
              <wp:anchor distT="45720" distB="45720" distL="114300" distR="114300" simplePos="0" relativeHeight="251658456" behindDoc="0" locked="0" layoutInCell="1" allowOverlap="1" wp14:anchorId="702019B5" wp14:editId="269A9BDD">
                <wp:simplePos x="0" y="0"/>
                <wp:positionH relativeFrom="column">
                  <wp:posOffset>4626997</wp:posOffset>
                </wp:positionH>
                <wp:positionV relativeFrom="paragraph">
                  <wp:posOffset>185310</wp:posOffset>
                </wp:positionV>
                <wp:extent cx="755015" cy="285750"/>
                <wp:effectExtent l="0" t="0" r="0" b="0"/>
                <wp:wrapSquare wrapText="bothSides"/>
                <wp:docPr id="21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015" cy="285750"/>
                        </a:xfrm>
                        <a:prstGeom prst="rect">
                          <a:avLst/>
                        </a:prstGeom>
                        <a:noFill/>
                        <a:ln w="9525">
                          <a:noFill/>
                          <a:miter lim="800000"/>
                          <a:headEnd/>
                          <a:tailEnd/>
                        </a:ln>
                      </wps:spPr>
                      <wps:txbx>
                        <w:txbxContent>
                          <w:p w14:paraId="48BE59CB" w14:textId="77777777" w:rsidR="008A47AC" w:rsidRPr="005B22E9" w:rsidRDefault="008A47AC" w:rsidP="00E84280">
                            <w:pPr>
                              <w:rPr>
                                <w:rFonts w:asciiTheme="minorBidi" w:hAnsiTheme="minorBidi"/>
                                <w:sz w:val="24"/>
                                <w:szCs w:val="24"/>
                              </w:rPr>
                            </w:pPr>
                            <w:r w:rsidRPr="005B22E9">
                              <w:rPr>
                                <w:rFonts w:asciiTheme="minorBidi" w:hAnsiTheme="minorBidi"/>
                                <w:sz w:val="24"/>
                                <w:szCs w:val="24"/>
                              </w:rPr>
                              <w:t>100 µm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2019B5" id="_x0000_s1204" type="#_x0000_t202" style="position:absolute;margin-left:364.35pt;margin-top:14.6pt;width:59.45pt;height:22.5pt;z-index:251658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" filled="f" stroked="f">
                <v:textbox>
                  <w:txbxContent>
                    <w:p w14:paraId="48BE59CB" w14:textId="77777777" w:rsidR="008A47AC" w:rsidRPr="005B22E9" w:rsidRDefault="008A47AC" w:rsidP="00E84280">
                      <w:pPr>
                        <w:rPr>
                          <w:rFonts w:asciiTheme="minorBidi" w:hAnsiTheme="minorBidi"/>
                          <w:sz w:val="24"/>
                          <w:szCs w:val="24"/>
                        </w:rPr>
                      </w:pPr>
                      <w:r w:rsidRPr="005B22E9">
                        <w:rPr>
                          <w:rFonts w:asciiTheme="minorBidi" w:hAnsiTheme="minorBidi"/>
                          <w:sz w:val="24"/>
                          <w:szCs w:val="24"/>
                        </w:rPr>
                        <w:t>100 µm</w:t>
                      </w:r>
                    </w:p>
                  </w:txbxContent>
                </v:textbox>
                <w10:wrap type="square"/>
              </v:shape>
            </w:pict>
          </mc:Fallback>
        </mc:AlternateContent>
      </w:r>
    </w:p>
    <w:p w14:paraId="4A277D73" w14:textId="77777777" w:rsidR="00E84280" w:rsidRPr="000D1E77" w:rsidRDefault="00E84280" w:rsidP="00E84280">
      <w:pPr>
        <w:rPr>
          <w:rFonts w:ascii="Arial" w:hAnsi="Arial" w:cs="Arial"/>
        </w:rPr>
      </w:pPr>
      <w:r>
        <w:rPr>
          <w:rFonts w:ascii="Arial" w:hAnsi="Arial" w:cs="Arial"/>
          <w:noProof/>
          <w:lang w:eastAsia="zh-CN"/>
        </w:rPr>
        <mc:AlternateContent>
          <mc:Choice Requires="wps">
            <w:drawing>
              <wp:anchor distT="0" distB="0" distL="114300" distR="114300" simplePos="0" relativeHeight="251658455" behindDoc="0" locked="0" layoutInCell="1" allowOverlap="1" wp14:anchorId="50C24445" wp14:editId="145A4794">
                <wp:simplePos x="0" y="0"/>
                <wp:positionH relativeFrom="column">
                  <wp:posOffset>4595854</wp:posOffset>
                </wp:positionH>
                <wp:positionV relativeFrom="paragraph">
                  <wp:posOffset>165156</wp:posOffset>
                </wp:positionV>
                <wp:extent cx="787180" cy="0"/>
                <wp:effectExtent l="0" t="19050" r="32385" b="19050"/>
                <wp:wrapNone/>
                <wp:docPr id="312" name="Straight Connector 312"/>
                <wp:cNvGraphicFramePr/>
                <a:graphic xmlns:a="http://schemas.openxmlformats.org/drawingml/2006/main">
                  <a:graphicData uri="http://schemas.microsoft.com/office/word/2010/wordprocessingShape">
                    <wps:wsp>
                      <wps:cNvCnPr/>
                      <wps:spPr>
                        <a:xfrm>
                          <a:off x="0" y="0"/>
                          <a:ext cx="787180" cy="0"/>
                        </a:xfrm>
                        <a:prstGeom prst="line">
                          <a:avLst/>
                        </a:prstGeom>
                        <a:ln w="2857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FD16F9A" id="Straight Connector 312" o:spid="_x0000_s1026" style="position:absolute;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1.9pt,13pt" to="423.9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" strokecolor="black [3200]" strokeweight="2.25pt">
                <v:stroke joinstyle="miter"/>
              </v:line>
            </w:pict>
          </mc:Fallback>
        </mc:AlternateContent>
      </w:r>
    </w:p>
    <w:p w14:paraId="68048283" w14:textId="77777777" w:rsidR="00E84280" w:rsidRPr="000D1E77" w:rsidRDefault="00E84280" w:rsidP="00E84280">
      <w:pPr>
        <w:rPr>
          <w:rFonts w:ascii="Arial" w:hAnsi="Arial" w:cs="Arial"/>
        </w:rPr>
      </w:pPr>
    </w:p>
    <w:p w14:paraId="100FBE59" w14:textId="77777777" w:rsidR="00E84280" w:rsidRDefault="00E84280" w:rsidP="00E84280">
      <w:pPr>
        <w:rPr>
          <w:rFonts w:ascii="Arial" w:hAnsi="Arial" w:cs="Arial"/>
          <w:color w:val="595959" w:themeColor="text1" w:themeTint="A6"/>
        </w:rPr>
      </w:pPr>
    </w:p>
    <w:p w14:paraId="47061F3E" w14:textId="77777777" w:rsidR="00E84280" w:rsidRDefault="00E84280" w:rsidP="00E84280">
      <w:pPr>
        <w:rPr>
          <w:rFonts w:ascii="Arial" w:hAnsi="Arial" w:cs="Arial"/>
          <w:color w:val="595959" w:themeColor="text1" w:themeTint="A6"/>
        </w:rPr>
      </w:pPr>
      <w:r w:rsidRPr="00642F37">
        <w:rPr>
          <w:rFonts w:ascii="Arial" w:hAnsi="Arial" w:cs="Arial"/>
          <w:noProof/>
          <w:color w:val="595959" w:themeColor="text1" w:themeTint="A6"/>
          <w:sz w:val="24"/>
          <w:szCs w:val="24"/>
          <w:lang w:eastAsia="zh-CN"/>
        </w:rPr>
        <mc:AlternateContent>
          <mc:Choice Requires="wps">
            <w:drawing>
              <wp:anchor distT="0" distB="0" distL="114300" distR="114300" simplePos="0" relativeHeight="251658457" behindDoc="0" locked="0" layoutInCell="1" allowOverlap="1" wp14:anchorId="74800990" wp14:editId="6678A785">
                <wp:simplePos x="0" y="0"/>
                <wp:positionH relativeFrom="margin">
                  <wp:align>right</wp:align>
                </wp:positionH>
                <wp:positionV relativeFrom="paragraph">
                  <wp:posOffset>8200</wp:posOffset>
                </wp:positionV>
                <wp:extent cx="5724525" cy="803082"/>
                <wp:effectExtent l="0" t="0" r="9525" b="0"/>
                <wp:wrapNone/>
                <wp:docPr id="3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803082"/>
                        </a:xfrm>
                        <a:prstGeom prst="rect">
                          <a:avLst/>
                        </a:prstGeom>
                        <a:solidFill>
                          <a:srgbClr val="FFFFFF"/>
                        </a:solidFill>
                        <a:ln w="9525">
                          <a:noFill/>
                          <a:miter lim="800000"/>
                          <a:headEnd/>
                          <a:tailEnd/>
                        </a:ln>
                      </wps:spPr>
                      <wps:txbx>
                        <w:txbxContent>
                          <w:p w14:paraId="709BB12C" w14:textId="77777777" w:rsidR="008A47AC" w:rsidRDefault="008A47AC" w:rsidP="00E84280">
                            <w:pPr>
                              <w:pStyle w:val="NormalWeb"/>
                              <w:spacing w:after="200"/>
                              <w:jc w:val="both"/>
                            </w:pPr>
                            <w:r>
                              <w:rPr>
                                <w:rFonts w:ascii="Arial Narrow" w:eastAsia="SimSun" w:hAnsi="Arial Narrow" w:cs="Arial"/>
                                <w:b/>
                                <w:bCs/>
                                <w:color w:val="595959"/>
                                <w:kern w:val="24"/>
                                <w:sz w:val="22"/>
                                <w:szCs w:val="22"/>
                              </w:rPr>
                              <w:t>Figure 7.1 CAF contraction in TE-FDM</w:t>
                            </w:r>
                          </w:p>
                          <w:p w14:paraId="1FE8DCB9" w14:textId="744AC2F3" w:rsidR="008A47AC" w:rsidRPr="00C61619" w:rsidRDefault="008A47AC" w:rsidP="00E84280">
                            <w:pPr>
                              <w:pStyle w:val="NormalWeb"/>
                              <w:spacing w:after="200" w:line="276" w:lineRule="auto"/>
                              <w:jc w:val="both"/>
                              <w:rPr>
                                <w:rFonts w:ascii="Arial Narrow" w:eastAsia="SimSun" w:hAnsi="Arial Narrow" w:cs="Arial"/>
                                <w:color w:val="595959"/>
                                <w:kern w:val="24"/>
                                <w:sz w:val="22"/>
                                <w:szCs w:val="22"/>
                              </w:rPr>
                            </w:pPr>
                            <w:r>
                              <w:rPr>
                                <w:rFonts w:ascii="Arial Narrow" w:eastAsia="SimSun" w:hAnsi="Arial Narrow" w:cs="Arial"/>
                                <w:color w:val="595959"/>
                                <w:kern w:val="24"/>
                                <w:sz w:val="22"/>
                              </w:rPr>
                              <w:t xml:space="preserve">After 28-day culture, CAF-DM were stained using H&amp;E with a representative image showing evidence of contraction in culture. </w:t>
                            </w:r>
                            <w:r>
                              <w:rPr>
                                <w:rFonts w:ascii="Arial Narrow" w:eastAsia="SimSun" w:hAnsi="Arial Narrow" w:cs="Arial"/>
                                <w:color w:val="595959"/>
                                <w:kern w:val="24"/>
                                <w:sz w:val="22"/>
                                <w:szCs w:val="22"/>
                              </w:rPr>
                              <w:t>(N=1, n=2).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800990" id="_x0000_s1205" type="#_x0000_t202" style="position:absolute;margin-left:399.55pt;margin-top:.65pt;width:450.75pt;height:63.25pt;z-index:251658457;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" stroked="f">
                <v:textbox>
                  <w:txbxContent>
                    <w:p w14:paraId="709BB12C" w14:textId="77777777" w:rsidR="008A47AC" w:rsidRDefault="008A47AC" w:rsidP="00E84280">
                      <w:pPr>
                        <w:pStyle w:val="NormalWeb"/>
                        <w:spacing w:after="200"/>
                        <w:jc w:val="both"/>
                      </w:pPr>
                      <w:r>
                        <w:rPr>
                          <w:rFonts w:ascii="Arial Narrow" w:eastAsia="SimSun" w:hAnsi="Arial Narrow" w:cs="Arial"/>
                          <w:b/>
                          <w:bCs/>
                          <w:color w:val="595959"/>
                          <w:kern w:val="24"/>
                          <w:sz w:val="22"/>
                          <w:szCs w:val="22"/>
                        </w:rPr>
                        <w:t>Figure 7.1 CAF contraction in TE-FDM</w:t>
                      </w:r>
                    </w:p>
                    <w:p w14:paraId="1FE8DCB9" w14:textId="744AC2F3" w:rsidR="008A47AC" w:rsidRPr="00C61619" w:rsidRDefault="008A47AC" w:rsidP="00E84280">
                      <w:pPr>
                        <w:pStyle w:val="NormalWeb"/>
                        <w:spacing w:after="200" w:line="276" w:lineRule="auto"/>
                        <w:jc w:val="both"/>
                        <w:rPr>
                          <w:rFonts w:ascii="Arial Narrow" w:eastAsia="SimSun" w:hAnsi="Arial Narrow" w:cs="Arial"/>
                          <w:color w:val="595959"/>
                          <w:kern w:val="24"/>
                          <w:sz w:val="22"/>
                          <w:szCs w:val="22"/>
                        </w:rPr>
                      </w:pPr>
                      <w:r>
                        <w:rPr>
                          <w:rFonts w:ascii="Arial Narrow" w:eastAsia="SimSun" w:hAnsi="Arial Narrow" w:cs="Arial"/>
                          <w:color w:val="595959"/>
                          <w:kern w:val="24"/>
                          <w:sz w:val="22"/>
                        </w:rPr>
                        <w:t xml:space="preserve">After 28-day culture, CAF-DM were stained using H&amp;E with a representative image showing evidence of contraction in culture. </w:t>
                      </w:r>
                      <w:r>
                        <w:rPr>
                          <w:rFonts w:ascii="Arial Narrow" w:eastAsia="SimSun" w:hAnsi="Arial Narrow" w:cs="Arial"/>
                          <w:color w:val="595959"/>
                          <w:kern w:val="24"/>
                          <w:sz w:val="22"/>
                          <w:szCs w:val="22"/>
                        </w:rPr>
                        <w:t>(N=1, n=2).</w:t>
                      </w:r>
                    </w:p>
                  </w:txbxContent>
                </v:textbox>
                <w10:wrap anchorx="margin"/>
              </v:shape>
            </w:pict>
          </mc:Fallback>
        </mc:AlternateContent>
      </w:r>
    </w:p>
    <w:p w14:paraId="50E96F3B" w14:textId="77777777" w:rsidR="00E84280" w:rsidRDefault="00E84280" w:rsidP="00E84280">
      <w:pPr>
        <w:rPr>
          <w:rFonts w:ascii="Arial" w:hAnsi="Arial" w:cs="Arial"/>
          <w:color w:val="595959" w:themeColor="text1" w:themeTint="A6"/>
        </w:rPr>
      </w:pPr>
    </w:p>
    <w:p w14:paraId="265CFEE1" w14:textId="77777777" w:rsidR="00E84280" w:rsidRDefault="00E84280" w:rsidP="00E84280">
      <w:pPr>
        <w:rPr>
          <w:rFonts w:ascii="Arial" w:hAnsi="Arial" w:cs="Arial"/>
          <w:color w:val="595959" w:themeColor="text1" w:themeTint="A6"/>
        </w:rPr>
      </w:pPr>
    </w:p>
    <w:p w14:paraId="58AACC69" w14:textId="77777777" w:rsidR="00E84280" w:rsidRDefault="00E84280" w:rsidP="00E84280">
      <w:pPr>
        <w:rPr>
          <w:rFonts w:ascii="Arial" w:hAnsi="Arial" w:cs="Arial"/>
          <w:color w:val="595959" w:themeColor="text1" w:themeTint="A6"/>
        </w:rPr>
      </w:pPr>
    </w:p>
    <w:p w14:paraId="2B70CDB5" w14:textId="77777777" w:rsidR="00E84280" w:rsidRDefault="00E84280" w:rsidP="00E84280">
      <w:pPr>
        <w:rPr>
          <w:rFonts w:ascii="Arial" w:hAnsi="Arial" w:cs="Arial"/>
          <w:color w:val="595959" w:themeColor="text1" w:themeTint="A6"/>
        </w:rPr>
      </w:pPr>
    </w:p>
    <w:p w14:paraId="2190725F" w14:textId="77777777" w:rsidR="00E84280" w:rsidRDefault="00E84280" w:rsidP="00E84280">
      <w:pPr>
        <w:rPr>
          <w:rFonts w:ascii="Arial" w:hAnsi="Arial" w:cs="Arial"/>
          <w:color w:val="595959" w:themeColor="text1" w:themeTint="A6"/>
        </w:rPr>
      </w:pPr>
    </w:p>
    <w:p w14:paraId="3D806347" w14:textId="77777777" w:rsidR="00E84280" w:rsidRDefault="00E84280" w:rsidP="00E84280">
      <w:pPr>
        <w:rPr>
          <w:rFonts w:ascii="Arial" w:hAnsi="Arial" w:cs="Arial"/>
          <w:color w:val="595959" w:themeColor="text1" w:themeTint="A6"/>
        </w:rPr>
      </w:pPr>
    </w:p>
    <w:p w14:paraId="016D808D" w14:textId="77777777" w:rsidR="00E84280" w:rsidRDefault="00E84280" w:rsidP="00E84280">
      <w:pPr>
        <w:rPr>
          <w:rFonts w:ascii="Arial" w:hAnsi="Arial" w:cs="Arial"/>
          <w:color w:val="595959" w:themeColor="text1" w:themeTint="A6"/>
        </w:rPr>
      </w:pPr>
    </w:p>
    <w:p w14:paraId="60E947F5" w14:textId="77777777" w:rsidR="00E84280" w:rsidRDefault="00E84280" w:rsidP="00E84280">
      <w:pPr>
        <w:rPr>
          <w:rFonts w:ascii="Arial" w:hAnsi="Arial" w:cs="Arial"/>
          <w:color w:val="595959" w:themeColor="text1" w:themeTint="A6"/>
        </w:rPr>
      </w:pPr>
    </w:p>
    <w:p w14:paraId="707A7EAF" w14:textId="77777777" w:rsidR="00E84280" w:rsidRDefault="00E84280" w:rsidP="00E84280">
      <w:pPr>
        <w:rPr>
          <w:rFonts w:ascii="Arial" w:hAnsi="Arial" w:cs="Arial"/>
          <w:color w:val="595959" w:themeColor="text1" w:themeTint="A6"/>
        </w:rPr>
      </w:pPr>
    </w:p>
    <w:p w14:paraId="265AEE78" w14:textId="77777777" w:rsidR="00E84280" w:rsidRDefault="00E84280" w:rsidP="00E84280">
      <w:pPr>
        <w:rPr>
          <w:rFonts w:ascii="Arial" w:hAnsi="Arial" w:cs="Arial"/>
          <w:color w:val="595959" w:themeColor="text1" w:themeTint="A6"/>
        </w:rPr>
      </w:pPr>
    </w:p>
    <w:p w14:paraId="097B44D8" w14:textId="77777777" w:rsidR="00E84280" w:rsidRDefault="00E84280" w:rsidP="00E84280">
      <w:pPr>
        <w:rPr>
          <w:rFonts w:ascii="Arial" w:hAnsi="Arial" w:cs="Arial"/>
          <w:color w:val="595959" w:themeColor="text1" w:themeTint="A6"/>
        </w:rPr>
      </w:pPr>
    </w:p>
    <w:p w14:paraId="590CBE60" w14:textId="77777777" w:rsidR="00E84280" w:rsidRDefault="00E84280" w:rsidP="00E84280">
      <w:pPr>
        <w:rPr>
          <w:rFonts w:ascii="Arial" w:hAnsi="Arial" w:cs="Arial"/>
          <w:color w:val="595959" w:themeColor="text1" w:themeTint="A6"/>
        </w:rPr>
      </w:pPr>
    </w:p>
    <w:p w14:paraId="58F053A6" w14:textId="77777777" w:rsidR="00E84280" w:rsidRDefault="00E84280" w:rsidP="00E84280">
      <w:pPr>
        <w:rPr>
          <w:rFonts w:ascii="Arial" w:hAnsi="Arial" w:cs="Arial"/>
          <w:color w:val="595959" w:themeColor="text1" w:themeTint="A6"/>
        </w:rPr>
      </w:pPr>
      <w:r>
        <w:rPr>
          <w:rFonts w:ascii="Arial" w:hAnsi="Arial" w:cs="Arial"/>
          <w:color w:val="595959" w:themeColor="text1" w:themeTint="A6"/>
        </w:rPr>
        <w:t>Figure 7.2</w:t>
      </w:r>
    </w:p>
    <w:p w14:paraId="16C5DAED" w14:textId="77777777" w:rsidR="00E84280" w:rsidRDefault="00E84280" w:rsidP="00E84280">
      <w:pPr>
        <w:rPr>
          <w:rFonts w:ascii="Arial" w:hAnsi="Arial" w:cs="Arial"/>
          <w:color w:val="595959" w:themeColor="text1" w:themeTint="A6"/>
        </w:rPr>
      </w:pPr>
    </w:p>
    <w:p w14:paraId="3F6C84D9" w14:textId="77777777" w:rsidR="00E84280" w:rsidRDefault="00E84280" w:rsidP="00E84280">
      <w:pPr>
        <w:spacing w:line="480" w:lineRule="auto"/>
        <w:jc w:val="both"/>
        <w:rPr>
          <w:rFonts w:ascii="Arial" w:hAnsi="Arial" w:cs="Arial"/>
          <w:color w:val="595959" w:themeColor="text1" w:themeTint="A6"/>
        </w:rPr>
      </w:pPr>
      <w:r>
        <w:rPr>
          <w:rFonts w:ascii="Arial" w:hAnsi="Arial" w:cs="Arial"/>
          <w:color w:val="595959" w:themeColor="text1" w:themeTint="A6"/>
        </w:rPr>
        <w:t xml:space="preserve">After 24 hours no differences in cell attachment was observed for FNB6 cells seeded onto NOF-DM or CAF-DM with mean percentages of 97.04 ± 1.30% and 80.91 ± 11.86% respectively. </w:t>
      </w:r>
    </w:p>
    <w:p w14:paraId="41314F00" w14:textId="77777777" w:rsidR="00E84280" w:rsidRPr="00707627" w:rsidRDefault="00E84280" w:rsidP="00E84280">
      <w:pPr>
        <w:spacing w:line="480" w:lineRule="auto"/>
        <w:jc w:val="both"/>
        <w:rPr>
          <w:rFonts w:ascii="Arial" w:hAnsi="Arial" w:cs="Arial"/>
          <w:color w:val="595959" w:themeColor="text1" w:themeTint="A6"/>
        </w:rPr>
      </w:pPr>
      <w:r>
        <w:rPr>
          <w:rFonts w:ascii="Arial" w:hAnsi="Arial" w:cs="Arial"/>
          <w:color w:val="595959" w:themeColor="text1" w:themeTint="A6"/>
        </w:rPr>
        <w:t xml:space="preserve">No significant differences were observed for H357 seeded onto NOF-DM, but cell attachment significantly reduced when H357 were seeded onto CAF-DM. Showing a reduced percentage to 68.16 ± 6.36%, p=0.0197. </w:t>
      </w:r>
    </w:p>
    <w:p w14:paraId="1BB0887F" w14:textId="77777777" w:rsidR="00E84280" w:rsidRDefault="00E84280" w:rsidP="00E84280">
      <w:pPr>
        <w:rPr>
          <w:rFonts w:ascii="Arial" w:hAnsi="Arial" w:cs="Arial"/>
          <w:color w:val="595959" w:themeColor="text1" w:themeTint="A6"/>
        </w:rPr>
      </w:pPr>
    </w:p>
    <w:p w14:paraId="5E712D47" w14:textId="77777777" w:rsidR="00E84280" w:rsidRDefault="00E84280" w:rsidP="00E84280">
      <w:pPr>
        <w:rPr>
          <w:rFonts w:ascii="Arial" w:hAnsi="Arial" w:cs="Arial"/>
          <w:color w:val="595959" w:themeColor="text1" w:themeTint="A6"/>
        </w:rPr>
      </w:pPr>
    </w:p>
    <w:p w14:paraId="36E2DF06" w14:textId="77777777" w:rsidR="00E84280" w:rsidRDefault="00E84280" w:rsidP="00E84280">
      <w:pPr>
        <w:rPr>
          <w:rFonts w:ascii="Arial" w:hAnsi="Arial" w:cs="Arial"/>
          <w:color w:val="595959" w:themeColor="text1" w:themeTint="A6"/>
        </w:rPr>
      </w:pPr>
      <w:r>
        <w:rPr>
          <w:rFonts w:ascii="Arial" w:hAnsi="Arial" w:cs="Arial"/>
          <w:noProof/>
          <w:lang w:eastAsia="zh-CN"/>
        </w:rPr>
        <w:drawing>
          <wp:anchor distT="0" distB="0" distL="114300" distR="114300" simplePos="0" relativeHeight="251658451" behindDoc="0" locked="0" layoutInCell="1" allowOverlap="1" wp14:anchorId="4CE8E4BD" wp14:editId="3DBF8058">
            <wp:simplePos x="0" y="0"/>
            <wp:positionH relativeFrom="margin">
              <wp:align>center</wp:align>
            </wp:positionH>
            <wp:positionV relativeFrom="paragraph">
              <wp:posOffset>45803</wp:posOffset>
            </wp:positionV>
            <wp:extent cx="4170045" cy="2755900"/>
            <wp:effectExtent l="0" t="0" r="0" b="0"/>
            <wp:wrapNone/>
            <wp:docPr id="5285" name="Picture 5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4170045" cy="2755900"/>
                    </a:xfrm>
                    <a:prstGeom prst="rect">
                      <a:avLst/>
                    </a:prstGeom>
                    <a:noFill/>
                  </pic:spPr>
                </pic:pic>
              </a:graphicData>
            </a:graphic>
          </wp:anchor>
        </w:drawing>
      </w:r>
    </w:p>
    <w:p w14:paraId="3892C80A" w14:textId="77777777" w:rsidR="00E84280" w:rsidRDefault="00E84280" w:rsidP="00E84280">
      <w:pPr>
        <w:rPr>
          <w:rFonts w:ascii="Arial" w:hAnsi="Arial" w:cs="Arial"/>
          <w:color w:val="595959" w:themeColor="text1" w:themeTint="A6"/>
        </w:rPr>
      </w:pPr>
    </w:p>
    <w:p w14:paraId="7210FFD2" w14:textId="77777777" w:rsidR="00E84280" w:rsidRDefault="00E84280" w:rsidP="00E84280">
      <w:pPr>
        <w:rPr>
          <w:rFonts w:ascii="Arial" w:hAnsi="Arial" w:cs="Arial"/>
          <w:color w:val="595959" w:themeColor="text1" w:themeTint="A6"/>
        </w:rPr>
      </w:pPr>
    </w:p>
    <w:p w14:paraId="1133137A" w14:textId="77777777" w:rsidR="00E84280" w:rsidRDefault="00E84280" w:rsidP="00E84280">
      <w:pPr>
        <w:rPr>
          <w:rFonts w:ascii="Arial" w:hAnsi="Arial" w:cs="Arial"/>
          <w:color w:val="595959" w:themeColor="text1" w:themeTint="A6"/>
        </w:rPr>
      </w:pPr>
    </w:p>
    <w:p w14:paraId="6F7EF048" w14:textId="77777777" w:rsidR="00E84280" w:rsidRDefault="00E84280" w:rsidP="00E84280">
      <w:pPr>
        <w:rPr>
          <w:rFonts w:ascii="Arial" w:hAnsi="Arial" w:cs="Arial"/>
          <w:color w:val="595959" w:themeColor="text1" w:themeTint="A6"/>
        </w:rPr>
      </w:pPr>
    </w:p>
    <w:p w14:paraId="73D4E680" w14:textId="77777777" w:rsidR="00E84280" w:rsidRDefault="00E84280" w:rsidP="00E84280">
      <w:pPr>
        <w:rPr>
          <w:rFonts w:ascii="Arial" w:hAnsi="Arial" w:cs="Arial"/>
          <w:color w:val="595959" w:themeColor="text1" w:themeTint="A6"/>
        </w:rPr>
      </w:pPr>
    </w:p>
    <w:p w14:paraId="499BAF84" w14:textId="77777777" w:rsidR="00E84280" w:rsidRDefault="00E84280" w:rsidP="00E84280">
      <w:pPr>
        <w:rPr>
          <w:rFonts w:ascii="Arial" w:hAnsi="Arial" w:cs="Arial"/>
          <w:color w:val="595959" w:themeColor="text1" w:themeTint="A6"/>
        </w:rPr>
      </w:pPr>
    </w:p>
    <w:p w14:paraId="74A92DE5" w14:textId="77777777" w:rsidR="00E84280" w:rsidRDefault="00E84280" w:rsidP="00E84280">
      <w:pPr>
        <w:rPr>
          <w:rFonts w:ascii="Arial" w:hAnsi="Arial" w:cs="Arial"/>
          <w:color w:val="595959" w:themeColor="text1" w:themeTint="A6"/>
        </w:rPr>
      </w:pPr>
    </w:p>
    <w:p w14:paraId="1952AD52" w14:textId="77777777" w:rsidR="00E84280" w:rsidRDefault="00E84280" w:rsidP="00E84280">
      <w:pPr>
        <w:rPr>
          <w:rFonts w:ascii="Arial" w:hAnsi="Arial" w:cs="Arial"/>
          <w:color w:val="595959" w:themeColor="text1" w:themeTint="A6"/>
        </w:rPr>
      </w:pPr>
    </w:p>
    <w:p w14:paraId="13CFD179" w14:textId="77777777" w:rsidR="00E84280" w:rsidRDefault="00E84280" w:rsidP="00E84280">
      <w:pPr>
        <w:rPr>
          <w:rFonts w:ascii="Arial" w:hAnsi="Arial" w:cs="Arial"/>
          <w:color w:val="595959" w:themeColor="text1" w:themeTint="A6"/>
        </w:rPr>
      </w:pPr>
    </w:p>
    <w:p w14:paraId="26A3C8A7" w14:textId="77777777" w:rsidR="00E84280" w:rsidRDefault="00E84280" w:rsidP="00E84280">
      <w:pPr>
        <w:rPr>
          <w:rFonts w:ascii="Arial" w:hAnsi="Arial" w:cs="Arial"/>
          <w:color w:val="595959" w:themeColor="text1" w:themeTint="A6"/>
        </w:rPr>
      </w:pPr>
    </w:p>
    <w:p w14:paraId="74558342" w14:textId="77777777" w:rsidR="00E84280" w:rsidRDefault="00E84280" w:rsidP="00E84280">
      <w:pPr>
        <w:rPr>
          <w:rFonts w:ascii="Arial" w:hAnsi="Arial" w:cs="Arial"/>
          <w:color w:val="595959" w:themeColor="text1" w:themeTint="A6"/>
        </w:rPr>
      </w:pPr>
      <w:r w:rsidRPr="00642F37">
        <w:rPr>
          <w:rFonts w:ascii="Arial" w:hAnsi="Arial" w:cs="Arial"/>
          <w:noProof/>
          <w:color w:val="595959" w:themeColor="text1" w:themeTint="A6"/>
          <w:sz w:val="24"/>
          <w:szCs w:val="24"/>
          <w:lang w:eastAsia="zh-CN"/>
        </w:rPr>
        <mc:AlternateContent>
          <mc:Choice Requires="wps">
            <w:drawing>
              <wp:anchor distT="0" distB="0" distL="114300" distR="114300" simplePos="0" relativeHeight="251658458" behindDoc="0" locked="0" layoutInCell="1" allowOverlap="1" wp14:anchorId="06DCE861" wp14:editId="76AB8070">
                <wp:simplePos x="0" y="0"/>
                <wp:positionH relativeFrom="margin">
                  <wp:align>right</wp:align>
                </wp:positionH>
                <wp:positionV relativeFrom="paragraph">
                  <wp:posOffset>275830</wp:posOffset>
                </wp:positionV>
                <wp:extent cx="5724525" cy="901460"/>
                <wp:effectExtent l="0" t="0" r="9525" b="0"/>
                <wp:wrapNone/>
                <wp:docPr id="3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901460"/>
                        </a:xfrm>
                        <a:prstGeom prst="rect">
                          <a:avLst/>
                        </a:prstGeom>
                        <a:solidFill>
                          <a:srgbClr val="FFFFFF"/>
                        </a:solidFill>
                        <a:ln w="9525">
                          <a:noFill/>
                          <a:miter lim="800000"/>
                          <a:headEnd/>
                          <a:tailEnd/>
                        </a:ln>
                      </wps:spPr>
                      <wps:txbx>
                        <w:txbxContent>
                          <w:p w14:paraId="16A5F1A9" w14:textId="77777777" w:rsidR="008A47AC" w:rsidRPr="005B22E9" w:rsidRDefault="008A47AC" w:rsidP="00E84280">
                            <w:pPr>
                              <w:pStyle w:val="NormalWeb"/>
                              <w:spacing w:after="200"/>
                              <w:jc w:val="both"/>
                              <w:rPr>
                                <w:rFonts w:ascii="Arial Narrow" w:eastAsia="SimSun" w:hAnsi="Arial Narrow" w:cs="Arial"/>
                                <w:b/>
                                <w:bCs/>
                                <w:color w:val="595959"/>
                                <w:kern w:val="24"/>
                                <w:sz w:val="22"/>
                                <w:szCs w:val="22"/>
                              </w:rPr>
                            </w:pPr>
                            <w:r>
                              <w:rPr>
                                <w:rFonts w:ascii="Arial Narrow" w:eastAsia="SimSun" w:hAnsi="Arial Narrow" w:cs="Arial"/>
                                <w:b/>
                                <w:bCs/>
                                <w:color w:val="595959"/>
                                <w:kern w:val="24"/>
                                <w:sz w:val="22"/>
                                <w:szCs w:val="22"/>
                              </w:rPr>
                              <w:t>Figure 7.2 Keratinocyte adhesion onto NOF- and CAF-DM</w:t>
                            </w:r>
                          </w:p>
                          <w:p w14:paraId="7734A267" w14:textId="77777777" w:rsidR="008A47AC" w:rsidRPr="00C61619" w:rsidRDefault="008A47AC" w:rsidP="00E84280">
                            <w:pPr>
                              <w:pStyle w:val="NormalWeb"/>
                              <w:spacing w:after="200" w:line="276" w:lineRule="auto"/>
                              <w:jc w:val="both"/>
                              <w:rPr>
                                <w:rFonts w:ascii="Arial Narrow" w:eastAsia="SimSun" w:hAnsi="Arial Narrow" w:cs="Arial"/>
                                <w:color w:val="595959"/>
                                <w:kern w:val="24"/>
                                <w:sz w:val="22"/>
                                <w:szCs w:val="22"/>
                              </w:rPr>
                            </w:pPr>
                            <w:r>
                              <w:rPr>
                                <w:rFonts w:ascii="Arial Narrow" w:eastAsia="SimSun" w:hAnsi="Arial Narrow" w:cs="Arial"/>
                                <w:color w:val="595959"/>
                                <w:kern w:val="24"/>
                                <w:sz w:val="22"/>
                              </w:rPr>
                              <w:t xml:space="preserve">Normal (FNB6) and OSCC (H357) keratinocytes were seeded onto NOF- and CAF-DM and the % of adherent cells after 24 h determined. Data is presented as mean ±SD </w:t>
                            </w:r>
                            <w:r>
                              <w:rPr>
                                <w:rFonts w:ascii="Arial Narrow" w:eastAsia="SimSun" w:hAnsi="Arial Narrow" w:cs="Arial"/>
                                <w:color w:val="595959"/>
                                <w:kern w:val="24"/>
                                <w:sz w:val="22"/>
                                <w:szCs w:val="22"/>
                              </w:rPr>
                              <w:t>(N=3, n=3) as analysed by Kruskal-Wallis with Dunn’s multiple comparison test.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DCE861" id="_x0000_s1206" type="#_x0000_t202" style="position:absolute;margin-left:399.55pt;margin-top:21.7pt;width:450.75pt;height:71pt;z-index:25165845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" stroked="f">
                <v:textbox>
                  <w:txbxContent>
                    <w:p w14:paraId="16A5F1A9" w14:textId="77777777" w:rsidR="008A47AC" w:rsidRPr="005B22E9" w:rsidRDefault="008A47AC" w:rsidP="00E84280">
                      <w:pPr>
                        <w:pStyle w:val="NormalWeb"/>
                        <w:spacing w:after="200"/>
                        <w:jc w:val="both"/>
                        <w:rPr>
                          <w:rFonts w:ascii="Arial Narrow" w:eastAsia="SimSun" w:hAnsi="Arial Narrow" w:cs="Arial"/>
                          <w:b/>
                          <w:bCs/>
                          <w:color w:val="595959"/>
                          <w:kern w:val="24"/>
                          <w:sz w:val="22"/>
                          <w:szCs w:val="22"/>
                        </w:rPr>
                      </w:pPr>
                      <w:r>
                        <w:rPr>
                          <w:rFonts w:ascii="Arial Narrow" w:eastAsia="SimSun" w:hAnsi="Arial Narrow" w:cs="Arial"/>
                          <w:b/>
                          <w:bCs/>
                          <w:color w:val="595959"/>
                          <w:kern w:val="24"/>
                          <w:sz w:val="22"/>
                          <w:szCs w:val="22"/>
                        </w:rPr>
                        <w:t>Figure 7.2 Keratinocyte adhesion onto NOF- and CAF-DM</w:t>
                      </w:r>
                    </w:p>
                    <w:p w14:paraId="7734A267" w14:textId="77777777" w:rsidR="008A47AC" w:rsidRPr="00C61619" w:rsidRDefault="008A47AC" w:rsidP="00E84280">
                      <w:pPr>
                        <w:pStyle w:val="NormalWeb"/>
                        <w:spacing w:after="200" w:line="276" w:lineRule="auto"/>
                        <w:jc w:val="both"/>
                        <w:rPr>
                          <w:rFonts w:ascii="Arial Narrow" w:eastAsia="SimSun" w:hAnsi="Arial Narrow" w:cs="Arial"/>
                          <w:color w:val="595959"/>
                          <w:kern w:val="24"/>
                          <w:sz w:val="22"/>
                          <w:szCs w:val="22"/>
                        </w:rPr>
                      </w:pPr>
                      <w:r>
                        <w:rPr>
                          <w:rFonts w:ascii="Arial Narrow" w:eastAsia="SimSun" w:hAnsi="Arial Narrow" w:cs="Arial"/>
                          <w:color w:val="595959"/>
                          <w:kern w:val="24"/>
                          <w:sz w:val="22"/>
                        </w:rPr>
                        <w:t xml:space="preserve">Normal (FNB6) and OSCC (H357) keratinocytes were seeded onto NOF- and CAF-DM and the % of adherent cells after 24 h determined. Data is presented as mean ±SD </w:t>
                      </w:r>
                      <w:r>
                        <w:rPr>
                          <w:rFonts w:ascii="Arial Narrow" w:eastAsia="SimSun" w:hAnsi="Arial Narrow" w:cs="Arial"/>
                          <w:color w:val="595959"/>
                          <w:kern w:val="24"/>
                          <w:sz w:val="22"/>
                          <w:szCs w:val="22"/>
                        </w:rPr>
                        <w:t>(N=3, n=3) as analysed by Kruskal-Wallis with Dunn’s multiple comparison test.</w:t>
                      </w:r>
                    </w:p>
                  </w:txbxContent>
                </v:textbox>
                <w10:wrap anchorx="margin"/>
              </v:shape>
            </w:pict>
          </mc:Fallback>
        </mc:AlternateContent>
      </w:r>
    </w:p>
    <w:p w14:paraId="0F997DF4" w14:textId="77777777" w:rsidR="00E84280" w:rsidRDefault="00E84280" w:rsidP="00E84280">
      <w:pPr>
        <w:rPr>
          <w:rFonts w:ascii="Arial" w:hAnsi="Arial" w:cs="Arial"/>
          <w:color w:val="595959" w:themeColor="text1" w:themeTint="A6"/>
        </w:rPr>
      </w:pPr>
    </w:p>
    <w:p w14:paraId="0E81C09A" w14:textId="77777777" w:rsidR="00E84280" w:rsidRDefault="00E84280" w:rsidP="00E84280">
      <w:pPr>
        <w:rPr>
          <w:rFonts w:ascii="Arial" w:hAnsi="Arial" w:cs="Arial"/>
          <w:color w:val="595959" w:themeColor="text1" w:themeTint="A6"/>
        </w:rPr>
      </w:pPr>
    </w:p>
    <w:p w14:paraId="22C687F3" w14:textId="77777777" w:rsidR="00E84280" w:rsidRDefault="00E84280" w:rsidP="00E84280">
      <w:pPr>
        <w:rPr>
          <w:rFonts w:ascii="Arial" w:hAnsi="Arial" w:cs="Arial"/>
          <w:color w:val="595959" w:themeColor="text1" w:themeTint="A6"/>
        </w:rPr>
      </w:pPr>
    </w:p>
    <w:p w14:paraId="355A2B00" w14:textId="77777777" w:rsidR="00E84280" w:rsidRDefault="00E84280" w:rsidP="00E84280">
      <w:pPr>
        <w:rPr>
          <w:rFonts w:ascii="Arial" w:hAnsi="Arial" w:cs="Arial"/>
          <w:color w:val="595959" w:themeColor="text1" w:themeTint="A6"/>
        </w:rPr>
      </w:pPr>
    </w:p>
    <w:p w14:paraId="5F3081E7" w14:textId="77777777" w:rsidR="00E84280" w:rsidRDefault="00E84280" w:rsidP="00E84280">
      <w:pPr>
        <w:rPr>
          <w:rFonts w:ascii="Arial" w:hAnsi="Arial" w:cs="Arial"/>
          <w:color w:val="595959" w:themeColor="text1" w:themeTint="A6"/>
        </w:rPr>
      </w:pPr>
    </w:p>
    <w:p w14:paraId="62F47221" w14:textId="77777777" w:rsidR="00E84280" w:rsidRDefault="00E84280" w:rsidP="00E84280">
      <w:pPr>
        <w:rPr>
          <w:rFonts w:ascii="Arial" w:hAnsi="Arial" w:cs="Arial"/>
          <w:color w:val="595959" w:themeColor="text1" w:themeTint="A6"/>
        </w:rPr>
      </w:pPr>
    </w:p>
    <w:p w14:paraId="56CB3574" w14:textId="77777777" w:rsidR="00E84280" w:rsidRDefault="00E84280" w:rsidP="00E84280">
      <w:pPr>
        <w:rPr>
          <w:rFonts w:ascii="Arial" w:hAnsi="Arial" w:cs="Arial"/>
          <w:color w:val="595959" w:themeColor="text1" w:themeTint="A6"/>
        </w:rPr>
      </w:pPr>
    </w:p>
    <w:p w14:paraId="4CCE7855" w14:textId="77777777" w:rsidR="00E84280" w:rsidRDefault="00E84280" w:rsidP="00E84280">
      <w:pPr>
        <w:rPr>
          <w:rFonts w:ascii="Arial" w:hAnsi="Arial" w:cs="Arial"/>
          <w:color w:val="595959" w:themeColor="text1" w:themeTint="A6"/>
        </w:rPr>
      </w:pPr>
    </w:p>
    <w:p w14:paraId="27EB42E0" w14:textId="77777777" w:rsidR="00E84280" w:rsidRDefault="00E84280" w:rsidP="00E84280">
      <w:pPr>
        <w:rPr>
          <w:rFonts w:ascii="Arial" w:hAnsi="Arial" w:cs="Arial"/>
          <w:color w:val="595959" w:themeColor="text1" w:themeTint="A6"/>
        </w:rPr>
      </w:pPr>
      <w:r>
        <w:rPr>
          <w:rFonts w:ascii="Arial" w:hAnsi="Arial" w:cs="Arial"/>
          <w:color w:val="595959" w:themeColor="text1" w:themeTint="A6"/>
        </w:rPr>
        <w:t>Figure7.3</w:t>
      </w:r>
    </w:p>
    <w:p w14:paraId="077157BB" w14:textId="77777777" w:rsidR="00E84280" w:rsidRDefault="00E84280" w:rsidP="00E84280">
      <w:pPr>
        <w:rPr>
          <w:rFonts w:ascii="Arial" w:hAnsi="Arial" w:cs="Arial"/>
          <w:color w:val="595959" w:themeColor="text1" w:themeTint="A6"/>
        </w:rPr>
      </w:pPr>
    </w:p>
    <w:p w14:paraId="223F57EF" w14:textId="77777777" w:rsidR="00E84280" w:rsidRPr="004E06B5" w:rsidRDefault="00E84280" w:rsidP="00E84280">
      <w:pPr>
        <w:tabs>
          <w:tab w:val="left" w:pos="1350"/>
        </w:tabs>
        <w:spacing w:line="480" w:lineRule="auto"/>
        <w:jc w:val="both"/>
        <w:rPr>
          <w:rFonts w:ascii="Arial" w:hAnsi="Arial" w:cs="Arial"/>
          <w:color w:val="595959" w:themeColor="text1" w:themeTint="A6"/>
        </w:rPr>
      </w:pPr>
      <w:r w:rsidRPr="004E06B5">
        <w:rPr>
          <w:rFonts w:ascii="Arial" w:hAnsi="Arial" w:cs="Arial"/>
          <w:color w:val="595959" w:themeColor="text1" w:themeTint="A6"/>
        </w:rPr>
        <w:t xml:space="preserve">Increased proliferation was observed between </w:t>
      </w:r>
      <w:r>
        <w:rPr>
          <w:rFonts w:ascii="Arial" w:hAnsi="Arial" w:cs="Arial"/>
          <w:color w:val="595959" w:themeColor="text1" w:themeTint="A6"/>
        </w:rPr>
        <w:t xml:space="preserve">H357 and FNB6 cells. FNB6 proliferated significantly more on CAF-DM than NOF-DM, p=0.0048. </w:t>
      </w:r>
      <w:r w:rsidRPr="004E06B5">
        <w:rPr>
          <w:rFonts w:ascii="Arial" w:hAnsi="Arial" w:cs="Arial"/>
          <w:color w:val="595959" w:themeColor="text1" w:themeTint="A6"/>
        </w:rPr>
        <w:t xml:space="preserve">H357 on NOF- and CAF-DM were </w:t>
      </w:r>
      <w:r>
        <w:rPr>
          <w:rFonts w:ascii="Arial" w:hAnsi="Arial" w:cs="Arial"/>
          <w:color w:val="595959" w:themeColor="text1" w:themeTint="A6"/>
        </w:rPr>
        <w:t xml:space="preserve">also </w:t>
      </w:r>
      <w:r w:rsidRPr="004E06B5">
        <w:rPr>
          <w:rFonts w:ascii="Arial" w:hAnsi="Arial" w:cs="Arial"/>
          <w:color w:val="595959" w:themeColor="text1" w:themeTint="A6"/>
        </w:rPr>
        <w:t>significantly increased compared to FNB6 on NOF-DM, with a p=0.0268 for H357 on NOF-DM and p=0.001 for H357 on CAF-DM</w:t>
      </w:r>
      <w:r>
        <w:rPr>
          <w:rFonts w:ascii="Arial" w:hAnsi="Arial" w:cs="Arial"/>
          <w:color w:val="595959" w:themeColor="text1" w:themeTint="A6"/>
        </w:rPr>
        <w:t>.</w:t>
      </w:r>
    </w:p>
    <w:p w14:paraId="731D2BBC" w14:textId="77777777" w:rsidR="00E84280" w:rsidRDefault="00E84280" w:rsidP="00E84280">
      <w:pPr>
        <w:rPr>
          <w:rFonts w:ascii="Arial" w:hAnsi="Arial" w:cs="Arial"/>
          <w:color w:val="595959" w:themeColor="text1" w:themeTint="A6"/>
        </w:rPr>
      </w:pPr>
    </w:p>
    <w:p w14:paraId="4123C92D" w14:textId="77777777" w:rsidR="00E84280" w:rsidRDefault="00E84280" w:rsidP="00E84280">
      <w:pPr>
        <w:rPr>
          <w:rFonts w:ascii="Arial" w:hAnsi="Arial" w:cs="Arial"/>
          <w:color w:val="595959" w:themeColor="text1" w:themeTint="A6"/>
        </w:rPr>
      </w:pPr>
    </w:p>
    <w:p w14:paraId="14E9A32F" w14:textId="77777777" w:rsidR="00E84280" w:rsidRDefault="00E84280" w:rsidP="00E84280">
      <w:pPr>
        <w:rPr>
          <w:rFonts w:ascii="Arial" w:hAnsi="Arial" w:cs="Arial"/>
          <w:color w:val="595959" w:themeColor="text1" w:themeTint="A6"/>
        </w:rPr>
      </w:pPr>
    </w:p>
    <w:p w14:paraId="622601C3" w14:textId="77777777" w:rsidR="00E84280" w:rsidRDefault="00E84280" w:rsidP="00E84280">
      <w:pPr>
        <w:rPr>
          <w:rFonts w:ascii="Arial" w:hAnsi="Arial" w:cs="Arial"/>
          <w:color w:val="595959" w:themeColor="text1" w:themeTint="A6"/>
        </w:rPr>
      </w:pPr>
    </w:p>
    <w:p w14:paraId="671E7ED0" w14:textId="77777777" w:rsidR="00E84280" w:rsidRDefault="00E84280" w:rsidP="00E84280">
      <w:pPr>
        <w:rPr>
          <w:rFonts w:ascii="Arial" w:hAnsi="Arial" w:cs="Arial"/>
          <w:color w:val="595959" w:themeColor="text1" w:themeTint="A6"/>
        </w:rPr>
      </w:pPr>
      <w:r>
        <w:rPr>
          <w:rFonts w:ascii="Arial" w:hAnsi="Arial" w:cs="Arial"/>
          <w:noProof/>
          <w:lang w:eastAsia="zh-CN"/>
        </w:rPr>
        <w:drawing>
          <wp:anchor distT="0" distB="0" distL="114300" distR="114300" simplePos="0" relativeHeight="251658453" behindDoc="0" locked="0" layoutInCell="1" allowOverlap="1" wp14:anchorId="12F6E36A" wp14:editId="2C6B4C0A">
            <wp:simplePos x="0" y="0"/>
            <wp:positionH relativeFrom="margin">
              <wp:align>center</wp:align>
            </wp:positionH>
            <wp:positionV relativeFrom="paragraph">
              <wp:posOffset>10795</wp:posOffset>
            </wp:positionV>
            <wp:extent cx="4383405" cy="2877820"/>
            <wp:effectExtent l="0" t="0" r="0" b="0"/>
            <wp:wrapNone/>
            <wp:docPr id="5286" name="Picture 5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4383405" cy="2877820"/>
                    </a:xfrm>
                    <a:prstGeom prst="rect">
                      <a:avLst/>
                    </a:prstGeom>
                    <a:noFill/>
                  </pic:spPr>
                </pic:pic>
              </a:graphicData>
            </a:graphic>
          </wp:anchor>
        </w:drawing>
      </w:r>
    </w:p>
    <w:p w14:paraId="17F3DDC3" w14:textId="77777777" w:rsidR="00E84280" w:rsidRDefault="00E84280" w:rsidP="00E84280">
      <w:pPr>
        <w:rPr>
          <w:rFonts w:ascii="Arial" w:hAnsi="Arial" w:cs="Arial"/>
          <w:color w:val="595959" w:themeColor="text1" w:themeTint="A6"/>
        </w:rPr>
      </w:pPr>
    </w:p>
    <w:p w14:paraId="018F4069" w14:textId="77777777" w:rsidR="00E84280" w:rsidRDefault="00E84280" w:rsidP="00E84280">
      <w:pPr>
        <w:rPr>
          <w:rFonts w:ascii="Arial" w:hAnsi="Arial" w:cs="Arial"/>
          <w:color w:val="595959" w:themeColor="text1" w:themeTint="A6"/>
        </w:rPr>
      </w:pPr>
    </w:p>
    <w:p w14:paraId="6FA6A2F4" w14:textId="77777777" w:rsidR="00E84280" w:rsidRDefault="00E84280" w:rsidP="00E84280">
      <w:pPr>
        <w:rPr>
          <w:rFonts w:ascii="Arial" w:hAnsi="Arial" w:cs="Arial"/>
          <w:color w:val="595959" w:themeColor="text1" w:themeTint="A6"/>
        </w:rPr>
      </w:pPr>
    </w:p>
    <w:p w14:paraId="66C66E4A" w14:textId="77777777" w:rsidR="00E84280" w:rsidRDefault="00E84280" w:rsidP="00E84280">
      <w:pPr>
        <w:rPr>
          <w:rFonts w:ascii="Arial" w:hAnsi="Arial" w:cs="Arial"/>
          <w:color w:val="595959" w:themeColor="text1" w:themeTint="A6"/>
        </w:rPr>
      </w:pPr>
    </w:p>
    <w:p w14:paraId="6581F7CE" w14:textId="77777777" w:rsidR="00E84280" w:rsidRDefault="00E84280" w:rsidP="00E84280">
      <w:pPr>
        <w:rPr>
          <w:rFonts w:ascii="Arial" w:hAnsi="Arial" w:cs="Arial"/>
          <w:color w:val="595959" w:themeColor="text1" w:themeTint="A6"/>
        </w:rPr>
      </w:pPr>
    </w:p>
    <w:p w14:paraId="460C7B64" w14:textId="77777777" w:rsidR="00E84280" w:rsidRDefault="00E84280" w:rsidP="00E84280">
      <w:pPr>
        <w:rPr>
          <w:rFonts w:ascii="Arial" w:hAnsi="Arial" w:cs="Arial"/>
          <w:color w:val="595959" w:themeColor="text1" w:themeTint="A6"/>
        </w:rPr>
      </w:pPr>
    </w:p>
    <w:p w14:paraId="67E69832" w14:textId="77777777" w:rsidR="00E84280" w:rsidRDefault="00E84280" w:rsidP="00E84280">
      <w:pPr>
        <w:rPr>
          <w:rFonts w:ascii="Arial" w:hAnsi="Arial" w:cs="Arial"/>
          <w:color w:val="595959" w:themeColor="text1" w:themeTint="A6"/>
        </w:rPr>
      </w:pPr>
    </w:p>
    <w:p w14:paraId="1469B372" w14:textId="77777777" w:rsidR="00E84280" w:rsidRDefault="00E84280" w:rsidP="00E84280">
      <w:pPr>
        <w:rPr>
          <w:rFonts w:ascii="Arial" w:hAnsi="Arial" w:cs="Arial"/>
          <w:color w:val="595959" w:themeColor="text1" w:themeTint="A6"/>
        </w:rPr>
      </w:pPr>
    </w:p>
    <w:p w14:paraId="3615EADD" w14:textId="77777777" w:rsidR="00E84280" w:rsidRDefault="00E84280" w:rsidP="00E84280">
      <w:pPr>
        <w:rPr>
          <w:rFonts w:ascii="Arial" w:hAnsi="Arial" w:cs="Arial"/>
          <w:color w:val="595959" w:themeColor="text1" w:themeTint="A6"/>
        </w:rPr>
      </w:pPr>
    </w:p>
    <w:p w14:paraId="01E000F2" w14:textId="77777777" w:rsidR="00E84280" w:rsidRDefault="00E84280" w:rsidP="00E84280">
      <w:pPr>
        <w:rPr>
          <w:rFonts w:ascii="Arial" w:hAnsi="Arial" w:cs="Arial"/>
          <w:color w:val="595959" w:themeColor="text1" w:themeTint="A6"/>
        </w:rPr>
      </w:pPr>
    </w:p>
    <w:p w14:paraId="09910388" w14:textId="77777777" w:rsidR="00E84280" w:rsidRDefault="00E84280" w:rsidP="00E84280">
      <w:pPr>
        <w:rPr>
          <w:rFonts w:ascii="Arial" w:hAnsi="Arial" w:cs="Arial"/>
          <w:color w:val="595959" w:themeColor="text1" w:themeTint="A6"/>
        </w:rPr>
      </w:pPr>
    </w:p>
    <w:p w14:paraId="1B41340E" w14:textId="77777777" w:rsidR="00E84280" w:rsidRDefault="00E84280" w:rsidP="00E84280">
      <w:pPr>
        <w:rPr>
          <w:rFonts w:ascii="Arial" w:hAnsi="Arial" w:cs="Arial"/>
          <w:color w:val="595959" w:themeColor="text1" w:themeTint="A6"/>
        </w:rPr>
      </w:pPr>
    </w:p>
    <w:p w14:paraId="2F76B7AC" w14:textId="77777777" w:rsidR="00E84280" w:rsidRDefault="00E84280" w:rsidP="00E84280">
      <w:pPr>
        <w:rPr>
          <w:rFonts w:ascii="Arial" w:hAnsi="Arial" w:cs="Arial"/>
          <w:color w:val="595959" w:themeColor="text1" w:themeTint="A6"/>
        </w:rPr>
      </w:pPr>
    </w:p>
    <w:p w14:paraId="78710DB9" w14:textId="77777777" w:rsidR="00E84280" w:rsidRDefault="00E84280" w:rsidP="00E84280">
      <w:pPr>
        <w:rPr>
          <w:rFonts w:ascii="Arial" w:hAnsi="Arial" w:cs="Arial"/>
          <w:color w:val="595959" w:themeColor="text1" w:themeTint="A6"/>
        </w:rPr>
      </w:pPr>
      <w:r w:rsidRPr="00875181">
        <w:rPr>
          <w:rFonts w:ascii="Arial" w:hAnsi="Arial" w:cs="Arial"/>
          <w:noProof/>
          <w:color w:val="595959" w:themeColor="text1" w:themeTint="A6"/>
          <w:sz w:val="24"/>
          <w:szCs w:val="24"/>
          <w:lang w:eastAsia="zh-CN"/>
        </w:rPr>
        <mc:AlternateContent>
          <mc:Choice Requires="wps">
            <w:drawing>
              <wp:anchor distT="0" distB="0" distL="114300" distR="114300" simplePos="0" relativeHeight="251658459" behindDoc="0" locked="0" layoutInCell="1" allowOverlap="1" wp14:anchorId="37A6824A" wp14:editId="2B50DF25">
                <wp:simplePos x="0" y="0"/>
                <wp:positionH relativeFrom="margin">
                  <wp:posOffset>0</wp:posOffset>
                </wp:positionH>
                <wp:positionV relativeFrom="paragraph">
                  <wp:posOffset>0</wp:posOffset>
                </wp:positionV>
                <wp:extent cx="5724525" cy="1076325"/>
                <wp:effectExtent l="0" t="0" r="9525" b="9525"/>
                <wp:wrapNone/>
                <wp:docPr id="3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1076325"/>
                        </a:xfrm>
                        <a:prstGeom prst="rect">
                          <a:avLst/>
                        </a:prstGeom>
                        <a:solidFill>
                          <a:srgbClr val="FFFFFF"/>
                        </a:solidFill>
                        <a:ln w="9525">
                          <a:noFill/>
                          <a:miter lim="800000"/>
                          <a:headEnd/>
                          <a:tailEnd/>
                        </a:ln>
                      </wps:spPr>
                      <wps:txbx>
                        <w:txbxContent>
                          <w:p w14:paraId="7F0588C0" w14:textId="77777777" w:rsidR="008A47AC" w:rsidRDefault="008A47AC" w:rsidP="00E84280">
                            <w:pPr>
                              <w:pStyle w:val="NormalWeb"/>
                              <w:spacing w:after="200"/>
                              <w:jc w:val="both"/>
                            </w:pPr>
                            <w:r>
                              <w:rPr>
                                <w:rFonts w:ascii="Arial Narrow" w:eastAsia="SimSun" w:hAnsi="Arial Narrow" w:cs="Arial"/>
                                <w:b/>
                                <w:bCs/>
                                <w:color w:val="595959"/>
                                <w:kern w:val="24"/>
                                <w:sz w:val="22"/>
                                <w:szCs w:val="22"/>
                              </w:rPr>
                              <w:t xml:space="preserve">Figure 7.3 Assessment of the proliferation of H357 and FNB6 cells on NOF- and CAF-DM </w:t>
                            </w:r>
                          </w:p>
                          <w:p w14:paraId="125C1E4C" w14:textId="77777777" w:rsidR="008A47AC" w:rsidRDefault="008A47AC" w:rsidP="00E84280">
                            <w:pPr>
                              <w:pStyle w:val="NormalWeb"/>
                              <w:spacing w:after="200" w:line="276" w:lineRule="auto"/>
                              <w:jc w:val="both"/>
                              <w:rPr>
                                <w:rFonts w:ascii="Arial Narrow" w:eastAsia="SimSun" w:hAnsi="Arial Narrow" w:cs="Arial"/>
                                <w:color w:val="595959"/>
                                <w:kern w:val="24"/>
                                <w:sz w:val="22"/>
                                <w:szCs w:val="22"/>
                              </w:rPr>
                            </w:pPr>
                            <w:r>
                              <w:rPr>
                                <w:rFonts w:ascii="Arial Narrow" w:eastAsia="SimSun" w:hAnsi="Arial Narrow" w:cs="Arial"/>
                                <w:color w:val="595959"/>
                                <w:kern w:val="24"/>
                                <w:sz w:val="22"/>
                                <w:szCs w:val="22"/>
                              </w:rPr>
                              <w:t xml:space="preserve">Percentage doubling was calculated at </w:t>
                            </w:r>
                            <w:r w:rsidRPr="00830F99">
                              <w:rPr>
                                <w:rFonts w:ascii="Arial Narrow" w:eastAsia="SimSun" w:hAnsi="Arial Narrow" w:cs="Arial"/>
                                <w:color w:val="595959"/>
                                <w:kern w:val="24"/>
                                <w:sz w:val="22"/>
                                <w:szCs w:val="22"/>
                              </w:rPr>
                              <w:t>24 h</w:t>
                            </w:r>
                            <w:r>
                              <w:rPr>
                                <w:rFonts w:ascii="Arial Narrow" w:eastAsia="SimSun" w:hAnsi="Arial Narrow" w:cs="Arial"/>
                                <w:color w:val="595959"/>
                                <w:kern w:val="24"/>
                                <w:sz w:val="22"/>
                                <w:szCs w:val="22"/>
                              </w:rPr>
                              <w:t xml:space="preserve"> f</w:t>
                            </w:r>
                            <w:r w:rsidRPr="00830F99">
                              <w:rPr>
                                <w:rFonts w:ascii="Arial Narrow" w:eastAsia="SimSun" w:hAnsi="Arial Narrow" w:cs="Arial"/>
                                <w:color w:val="595959"/>
                                <w:kern w:val="24"/>
                                <w:sz w:val="22"/>
                                <w:szCs w:val="22"/>
                              </w:rPr>
                              <w:t>or both FNB6 and H357 cell</w:t>
                            </w:r>
                            <w:r>
                              <w:rPr>
                                <w:rFonts w:ascii="Arial Narrow" w:eastAsia="SimSun" w:hAnsi="Arial Narrow" w:cs="Arial"/>
                                <w:color w:val="595959"/>
                                <w:kern w:val="24"/>
                                <w:sz w:val="22"/>
                                <w:szCs w:val="22"/>
                              </w:rPr>
                              <w:t xml:space="preserve">s on NOF- and CAF-DM using live-cell imaging microscopy. Data is presented as mean ± SD (N=3, n=3). * Denotes p &lt;0.05, ** p &lt;0.01, *** p &lt;0.001 as analysed by ordinary one-way ANOVA with Dunnett’s multiple comparison. </w:t>
                            </w:r>
                          </w:p>
                          <w:p w14:paraId="7302F67D" w14:textId="77777777" w:rsidR="008A47AC" w:rsidRDefault="008A47AC" w:rsidP="00E84280">
                            <w:pPr>
                              <w:pStyle w:val="NormalWeb"/>
                              <w:spacing w:after="200"/>
                              <w:jc w:val="both"/>
                            </w:pPr>
                          </w:p>
                          <w:p w14:paraId="53B7120B" w14:textId="77777777" w:rsidR="008A47AC" w:rsidRDefault="008A47AC" w:rsidP="00E84280">
                            <w:pPr>
                              <w:pStyle w:val="NormalWeb"/>
                              <w:spacing w:after="200"/>
                              <w:jc w:val="both"/>
                            </w:pPr>
                          </w:p>
                          <w:p w14:paraId="313C1AEC" w14:textId="77777777" w:rsidR="008A47AC" w:rsidRDefault="008A47AC" w:rsidP="00E84280">
                            <w:pPr>
                              <w:pStyle w:val="NormalWeb"/>
                              <w:spacing w:after="200"/>
                              <w:jc w:val="both"/>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A6824A" id="_x0000_s1207" type="#_x0000_t202" style="position:absolute;margin-left:0;margin-top:0;width:450.75pt;height:84.75pt;z-index:25165845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" stroked="f">
                <v:textbox>
                  <w:txbxContent>
                    <w:p w14:paraId="7F0588C0" w14:textId="77777777" w:rsidR="008A47AC" w:rsidRDefault="008A47AC" w:rsidP="00E84280">
                      <w:pPr>
                        <w:pStyle w:val="NormalWeb"/>
                        <w:spacing w:after="200"/>
                        <w:jc w:val="both"/>
                      </w:pPr>
                      <w:r>
                        <w:rPr>
                          <w:rFonts w:ascii="Arial Narrow" w:eastAsia="SimSun" w:hAnsi="Arial Narrow" w:cs="Arial"/>
                          <w:b/>
                          <w:bCs/>
                          <w:color w:val="595959"/>
                          <w:kern w:val="24"/>
                          <w:sz w:val="22"/>
                          <w:szCs w:val="22"/>
                        </w:rPr>
                        <w:t xml:space="preserve">Figure 7.3 Assessment of the proliferation of H357 and FNB6 cells on NOF- and CAF-DM </w:t>
                      </w:r>
                    </w:p>
                    <w:p w14:paraId="125C1E4C" w14:textId="77777777" w:rsidR="008A47AC" w:rsidRDefault="008A47AC" w:rsidP="00E84280">
                      <w:pPr>
                        <w:pStyle w:val="NormalWeb"/>
                        <w:spacing w:after="200" w:line="276" w:lineRule="auto"/>
                        <w:jc w:val="both"/>
                        <w:rPr>
                          <w:rFonts w:ascii="Arial Narrow" w:eastAsia="SimSun" w:hAnsi="Arial Narrow" w:cs="Arial"/>
                          <w:color w:val="595959"/>
                          <w:kern w:val="24"/>
                          <w:sz w:val="22"/>
                          <w:szCs w:val="22"/>
                        </w:rPr>
                      </w:pPr>
                      <w:r>
                        <w:rPr>
                          <w:rFonts w:ascii="Arial Narrow" w:eastAsia="SimSun" w:hAnsi="Arial Narrow" w:cs="Arial"/>
                          <w:color w:val="595959"/>
                          <w:kern w:val="24"/>
                          <w:sz w:val="22"/>
                          <w:szCs w:val="22"/>
                        </w:rPr>
                        <w:t xml:space="preserve">Percentage doubling was calculated at </w:t>
                      </w:r>
                      <w:r w:rsidRPr="00830F99">
                        <w:rPr>
                          <w:rFonts w:ascii="Arial Narrow" w:eastAsia="SimSun" w:hAnsi="Arial Narrow" w:cs="Arial"/>
                          <w:color w:val="595959"/>
                          <w:kern w:val="24"/>
                          <w:sz w:val="22"/>
                          <w:szCs w:val="22"/>
                        </w:rPr>
                        <w:t>24 h</w:t>
                      </w:r>
                      <w:r>
                        <w:rPr>
                          <w:rFonts w:ascii="Arial Narrow" w:eastAsia="SimSun" w:hAnsi="Arial Narrow" w:cs="Arial"/>
                          <w:color w:val="595959"/>
                          <w:kern w:val="24"/>
                          <w:sz w:val="22"/>
                          <w:szCs w:val="22"/>
                        </w:rPr>
                        <w:t xml:space="preserve"> f</w:t>
                      </w:r>
                      <w:r w:rsidRPr="00830F99">
                        <w:rPr>
                          <w:rFonts w:ascii="Arial Narrow" w:eastAsia="SimSun" w:hAnsi="Arial Narrow" w:cs="Arial"/>
                          <w:color w:val="595959"/>
                          <w:kern w:val="24"/>
                          <w:sz w:val="22"/>
                          <w:szCs w:val="22"/>
                        </w:rPr>
                        <w:t>or both FNB6 and H357 cell</w:t>
                      </w:r>
                      <w:r>
                        <w:rPr>
                          <w:rFonts w:ascii="Arial Narrow" w:eastAsia="SimSun" w:hAnsi="Arial Narrow" w:cs="Arial"/>
                          <w:color w:val="595959"/>
                          <w:kern w:val="24"/>
                          <w:sz w:val="22"/>
                          <w:szCs w:val="22"/>
                        </w:rPr>
                        <w:t xml:space="preserve">s on NOF- and CAF-DM using live-cell imaging microscopy. Data is presented as mean ± SD (N=3, n=3). * Denotes p &lt;0.05, ** p &lt;0.01, *** p &lt;0.001 as analysed by ordinary one-way ANOVA with Dunnett’s multiple comparison. </w:t>
                      </w:r>
                    </w:p>
                    <w:p w14:paraId="7302F67D" w14:textId="77777777" w:rsidR="008A47AC" w:rsidRDefault="008A47AC" w:rsidP="00E84280">
                      <w:pPr>
                        <w:pStyle w:val="NormalWeb"/>
                        <w:spacing w:after="200"/>
                        <w:jc w:val="both"/>
                      </w:pPr>
                    </w:p>
                    <w:p w14:paraId="53B7120B" w14:textId="77777777" w:rsidR="008A47AC" w:rsidRDefault="008A47AC" w:rsidP="00E84280">
                      <w:pPr>
                        <w:pStyle w:val="NormalWeb"/>
                        <w:spacing w:after="200"/>
                        <w:jc w:val="both"/>
                      </w:pPr>
                    </w:p>
                    <w:p w14:paraId="313C1AEC" w14:textId="77777777" w:rsidR="008A47AC" w:rsidRDefault="008A47AC" w:rsidP="00E84280">
                      <w:pPr>
                        <w:pStyle w:val="NormalWeb"/>
                        <w:spacing w:after="200"/>
                        <w:jc w:val="both"/>
                      </w:pPr>
                    </w:p>
                  </w:txbxContent>
                </v:textbox>
                <w10:wrap anchorx="margin"/>
              </v:shape>
            </w:pict>
          </mc:Fallback>
        </mc:AlternateContent>
      </w:r>
    </w:p>
    <w:p w14:paraId="2428584D" w14:textId="77777777" w:rsidR="00E84280" w:rsidRDefault="00E84280" w:rsidP="00E84280">
      <w:pPr>
        <w:rPr>
          <w:rFonts w:ascii="Arial" w:hAnsi="Arial" w:cs="Arial"/>
          <w:color w:val="595959" w:themeColor="text1" w:themeTint="A6"/>
        </w:rPr>
      </w:pPr>
    </w:p>
    <w:p w14:paraId="3AD03500" w14:textId="77777777" w:rsidR="00E84280" w:rsidRDefault="00E84280" w:rsidP="00E84280">
      <w:pPr>
        <w:rPr>
          <w:rFonts w:ascii="Arial" w:hAnsi="Arial" w:cs="Arial"/>
          <w:color w:val="595959" w:themeColor="text1" w:themeTint="A6"/>
        </w:rPr>
      </w:pPr>
    </w:p>
    <w:p w14:paraId="608E0F39" w14:textId="77777777" w:rsidR="00E84280" w:rsidRDefault="00E84280" w:rsidP="00E84280">
      <w:pPr>
        <w:rPr>
          <w:rFonts w:ascii="Arial" w:hAnsi="Arial" w:cs="Arial"/>
          <w:color w:val="595959" w:themeColor="text1" w:themeTint="A6"/>
        </w:rPr>
      </w:pPr>
    </w:p>
    <w:p w14:paraId="44EAEFD3" w14:textId="77777777" w:rsidR="00E84280" w:rsidRDefault="00E84280" w:rsidP="00E84280">
      <w:pPr>
        <w:rPr>
          <w:rFonts w:ascii="Arial" w:hAnsi="Arial" w:cs="Arial"/>
          <w:color w:val="595959" w:themeColor="text1" w:themeTint="A6"/>
        </w:rPr>
      </w:pPr>
    </w:p>
    <w:p w14:paraId="03FF3DA2" w14:textId="77777777" w:rsidR="00E84280" w:rsidRDefault="00E84280" w:rsidP="00E84280">
      <w:pPr>
        <w:rPr>
          <w:rFonts w:ascii="Arial" w:hAnsi="Arial" w:cs="Arial"/>
          <w:color w:val="595959" w:themeColor="text1" w:themeTint="A6"/>
        </w:rPr>
      </w:pPr>
    </w:p>
    <w:p w14:paraId="71EC2A5E" w14:textId="77777777" w:rsidR="00E84280" w:rsidRDefault="00E84280" w:rsidP="00E84280">
      <w:pPr>
        <w:rPr>
          <w:rFonts w:ascii="Arial" w:hAnsi="Arial" w:cs="Arial"/>
          <w:color w:val="595959" w:themeColor="text1" w:themeTint="A6"/>
        </w:rPr>
      </w:pPr>
    </w:p>
    <w:p w14:paraId="0C225309" w14:textId="77777777" w:rsidR="00E84280" w:rsidRDefault="00E84280" w:rsidP="00E84280">
      <w:pPr>
        <w:rPr>
          <w:rFonts w:ascii="Arial" w:hAnsi="Arial" w:cs="Arial"/>
          <w:color w:val="595959" w:themeColor="text1" w:themeTint="A6"/>
        </w:rPr>
      </w:pPr>
      <w:r>
        <w:rPr>
          <w:rFonts w:ascii="Arial" w:hAnsi="Arial" w:cs="Arial"/>
          <w:color w:val="595959" w:themeColor="text1" w:themeTint="A6"/>
        </w:rPr>
        <w:t>Figure 7.4</w:t>
      </w:r>
    </w:p>
    <w:p w14:paraId="1BD82F8D" w14:textId="77777777" w:rsidR="00E84280" w:rsidRDefault="00E84280" w:rsidP="00E84280">
      <w:pPr>
        <w:rPr>
          <w:rFonts w:ascii="Arial" w:hAnsi="Arial" w:cs="Arial"/>
          <w:color w:val="595959" w:themeColor="text1" w:themeTint="A6"/>
        </w:rPr>
      </w:pPr>
    </w:p>
    <w:p w14:paraId="4FA4FF4D" w14:textId="77777777" w:rsidR="00E84280" w:rsidRDefault="00E84280" w:rsidP="00E84280">
      <w:pPr>
        <w:spacing w:line="480" w:lineRule="auto"/>
        <w:jc w:val="both"/>
        <w:rPr>
          <w:rFonts w:ascii="Arial" w:hAnsi="Arial" w:cs="Arial"/>
          <w:color w:val="595959" w:themeColor="text1" w:themeTint="A6"/>
        </w:rPr>
      </w:pPr>
      <w:r>
        <w:rPr>
          <w:rFonts w:ascii="Arial" w:hAnsi="Arial" w:cs="Arial"/>
          <w:color w:val="595959" w:themeColor="text1" w:themeTint="A6"/>
        </w:rPr>
        <w:t xml:space="preserve">Rete ridges are visible across TENOM models as evidenced by epithelial cell projections. </w:t>
      </w:r>
    </w:p>
    <w:p w14:paraId="07E306F7" w14:textId="77777777" w:rsidR="00E84280" w:rsidRDefault="00E84280" w:rsidP="00E84280">
      <w:pPr>
        <w:spacing w:line="480" w:lineRule="auto"/>
        <w:jc w:val="both"/>
        <w:rPr>
          <w:rFonts w:ascii="Arial" w:hAnsi="Arial" w:cs="Arial"/>
          <w:color w:val="595959" w:themeColor="text1" w:themeTint="A6"/>
        </w:rPr>
      </w:pPr>
    </w:p>
    <w:p w14:paraId="2B8EEAFA" w14:textId="77777777" w:rsidR="00E84280" w:rsidRDefault="00E84280" w:rsidP="00E84280">
      <w:pPr>
        <w:spacing w:line="480" w:lineRule="auto"/>
        <w:jc w:val="both"/>
        <w:rPr>
          <w:rFonts w:ascii="Arial" w:hAnsi="Arial" w:cs="Arial"/>
          <w:color w:val="595959" w:themeColor="text1" w:themeTint="A6"/>
        </w:rPr>
      </w:pPr>
    </w:p>
    <w:p w14:paraId="24D949F8" w14:textId="77777777" w:rsidR="00E84280" w:rsidRDefault="00E84280" w:rsidP="00E84280">
      <w:pPr>
        <w:spacing w:line="480" w:lineRule="auto"/>
        <w:jc w:val="both"/>
        <w:rPr>
          <w:rFonts w:ascii="Arial" w:hAnsi="Arial" w:cs="Arial"/>
          <w:color w:val="595959" w:themeColor="text1" w:themeTint="A6"/>
        </w:rPr>
      </w:pPr>
    </w:p>
    <w:p w14:paraId="3EF77E12" w14:textId="77777777" w:rsidR="00E84280" w:rsidRDefault="00E84280" w:rsidP="00E84280">
      <w:pPr>
        <w:spacing w:line="480" w:lineRule="auto"/>
        <w:jc w:val="both"/>
        <w:rPr>
          <w:rFonts w:ascii="Arial" w:hAnsi="Arial" w:cs="Arial"/>
          <w:color w:val="595959" w:themeColor="text1" w:themeTint="A6"/>
        </w:rPr>
      </w:pPr>
    </w:p>
    <w:p w14:paraId="37AC3D40" w14:textId="77777777" w:rsidR="00E84280" w:rsidRDefault="00E84280" w:rsidP="00E84280">
      <w:pPr>
        <w:spacing w:line="480" w:lineRule="auto"/>
        <w:jc w:val="both"/>
        <w:rPr>
          <w:rFonts w:ascii="Arial" w:hAnsi="Arial" w:cs="Arial"/>
          <w:color w:val="595959" w:themeColor="text1" w:themeTint="A6"/>
        </w:rPr>
      </w:pPr>
    </w:p>
    <w:p w14:paraId="65B68961" w14:textId="77777777" w:rsidR="00E84280" w:rsidRDefault="00E84280" w:rsidP="00E84280">
      <w:pPr>
        <w:spacing w:line="480" w:lineRule="auto"/>
        <w:jc w:val="both"/>
        <w:rPr>
          <w:rFonts w:ascii="Arial" w:hAnsi="Arial" w:cs="Arial"/>
          <w:color w:val="595959" w:themeColor="text1" w:themeTint="A6"/>
        </w:rPr>
      </w:pPr>
      <w:r>
        <w:rPr>
          <w:rFonts w:ascii="Arial" w:hAnsi="Arial" w:cs="Arial"/>
          <w:noProof/>
          <w:color w:val="595959" w:themeColor="text1" w:themeTint="A6"/>
          <w:lang w:eastAsia="zh-CN"/>
        </w:rPr>
        <w:drawing>
          <wp:anchor distT="0" distB="0" distL="114300" distR="114300" simplePos="0" relativeHeight="251658450" behindDoc="0" locked="0" layoutInCell="1" allowOverlap="1" wp14:anchorId="1F2801C2" wp14:editId="588D5B2B">
            <wp:simplePos x="0" y="0"/>
            <wp:positionH relativeFrom="margin">
              <wp:align>left</wp:align>
            </wp:positionH>
            <wp:positionV relativeFrom="paragraph">
              <wp:posOffset>12700</wp:posOffset>
            </wp:positionV>
            <wp:extent cx="5869940" cy="1647825"/>
            <wp:effectExtent l="0" t="0" r="0" b="9525"/>
            <wp:wrapNone/>
            <wp:docPr id="5287" name="Picture 5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869940" cy="1647825"/>
                    </a:xfrm>
                    <a:prstGeom prst="rect">
                      <a:avLst/>
                    </a:prstGeom>
                    <a:noFill/>
                  </pic:spPr>
                </pic:pic>
              </a:graphicData>
            </a:graphic>
          </wp:anchor>
        </w:drawing>
      </w:r>
    </w:p>
    <w:p w14:paraId="26C132DE" w14:textId="77777777" w:rsidR="00E84280" w:rsidRDefault="00E84280" w:rsidP="00E84280">
      <w:pPr>
        <w:spacing w:line="480" w:lineRule="auto"/>
        <w:jc w:val="both"/>
        <w:rPr>
          <w:rFonts w:ascii="Arial" w:hAnsi="Arial" w:cs="Arial"/>
          <w:color w:val="595959" w:themeColor="text1" w:themeTint="A6"/>
        </w:rPr>
      </w:pPr>
    </w:p>
    <w:p w14:paraId="5CC94650" w14:textId="77777777" w:rsidR="00E84280" w:rsidRDefault="00E84280" w:rsidP="00E84280">
      <w:pPr>
        <w:spacing w:line="480" w:lineRule="auto"/>
        <w:jc w:val="both"/>
        <w:rPr>
          <w:rFonts w:ascii="Arial" w:hAnsi="Arial" w:cs="Arial"/>
          <w:color w:val="595959" w:themeColor="text1" w:themeTint="A6"/>
        </w:rPr>
      </w:pPr>
    </w:p>
    <w:p w14:paraId="309B58D5" w14:textId="77777777" w:rsidR="00E84280" w:rsidRDefault="00E84280" w:rsidP="00E84280">
      <w:pPr>
        <w:spacing w:line="480" w:lineRule="auto"/>
        <w:jc w:val="both"/>
        <w:rPr>
          <w:rFonts w:ascii="Arial" w:hAnsi="Arial" w:cs="Arial"/>
          <w:color w:val="595959" w:themeColor="text1" w:themeTint="A6"/>
        </w:rPr>
      </w:pPr>
    </w:p>
    <w:p w14:paraId="52ABC130" w14:textId="77777777" w:rsidR="00E84280" w:rsidRDefault="00E84280" w:rsidP="00E84280">
      <w:pPr>
        <w:spacing w:line="480" w:lineRule="auto"/>
        <w:jc w:val="both"/>
        <w:rPr>
          <w:rFonts w:ascii="Arial" w:hAnsi="Arial" w:cs="Arial"/>
          <w:color w:val="595959" w:themeColor="text1" w:themeTint="A6"/>
        </w:rPr>
      </w:pPr>
    </w:p>
    <w:p w14:paraId="221F382A" w14:textId="77777777" w:rsidR="00E84280" w:rsidRDefault="00E84280" w:rsidP="00E84280">
      <w:pPr>
        <w:spacing w:line="480" w:lineRule="auto"/>
        <w:jc w:val="both"/>
        <w:rPr>
          <w:rFonts w:ascii="Arial" w:hAnsi="Arial" w:cs="Arial"/>
          <w:color w:val="595959" w:themeColor="text1" w:themeTint="A6"/>
        </w:rPr>
      </w:pPr>
    </w:p>
    <w:p w14:paraId="22BA620D" w14:textId="77777777" w:rsidR="00E84280" w:rsidRDefault="00E84280" w:rsidP="00E84280">
      <w:pPr>
        <w:spacing w:line="480" w:lineRule="auto"/>
        <w:jc w:val="both"/>
        <w:rPr>
          <w:rFonts w:ascii="Arial" w:hAnsi="Arial" w:cs="Arial"/>
          <w:color w:val="595959" w:themeColor="text1" w:themeTint="A6"/>
        </w:rPr>
      </w:pPr>
    </w:p>
    <w:p w14:paraId="63504870" w14:textId="77777777" w:rsidR="00E84280" w:rsidRDefault="00E84280" w:rsidP="00E84280">
      <w:pPr>
        <w:spacing w:line="480" w:lineRule="auto"/>
        <w:jc w:val="both"/>
        <w:rPr>
          <w:rFonts w:ascii="Arial" w:hAnsi="Arial" w:cs="Arial"/>
          <w:color w:val="595959" w:themeColor="text1" w:themeTint="A6"/>
        </w:rPr>
      </w:pPr>
      <w:r w:rsidRPr="007E1506">
        <w:rPr>
          <w:rFonts w:ascii="Arial" w:hAnsi="Arial" w:cs="Arial"/>
          <w:noProof/>
          <w:color w:val="595959" w:themeColor="text1" w:themeTint="A6"/>
          <w:sz w:val="24"/>
          <w:szCs w:val="24"/>
          <w:lang w:eastAsia="zh-CN"/>
        </w:rPr>
        <mc:AlternateContent>
          <mc:Choice Requires="wps">
            <w:drawing>
              <wp:anchor distT="0" distB="0" distL="114300" distR="114300" simplePos="0" relativeHeight="251658462" behindDoc="0" locked="0" layoutInCell="1" allowOverlap="1" wp14:anchorId="6F118AA6" wp14:editId="41EF5A76">
                <wp:simplePos x="0" y="0"/>
                <wp:positionH relativeFrom="margin">
                  <wp:posOffset>0</wp:posOffset>
                </wp:positionH>
                <wp:positionV relativeFrom="paragraph">
                  <wp:posOffset>0</wp:posOffset>
                </wp:positionV>
                <wp:extent cx="5734050" cy="1466850"/>
                <wp:effectExtent l="0" t="0" r="0" b="0"/>
                <wp:wrapNone/>
                <wp:docPr id="317" name="Text Box 3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1466850"/>
                        </a:xfrm>
                        <a:prstGeom prst="rect">
                          <a:avLst/>
                        </a:prstGeom>
                        <a:solidFill>
                          <a:srgbClr val="FFFFFF"/>
                        </a:solidFill>
                        <a:ln w="9525">
                          <a:noFill/>
                          <a:miter lim="800000"/>
                          <a:headEnd/>
                          <a:tailEnd/>
                        </a:ln>
                      </wps:spPr>
                      <wps:txbx>
                        <w:txbxContent>
                          <w:p w14:paraId="0C9B92F9" w14:textId="77777777" w:rsidR="008A47AC" w:rsidRPr="006B7937" w:rsidRDefault="008A47AC" w:rsidP="00E84280">
                            <w:pPr>
                              <w:pStyle w:val="Caption"/>
                              <w:keepNext/>
                              <w:jc w:val="both"/>
                              <w:rPr>
                                <w:rFonts w:ascii="Arial Narrow" w:hAnsi="Arial Narrow"/>
                                <w:b/>
                                <w:i w:val="0"/>
                                <w:sz w:val="24"/>
                                <w:szCs w:val="24"/>
                              </w:rPr>
                            </w:pPr>
                            <w:r w:rsidRPr="006B7937">
                              <w:rPr>
                                <w:rFonts w:ascii="Arial Narrow" w:hAnsi="Arial Narrow"/>
                                <w:b/>
                                <w:i w:val="0"/>
                                <w:color w:val="595959" w:themeColor="text1" w:themeTint="A6"/>
                                <w:sz w:val="24"/>
                                <w:szCs w:val="24"/>
                              </w:rPr>
                              <w:t>Figure</w:t>
                            </w:r>
                            <w:r>
                              <w:rPr>
                                <w:rFonts w:ascii="Arial Narrow" w:hAnsi="Arial Narrow"/>
                                <w:b/>
                                <w:i w:val="0"/>
                                <w:color w:val="595959" w:themeColor="text1" w:themeTint="A6"/>
                                <w:sz w:val="24"/>
                                <w:szCs w:val="24"/>
                              </w:rPr>
                              <w:t xml:space="preserve"> 7.4 Histological analysis of tissue-engineered normal oral mucosa (TENOM) model generated using NOF-DM</w:t>
                            </w:r>
                          </w:p>
                          <w:p w14:paraId="47620B03" w14:textId="77777777" w:rsidR="008A47AC" w:rsidRPr="00A708E4" w:rsidRDefault="008A47AC" w:rsidP="00E84280">
                            <w:pPr>
                              <w:pStyle w:val="NormalWeb"/>
                              <w:spacing w:after="200" w:line="276" w:lineRule="auto"/>
                              <w:jc w:val="both"/>
                            </w:pPr>
                            <w:r>
                              <w:rPr>
                                <w:rFonts w:ascii="Arial Narrow" w:eastAsia="SimSun" w:hAnsi="Arial Narrow" w:cs="Arial"/>
                                <w:color w:val="595959"/>
                                <w:kern w:val="24"/>
                                <w:sz w:val="22"/>
                                <w:szCs w:val="22"/>
                              </w:rPr>
                              <w:t>After a 28-day NOF-DM development the addition of FNB6 cells produced a full-thickness stratified epithelium (A) over a further 14 days. H&amp;E analysis shows</w:t>
                            </w:r>
                            <w:r w:rsidRPr="00575592">
                              <w:rPr>
                                <w:rFonts w:ascii="Arial Narrow" w:eastAsia="SimSun" w:hAnsi="Arial Narrow" w:cs="Arial"/>
                                <w:color w:val="595959"/>
                                <w:kern w:val="24"/>
                                <w:sz w:val="22"/>
                                <w:szCs w:val="22"/>
                              </w:rPr>
                              <w:t xml:space="preserve"> evidence of</w:t>
                            </w:r>
                            <w:r>
                              <w:rPr>
                                <w:rFonts w:ascii="Arial Narrow" w:eastAsia="SimSun" w:hAnsi="Arial Narrow" w:cs="Arial"/>
                                <w:color w:val="595959"/>
                                <w:kern w:val="24"/>
                                <w:sz w:val="22"/>
                                <w:szCs w:val="22"/>
                              </w:rPr>
                              <w:t xml:space="preserve"> rete ridge formation </w:t>
                            </w:r>
                            <w:r w:rsidRPr="00E72F77">
                              <w:rPr>
                                <w:rFonts w:ascii="Arial Narrow" w:eastAsia="SimSun" w:hAnsi="Arial Narrow" w:cs="Arial"/>
                                <w:color w:val="595959" w:themeColor="text1" w:themeTint="A6"/>
                                <w:kern w:val="24"/>
                                <w:sz w:val="22"/>
                                <w:szCs w:val="22"/>
                              </w:rPr>
                              <w:t>(N=</w:t>
                            </w:r>
                            <w:r>
                              <w:rPr>
                                <w:rFonts w:ascii="Arial Narrow" w:eastAsia="SimSun" w:hAnsi="Arial Narrow" w:cs="Arial"/>
                                <w:color w:val="595959" w:themeColor="text1" w:themeTint="A6"/>
                                <w:kern w:val="24"/>
                                <w:sz w:val="22"/>
                                <w:szCs w:val="22"/>
                              </w:rPr>
                              <w:t>5</w:t>
                            </w:r>
                            <w:r w:rsidRPr="00E72F77">
                              <w:rPr>
                                <w:rFonts w:ascii="Arial Narrow" w:eastAsia="SimSun" w:hAnsi="Arial Narrow" w:cs="Arial"/>
                                <w:color w:val="595959" w:themeColor="text1" w:themeTint="A6"/>
                                <w:kern w:val="24"/>
                                <w:sz w:val="22"/>
                                <w:szCs w:val="22"/>
                              </w:rPr>
                              <w:t>, n=</w:t>
                            </w:r>
                            <w:r>
                              <w:rPr>
                                <w:rFonts w:ascii="Arial Narrow" w:eastAsia="SimSun" w:hAnsi="Arial Narrow" w:cs="Arial"/>
                                <w:color w:val="595959" w:themeColor="text1" w:themeTint="A6"/>
                                <w:kern w:val="24"/>
                                <w:sz w:val="22"/>
                                <w:szCs w:val="22"/>
                              </w:rPr>
                              <w:t>3</w:t>
                            </w:r>
                            <w:r w:rsidRPr="00E72F77">
                              <w:rPr>
                                <w:rFonts w:ascii="Arial Narrow" w:eastAsia="SimSun" w:hAnsi="Arial Narrow" w:cs="Arial"/>
                                <w:color w:val="595959" w:themeColor="text1" w:themeTint="A6"/>
                                <w:kern w:val="24"/>
                                <w:sz w:val="22"/>
                                <w:szCs w:val="2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118AA6" id="Text Box 317" o:spid="_x0000_s1208" type="#_x0000_t202" style="position:absolute;left:0;text-align:left;margin-left:0;margin-top:0;width:451.5pt;height:115.5pt;z-index:25165846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" stroked="f">
                <v:textbox>
                  <w:txbxContent>
                    <w:p w14:paraId="0C9B92F9" w14:textId="77777777" w:rsidR="008A47AC" w:rsidRPr="006B7937" w:rsidRDefault="008A47AC" w:rsidP="00E84280">
                      <w:pPr>
                        <w:pStyle w:val="Caption"/>
                        <w:keepNext/>
                        <w:jc w:val="both"/>
                        <w:rPr>
                          <w:rFonts w:ascii="Arial Narrow" w:hAnsi="Arial Narrow"/>
                          <w:b/>
                          <w:i w:val="0"/>
                          <w:sz w:val="24"/>
                          <w:szCs w:val="24"/>
                        </w:rPr>
                      </w:pPr>
                      <w:r w:rsidRPr="006B7937">
                        <w:rPr>
                          <w:rFonts w:ascii="Arial Narrow" w:hAnsi="Arial Narrow"/>
                          <w:b/>
                          <w:i w:val="0"/>
                          <w:color w:val="595959" w:themeColor="text1" w:themeTint="A6"/>
                          <w:sz w:val="24"/>
                          <w:szCs w:val="24"/>
                        </w:rPr>
                        <w:t>Figure</w:t>
                      </w:r>
                      <w:r>
                        <w:rPr>
                          <w:rFonts w:ascii="Arial Narrow" w:hAnsi="Arial Narrow"/>
                          <w:b/>
                          <w:i w:val="0"/>
                          <w:color w:val="595959" w:themeColor="text1" w:themeTint="A6"/>
                          <w:sz w:val="24"/>
                          <w:szCs w:val="24"/>
                        </w:rPr>
                        <w:t xml:space="preserve"> 7.4 Histological analysis of tissue-engineered normal oral mucosa (TENOM) model generated using NOF-DM</w:t>
                      </w:r>
                    </w:p>
                    <w:p w14:paraId="47620B03" w14:textId="77777777" w:rsidR="008A47AC" w:rsidRPr="00A708E4" w:rsidRDefault="008A47AC" w:rsidP="00E84280">
                      <w:pPr>
                        <w:pStyle w:val="NormalWeb"/>
                        <w:spacing w:after="200" w:line="276" w:lineRule="auto"/>
                        <w:jc w:val="both"/>
                      </w:pPr>
                      <w:r>
                        <w:rPr>
                          <w:rFonts w:ascii="Arial Narrow" w:eastAsia="SimSun" w:hAnsi="Arial Narrow" w:cs="Arial"/>
                          <w:color w:val="595959"/>
                          <w:kern w:val="24"/>
                          <w:sz w:val="22"/>
                          <w:szCs w:val="22"/>
                        </w:rPr>
                        <w:t>After a 28-day NOF-DM development the addition of FNB6 cells produced a full-thickness stratified epithelium (A) over a further 14 days. H&amp;E analysis shows</w:t>
                      </w:r>
                      <w:r w:rsidRPr="00575592">
                        <w:rPr>
                          <w:rFonts w:ascii="Arial Narrow" w:eastAsia="SimSun" w:hAnsi="Arial Narrow" w:cs="Arial"/>
                          <w:color w:val="595959"/>
                          <w:kern w:val="24"/>
                          <w:sz w:val="22"/>
                          <w:szCs w:val="22"/>
                        </w:rPr>
                        <w:t xml:space="preserve"> evidence of</w:t>
                      </w:r>
                      <w:r>
                        <w:rPr>
                          <w:rFonts w:ascii="Arial Narrow" w:eastAsia="SimSun" w:hAnsi="Arial Narrow" w:cs="Arial"/>
                          <w:color w:val="595959"/>
                          <w:kern w:val="24"/>
                          <w:sz w:val="22"/>
                          <w:szCs w:val="22"/>
                        </w:rPr>
                        <w:t xml:space="preserve"> rete ridge formation </w:t>
                      </w:r>
                      <w:r w:rsidRPr="00E72F77">
                        <w:rPr>
                          <w:rFonts w:ascii="Arial Narrow" w:eastAsia="SimSun" w:hAnsi="Arial Narrow" w:cs="Arial"/>
                          <w:color w:val="595959" w:themeColor="text1" w:themeTint="A6"/>
                          <w:kern w:val="24"/>
                          <w:sz w:val="22"/>
                          <w:szCs w:val="22"/>
                        </w:rPr>
                        <w:t>(N=</w:t>
                      </w:r>
                      <w:r>
                        <w:rPr>
                          <w:rFonts w:ascii="Arial Narrow" w:eastAsia="SimSun" w:hAnsi="Arial Narrow" w:cs="Arial"/>
                          <w:color w:val="595959" w:themeColor="text1" w:themeTint="A6"/>
                          <w:kern w:val="24"/>
                          <w:sz w:val="22"/>
                          <w:szCs w:val="22"/>
                        </w:rPr>
                        <w:t>5</w:t>
                      </w:r>
                      <w:r w:rsidRPr="00E72F77">
                        <w:rPr>
                          <w:rFonts w:ascii="Arial Narrow" w:eastAsia="SimSun" w:hAnsi="Arial Narrow" w:cs="Arial"/>
                          <w:color w:val="595959" w:themeColor="text1" w:themeTint="A6"/>
                          <w:kern w:val="24"/>
                          <w:sz w:val="22"/>
                          <w:szCs w:val="22"/>
                        </w:rPr>
                        <w:t>, n=</w:t>
                      </w:r>
                      <w:r>
                        <w:rPr>
                          <w:rFonts w:ascii="Arial Narrow" w:eastAsia="SimSun" w:hAnsi="Arial Narrow" w:cs="Arial"/>
                          <w:color w:val="595959" w:themeColor="text1" w:themeTint="A6"/>
                          <w:kern w:val="24"/>
                          <w:sz w:val="22"/>
                          <w:szCs w:val="22"/>
                        </w:rPr>
                        <w:t>3</w:t>
                      </w:r>
                      <w:r w:rsidRPr="00E72F77">
                        <w:rPr>
                          <w:rFonts w:ascii="Arial Narrow" w:eastAsia="SimSun" w:hAnsi="Arial Narrow" w:cs="Arial"/>
                          <w:color w:val="595959" w:themeColor="text1" w:themeTint="A6"/>
                          <w:kern w:val="24"/>
                          <w:sz w:val="22"/>
                          <w:szCs w:val="22"/>
                        </w:rPr>
                        <w:t>).</w:t>
                      </w:r>
                    </w:p>
                  </w:txbxContent>
                </v:textbox>
                <w10:wrap anchorx="margin"/>
              </v:shape>
            </w:pict>
          </mc:Fallback>
        </mc:AlternateContent>
      </w:r>
    </w:p>
    <w:p w14:paraId="19F7E7FA" w14:textId="77777777" w:rsidR="00E84280" w:rsidRDefault="00E84280" w:rsidP="00E84280">
      <w:pPr>
        <w:spacing w:line="480" w:lineRule="auto"/>
        <w:jc w:val="both"/>
        <w:rPr>
          <w:rFonts w:ascii="Arial" w:hAnsi="Arial" w:cs="Arial"/>
          <w:color w:val="595959" w:themeColor="text1" w:themeTint="A6"/>
        </w:rPr>
      </w:pPr>
    </w:p>
    <w:p w14:paraId="568B1BE4" w14:textId="77777777" w:rsidR="00E84280" w:rsidRDefault="00E84280" w:rsidP="00E84280">
      <w:pPr>
        <w:spacing w:line="480" w:lineRule="auto"/>
        <w:jc w:val="both"/>
        <w:rPr>
          <w:rFonts w:ascii="Arial" w:hAnsi="Arial" w:cs="Arial"/>
          <w:color w:val="595959" w:themeColor="text1" w:themeTint="A6"/>
        </w:rPr>
      </w:pPr>
    </w:p>
    <w:p w14:paraId="31B9CAE7" w14:textId="77777777" w:rsidR="00E84280" w:rsidRDefault="00E84280" w:rsidP="00E84280">
      <w:pPr>
        <w:spacing w:line="480" w:lineRule="auto"/>
        <w:jc w:val="both"/>
        <w:rPr>
          <w:rFonts w:ascii="Arial" w:hAnsi="Arial" w:cs="Arial"/>
          <w:color w:val="595959" w:themeColor="text1" w:themeTint="A6"/>
        </w:rPr>
      </w:pPr>
    </w:p>
    <w:p w14:paraId="3FA9C7ED" w14:textId="77777777" w:rsidR="00E84280" w:rsidRDefault="00E84280" w:rsidP="00E84280">
      <w:pPr>
        <w:spacing w:line="480" w:lineRule="auto"/>
        <w:jc w:val="both"/>
        <w:rPr>
          <w:rFonts w:ascii="Arial" w:hAnsi="Arial" w:cs="Arial"/>
          <w:color w:val="595959" w:themeColor="text1" w:themeTint="A6"/>
        </w:rPr>
      </w:pPr>
    </w:p>
    <w:p w14:paraId="6F6797ED" w14:textId="77777777" w:rsidR="00E84280" w:rsidRDefault="00E84280" w:rsidP="00E84280">
      <w:pPr>
        <w:spacing w:line="480" w:lineRule="auto"/>
        <w:jc w:val="both"/>
        <w:rPr>
          <w:rFonts w:ascii="Arial" w:hAnsi="Arial" w:cs="Arial"/>
          <w:color w:val="595959" w:themeColor="text1" w:themeTint="A6"/>
        </w:rPr>
      </w:pPr>
    </w:p>
    <w:p w14:paraId="743C4E37" w14:textId="77777777" w:rsidR="00E84280" w:rsidRDefault="00E84280" w:rsidP="00E84280">
      <w:pPr>
        <w:spacing w:line="480" w:lineRule="auto"/>
        <w:jc w:val="both"/>
        <w:rPr>
          <w:rFonts w:ascii="Arial" w:hAnsi="Arial" w:cs="Arial"/>
          <w:color w:val="595959" w:themeColor="text1" w:themeTint="A6"/>
        </w:rPr>
      </w:pPr>
    </w:p>
    <w:p w14:paraId="48917C35" w14:textId="77777777" w:rsidR="00E84280" w:rsidRDefault="00E84280" w:rsidP="00E84280">
      <w:pPr>
        <w:spacing w:line="480" w:lineRule="auto"/>
        <w:jc w:val="both"/>
        <w:rPr>
          <w:rFonts w:ascii="Arial" w:hAnsi="Arial" w:cs="Arial"/>
          <w:color w:val="595959" w:themeColor="text1" w:themeTint="A6"/>
        </w:rPr>
      </w:pPr>
      <w:r>
        <w:rPr>
          <w:rFonts w:ascii="Arial" w:hAnsi="Arial" w:cs="Arial"/>
          <w:color w:val="595959" w:themeColor="text1" w:themeTint="A6"/>
        </w:rPr>
        <w:t>Figure 7.5</w:t>
      </w:r>
    </w:p>
    <w:p w14:paraId="1056CA35" w14:textId="77777777" w:rsidR="00E84280" w:rsidRDefault="00E84280" w:rsidP="00E84280">
      <w:pPr>
        <w:spacing w:line="480" w:lineRule="auto"/>
        <w:jc w:val="both"/>
        <w:rPr>
          <w:rFonts w:ascii="Arial" w:hAnsi="Arial" w:cs="Arial"/>
          <w:color w:val="595959" w:themeColor="text1" w:themeTint="A6"/>
        </w:rPr>
      </w:pPr>
      <w:r>
        <w:rPr>
          <w:rFonts w:ascii="Arial" w:hAnsi="Arial" w:cs="Arial"/>
          <w:color w:val="595959" w:themeColor="text1" w:themeTint="A6"/>
        </w:rPr>
        <w:t xml:space="preserve">Epidermal </w:t>
      </w:r>
      <w:r w:rsidRPr="00FA3A1B">
        <w:rPr>
          <w:rFonts w:ascii="Arial" w:hAnsi="Arial" w:cs="Arial"/>
          <w:color w:val="595959" w:themeColor="text1" w:themeTint="A6"/>
        </w:rPr>
        <w:t xml:space="preserve">thickness was measured after </w:t>
      </w:r>
      <w:r>
        <w:rPr>
          <w:rFonts w:ascii="Arial" w:hAnsi="Arial" w:cs="Arial"/>
          <w:color w:val="595959" w:themeColor="text1" w:themeTint="A6"/>
        </w:rPr>
        <w:t>42</w:t>
      </w:r>
      <w:r w:rsidRPr="00FA3A1B">
        <w:rPr>
          <w:rFonts w:ascii="Arial" w:hAnsi="Arial" w:cs="Arial"/>
          <w:color w:val="595959" w:themeColor="text1" w:themeTint="A6"/>
        </w:rPr>
        <w:t xml:space="preserve"> days </w:t>
      </w:r>
      <w:r>
        <w:rPr>
          <w:rFonts w:ascii="Arial" w:hAnsi="Arial" w:cs="Arial"/>
          <w:color w:val="595959" w:themeColor="text1" w:themeTint="A6"/>
        </w:rPr>
        <w:t xml:space="preserve">on tissue-engineered oral mucosa models. </w:t>
      </w:r>
      <w:r w:rsidRPr="00FA3A1B">
        <w:rPr>
          <w:rFonts w:ascii="Arial" w:hAnsi="Arial" w:cs="Arial"/>
          <w:color w:val="595959" w:themeColor="text1" w:themeTint="A6"/>
        </w:rPr>
        <w:t>Analysis of</w:t>
      </w:r>
      <w:r>
        <w:rPr>
          <w:rFonts w:ascii="Arial" w:hAnsi="Arial" w:cs="Arial"/>
          <w:color w:val="595959" w:themeColor="text1" w:themeTint="A6"/>
        </w:rPr>
        <w:t xml:space="preserve"> epidermal </w:t>
      </w:r>
      <w:r w:rsidRPr="00FA3A1B">
        <w:rPr>
          <w:rFonts w:ascii="Arial" w:hAnsi="Arial" w:cs="Arial"/>
          <w:color w:val="595959" w:themeColor="text1" w:themeTint="A6"/>
        </w:rPr>
        <w:t xml:space="preserve">thickness using ImageJ measurement software on H&amp;E stained images of </w:t>
      </w:r>
      <w:r>
        <w:rPr>
          <w:rFonts w:ascii="Arial" w:hAnsi="Arial" w:cs="Arial"/>
          <w:color w:val="595959" w:themeColor="text1" w:themeTint="A6"/>
        </w:rPr>
        <w:t>42-</w:t>
      </w:r>
      <w:r w:rsidRPr="00FA3A1B">
        <w:rPr>
          <w:rFonts w:ascii="Arial" w:hAnsi="Arial" w:cs="Arial"/>
          <w:color w:val="595959" w:themeColor="text1" w:themeTint="A6"/>
        </w:rPr>
        <w:t xml:space="preserve">day </w:t>
      </w:r>
      <w:r>
        <w:rPr>
          <w:rFonts w:ascii="Arial" w:hAnsi="Arial" w:cs="Arial"/>
          <w:color w:val="595959" w:themeColor="text1" w:themeTint="A6"/>
        </w:rPr>
        <w:t xml:space="preserve">models </w:t>
      </w:r>
      <w:r w:rsidRPr="00FA3A1B">
        <w:rPr>
          <w:rFonts w:ascii="Arial" w:hAnsi="Arial" w:cs="Arial"/>
          <w:color w:val="595959" w:themeColor="text1" w:themeTint="A6"/>
        </w:rPr>
        <w:t xml:space="preserve">showed a significant </w:t>
      </w:r>
      <w:r>
        <w:rPr>
          <w:rFonts w:ascii="Arial" w:hAnsi="Arial" w:cs="Arial"/>
          <w:color w:val="595959" w:themeColor="text1" w:themeTint="A6"/>
        </w:rPr>
        <w:t>reduction</w:t>
      </w:r>
      <w:r w:rsidRPr="00FA3A1B">
        <w:rPr>
          <w:rFonts w:ascii="Arial" w:hAnsi="Arial" w:cs="Arial"/>
          <w:color w:val="595959" w:themeColor="text1" w:themeTint="A6"/>
        </w:rPr>
        <w:t xml:space="preserve"> in </w:t>
      </w:r>
      <w:r>
        <w:rPr>
          <w:rFonts w:ascii="Arial" w:hAnsi="Arial" w:cs="Arial"/>
          <w:color w:val="595959" w:themeColor="text1" w:themeTint="A6"/>
        </w:rPr>
        <w:t xml:space="preserve">epidermal </w:t>
      </w:r>
      <w:r w:rsidRPr="00FA3A1B">
        <w:rPr>
          <w:rFonts w:ascii="Arial" w:hAnsi="Arial" w:cs="Arial"/>
          <w:color w:val="595959" w:themeColor="text1" w:themeTint="A6"/>
        </w:rPr>
        <w:t>thickness</w:t>
      </w:r>
      <w:r>
        <w:rPr>
          <w:rFonts w:ascii="Arial" w:hAnsi="Arial" w:cs="Arial"/>
          <w:color w:val="595959" w:themeColor="text1" w:themeTint="A6"/>
        </w:rPr>
        <w:t xml:space="preserve"> for the TESCCM compared to TENOM models from </w:t>
      </w:r>
      <w:r w:rsidRPr="00FA3A1B">
        <w:rPr>
          <w:rFonts w:ascii="Arial" w:hAnsi="Arial" w:cs="Arial"/>
          <w:color w:val="595959" w:themeColor="text1" w:themeTint="A6"/>
        </w:rPr>
        <w:t>1</w:t>
      </w:r>
      <w:r>
        <w:rPr>
          <w:rFonts w:ascii="Arial" w:hAnsi="Arial" w:cs="Arial"/>
          <w:color w:val="595959" w:themeColor="text1" w:themeTint="A6"/>
        </w:rPr>
        <w:t>16.6</w:t>
      </w:r>
      <w:r w:rsidRPr="00FA3A1B">
        <w:rPr>
          <w:rFonts w:ascii="Arial" w:hAnsi="Arial" w:cs="Arial"/>
          <w:color w:val="595959" w:themeColor="text1" w:themeTint="A6"/>
        </w:rPr>
        <w:t xml:space="preserve"> ±</w:t>
      </w:r>
      <w:r>
        <w:rPr>
          <w:rFonts w:ascii="Arial" w:hAnsi="Arial" w:cs="Arial"/>
          <w:color w:val="595959" w:themeColor="text1" w:themeTint="A6"/>
        </w:rPr>
        <w:t xml:space="preserve"> 15.95 to 39.47 </w:t>
      </w:r>
      <w:r w:rsidRPr="00FA3A1B">
        <w:rPr>
          <w:rFonts w:ascii="Arial" w:hAnsi="Arial" w:cs="Arial"/>
          <w:color w:val="595959" w:themeColor="text1" w:themeTint="A6"/>
        </w:rPr>
        <w:t>±</w:t>
      </w:r>
      <w:r>
        <w:rPr>
          <w:rFonts w:ascii="Arial" w:hAnsi="Arial" w:cs="Arial"/>
          <w:color w:val="595959" w:themeColor="text1" w:themeTint="A6"/>
        </w:rPr>
        <w:t xml:space="preserve"> 22.57</w:t>
      </w:r>
      <w:r w:rsidRPr="00FA3A1B">
        <w:rPr>
          <w:rFonts w:ascii="Arial" w:hAnsi="Arial" w:cs="Arial"/>
          <w:color w:val="595959" w:themeColor="text1" w:themeTint="A6"/>
        </w:rPr>
        <w:t xml:space="preserve"> µm</w:t>
      </w:r>
      <w:r>
        <w:rPr>
          <w:rFonts w:ascii="Arial" w:hAnsi="Arial" w:cs="Arial"/>
          <w:color w:val="595959" w:themeColor="text1" w:themeTint="A6"/>
        </w:rPr>
        <w:t>, p &lt;0.0001</w:t>
      </w:r>
      <w:r w:rsidRPr="00FA3A1B">
        <w:rPr>
          <w:rFonts w:ascii="Arial" w:hAnsi="Arial" w:cs="Arial"/>
          <w:color w:val="595959" w:themeColor="text1" w:themeTint="A6"/>
        </w:rPr>
        <w:t xml:space="preserve">. </w:t>
      </w:r>
    </w:p>
    <w:p w14:paraId="6C981BA2" w14:textId="77777777" w:rsidR="00E84280" w:rsidRDefault="00E84280" w:rsidP="00E84280">
      <w:pPr>
        <w:rPr>
          <w:rFonts w:ascii="Arial" w:hAnsi="Arial" w:cs="Arial"/>
          <w:color w:val="595959" w:themeColor="text1" w:themeTint="A6"/>
        </w:rPr>
      </w:pPr>
    </w:p>
    <w:p w14:paraId="22690187" w14:textId="77777777" w:rsidR="00E84280" w:rsidRDefault="00E84280" w:rsidP="00E84280">
      <w:pPr>
        <w:rPr>
          <w:rFonts w:ascii="Arial" w:hAnsi="Arial" w:cs="Arial"/>
          <w:color w:val="595959" w:themeColor="text1" w:themeTint="A6"/>
        </w:rPr>
      </w:pPr>
    </w:p>
    <w:p w14:paraId="316C4C45" w14:textId="77777777" w:rsidR="00E84280" w:rsidRDefault="00E84280" w:rsidP="00E84280">
      <w:pPr>
        <w:rPr>
          <w:rFonts w:ascii="Arial" w:hAnsi="Arial" w:cs="Arial"/>
          <w:color w:val="595959" w:themeColor="text1" w:themeTint="A6"/>
        </w:rPr>
      </w:pPr>
    </w:p>
    <w:p w14:paraId="22B6BDB2" w14:textId="77777777" w:rsidR="00E84280" w:rsidRDefault="00E84280" w:rsidP="00E84280">
      <w:pPr>
        <w:rPr>
          <w:noProof/>
        </w:rPr>
      </w:pPr>
    </w:p>
    <w:p w14:paraId="57982C35" w14:textId="77777777" w:rsidR="00E84280" w:rsidRDefault="00E84280" w:rsidP="00E84280">
      <w:pPr>
        <w:ind w:firstLine="720"/>
        <w:rPr>
          <w:rFonts w:ascii="Arial" w:hAnsi="Arial" w:cs="Arial"/>
        </w:rPr>
      </w:pPr>
    </w:p>
    <w:p w14:paraId="03E4BF3B" w14:textId="77777777" w:rsidR="00E84280" w:rsidRDefault="00E84280" w:rsidP="00E84280">
      <w:pPr>
        <w:ind w:firstLine="720"/>
        <w:rPr>
          <w:rFonts w:ascii="Arial" w:hAnsi="Arial" w:cs="Arial"/>
        </w:rPr>
      </w:pPr>
      <w:r>
        <w:rPr>
          <w:rFonts w:ascii="Arial" w:hAnsi="Arial" w:cs="Arial"/>
          <w:noProof/>
        </w:rPr>
        <w:drawing>
          <wp:anchor distT="0" distB="0" distL="114300" distR="114300" simplePos="0" relativeHeight="251658461" behindDoc="0" locked="0" layoutInCell="1" allowOverlap="1" wp14:anchorId="3348D84E" wp14:editId="166E328B">
            <wp:simplePos x="0" y="0"/>
            <wp:positionH relativeFrom="column">
              <wp:posOffset>459905</wp:posOffset>
            </wp:positionH>
            <wp:positionV relativeFrom="paragraph">
              <wp:posOffset>101</wp:posOffset>
            </wp:positionV>
            <wp:extent cx="4816475" cy="2499360"/>
            <wp:effectExtent l="0" t="0" r="0" b="0"/>
            <wp:wrapNone/>
            <wp:docPr id="5288" name="Picture 5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4816475" cy="2499360"/>
                    </a:xfrm>
                    <a:prstGeom prst="rect">
                      <a:avLst/>
                    </a:prstGeom>
                    <a:noFill/>
                  </pic:spPr>
                </pic:pic>
              </a:graphicData>
            </a:graphic>
          </wp:anchor>
        </w:drawing>
      </w:r>
    </w:p>
    <w:p w14:paraId="7988E2F7" w14:textId="77777777" w:rsidR="00E84280" w:rsidRDefault="00E84280" w:rsidP="00E84280">
      <w:pPr>
        <w:ind w:firstLine="720"/>
        <w:rPr>
          <w:rFonts w:ascii="Arial" w:hAnsi="Arial" w:cs="Arial"/>
        </w:rPr>
      </w:pPr>
    </w:p>
    <w:p w14:paraId="13782833" w14:textId="77777777" w:rsidR="00E84280" w:rsidRDefault="00E84280" w:rsidP="00E84280">
      <w:pPr>
        <w:ind w:firstLine="720"/>
        <w:rPr>
          <w:rFonts w:ascii="Arial" w:hAnsi="Arial" w:cs="Arial"/>
        </w:rPr>
      </w:pPr>
    </w:p>
    <w:p w14:paraId="03AAF9C8" w14:textId="77777777" w:rsidR="00E84280" w:rsidRDefault="00E84280" w:rsidP="00E84280">
      <w:pPr>
        <w:ind w:firstLine="720"/>
        <w:rPr>
          <w:rFonts w:ascii="Arial" w:hAnsi="Arial" w:cs="Arial"/>
        </w:rPr>
      </w:pPr>
    </w:p>
    <w:p w14:paraId="513D2B8C" w14:textId="77777777" w:rsidR="00E84280" w:rsidRDefault="00E84280" w:rsidP="00E84280">
      <w:pPr>
        <w:ind w:firstLine="720"/>
        <w:rPr>
          <w:rFonts w:ascii="Arial" w:hAnsi="Arial" w:cs="Arial"/>
        </w:rPr>
      </w:pPr>
    </w:p>
    <w:p w14:paraId="32BC750C" w14:textId="77777777" w:rsidR="00E84280" w:rsidRDefault="00E84280" w:rsidP="00E84280">
      <w:pPr>
        <w:ind w:firstLine="720"/>
        <w:rPr>
          <w:rFonts w:ascii="Arial" w:hAnsi="Arial" w:cs="Arial"/>
        </w:rPr>
      </w:pPr>
    </w:p>
    <w:p w14:paraId="02E32960" w14:textId="77777777" w:rsidR="00E84280" w:rsidRDefault="00E84280" w:rsidP="00E84280">
      <w:pPr>
        <w:ind w:firstLine="720"/>
        <w:rPr>
          <w:rFonts w:ascii="Arial" w:hAnsi="Arial" w:cs="Arial"/>
        </w:rPr>
      </w:pPr>
    </w:p>
    <w:p w14:paraId="5FB6FD72" w14:textId="77777777" w:rsidR="00E84280" w:rsidRDefault="00E84280" w:rsidP="00E84280">
      <w:pPr>
        <w:ind w:firstLine="720"/>
        <w:rPr>
          <w:rFonts w:ascii="Arial" w:hAnsi="Arial" w:cs="Arial"/>
        </w:rPr>
      </w:pPr>
    </w:p>
    <w:p w14:paraId="0A25F9C1" w14:textId="77777777" w:rsidR="00E84280" w:rsidRDefault="00E84280" w:rsidP="00E84280">
      <w:pPr>
        <w:ind w:firstLine="720"/>
        <w:rPr>
          <w:rFonts w:ascii="Arial" w:hAnsi="Arial" w:cs="Arial"/>
        </w:rPr>
      </w:pPr>
    </w:p>
    <w:p w14:paraId="6DEB047A" w14:textId="77777777" w:rsidR="00E84280" w:rsidRDefault="00E84280" w:rsidP="00E84280">
      <w:pPr>
        <w:ind w:firstLine="720"/>
        <w:rPr>
          <w:rFonts w:ascii="Arial" w:hAnsi="Arial" w:cs="Arial"/>
        </w:rPr>
      </w:pPr>
    </w:p>
    <w:p w14:paraId="6C17B254" w14:textId="77777777" w:rsidR="00E84280" w:rsidRDefault="00E84280" w:rsidP="00E84280">
      <w:pPr>
        <w:ind w:firstLine="720"/>
        <w:rPr>
          <w:rFonts w:ascii="Arial" w:hAnsi="Arial" w:cs="Arial"/>
        </w:rPr>
      </w:pPr>
    </w:p>
    <w:p w14:paraId="64214403" w14:textId="77777777" w:rsidR="00E84280" w:rsidRDefault="00E84280" w:rsidP="00E84280">
      <w:pPr>
        <w:ind w:firstLine="720"/>
        <w:rPr>
          <w:rFonts w:ascii="Arial" w:hAnsi="Arial" w:cs="Arial"/>
        </w:rPr>
      </w:pPr>
    </w:p>
    <w:p w14:paraId="6B3B1EE6" w14:textId="77777777" w:rsidR="00E84280" w:rsidRDefault="00E84280" w:rsidP="00E84280">
      <w:pPr>
        <w:ind w:firstLine="720"/>
        <w:rPr>
          <w:rFonts w:ascii="Arial" w:hAnsi="Arial" w:cs="Arial"/>
        </w:rPr>
      </w:pPr>
      <w:r w:rsidRPr="008C21BF">
        <w:rPr>
          <w:rFonts w:ascii="Arial" w:hAnsi="Arial" w:cs="Arial"/>
          <w:noProof/>
          <w:color w:val="595959" w:themeColor="text1" w:themeTint="A6"/>
          <w:sz w:val="24"/>
          <w:szCs w:val="24"/>
          <w:lang w:eastAsia="zh-CN"/>
        </w:rPr>
        <mc:AlternateContent>
          <mc:Choice Requires="wps">
            <w:drawing>
              <wp:anchor distT="0" distB="0" distL="114300" distR="114300" simplePos="0" relativeHeight="251658460" behindDoc="0" locked="0" layoutInCell="1" allowOverlap="1" wp14:anchorId="48A246DC" wp14:editId="1C95B186">
                <wp:simplePos x="0" y="0"/>
                <wp:positionH relativeFrom="margin">
                  <wp:align>right</wp:align>
                </wp:positionH>
                <wp:positionV relativeFrom="paragraph">
                  <wp:posOffset>33020</wp:posOffset>
                </wp:positionV>
                <wp:extent cx="5724525" cy="1200150"/>
                <wp:effectExtent l="0" t="0" r="9525" b="0"/>
                <wp:wrapNone/>
                <wp:docPr id="3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1200150"/>
                        </a:xfrm>
                        <a:prstGeom prst="rect">
                          <a:avLst/>
                        </a:prstGeom>
                        <a:solidFill>
                          <a:srgbClr val="FFFFFF"/>
                        </a:solidFill>
                        <a:ln w="9525">
                          <a:noFill/>
                          <a:miter lim="800000"/>
                          <a:headEnd/>
                          <a:tailEnd/>
                        </a:ln>
                      </wps:spPr>
                      <wps:txbx>
                        <w:txbxContent>
                          <w:p w14:paraId="09B1CECB" w14:textId="77777777" w:rsidR="008A47AC" w:rsidRPr="00E42550" w:rsidRDefault="008A47AC" w:rsidP="00E84280">
                            <w:pPr>
                              <w:pStyle w:val="Caption"/>
                              <w:jc w:val="both"/>
                              <w:rPr>
                                <w:rFonts w:ascii="Arial Narrow" w:hAnsi="Arial Narrow"/>
                                <w:b/>
                                <w:i w:val="0"/>
                                <w:color w:val="595959" w:themeColor="text1" w:themeTint="A6"/>
                                <w:sz w:val="22"/>
                                <w:szCs w:val="22"/>
                              </w:rPr>
                            </w:pPr>
                            <w:r w:rsidRPr="00E42550">
                              <w:rPr>
                                <w:rFonts w:ascii="Arial Narrow" w:hAnsi="Arial Narrow"/>
                                <w:b/>
                                <w:i w:val="0"/>
                                <w:color w:val="595959" w:themeColor="text1" w:themeTint="A6"/>
                                <w:sz w:val="22"/>
                                <w:szCs w:val="22"/>
                              </w:rPr>
                              <w:t xml:space="preserve">Figure </w:t>
                            </w:r>
                            <w:r>
                              <w:rPr>
                                <w:rFonts w:ascii="Arial Narrow" w:hAnsi="Arial Narrow"/>
                                <w:b/>
                                <w:i w:val="0"/>
                                <w:color w:val="595959" w:themeColor="text1" w:themeTint="A6"/>
                                <w:sz w:val="22"/>
                                <w:szCs w:val="22"/>
                              </w:rPr>
                              <w:t>7.5 V</w:t>
                            </w:r>
                            <w:r w:rsidRPr="00E42550">
                              <w:rPr>
                                <w:rFonts w:ascii="Arial Narrow" w:hAnsi="Arial Narrow"/>
                                <w:b/>
                                <w:i w:val="0"/>
                                <w:color w:val="595959" w:themeColor="text1" w:themeTint="A6"/>
                                <w:sz w:val="22"/>
                                <w:szCs w:val="22"/>
                              </w:rPr>
                              <w:t>ariations in</w:t>
                            </w:r>
                            <w:r>
                              <w:rPr>
                                <w:rFonts w:ascii="Arial Narrow" w:hAnsi="Arial Narrow"/>
                                <w:b/>
                                <w:i w:val="0"/>
                                <w:color w:val="595959" w:themeColor="text1" w:themeTint="A6"/>
                                <w:sz w:val="22"/>
                                <w:szCs w:val="22"/>
                              </w:rPr>
                              <w:t xml:space="preserve"> epidermal thickness in tissue-engineered oral mucosa models </w:t>
                            </w:r>
                          </w:p>
                          <w:p w14:paraId="0557015D" w14:textId="77777777" w:rsidR="008A47AC" w:rsidRPr="008E29E1" w:rsidRDefault="008A47AC" w:rsidP="00E84280">
                            <w:pPr>
                              <w:pStyle w:val="NormalWeb"/>
                              <w:spacing w:after="200" w:line="276" w:lineRule="auto"/>
                              <w:jc w:val="both"/>
                              <w:rPr>
                                <w:rFonts w:ascii="Arial Narrow" w:hAnsi="Arial Narrow"/>
                                <w:color w:val="595959" w:themeColor="text1" w:themeTint="A6"/>
                                <w:sz w:val="22"/>
                                <w:szCs w:val="22"/>
                              </w:rPr>
                            </w:pPr>
                            <w:r>
                              <w:rPr>
                                <w:rFonts w:ascii="Arial Narrow" w:hAnsi="Arial Narrow"/>
                                <w:color w:val="595959" w:themeColor="text1" w:themeTint="A6"/>
                                <w:sz w:val="22"/>
                                <w:szCs w:val="22"/>
                              </w:rPr>
                              <w:t xml:space="preserve">The thickness of the epidermis was measured using ImageJ measurement plug-in after 42 days for TENOM, TEAOM, and TESCCM. Data presented shows mean ± SD </w:t>
                            </w:r>
                            <w:r>
                              <w:rPr>
                                <w:rFonts w:ascii="Arial Narrow" w:eastAsia="SimSun" w:hAnsi="Arial Narrow" w:cs="Arial"/>
                                <w:color w:val="595959" w:themeColor="text1" w:themeTint="A6"/>
                                <w:kern w:val="24"/>
                                <w:sz w:val="22"/>
                                <w:szCs w:val="22"/>
                              </w:rPr>
                              <w:t xml:space="preserve">(N=3, n=3) as analysed using ordinary one-way ANOVA with a post-hoc Dunnett’s comparison test comparing to TENOM, **** </w:t>
                            </w:r>
                            <w:r>
                              <w:rPr>
                                <w:rFonts w:ascii="Arial Narrow" w:hAnsi="Arial Narrow"/>
                                <w:color w:val="595959" w:themeColor="text1" w:themeTint="A6"/>
                                <w:sz w:val="22"/>
                                <w:szCs w:val="22"/>
                              </w:rPr>
                              <w:t xml:space="preserve">p &lt;0.0001.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A246DC" id="_x0000_s1209" type="#_x0000_t202" style="position:absolute;left:0;text-align:left;margin-left:399.55pt;margin-top:2.6pt;width:450.75pt;height:94.5pt;z-index:2516584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" stroked="f">
                <v:textbox>
                  <w:txbxContent>
                    <w:p w14:paraId="09B1CECB" w14:textId="77777777" w:rsidR="008A47AC" w:rsidRPr="00E42550" w:rsidRDefault="008A47AC" w:rsidP="00E84280">
                      <w:pPr>
                        <w:pStyle w:val="Caption"/>
                        <w:jc w:val="both"/>
                        <w:rPr>
                          <w:rFonts w:ascii="Arial Narrow" w:hAnsi="Arial Narrow"/>
                          <w:b/>
                          <w:i w:val="0"/>
                          <w:color w:val="595959" w:themeColor="text1" w:themeTint="A6"/>
                          <w:sz w:val="22"/>
                          <w:szCs w:val="22"/>
                        </w:rPr>
                      </w:pPr>
                      <w:r w:rsidRPr="00E42550">
                        <w:rPr>
                          <w:rFonts w:ascii="Arial Narrow" w:hAnsi="Arial Narrow"/>
                          <w:b/>
                          <w:i w:val="0"/>
                          <w:color w:val="595959" w:themeColor="text1" w:themeTint="A6"/>
                          <w:sz w:val="22"/>
                          <w:szCs w:val="22"/>
                        </w:rPr>
                        <w:t xml:space="preserve">Figure </w:t>
                      </w:r>
                      <w:r>
                        <w:rPr>
                          <w:rFonts w:ascii="Arial Narrow" w:hAnsi="Arial Narrow"/>
                          <w:b/>
                          <w:i w:val="0"/>
                          <w:color w:val="595959" w:themeColor="text1" w:themeTint="A6"/>
                          <w:sz w:val="22"/>
                          <w:szCs w:val="22"/>
                        </w:rPr>
                        <w:t>7.5 V</w:t>
                      </w:r>
                      <w:r w:rsidRPr="00E42550">
                        <w:rPr>
                          <w:rFonts w:ascii="Arial Narrow" w:hAnsi="Arial Narrow"/>
                          <w:b/>
                          <w:i w:val="0"/>
                          <w:color w:val="595959" w:themeColor="text1" w:themeTint="A6"/>
                          <w:sz w:val="22"/>
                          <w:szCs w:val="22"/>
                        </w:rPr>
                        <w:t>ariations in</w:t>
                      </w:r>
                      <w:r>
                        <w:rPr>
                          <w:rFonts w:ascii="Arial Narrow" w:hAnsi="Arial Narrow"/>
                          <w:b/>
                          <w:i w:val="0"/>
                          <w:color w:val="595959" w:themeColor="text1" w:themeTint="A6"/>
                          <w:sz w:val="22"/>
                          <w:szCs w:val="22"/>
                        </w:rPr>
                        <w:t xml:space="preserve"> epidermal thickness in tissue-engineered oral mucosa models </w:t>
                      </w:r>
                    </w:p>
                    <w:p w14:paraId="0557015D" w14:textId="77777777" w:rsidR="008A47AC" w:rsidRPr="008E29E1" w:rsidRDefault="008A47AC" w:rsidP="00E84280">
                      <w:pPr>
                        <w:pStyle w:val="NormalWeb"/>
                        <w:spacing w:after="200" w:line="276" w:lineRule="auto"/>
                        <w:jc w:val="both"/>
                        <w:rPr>
                          <w:rFonts w:ascii="Arial Narrow" w:hAnsi="Arial Narrow"/>
                          <w:color w:val="595959" w:themeColor="text1" w:themeTint="A6"/>
                          <w:sz w:val="22"/>
                          <w:szCs w:val="22"/>
                        </w:rPr>
                      </w:pPr>
                      <w:r>
                        <w:rPr>
                          <w:rFonts w:ascii="Arial Narrow" w:hAnsi="Arial Narrow"/>
                          <w:color w:val="595959" w:themeColor="text1" w:themeTint="A6"/>
                          <w:sz w:val="22"/>
                          <w:szCs w:val="22"/>
                        </w:rPr>
                        <w:t xml:space="preserve">The thickness of the epidermis was measured using ImageJ measurement plug-in after 42 days for TENOM, TEAOM, and TESCCM. Data presented shows mean ± SD </w:t>
                      </w:r>
                      <w:r>
                        <w:rPr>
                          <w:rFonts w:ascii="Arial Narrow" w:eastAsia="SimSun" w:hAnsi="Arial Narrow" w:cs="Arial"/>
                          <w:color w:val="595959" w:themeColor="text1" w:themeTint="A6"/>
                          <w:kern w:val="24"/>
                          <w:sz w:val="22"/>
                          <w:szCs w:val="22"/>
                        </w:rPr>
                        <w:t xml:space="preserve">(N=3, n=3) as analysed using ordinary one-way ANOVA with a post-hoc Dunnett’s comparison test comparing to TENOM, **** </w:t>
                      </w:r>
                      <w:r>
                        <w:rPr>
                          <w:rFonts w:ascii="Arial Narrow" w:hAnsi="Arial Narrow"/>
                          <w:color w:val="595959" w:themeColor="text1" w:themeTint="A6"/>
                          <w:sz w:val="22"/>
                          <w:szCs w:val="22"/>
                        </w:rPr>
                        <w:t xml:space="preserve">p &lt;0.0001. </w:t>
                      </w:r>
                    </w:p>
                  </w:txbxContent>
                </v:textbox>
                <w10:wrap anchorx="margin"/>
              </v:shape>
            </w:pict>
          </mc:Fallback>
        </mc:AlternateContent>
      </w:r>
    </w:p>
    <w:p w14:paraId="561D4867" w14:textId="77777777" w:rsidR="00E84280" w:rsidRDefault="00E84280" w:rsidP="00E84280">
      <w:pPr>
        <w:ind w:firstLine="720"/>
        <w:rPr>
          <w:rFonts w:ascii="Arial" w:hAnsi="Arial" w:cs="Arial"/>
        </w:rPr>
      </w:pPr>
    </w:p>
    <w:p w14:paraId="3C6F7228" w14:textId="77777777" w:rsidR="00E84280" w:rsidRDefault="00E84280" w:rsidP="00E84280">
      <w:pPr>
        <w:ind w:firstLine="720"/>
        <w:rPr>
          <w:rFonts w:ascii="Arial" w:hAnsi="Arial" w:cs="Arial"/>
        </w:rPr>
      </w:pPr>
    </w:p>
    <w:p w14:paraId="1A7B4119" w14:textId="77777777" w:rsidR="00E84280" w:rsidRPr="002E2163" w:rsidRDefault="00E84280" w:rsidP="00E84280">
      <w:pPr>
        <w:rPr>
          <w:rFonts w:ascii="Arial" w:hAnsi="Arial" w:cs="Arial"/>
        </w:rPr>
      </w:pPr>
    </w:p>
    <w:p w14:paraId="057D2A63" w14:textId="77777777" w:rsidR="00E84280" w:rsidRDefault="00E84280" w:rsidP="00E84280">
      <w:pPr>
        <w:rPr>
          <w:rFonts w:ascii="Arial" w:hAnsi="Arial" w:cs="Arial"/>
        </w:rPr>
      </w:pPr>
    </w:p>
    <w:p w14:paraId="2DCFC453" w14:textId="77777777" w:rsidR="00E84280" w:rsidRDefault="00E84280" w:rsidP="00E84280">
      <w:pPr>
        <w:rPr>
          <w:rFonts w:ascii="Arial" w:hAnsi="Arial" w:cs="Arial"/>
        </w:rPr>
      </w:pPr>
    </w:p>
    <w:p w14:paraId="16AB6C03" w14:textId="77777777" w:rsidR="00E84280" w:rsidRDefault="00E84280" w:rsidP="00E84280">
      <w:pPr>
        <w:rPr>
          <w:rFonts w:ascii="Arial" w:hAnsi="Arial" w:cs="Arial"/>
        </w:rPr>
      </w:pPr>
    </w:p>
    <w:p w14:paraId="495B69FC" w14:textId="77777777" w:rsidR="00E84280" w:rsidRDefault="00E84280" w:rsidP="00E84280">
      <w:pPr>
        <w:rPr>
          <w:rFonts w:ascii="Arial" w:hAnsi="Arial" w:cs="Arial"/>
        </w:rPr>
      </w:pPr>
    </w:p>
    <w:p w14:paraId="52FDB98B" w14:textId="77777777" w:rsidR="00E84280" w:rsidRDefault="00E84280" w:rsidP="00E84280">
      <w:pPr>
        <w:rPr>
          <w:rFonts w:ascii="Arial" w:hAnsi="Arial" w:cs="Arial"/>
        </w:rPr>
      </w:pPr>
    </w:p>
    <w:p w14:paraId="6AC3F0E5" w14:textId="77777777" w:rsidR="00E84280" w:rsidRDefault="00E84280" w:rsidP="00E84280">
      <w:pPr>
        <w:rPr>
          <w:rFonts w:ascii="Arial" w:hAnsi="Arial" w:cs="Arial"/>
          <w:color w:val="595959" w:themeColor="text1" w:themeTint="A6"/>
        </w:rPr>
      </w:pPr>
      <w:r w:rsidRPr="007E1506">
        <w:rPr>
          <w:rFonts w:ascii="Arial" w:hAnsi="Arial" w:cs="Arial"/>
          <w:color w:val="595959" w:themeColor="text1" w:themeTint="A6"/>
        </w:rPr>
        <w:t>Figure 7.6</w:t>
      </w:r>
    </w:p>
    <w:p w14:paraId="79FD7481" w14:textId="77777777" w:rsidR="00E84280" w:rsidRDefault="00E84280" w:rsidP="00E84280">
      <w:pPr>
        <w:rPr>
          <w:rFonts w:ascii="Arial" w:hAnsi="Arial" w:cs="Arial"/>
          <w:color w:val="595959" w:themeColor="text1" w:themeTint="A6"/>
        </w:rPr>
      </w:pPr>
    </w:p>
    <w:p w14:paraId="0B6B679C" w14:textId="77777777" w:rsidR="00E84280" w:rsidRPr="007E1506" w:rsidRDefault="00E84280" w:rsidP="00E84280">
      <w:pPr>
        <w:rPr>
          <w:rFonts w:ascii="Arial" w:hAnsi="Arial" w:cs="Arial"/>
          <w:color w:val="595959" w:themeColor="text1" w:themeTint="A6"/>
        </w:rPr>
      </w:pPr>
      <w:r>
        <w:rPr>
          <w:rFonts w:ascii="Arial" w:hAnsi="Arial" w:cs="Arial"/>
          <w:color w:val="595959" w:themeColor="text1" w:themeTint="A6"/>
        </w:rPr>
        <w:t xml:space="preserve">COLIV expression was also visible in the stromal compartment of TEAOM. </w:t>
      </w:r>
    </w:p>
    <w:p w14:paraId="32729122" w14:textId="77777777" w:rsidR="00E84280" w:rsidRDefault="00E84280" w:rsidP="00E84280">
      <w:pPr>
        <w:rPr>
          <w:rFonts w:ascii="Arial" w:hAnsi="Arial" w:cs="Arial"/>
        </w:rPr>
      </w:pPr>
    </w:p>
    <w:p w14:paraId="70368770" w14:textId="77777777" w:rsidR="00E84280" w:rsidRDefault="00E84280" w:rsidP="00E84280">
      <w:pPr>
        <w:rPr>
          <w:rFonts w:ascii="Arial" w:hAnsi="Arial" w:cs="Arial"/>
        </w:rPr>
      </w:pPr>
    </w:p>
    <w:p w14:paraId="76F6B577" w14:textId="77777777" w:rsidR="00E84280" w:rsidRDefault="00E84280" w:rsidP="00E84280">
      <w:pPr>
        <w:rPr>
          <w:rFonts w:ascii="Arial" w:hAnsi="Arial" w:cs="Arial"/>
        </w:rPr>
      </w:pPr>
    </w:p>
    <w:p w14:paraId="719C9814" w14:textId="77777777" w:rsidR="00E84280" w:rsidRDefault="00E84280" w:rsidP="00E84280">
      <w:pPr>
        <w:rPr>
          <w:rFonts w:ascii="Arial" w:hAnsi="Arial" w:cs="Arial"/>
        </w:rPr>
      </w:pPr>
    </w:p>
    <w:p w14:paraId="1F832F3A" w14:textId="77777777" w:rsidR="00E84280" w:rsidRDefault="00E84280" w:rsidP="00E84280">
      <w:pPr>
        <w:rPr>
          <w:rFonts w:ascii="Arial" w:hAnsi="Arial" w:cs="Arial"/>
        </w:rPr>
      </w:pPr>
      <w:r>
        <w:rPr>
          <w:rFonts w:ascii="Arial" w:hAnsi="Arial" w:cs="Arial"/>
          <w:noProof/>
          <w:lang w:eastAsia="zh-CN"/>
        </w:rPr>
        <w:drawing>
          <wp:anchor distT="0" distB="0" distL="114300" distR="114300" simplePos="0" relativeHeight="251658452" behindDoc="0" locked="0" layoutInCell="1" allowOverlap="1" wp14:anchorId="56989143" wp14:editId="35C82FE8">
            <wp:simplePos x="0" y="0"/>
            <wp:positionH relativeFrom="margin">
              <wp:align>center</wp:align>
            </wp:positionH>
            <wp:positionV relativeFrom="paragraph">
              <wp:posOffset>7620</wp:posOffset>
            </wp:positionV>
            <wp:extent cx="2182495" cy="3828415"/>
            <wp:effectExtent l="0" t="0" r="8255" b="635"/>
            <wp:wrapNone/>
            <wp:docPr id="5289" name="Picture 5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2182495" cy="3828415"/>
                    </a:xfrm>
                    <a:prstGeom prst="rect">
                      <a:avLst/>
                    </a:prstGeom>
                    <a:noFill/>
                  </pic:spPr>
                </pic:pic>
              </a:graphicData>
            </a:graphic>
          </wp:anchor>
        </w:drawing>
      </w:r>
    </w:p>
    <w:p w14:paraId="06B79692" w14:textId="77777777" w:rsidR="00E84280" w:rsidRDefault="00E84280" w:rsidP="00E84280">
      <w:pPr>
        <w:rPr>
          <w:rFonts w:ascii="Arial" w:hAnsi="Arial" w:cs="Arial"/>
        </w:rPr>
      </w:pPr>
    </w:p>
    <w:p w14:paraId="4C1811FD" w14:textId="77777777" w:rsidR="00E84280" w:rsidRDefault="00E84280" w:rsidP="00E84280">
      <w:pPr>
        <w:rPr>
          <w:rFonts w:ascii="Arial" w:hAnsi="Arial" w:cs="Arial"/>
        </w:rPr>
      </w:pPr>
    </w:p>
    <w:p w14:paraId="52770488" w14:textId="77777777" w:rsidR="00E84280" w:rsidRDefault="00E84280" w:rsidP="00E84280">
      <w:pPr>
        <w:rPr>
          <w:rFonts w:ascii="Arial" w:hAnsi="Arial" w:cs="Arial"/>
        </w:rPr>
      </w:pPr>
    </w:p>
    <w:p w14:paraId="3AF5A548" w14:textId="77777777" w:rsidR="00E84280" w:rsidRDefault="00E84280" w:rsidP="00E84280">
      <w:pPr>
        <w:rPr>
          <w:rFonts w:ascii="Arial" w:hAnsi="Arial" w:cs="Arial"/>
        </w:rPr>
      </w:pPr>
    </w:p>
    <w:p w14:paraId="7CD286C1" w14:textId="77777777" w:rsidR="00E84280" w:rsidRDefault="00E84280" w:rsidP="00E84280">
      <w:pPr>
        <w:rPr>
          <w:noProof/>
          <w:lang w:eastAsia="zh-CN"/>
        </w:rPr>
      </w:pPr>
    </w:p>
    <w:p w14:paraId="3388A4E2" w14:textId="77777777" w:rsidR="00E84280" w:rsidRDefault="00E84280" w:rsidP="00E84280">
      <w:pPr>
        <w:rPr>
          <w:noProof/>
          <w:lang w:eastAsia="zh-CN"/>
        </w:rPr>
      </w:pPr>
    </w:p>
    <w:p w14:paraId="1C2A34DD" w14:textId="77777777" w:rsidR="00E84280" w:rsidRDefault="00E84280" w:rsidP="00E84280">
      <w:pPr>
        <w:rPr>
          <w:noProof/>
          <w:lang w:eastAsia="zh-CN"/>
        </w:rPr>
      </w:pPr>
    </w:p>
    <w:p w14:paraId="1A3AD60F" w14:textId="77777777" w:rsidR="00E84280" w:rsidRDefault="00E84280" w:rsidP="00E84280">
      <w:pPr>
        <w:rPr>
          <w:noProof/>
          <w:lang w:eastAsia="zh-CN"/>
        </w:rPr>
      </w:pPr>
    </w:p>
    <w:p w14:paraId="5E32B3C5" w14:textId="77777777" w:rsidR="00E84280" w:rsidRDefault="00E84280" w:rsidP="00E84280">
      <w:pPr>
        <w:rPr>
          <w:noProof/>
          <w:lang w:eastAsia="zh-CN"/>
        </w:rPr>
      </w:pPr>
      <w:r>
        <w:rPr>
          <w:noProof/>
          <w:lang w:eastAsia="zh-CN"/>
        </w:rPr>
        <mc:AlternateContent>
          <mc:Choice Requires="wps">
            <w:drawing>
              <wp:anchor distT="0" distB="0" distL="114300" distR="114300" simplePos="0" relativeHeight="251658463" behindDoc="0" locked="0" layoutInCell="1" allowOverlap="1" wp14:anchorId="28ABBC88" wp14:editId="5BE2A308">
                <wp:simplePos x="0" y="0"/>
                <wp:positionH relativeFrom="column">
                  <wp:posOffset>2106507</wp:posOffset>
                </wp:positionH>
                <wp:positionV relativeFrom="paragraph">
                  <wp:posOffset>65617</wp:posOffset>
                </wp:positionV>
                <wp:extent cx="216742" cy="350805"/>
                <wp:effectExtent l="0" t="57150" r="88265" b="30480"/>
                <wp:wrapNone/>
                <wp:docPr id="5280" name="Isosceles Triangle 5280"/>
                <wp:cNvGraphicFramePr/>
                <a:graphic xmlns:a="http://schemas.openxmlformats.org/drawingml/2006/main">
                  <a:graphicData uri="http://schemas.microsoft.com/office/word/2010/wordprocessingShape">
                    <wps:wsp>
                      <wps:cNvSpPr/>
                      <wps:spPr>
                        <a:xfrm rot="12258271">
                          <a:off x="0" y="0"/>
                          <a:ext cx="216742" cy="350805"/>
                        </a:xfrm>
                        <a:prstGeom prst="triangl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591B00" id="Isosceles Triangle 5280" o:spid="_x0000_s1026" type="#_x0000_t5" style="position:absolute;margin-left:165.85pt;margin-top:5.15pt;width:17.05pt;height:27.6pt;rotation:-10203659fd;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" fillcolor="black [3200]" strokecolor="black [1600]" strokeweight="1pt"/>
            </w:pict>
          </mc:Fallback>
        </mc:AlternateContent>
      </w:r>
    </w:p>
    <w:p w14:paraId="5A2780DB" w14:textId="77777777" w:rsidR="00E84280" w:rsidRDefault="00E84280" w:rsidP="00E84280">
      <w:pPr>
        <w:rPr>
          <w:noProof/>
          <w:lang w:eastAsia="zh-CN"/>
        </w:rPr>
      </w:pPr>
      <w:r>
        <w:rPr>
          <w:noProof/>
          <w:lang w:eastAsia="zh-CN"/>
        </w:rPr>
        <mc:AlternateContent>
          <mc:Choice Requires="wps">
            <w:drawing>
              <wp:anchor distT="0" distB="0" distL="114300" distR="114300" simplePos="0" relativeHeight="251658464" behindDoc="0" locked="0" layoutInCell="1" allowOverlap="1" wp14:anchorId="5D7F9C3E" wp14:editId="20955C40">
                <wp:simplePos x="0" y="0"/>
                <wp:positionH relativeFrom="column">
                  <wp:posOffset>3071495</wp:posOffset>
                </wp:positionH>
                <wp:positionV relativeFrom="paragraph">
                  <wp:posOffset>64348</wp:posOffset>
                </wp:positionV>
                <wp:extent cx="216742" cy="350805"/>
                <wp:effectExtent l="0" t="57150" r="88265" b="30480"/>
                <wp:wrapNone/>
                <wp:docPr id="5281" name="Isosceles Triangle 5281"/>
                <wp:cNvGraphicFramePr/>
                <a:graphic xmlns:a="http://schemas.openxmlformats.org/drawingml/2006/main">
                  <a:graphicData uri="http://schemas.microsoft.com/office/word/2010/wordprocessingShape">
                    <wps:wsp>
                      <wps:cNvSpPr/>
                      <wps:spPr>
                        <a:xfrm rot="12258271">
                          <a:off x="0" y="0"/>
                          <a:ext cx="216742" cy="350805"/>
                        </a:xfrm>
                        <a:prstGeom prst="triangl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3EAD98" id="Isosceles Triangle 5281" o:spid="_x0000_s1026" type="#_x0000_t5" style="position:absolute;margin-left:241.85pt;margin-top:5.05pt;width:17.05pt;height:27.6pt;rotation:-10203659fd;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" fillcolor="black [3200]" strokecolor="black [1600]" strokeweight="1pt"/>
            </w:pict>
          </mc:Fallback>
        </mc:AlternateContent>
      </w:r>
    </w:p>
    <w:p w14:paraId="388727CD" w14:textId="77777777" w:rsidR="00E84280" w:rsidRDefault="00E84280" w:rsidP="00E84280">
      <w:pPr>
        <w:rPr>
          <w:noProof/>
          <w:lang w:eastAsia="zh-CN"/>
        </w:rPr>
      </w:pPr>
    </w:p>
    <w:p w14:paraId="340EBFEF" w14:textId="77777777" w:rsidR="00E84280" w:rsidRDefault="00E84280" w:rsidP="00E84280">
      <w:pPr>
        <w:rPr>
          <w:noProof/>
          <w:lang w:eastAsia="zh-CN"/>
        </w:rPr>
      </w:pPr>
    </w:p>
    <w:p w14:paraId="34E61335" w14:textId="77777777" w:rsidR="00E84280" w:rsidRDefault="00E84280" w:rsidP="00E84280">
      <w:pPr>
        <w:rPr>
          <w:noProof/>
          <w:lang w:eastAsia="zh-CN"/>
        </w:rPr>
      </w:pPr>
      <w:r>
        <w:rPr>
          <w:noProof/>
          <w:lang w:eastAsia="zh-CN"/>
        </w:rPr>
        <mc:AlternateContent>
          <mc:Choice Requires="wps">
            <w:drawing>
              <wp:anchor distT="0" distB="0" distL="114300" distR="114300" simplePos="0" relativeHeight="251658466" behindDoc="0" locked="0" layoutInCell="1" allowOverlap="1" wp14:anchorId="4344FEA2" wp14:editId="1D00BDC5">
                <wp:simplePos x="0" y="0"/>
                <wp:positionH relativeFrom="column">
                  <wp:posOffset>3400213</wp:posOffset>
                </wp:positionH>
                <wp:positionV relativeFrom="paragraph">
                  <wp:posOffset>57362</wp:posOffset>
                </wp:positionV>
                <wp:extent cx="460587" cy="6773"/>
                <wp:effectExtent l="19050" t="19050" r="34925" b="31750"/>
                <wp:wrapNone/>
                <wp:docPr id="5282" name="Straight Connector 5282"/>
                <wp:cNvGraphicFramePr/>
                <a:graphic xmlns:a="http://schemas.openxmlformats.org/drawingml/2006/main">
                  <a:graphicData uri="http://schemas.microsoft.com/office/word/2010/wordprocessingShape">
                    <wps:wsp>
                      <wps:cNvCnPr/>
                      <wps:spPr>
                        <a:xfrm flipV="1">
                          <a:off x="0" y="0"/>
                          <a:ext cx="460587" cy="6773"/>
                        </a:xfrm>
                        <a:prstGeom prst="line">
                          <a:avLst/>
                        </a:prstGeom>
                        <a:ln w="28575">
                          <a:solidFill>
                            <a:schemeClr val="tx1"/>
                          </a:solidFill>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43124D2" id="Straight Connector 5282" o:spid="_x0000_s1026" style="position:absolute;flip:y;z-index:251942912;visibility:visible;mso-wrap-style:square;mso-wrap-distance-left:9pt;mso-wrap-distance-top:0;mso-wrap-distance-right:9pt;mso-wrap-distance-bottom:0;mso-position-horizontal:absolute;mso-position-horizontal-relative:text;mso-position-vertical:absolute;mso-position-vertical-relative:text" from="267.75pt,4.5pt" to="304pt,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" strokecolor="black [3213]" strokeweight="2.25pt">
                <v:stroke joinstyle="miter"/>
              </v:line>
            </w:pict>
          </mc:Fallback>
        </mc:AlternateContent>
      </w:r>
    </w:p>
    <w:p w14:paraId="797BBADB" w14:textId="77777777" w:rsidR="00E84280" w:rsidRDefault="00E84280" w:rsidP="00E84280">
      <w:pPr>
        <w:rPr>
          <w:noProof/>
          <w:lang w:eastAsia="zh-CN"/>
        </w:rPr>
      </w:pPr>
    </w:p>
    <w:p w14:paraId="1ABC6543" w14:textId="77777777" w:rsidR="00E84280" w:rsidRDefault="00E84280" w:rsidP="00E84280">
      <w:pPr>
        <w:rPr>
          <w:noProof/>
          <w:lang w:eastAsia="zh-CN"/>
        </w:rPr>
      </w:pPr>
    </w:p>
    <w:p w14:paraId="48857F00" w14:textId="77777777" w:rsidR="00E84280" w:rsidRDefault="00E84280" w:rsidP="00E84280">
      <w:pPr>
        <w:rPr>
          <w:noProof/>
          <w:lang w:eastAsia="zh-CN"/>
        </w:rPr>
      </w:pPr>
      <w:r w:rsidRPr="004E06B5">
        <w:rPr>
          <w:rFonts w:ascii="Arial" w:hAnsi="Arial" w:cs="Arial"/>
          <w:noProof/>
          <w:color w:val="595959" w:themeColor="text1" w:themeTint="A6"/>
          <w:sz w:val="24"/>
          <w:szCs w:val="24"/>
          <w:lang w:eastAsia="zh-CN"/>
        </w:rPr>
        <mc:AlternateContent>
          <mc:Choice Requires="wps">
            <w:drawing>
              <wp:anchor distT="0" distB="0" distL="114300" distR="114300" simplePos="0" relativeHeight="251658465" behindDoc="0" locked="0" layoutInCell="1" allowOverlap="1" wp14:anchorId="3BC5151B" wp14:editId="407D0316">
                <wp:simplePos x="0" y="0"/>
                <wp:positionH relativeFrom="margin">
                  <wp:align>left</wp:align>
                </wp:positionH>
                <wp:positionV relativeFrom="paragraph">
                  <wp:posOffset>6561</wp:posOffset>
                </wp:positionV>
                <wp:extent cx="5734050" cy="1752600"/>
                <wp:effectExtent l="0" t="0" r="0" b="0"/>
                <wp:wrapNone/>
                <wp:docPr id="5283" name="Text Box 52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1752600"/>
                        </a:xfrm>
                        <a:prstGeom prst="rect">
                          <a:avLst/>
                        </a:prstGeom>
                        <a:solidFill>
                          <a:srgbClr val="FFFFFF"/>
                        </a:solidFill>
                        <a:ln w="9525">
                          <a:noFill/>
                          <a:miter lim="800000"/>
                          <a:headEnd/>
                          <a:tailEnd/>
                        </a:ln>
                      </wps:spPr>
                      <wps:txbx>
                        <w:txbxContent>
                          <w:p w14:paraId="153C2DEB" w14:textId="16141628" w:rsidR="008A47AC" w:rsidRPr="006B7937" w:rsidRDefault="008A47AC" w:rsidP="00E84280">
                            <w:pPr>
                              <w:pStyle w:val="Caption"/>
                              <w:keepNext/>
                              <w:jc w:val="both"/>
                              <w:rPr>
                                <w:rFonts w:ascii="Arial Narrow" w:hAnsi="Arial Narrow"/>
                                <w:b/>
                                <w:i w:val="0"/>
                                <w:sz w:val="24"/>
                                <w:szCs w:val="24"/>
                              </w:rPr>
                            </w:pPr>
                            <w:r w:rsidRPr="006B7937">
                              <w:rPr>
                                <w:rFonts w:ascii="Arial Narrow" w:hAnsi="Arial Narrow"/>
                                <w:b/>
                                <w:i w:val="0"/>
                                <w:color w:val="595959" w:themeColor="text1" w:themeTint="A6"/>
                                <w:sz w:val="24"/>
                                <w:szCs w:val="24"/>
                              </w:rPr>
                              <w:t>Figure</w:t>
                            </w:r>
                            <w:r>
                              <w:rPr>
                                <w:rFonts w:ascii="Arial Narrow" w:hAnsi="Arial Narrow"/>
                                <w:b/>
                                <w:i w:val="0"/>
                                <w:color w:val="595959" w:themeColor="text1" w:themeTint="A6"/>
                                <w:sz w:val="24"/>
                                <w:szCs w:val="24"/>
                              </w:rPr>
                              <w:t xml:space="preserve"> 7.6 Immunohistochemical analysis of COLIV in tissue-engineered atypical oral mucosa models</w:t>
                            </w:r>
                          </w:p>
                          <w:p w14:paraId="40BA4EA3" w14:textId="77777777" w:rsidR="008A47AC" w:rsidRPr="00B8170A" w:rsidRDefault="008A47AC" w:rsidP="00E84280">
                            <w:pPr>
                              <w:pStyle w:val="NormalWeb"/>
                              <w:spacing w:after="200" w:line="276" w:lineRule="auto"/>
                              <w:jc w:val="both"/>
                            </w:pPr>
                            <w:r>
                              <w:rPr>
                                <w:rFonts w:ascii="Arial Narrow" w:eastAsia="SimSun" w:hAnsi="Arial Narrow" w:cs="Arial"/>
                                <w:color w:val="595959" w:themeColor="text1" w:themeTint="A6"/>
                                <w:kern w:val="24"/>
                                <w:sz w:val="22"/>
                                <w:szCs w:val="22"/>
                              </w:rPr>
                              <w:t>Full thickness tissue-engineered models were developed on FDM and cultured for 12 days at an air-to-liquid interface before being subjected to histological processing and immunohistochemical staining for COLIV (brown) and haematoxylin counterstain (blue). Representative images of TEAOM. Scale bar = 50 µm.</w:t>
                            </w:r>
                          </w:p>
                          <w:p w14:paraId="46679AE2" w14:textId="77777777" w:rsidR="008A47AC" w:rsidRPr="00B8170A" w:rsidRDefault="008A47AC" w:rsidP="00E84280">
                            <w:pPr>
                              <w:pStyle w:val="NormalWeb"/>
                              <w:spacing w:after="200" w:line="276" w:lineRule="auto"/>
                              <w:jc w:val="both"/>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C5151B" id="Text Box 5283" o:spid="_x0000_s1210" type="#_x0000_t202" style="position:absolute;margin-left:0;margin-top:.5pt;width:451.5pt;height:138pt;z-index:251658465;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" stroked="f">
                <v:textbox>
                  <w:txbxContent>
                    <w:p w14:paraId="153C2DEB" w14:textId="16141628" w:rsidR="008A47AC" w:rsidRPr="006B7937" w:rsidRDefault="008A47AC" w:rsidP="00E84280">
                      <w:pPr>
                        <w:pStyle w:val="Caption"/>
                        <w:keepNext/>
                        <w:jc w:val="both"/>
                        <w:rPr>
                          <w:rFonts w:ascii="Arial Narrow" w:hAnsi="Arial Narrow"/>
                          <w:b/>
                          <w:i w:val="0"/>
                          <w:sz w:val="24"/>
                          <w:szCs w:val="24"/>
                        </w:rPr>
                      </w:pPr>
                      <w:r w:rsidRPr="006B7937">
                        <w:rPr>
                          <w:rFonts w:ascii="Arial Narrow" w:hAnsi="Arial Narrow"/>
                          <w:b/>
                          <w:i w:val="0"/>
                          <w:color w:val="595959" w:themeColor="text1" w:themeTint="A6"/>
                          <w:sz w:val="24"/>
                          <w:szCs w:val="24"/>
                        </w:rPr>
                        <w:t>Figure</w:t>
                      </w:r>
                      <w:r>
                        <w:rPr>
                          <w:rFonts w:ascii="Arial Narrow" w:hAnsi="Arial Narrow"/>
                          <w:b/>
                          <w:i w:val="0"/>
                          <w:color w:val="595959" w:themeColor="text1" w:themeTint="A6"/>
                          <w:sz w:val="24"/>
                          <w:szCs w:val="24"/>
                        </w:rPr>
                        <w:t xml:space="preserve"> 7.6 Immunohistochemical analysis of COLIV in tissue-engineered atypical oral mucosa models</w:t>
                      </w:r>
                    </w:p>
                    <w:p w14:paraId="40BA4EA3" w14:textId="77777777" w:rsidR="008A47AC" w:rsidRPr="00B8170A" w:rsidRDefault="008A47AC" w:rsidP="00E84280">
                      <w:pPr>
                        <w:pStyle w:val="NormalWeb"/>
                        <w:spacing w:after="200" w:line="276" w:lineRule="auto"/>
                        <w:jc w:val="both"/>
                      </w:pPr>
                      <w:r>
                        <w:rPr>
                          <w:rFonts w:ascii="Arial Narrow" w:eastAsia="SimSun" w:hAnsi="Arial Narrow" w:cs="Arial"/>
                          <w:color w:val="595959" w:themeColor="text1" w:themeTint="A6"/>
                          <w:kern w:val="24"/>
                          <w:sz w:val="22"/>
                          <w:szCs w:val="22"/>
                        </w:rPr>
                        <w:t>Full thickness tissue-engineered models were developed on FDM and cultured for 12 days at an air-to-liquid interface before being subjected to histological processing and immunohistochemical staining for COLIV (brown) and haematoxylin counterstain (blue). Representative images of TEAOM. Scale bar = 50 µm.</w:t>
                      </w:r>
                    </w:p>
                    <w:p w14:paraId="46679AE2" w14:textId="77777777" w:rsidR="008A47AC" w:rsidRPr="00B8170A" w:rsidRDefault="008A47AC" w:rsidP="00E84280">
                      <w:pPr>
                        <w:pStyle w:val="NormalWeb"/>
                        <w:spacing w:after="200" w:line="276" w:lineRule="auto"/>
                        <w:jc w:val="both"/>
                      </w:pPr>
                    </w:p>
                  </w:txbxContent>
                </v:textbox>
                <w10:wrap anchorx="margin"/>
              </v:shape>
            </w:pict>
          </mc:Fallback>
        </mc:AlternateContent>
      </w:r>
    </w:p>
    <w:p w14:paraId="4465FDAA" w14:textId="77777777" w:rsidR="00E84280" w:rsidRDefault="00E84280" w:rsidP="00E84280">
      <w:pPr>
        <w:rPr>
          <w:noProof/>
          <w:lang w:eastAsia="zh-CN"/>
        </w:rPr>
      </w:pPr>
    </w:p>
    <w:p w14:paraId="17C1345C" w14:textId="77777777" w:rsidR="00E84280" w:rsidRDefault="00E84280" w:rsidP="00E84280">
      <w:pPr>
        <w:rPr>
          <w:noProof/>
          <w:lang w:eastAsia="zh-CN"/>
        </w:rPr>
      </w:pPr>
    </w:p>
    <w:p w14:paraId="6A02597A" w14:textId="77777777" w:rsidR="00E84280" w:rsidRDefault="00E84280" w:rsidP="00E84280">
      <w:pPr>
        <w:rPr>
          <w:noProof/>
          <w:lang w:eastAsia="zh-CN"/>
        </w:rPr>
      </w:pPr>
    </w:p>
    <w:p w14:paraId="772F9607" w14:textId="77777777" w:rsidR="00E84280" w:rsidRDefault="00E84280" w:rsidP="00E84280">
      <w:pPr>
        <w:rPr>
          <w:noProof/>
          <w:lang w:eastAsia="zh-CN"/>
        </w:rPr>
      </w:pPr>
    </w:p>
    <w:p w14:paraId="779B7C48" w14:textId="77777777" w:rsidR="00E84280" w:rsidRDefault="00E84280" w:rsidP="00E84280">
      <w:pPr>
        <w:rPr>
          <w:noProof/>
          <w:lang w:eastAsia="zh-CN"/>
        </w:rPr>
      </w:pPr>
    </w:p>
    <w:p w14:paraId="22FBCC2C" w14:textId="77777777" w:rsidR="00E84280" w:rsidRDefault="00E84280" w:rsidP="00E84280">
      <w:pPr>
        <w:rPr>
          <w:noProof/>
          <w:lang w:eastAsia="zh-CN"/>
        </w:rPr>
      </w:pPr>
    </w:p>
    <w:p w14:paraId="58511910" w14:textId="77777777" w:rsidR="00396EB2" w:rsidRDefault="00396EB2" w:rsidP="00396EB2">
      <w:pPr>
        <w:spacing w:line="360" w:lineRule="auto"/>
        <w:jc w:val="both"/>
        <w:rPr>
          <w:rFonts w:ascii="Arial" w:hAnsi="Arial" w:cs="Arial"/>
          <w:color w:val="595959" w:themeColor="text1" w:themeTint="A6"/>
        </w:rPr>
      </w:pPr>
    </w:p>
    <w:p w14:paraId="28C43F36" w14:textId="77777777" w:rsidR="008438D2" w:rsidRDefault="00E84280" w:rsidP="002A06E4">
      <w:pPr>
        <w:pStyle w:val="Title"/>
        <w:outlineLvl w:val="0"/>
        <w:rPr>
          <w:color w:val="4472C4" w:themeColor="accent1"/>
          <w:sz w:val="48"/>
          <w:szCs w:val="48"/>
        </w:rPr>
      </w:pPr>
      <w:bookmarkStart w:id="505" w:name="_Toc34208492"/>
      <w:r w:rsidRPr="002A06E4">
        <w:rPr>
          <w:color w:val="4472C4" w:themeColor="accent1"/>
          <w:sz w:val="48"/>
          <w:szCs w:val="48"/>
        </w:rPr>
        <w:t>References</w:t>
      </w:r>
      <w:bookmarkEnd w:id="505"/>
    </w:p>
    <w:p w14:paraId="4F512A87" w14:textId="0CDD81AB" w:rsidR="00E84280" w:rsidRPr="002A06E4" w:rsidRDefault="00E84280" w:rsidP="002A06E4">
      <w:pPr>
        <w:pStyle w:val="Title"/>
        <w:outlineLvl w:val="0"/>
        <w:rPr>
          <w:color w:val="4472C4" w:themeColor="accent1"/>
          <w:sz w:val="48"/>
          <w:szCs w:val="48"/>
        </w:rPr>
      </w:pPr>
      <w:r>
        <w:rPr>
          <w:color w:val="4472C4" w:themeColor="accent1"/>
          <w:sz w:val="72"/>
          <w:szCs w:val="72"/>
        </w:rPr>
        <w:t xml:space="preserve"> </w:t>
      </w:r>
    </w:p>
    <w:p w14:paraId="172D295D" w14:textId="3A3B4F2F" w:rsidR="00396EB2" w:rsidRPr="001C27BF" w:rsidRDefault="00396EB2" w:rsidP="001C27BF">
      <w:pPr>
        <w:spacing w:line="360" w:lineRule="auto"/>
        <w:jc w:val="both"/>
        <w:rPr>
          <w:rFonts w:ascii="Arial" w:hAnsi="Arial" w:cs="Arial"/>
          <w:color w:val="595959" w:themeColor="text1" w:themeTint="A6"/>
        </w:rPr>
      </w:pPr>
      <w:r w:rsidRPr="001C27BF">
        <w:rPr>
          <w:rFonts w:ascii="Arial" w:hAnsi="Arial" w:cs="Arial"/>
          <w:color w:val="595959" w:themeColor="text1" w:themeTint="A6"/>
        </w:rPr>
        <w:t xml:space="preserve">AHLFORS, J.W and BILLIAR, K.L. (2007). ‘Biomechanical and biochemical characteristics of a human fibroblast-produced and remodelled matrix.’ </w:t>
      </w:r>
      <w:r w:rsidRPr="001C27BF">
        <w:rPr>
          <w:rFonts w:ascii="Arial" w:hAnsi="Arial" w:cs="Arial"/>
          <w:i/>
          <w:color w:val="595959" w:themeColor="text1" w:themeTint="A6"/>
        </w:rPr>
        <w:t>Biomaterials</w:t>
      </w:r>
      <w:r w:rsidRPr="001C27BF">
        <w:rPr>
          <w:rFonts w:ascii="Arial" w:hAnsi="Arial" w:cs="Arial"/>
          <w:color w:val="595959" w:themeColor="text1" w:themeTint="A6"/>
        </w:rPr>
        <w:t xml:space="preserve">, </w:t>
      </w:r>
      <w:r w:rsidRPr="001C27BF">
        <w:rPr>
          <w:rFonts w:ascii="Arial" w:hAnsi="Arial" w:cs="Arial"/>
          <w:b/>
          <w:i/>
          <w:color w:val="595959" w:themeColor="text1" w:themeTint="A6"/>
        </w:rPr>
        <w:t>28</w:t>
      </w:r>
      <w:r w:rsidRPr="001C27BF">
        <w:rPr>
          <w:rFonts w:ascii="Arial" w:hAnsi="Arial" w:cs="Arial"/>
          <w:color w:val="595959" w:themeColor="text1" w:themeTint="A6"/>
        </w:rPr>
        <w:t xml:space="preserve">, 2183-2191. </w:t>
      </w:r>
    </w:p>
    <w:p w14:paraId="3A988125" w14:textId="77777777" w:rsidR="00396EB2" w:rsidRPr="001C27BF" w:rsidRDefault="00396EB2" w:rsidP="001C27BF">
      <w:pPr>
        <w:spacing w:line="360" w:lineRule="auto"/>
        <w:jc w:val="both"/>
        <w:rPr>
          <w:rFonts w:ascii="Arial" w:hAnsi="Arial" w:cs="Arial"/>
          <w:color w:val="595959" w:themeColor="text1" w:themeTint="A6"/>
        </w:rPr>
      </w:pPr>
      <w:r w:rsidRPr="001C27BF">
        <w:rPr>
          <w:rFonts w:ascii="Arial" w:hAnsi="Arial" w:cs="Arial"/>
          <w:color w:val="595959" w:themeColor="text1" w:themeTint="A6"/>
        </w:rPr>
        <w:t xml:space="preserve">ALBRENGUES, J. Bertero, T., Grasset, E., Bonan, S., Maiel, M., Bourget, I., Phillippe, C., Serrano, C.H., Benamar, S., Croce, O., Sanz-Moreno, V., Meneguzzi, G., Feral, C.C., Cristofari, G, and Gaggioli, C. (2015). ‘Epigenetic switch drives the conversion of fibroblasts into pro-invasive cancer-associated fibroblasts.’ </w:t>
      </w:r>
      <w:r w:rsidRPr="001C27BF">
        <w:rPr>
          <w:rFonts w:ascii="Arial" w:hAnsi="Arial" w:cs="Arial"/>
          <w:i/>
          <w:color w:val="595959" w:themeColor="text1" w:themeTint="A6"/>
        </w:rPr>
        <w:t>Nature Communications</w:t>
      </w:r>
      <w:r w:rsidRPr="001C27BF">
        <w:rPr>
          <w:rFonts w:ascii="Arial" w:hAnsi="Arial" w:cs="Arial"/>
          <w:color w:val="595959" w:themeColor="text1" w:themeTint="A6"/>
        </w:rPr>
        <w:t>,</w:t>
      </w:r>
      <w:r w:rsidRPr="001C27BF">
        <w:rPr>
          <w:rFonts w:ascii="Arial" w:hAnsi="Arial" w:cs="Arial"/>
          <w:i/>
          <w:color w:val="595959" w:themeColor="text1" w:themeTint="A6"/>
        </w:rPr>
        <w:t xml:space="preserve"> </w:t>
      </w:r>
      <w:r w:rsidRPr="001C27BF">
        <w:rPr>
          <w:rFonts w:ascii="Arial" w:hAnsi="Arial" w:cs="Arial"/>
          <w:color w:val="595959" w:themeColor="text1" w:themeTint="A6"/>
        </w:rPr>
        <w:t>(</w:t>
      </w:r>
      <w:r w:rsidRPr="001C27BF">
        <w:rPr>
          <w:rFonts w:ascii="Arial" w:hAnsi="Arial" w:cs="Arial"/>
          <w:b/>
          <w:color w:val="595959" w:themeColor="text1" w:themeTint="A6"/>
        </w:rPr>
        <w:t>6</w:t>
      </w:r>
      <w:r w:rsidRPr="001C27BF">
        <w:rPr>
          <w:rFonts w:ascii="Arial" w:hAnsi="Arial" w:cs="Arial"/>
          <w:color w:val="595959" w:themeColor="text1" w:themeTint="A6"/>
        </w:rPr>
        <w:t xml:space="preserve">). </w:t>
      </w:r>
    </w:p>
    <w:p w14:paraId="079F304D" w14:textId="77777777" w:rsidR="00396EB2" w:rsidRPr="001C27BF" w:rsidRDefault="00396EB2" w:rsidP="001C27BF">
      <w:pPr>
        <w:spacing w:line="360" w:lineRule="auto"/>
        <w:jc w:val="both"/>
        <w:rPr>
          <w:rFonts w:ascii="Arial" w:hAnsi="Arial" w:cs="Arial"/>
          <w:color w:val="595959" w:themeColor="text1" w:themeTint="A6"/>
        </w:rPr>
      </w:pPr>
      <w:r w:rsidRPr="001C27BF">
        <w:rPr>
          <w:rFonts w:ascii="Arial" w:hAnsi="Arial" w:cs="Arial"/>
          <w:color w:val="595959" w:themeColor="text1" w:themeTint="A6"/>
        </w:rPr>
        <w:t xml:space="preserve">ALBRENGUES, J. Bourget, I. Pons, C. Butet, V. Hofman, P, Tartare-Deckert, S. Feral, C.C. Meneguzzi, G. and Gaggoli, C. (2014). ‘LIF Mediates Pro-invasive Activation of Stromal Fibroblasts in Cancer.’ </w:t>
      </w:r>
      <w:r w:rsidRPr="001C27BF">
        <w:rPr>
          <w:rFonts w:ascii="Arial" w:hAnsi="Arial" w:cs="Arial"/>
          <w:i/>
          <w:color w:val="595959" w:themeColor="text1" w:themeTint="A6"/>
        </w:rPr>
        <w:t>Cell reports</w:t>
      </w:r>
      <w:r w:rsidRPr="001C27BF">
        <w:rPr>
          <w:rFonts w:ascii="Arial" w:hAnsi="Arial" w:cs="Arial"/>
          <w:color w:val="595959" w:themeColor="text1" w:themeTint="A6"/>
        </w:rPr>
        <w:t xml:space="preserve">, </w:t>
      </w:r>
      <w:r w:rsidRPr="001C27BF">
        <w:rPr>
          <w:rFonts w:ascii="Arial" w:hAnsi="Arial" w:cs="Arial"/>
          <w:b/>
          <w:color w:val="595959" w:themeColor="text1" w:themeTint="A6"/>
        </w:rPr>
        <w:t>7</w:t>
      </w:r>
      <w:r w:rsidRPr="001C27BF">
        <w:rPr>
          <w:rFonts w:ascii="Arial" w:hAnsi="Arial" w:cs="Arial"/>
          <w:color w:val="595959" w:themeColor="text1" w:themeTint="A6"/>
        </w:rPr>
        <w:t xml:space="preserve">, 1664-1678. </w:t>
      </w:r>
    </w:p>
    <w:p w14:paraId="010CB4DF" w14:textId="77777777" w:rsidR="00396EB2" w:rsidRPr="001C27BF" w:rsidRDefault="00396EB2" w:rsidP="001C27BF">
      <w:pPr>
        <w:spacing w:line="360" w:lineRule="auto"/>
        <w:jc w:val="both"/>
        <w:rPr>
          <w:rFonts w:ascii="Arial" w:hAnsi="Arial" w:cs="Arial"/>
          <w:color w:val="595959" w:themeColor="text1" w:themeTint="A6"/>
        </w:rPr>
      </w:pPr>
      <w:r w:rsidRPr="001C27BF">
        <w:rPr>
          <w:rFonts w:ascii="Arial" w:hAnsi="Arial" w:cs="Arial"/>
          <w:color w:val="595959" w:themeColor="text1" w:themeTint="A6"/>
        </w:rPr>
        <w:t xml:space="preserve">ANNES J.P., Munger J.S, Rifkin D.B. (2003) ‘Making sense of latent TGF-beta activation’. </w:t>
      </w:r>
      <w:r w:rsidRPr="001C27BF">
        <w:rPr>
          <w:rFonts w:ascii="Arial" w:hAnsi="Arial" w:cs="Arial"/>
          <w:i/>
          <w:color w:val="595959" w:themeColor="text1" w:themeTint="A6"/>
        </w:rPr>
        <w:t>J Cell Sci</w:t>
      </w:r>
      <w:r w:rsidRPr="001C27BF">
        <w:rPr>
          <w:rFonts w:ascii="Arial" w:hAnsi="Arial" w:cs="Arial"/>
          <w:color w:val="595959" w:themeColor="text1" w:themeTint="A6"/>
        </w:rPr>
        <w:t xml:space="preserve"> </w:t>
      </w:r>
      <w:r w:rsidRPr="001C27BF">
        <w:rPr>
          <w:rFonts w:ascii="Arial" w:hAnsi="Arial" w:cs="Arial"/>
          <w:b/>
          <w:color w:val="595959" w:themeColor="text1" w:themeTint="A6"/>
        </w:rPr>
        <w:t>116</w:t>
      </w:r>
      <w:r w:rsidRPr="001C27BF">
        <w:rPr>
          <w:rFonts w:ascii="Arial" w:hAnsi="Arial" w:cs="Arial"/>
          <w:color w:val="595959" w:themeColor="text1" w:themeTint="A6"/>
        </w:rPr>
        <w:t>: 217–224.</w:t>
      </w:r>
    </w:p>
    <w:p w14:paraId="5F8379A5" w14:textId="77777777" w:rsidR="00396EB2" w:rsidRPr="001C27BF" w:rsidRDefault="00396EB2" w:rsidP="001C27BF">
      <w:pPr>
        <w:spacing w:line="360" w:lineRule="auto"/>
        <w:jc w:val="both"/>
        <w:rPr>
          <w:rFonts w:ascii="Arial" w:hAnsi="Arial" w:cs="Arial"/>
          <w:color w:val="595959" w:themeColor="text1" w:themeTint="A6"/>
        </w:rPr>
      </w:pPr>
      <w:r w:rsidRPr="001C27BF">
        <w:rPr>
          <w:rFonts w:ascii="Arial" w:hAnsi="Arial" w:cs="Arial"/>
          <w:color w:val="595959" w:themeColor="text1" w:themeTint="A6"/>
        </w:rPr>
        <w:t xml:space="preserve">BADYLAK, S.F, Freytes, D.O, and Gilbert, T.W (2009). ‘Extracellular matrix as a biological scaffold material: Structure and function.’ </w:t>
      </w:r>
      <w:r w:rsidRPr="001C27BF">
        <w:rPr>
          <w:rFonts w:ascii="Arial" w:hAnsi="Arial" w:cs="Arial"/>
          <w:i/>
          <w:color w:val="595959" w:themeColor="text1" w:themeTint="A6"/>
        </w:rPr>
        <w:t>Acta Biomaterialia</w:t>
      </w:r>
      <w:r w:rsidRPr="001C27BF">
        <w:rPr>
          <w:rFonts w:ascii="Arial" w:hAnsi="Arial" w:cs="Arial"/>
          <w:color w:val="595959" w:themeColor="text1" w:themeTint="A6"/>
        </w:rPr>
        <w:t>: (</w:t>
      </w:r>
      <w:r w:rsidRPr="006B5957">
        <w:rPr>
          <w:rFonts w:ascii="Arial" w:hAnsi="Arial" w:cs="Arial"/>
          <w:b/>
          <w:bCs/>
          <w:color w:val="595959" w:themeColor="text1" w:themeTint="A6"/>
        </w:rPr>
        <w:t>5</w:t>
      </w:r>
      <w:r w:rsidRPr="001C27BF">
        <w:rPr>
          <w:rFonts w:ascii="Arial" w:hAnsi="Arial" w:cs="Arial"/>
          <w:color w:val="595959" w:themeColor="text1" w:themeTint="A6"/>
        </w:rPr>
        <w:t>) 1–13.</w:t>
      </w:r>
    </w:p>
    <w:p w14:paraId="51DE9658" w14:textId="77777777" w:rsidR="00396EB2" w:rsidRPr="001C27BF" w:rsidRDefault="00396EB2" w:rsidP="001C27BF">
      <w:pPr>
        <w:spacing w:line="360" w:lineRule="auto"/>
        <w:jc w:val="both"/>
        <w:rPr>
          <w:rFonts w:ascii="Arial" w:hAnsi="Arial" w:cs="Arial"/>
          <w:color w:val="595959" w:themeColor="text1" w:themeTint="A6"/>
        </w:rPr>
      </w:pPr>
      <w:r w:rsidRPr="001C27BF">
        <w:rPr>
          <w:rFonts w:ascii="Arial" w:hAnsi="Arial" w:cs="Arial"/>
          <w:color w:val="595959" w:themeColor="text1" w:themeTint="A6"/>
        </w:rPr>
        <w:t xml:space="preserve">BAGAN, J.V and SCULLY, C. (2008). “Recent advances in oral oncology 2007: epidemiology, aetiopathogenesis, diagnosis and prognostication”. </w:t>
      </w:r>
      <w:r w:rsidRPr="001C27BF">
        <w:rPr>
          <w:rFonts w:ascii="Arial" w:hAnsi="Arial" w:cs="Arial"/>
          <w:i/>
          <w:color w:val="595959" w:themeColor="text1" w:themeTint="A6"/>
        </w:rPr>
        <w:t xml:space="preserve">Oral Oncol </w:t>
      </w:r>
      <w:r w:rsidRPr="001C27BF">
        <w:rPr>
          <w:rFonts w:ascii="Arial" w:hAnsi="Arial" w:cs="Arial"/>
          <w:color w:val="595959" w:themeColor="text1" w:themeTint="A6"/>
        </w:rPr>
        <w:t>,</w:t>
      </w:r>
      <w:r w:rsidRPr="001C27BF">
        <w:rPr>
          <w:rFonts w:ascii="Arial" w:hAnsi="Arial" w:cs="Arial"/>
          <w:b/>
          <w:color w:val="595959" w:themeColor="text1" w:themeTint="A6"/>
        </w:rPr>
        <w:t>44</w:t>
      </w:r>
      <w:r w:rsidRPr="001C27BF">
        <w:rPr>
          <w:rFonts w:ascii="Arial" w:hAnsi="Arial" w:cs="Arial"/>
          <w:color w:val="595959" w:themeColor="text1" w:themeTint="A6"/>
        </w:rPr>
        <w:t>:103-108.</w:t>
      </w:r>
    </w:p>
    <w:p w14:paraId="633A8662" w14:textId="1E636A72" w:rsidR="00396EB2" w:rsidRPr="001C27BF" w:rsidRDefault="00396EB2" w:rsidP="001C27BF">
      <w:pPr>
        <w:spacing w:line="360" w:lineRule="auto"/>
        <w:jc w:val="both"/>
        <w:rPr>
          <w:rFonts w:ascii="Arial" w:hAnsi="Arial" w:cs="Arial"/>
          <w:color w:val="595959" w:themeColor="text1" w:themeTint="A6"/>
        </w:rPr>
      </w:pPr>
      <w:r w:rsidRPr="001C27BF">
        <w:rPr>
          <w:rFonts w:ascii="Arial" w:hAnsi="Arial" w:cs="Arial"/>
          <w:color w:val="595959" w:themeColor="text1" w:themeTint="A6"/>
        </w:rPr>
        <w:t xml:space="preserve">BARCELLOS-HOFF, M.H. &amp; Ravani, S.A. (2000). “Irradiated mammary gland stroma promotes the expression of tumorigenic potential by unirradiated epithelial cells”. </w:t>
      </w:r>
      <w:r w:rsidRPr="001C27BF">
        <w:rPr>
          <w:rFonts w:ascii="Arial" w:hAnsi="Arial" w:cs="Arial"/>
          <w:i/>
          <w:color w:val="595959" w:themeColor="text1" w:themeTint="A6"/>
        </w:rPr>
        <w:t>Cancer Res</w:t>
      </w:r>
      <w:r w:rsidRPr="001C27BF">
        <w:rPr>
          <w:rFonts w:ascii="Arial" w:hAnsi="Arial" w:cs="Arial"/>
          <w:color w:val="595959" w:themeColor="text1" w:themeTint="A6"/>
        </w:rPr>
        <w:t xml:space="preserve">. </w:t>
      </w:r>
      <w:r w:rsidRPr="00230665">
        <w:rPr>
          <w:rFonts w:ascii="Arial" w:hAnsi="Arial" w:cs="Arial"/>
          <w:b/>
          <w:bCs/>
          <w:color w:val="595959" w:themeColor="text1" w:themeTint="A6"/>
        </w:rPr>
        <w:t>60</w:t>
      </w:r>
      <w:r w:rsidRPr="001C27BF">
        <w:rPr>
          <w:rFonts w:ascii="Arial" w:hAnsi="Arial" w:cs="Arial"/>
          <w:color w:val="595959" w:themeColor="text1" w:themeTint="A6"/>
        </w:rPr>
        <w:t>, 1254–1260.</w:t>
      </w:r>
    </w:p>
    <w:p w14:paraId="57424454" w14:textId="3BD7F245" w:rsidR="00396EB2" w:rsidRPr="001C27BF" w:rsidRDefault="00396EB2" w:rsidP="001C27BF">
      <w:pPr>
        <w:spacing w:line="360" w:lineRule="auto"/>
        <w:jc w:val="both"/>
        <w:rPr>
          <w:rFonts w:ascii="Arial" w:hAnsi="Arial" w:cs="Arial"/>
          <w:color w:val="595959" w:themeColor="text1" w:themeTint="A6"/>
        </w:rPr>
      </w:pPr>
      <w:r w:rsidRPr="001C27BF">
        <w:rPr>
          <w:rFonts w:ascii="Arial" w:hAnsi="Arial" w:cs="Arial"/>
          <w:color w:val="595959" w:themeColor="text1" w:themeTint="A6"/>
        </w:rPr>
        <w:t xml:space="preserve">BARKAN, D.  Green, J E. and Chambers, A.F. (2010). ‘Extracellular Matrix: A Gatekeeper in the Transition from Dormancy to Metastatic Growth’. </w:t>
      </w:r>
      <w:r w:rsidRPr="001C27BF">
        <w:rPr>
          <w:rFonts w:ascii="Arial" w:hAnsi="Arial" w:cs="Arial"/>
          <w:i/>
          <w:color w:val="595959" w:themeColor="text1" w:themeTint="A6"/>
        </w:rPr>
        <w:t>Eur J Cancer</w:t>
      </w:r>
      <w:r w:rsidRPr="001C27BF">
        <w:rPr>
          <w:rFonts w:ascii="Arial" w:hAnsi="Arial" w:cs="Arial"/>
          <w:color w:val="595959" w:themeColor="text1" w:themeTint="A6"/>
        </w:rPr>
        <w:t xml:space="preserve">; </w:t>
      </w:r>
      <w:r w:rsidRPr="001C27BF">
        <w:rPr>
          <w:rFonts w:ascii="Arial" w:hAnsi="Arial" w:cs="Arial"/>
          <w:b/>
          <w:color w:val="595959" w:themeColor="text1" w:themeTint="A6"/>
        </w:rPr>
        <w:t>46</w:t>
      </w:r>
      <w:r w:rsidR="00230665">
        <w:rPr>
          <w:rFonts w:ascii="Arial" w:hAnsi="Arial" w:cs="Arial"/>
          <w:b/>
          <w:color w:val="595959" w:themeColor="text1" w:themeTint="A6"/>
        </w:rPr>
        <w:t xml:space="preserve"> </w:t>
      </w:r>
      <w:r w:rsidRPr="001C27BF">
        <w:rPr>
          <w:rFonts w:ascii="Arial" w:hAnsi="Arial" w:cs="Arial"/>
          <w:color w:val="595959" w:themeColor="text1" w:themeTint="A6"/>
        </w:rPr>
        <w:t>(7): 1181–1188.</w:t>
      </w:r>
    </w:p>
    <w:p w14:paraId="2444257B" w14:textId="525BB8C7" w:rsidR="00396EB2" w:rsidRPr="001C27BF" w:rsidRDefault="00396EB2" w:rsidP="001C27BF">
      <w:pPr>
        <w:spacing w:line="360" w:lineRule="auto"/>
        <w:jc w:val="both"/>
        <w:rPr>
          <w:rFonts w:ascii="Arial" w:hAnsi="Arial" w:cs="Arial"/>
          <w:color w:val="595959" w:themeColor="text1" w:themeTint="A6"/>
        </w:rPr>
      </w:pPr>
      <w:r w:rsidRPr="001C27BF">
        <w:rPr>
          <w:rFonts w:ascii="Arial" w:hAnsi="Arial" w:cs="Arial"/>
          <w:color w:val="595959" w:themeColor="text1" w:themeTint="A6"/>
        </w:rPr>
        <w:t xml:space="preserve">BECHTEL, W. </w:t>
      </w:r>
      <w:hyperlink r:id="rId182" w:history="1">
        <w:r w:rsidRPr="001C27BF">
          <w:rPr>
            <w:rStyle w:val="Hyperlink"/>
            <w:rFonts w:ascii="Arial" w:hAnsi="Arial" w:cs="Arial"/>
            <w:color w:val="595959" w:themeColor="text1" w:themeTint="A6"/>
            <w:u w:val="none"/>
            <w:shd w:val="clear" w:color="auto" w:fill="FFFFFF"/>
          </w:rPr>
          <w:t>McGoohan S</w:t>
        </w:r>
      </w:hyperlink>
      <w:r w:rsidRPr="001C27BF">
        <w:rPr>
          <w:rFonts w:ascii="Arial" w:hAnsi="Arial" w:cs="Arial"/>
          <w:color w:val="595959" w:themeColor="text1" w:themeTint="A6"/>
          <w:shd w:val="clear" w:color="auto" w:fill="FFFFFF"/>
        </w:rPr>
        <w:t>,</w:t>
      </w:r>
      <w:r w:rsidRPr="001C27BF">
        <w:rPr>
          <w:rStyle w:val="apple-converted-space"/>
          <w:rFonts w:ascii="Arial" w:hAnsi="Arial" w:cs="Arial"/>
          <w:color w:val="595959" w:themeColor="text1" w:themeTint="A6"/>
          <w:shd w:val="clear" w:color="auto" w:fill="FFFFFF"/>
        </w:rPr>
        <w:t> </w:t>
      </w:r>
      <w:hyperlink r:id="rId183" w:history="1">
        <w:r w:rsidRPr="001C27BF">
          <w:rPr>
            <w:rStyle w:val="Hyperlink"/>
            <w:rFonts w:ascii="Arial" w:hAnsi="Arial" w:cs="Arial"/>
            <w:color w:val="595959" w:themeColor="text1" w:themeTint="A6"/>
            <w:u w:val="none"/>
            <w:shd w:val="clear" w:color="auto" w:fill="FFFFFF"/>
          </w:rPr>
          <w:t>Zeisberg E</w:t>
        </w:r>
        <w:r w:rsidR="00BC0D31">
          <w:rPr>
            <w:rStyle w:val="Hyperlink"/>
            <w:rFonts w:ascii="Arial" w:hAnsi="Arial" w:cs="Arial"/>
            <w:color w:val="595959" w:themeColor="text1" w:themeTint="A6"/>
            <w:u w:val="none"/>
            <w:shd w:val="clear" w:color="auto" w:fill="FFFFFF"/>
          </w:rPr>
          <w:t>.</w:t>
        </w:r>
        <w:r w:rsidRPr="001C27BF">
          <w:rPr>
            <w:rStyle w:val="Hyperlink"/>
            <w:rFonts w:ascii="Arial" w:hAnsi="Arial" w:cs="Arial"/>
            <w:color w:val="595959" w:themeColor="text1" w:themeTint="A6"/>
            <w:u w:val="none"/>
            <w:shd w:val="clear" w:color="auto" w:fill="FFFFFF"/>
          </w:rPr>
          <w:t>M</w:t>
        </w:r>
      </w:hyperlink>
      <w:r w:rsidR="00BC0D31">
        <w:rPr>
          <w:rStyle w:val="Hyperlink"/>
          <w:rFonts w:ascii="Arial" w:hAnsi="Arial" w:cs="Arial"/>
          <w:color w:val="595959" w:themeColor="text1" w:themeTint="A6"/>
          <w:u w:val="none"/>
          <w:shd w:val="clear" w:color="auto" w:fill="FFFFFF"/>
        </w:rPr>
        <w:t>.</w:t>
      </w:r>
      <w:r w:rsidRPr="001C27BF">
        <w:rPr>
          <w:rFonts w:ascii="Arial" w:hAnsi="Arial" w:cs="Arial"/>
          <w:color w:val="595959" w:themeColor="text1" w:themeTint="A6"/>
          <w:shd w:val="clear" w:color="auto" w:fill="FFFFFF"/>
        </w:rPr>
        <w:t>,</w:t>
      </w:r>
      <w:r w:rsidRPr="001C27BF">
        <w:rPr>
          <w:rStyle w:val="apple-converted-space"/>
          <w:rFonts w:ascii="Arial" w:hAnsi="Arial" w:cs="Arial"/>
          <w:color w:val="595959" w:themeColor="text1" w:themeTint="A6"/>
          <w:shd w:val="clear" w:color="auto" w:fill="FFFFFF"/>
        </w:rPr>
        <w:t> </w:t>
      </w:r>
      <w:hyperlink r:id="rId184" w:history="1">
        <w:r w:rsidRPr="001C27BF">
          <w:rPr>
            <w:rStyle w:val="Hyperlink"/>
            <w:rFonts w:ascii="Arial" w:hAnsi="Arial" w:cs="Arial"/>
            <w:color w:val="595959" w:themeColor="text1" w:themeTint="A6"/>
            <w:u w:val="none"/>
            <w:shd w:val="clear" w:color="auto" w:fill="FFFFFF"/>
          </w:rPr>
          <w:t>Müller G</w:t>
        </w:r>
        <w:r w:rsidR="00BC0D31">
          <w:rPr>
            <w:rStyle w:val="Hyperlink"/>
            <w:rFonts w:ascii="Arial" w:hAnsi="Arial" w:cs="Arial"/>
            <w:color w:val="595959" w:themeColor="text1" w:themeTint="A6"/>
            <w:u w:val="none"/>
            <w:shd w:val="clear" w:color="auto" w:fill="FFFFFF"/>
          </w:rPr>
          <w:t>.</w:t>
        </w:r>
        <w:r w:rsidRPr="001C27BF">
          <w:rPr>
            <w:rStyle w:val="Hyperlink"/>
            <w:rFonts w:ascii="Arial" w:hAnsi="Arial" w:cs="Arial"/>
            <w:color w:val="595959" w:themeColor="text1" w:themeTint="A6"/>
            <w:u w:val="none"/>
            <w:shd w:val="clear" w:color="auto" w:fill="FFFFFF"/>
          </w:rPr>
          <w:t>A</w:t>
        </w:r>
      </w:hyperlink>
      <w:r w:rsidR="00BC0D31">
        <w:rPr>
          <w:rStyle w:val="Hyperlink"/>
          <w:rFonts w:ascii="Arial" w:hAnsi="Arial" w:cs="Arial"/>
          <w:color w:val="595959" w:themeColor="text1" w:themeTint="A6"/>
          <w:u w:val="none"/>
          <w:shd w:val="clear" w:color="auto" w:fill="FFFFFF"/>
        </w:rPr>
        <w:t>.</w:t>
      </w:r>
      <w:r w:rsidRPr="001C27BF">
        <w:rPr>
          <w:rFonts w:ascii="Arial" w:hAnsi="Arial" w:cs="Arial"/>
          <w:color w:val="595959" w:themeColor="text1" w:themeTint="A6"/>
          <w:shd w:val="clear" w:color="auto" w:fill="FFFFFF"/>
        </w:rPr>
        <w:t>,</w:t>
      </w:r>
      <w:r w:rsidRPr="001C27BF">
        <w:rPr>
          <w:rStyle w:val="apple-converted-space"/>
          <w:rFonts w:ascii="Arial" w:hAnsi="Arial" w:cs="Arial"/>
          <w:color w:val="595959" w:themeColor="text1" w:themeTint="A6"/>
          <w:shd w:val="clear" w:color="auto" w:fill="FFFFFF"/>
        </w:rPr>
        <w:t> </w:t>
      </w:r>
      <w:hyperlink r:id="rId185" w:history="1">
        <w:r w:rsidRPr="001C27BF">
          <w:rPr>
            <w:rStyle w:val="Hyperlink"/>
            <w:rFonts w:ascii="Arial" w:hAnsi="Arial" w:cs="Arial"/>
            <w:color w:val="595959" w:themeColor="text1" w:themeTint="A6"/>
            <w:u w:val="none"/>
            <w:shd w:val="clear" w:color="auto" w:fill="FFFFFF"/>
          </w:rPr>
          <w:t>Kalbacher H</w:t>
        </w:r>
      </w:hyperlink>
      <w:r w:rsidRPr="001C27BF">
        <w:rPr>
          <w:rFonts w:ascii="Arial" w:hAnsi="Arial" w:cs="Arial"/>
          <w:color w:val="595959" w:themeColor="text1" w:themeTint="A6"/>
          <w:shd w:val="clear" w:color="auto" w:fill="FFFFFF"/>
        </w:rPr>
        <w:t>,</w:t>
      </w:r>
      <w:r w:rsidRPr="001C27BF">
        <w:rPr>
          <w:rStyle w:val="apple-converted-space"/>
          <w:rFonts w:ascii="Arial" w:hAnsi="Arial" w:cs="Arial"/>
          <w:color w:val="595959" w:themeColor="text1" w:themeTint="A6"/>
          <w:shd w:val="clear" w:color="auto" w:fill="FFFFFF"/>
        </w:rPr>
        <w:t> </w:t>
      </w:r>
      <w:hyperlink r:id="rId186" w:history="1">
        <w:r w:rsidRPr="001C27BF">
          <w:rPr>
            <w:rStyle w:val="Hyperlink"/>
            <w:rFonts w:ascii="Arial" w:hAnsi="Arial" w:cs="Arial"/>
            <w:color w:val="595959" w:themeColor="text1" w:themeTint="A6"/>
            <w:u w:val="none"/>
            <w:shd w:val="clear" w:color="auto" w:fill="FFFFFF"/>
          </w:rPr>
          <w:t>Salant D</w:t>
        </w:r>
        <w:r w:rsidR="00BC0D31">
          <w:rPr>
            <w:rStyle w:val="Hyperlink"/>
            <w:rFonts w:ascii="Arial" w:hAnsi="Arial" w:cs="Arial"/>
            <w:color w:val="595959" w:themeColor="text1" w:themeTint="A6"/>
            <w:u w:val="none"/>
            <w:shd w:val="clear" w:color="auto" w:fill="FFFFFF"/>
          </w:rPr>
          <w:t>.</w:t>
        </w:r>
        <w:r w:rsidRPr="001C27BF">
          <w:rPr>
            <w:rStyle w:val="Hyperlink"/>
            <w:rFonts w:ascii="Arial" w:hAnsi="Arial" w:cs="Arial"/>
            <w:color w:val="595959" w:themeColor="text1" w:themeTint="A6"/>
            <w:u w:val="none"/>
            <w:shd w:val="clear" w:color="auto" w:fill="FFFFFF"/>
          </w:rPr>
          <w:t>J</w:t>
        </w:r>
      </w:hyperlink>
      <w:r w:rsidR="00BC0D31">
        <w:rPr>
          <w:rStyle w:val="Hyperlink"/>
          <w:rFonts w:ascii="Arial" w:hAnsi="Arial" w:cs="Arial"/>
          <w:color w:val="595959" w:themeColor="text1" w:themeTint="A6"/>
          <w:u w:val="none"/>
          <w:shd w:val="clear" w:color="auto" w:fill="FFFFFF"/>
        </w:rPr>
        <w:t>.</w:t>
      </w:r>
      <w:r w:rsidRPr="001C27BF">
        <w:rPr>
          <w:rFonts w:ascii="Arial" w:hAnsi="Arial" w:cs="Arial"/>
          <w:color w:val="595959" w:themeColor="text1" w:themeTint="A6"/>
          <w:shd w:val="clear" w:color="auto" w:fill="FFFFFF"/>
        </w:rPr>
        <w:t>,</w:t>
      </w:r>
      <w:r w:rsidRPr="001C27BF">
        <w:rPr>
          <w:rStyle w:val="apple-converted-space"/>
          <w:rFonts w:ascii="Arial" w:hAnsi="Arial" w:cs="Arial"/>
          <w:color w:val="595959" w:themeColor="text1" w:themeTint="A6"/>
          <w:shd w:val="clear" w:color="auto" w:fill="FFFFFF"/>
        </w:rPr>
        <w:t> </w:t>
      </w:r>
      <w:hyperlink r:id="rId187" w:history="1">
        <w:r w:rsidRPr="001C27BF">
          <w:rPr>
            <w:rStyle w:val="Hyperlink"/>
            <w:rFonts w:ascii="Arial" w:hAnsi="Arial" w:cs="Arial"/>
            <w:color w:val="595959" w:themeColor="text1" w:themeTint="A6"/>
            <w:u w:val="none"/>
            <w:shd w:val="clear" w:color="auto" w:fill="FFFFFF"/>
          </w:rPr>
          <w:t>Müller C</w:t>
        </w:r>
        <w:r w:rsidR="00BC0D31">
          <w:rPr>
            <w:rStyle w:val="Hyperlink"/>
            <w:rFonts w:ascii="Arial" w:hAnsi="Arial" w:cs="Arial"/>
            <w:color w:val="595959" w:themeColor="text1" w:themeTint="A6"/>
            <w:u w:val="none"/>
            <w:shd w:val="clear" w:color="auto" w:fill="FFFFFF"/>
          </w:rPr>
          <w:t>..</w:t>
        </w:r>
        <w:r w:rsidRPr="001C27BF">
          <w:rPr>
            <w:rStyle w:val="Hyperlink"/>
            <w:rFonts w:ascii="Arial" w:hAnsi="Arial" w:cs="Arial"/>
            <w:color w:val="595959" w:themeColor="text1" w:themeTint="A6"/>
            <w:u w:val="none"/>
            <w:shd w:val="clear" w:color="auto" w:fill="FFFFFF"/>
          </w:rPr>
          <w:t>A</w:t>
        </w:r>
      </w:hyperlink>
      <w:r w:rsidRPr="001C27BF">
        <w:rPr>
          <w:rFonts w:ascii="Arial" w:hAnsi="Arial" w:cs="Arial"/>
          <w:color w:val="595959" w:themeColor="text1" w:themeTint="A6"/>
          <w:shd w:val="clear" w:color="auto" w:fill="FFFFFF"/>
        </w:rPr>
        <w:t>,</w:t>
      </w:r>
      <w:r w:rsidRPr="001C27BF">
        <w:rPr>
          <w:rStyle w:val="apple-converted-space"/>
          <w:rFonts w:ascii="Arial" w:hAnsi="Arial" w:cs="Arial"/>
          <w:color w:val="595959" w:themeColor="text1" w:themeTint="A6"/>
          <w:shd w:val="clear" w:color="auto" w:fill="FFFFFF"/>
        </w:rPr>
        <w:t> </w:t>
      </w:r>
      <w:hyperlink r:id="rId188" w:history="1">
        <w:r w:rsidRPr="001C27BF">
          <w:rPr>
            <w:rStyle w:val="Hyperlink"/>
            <w:rFonts w:ascii="Arial" w:hAnsi="Arial" w:cs="Arial"/>
            <w:color w:val="595959" w:themeColor="text1" w:themeTint="A6"/>
            <w:u w:val="none"/>
            <w:shd w:val="clear" w:color="auto" w:fill="FFFFFF"/>
          </w:rPr>
          <w:t>Kalluri R</w:t>
        </w:r>
      </w:hyperlink>
      <w:r w:rsidRPr="001C27BF">
        <w:rPr>
          <w:rFonts w:ascii="Arial" w:hAnsi="Arial" w:cs="Arial"/>
          <w:color w:val="595959" w:themeColor="text1" w:themeTint="A6"/>
          <w:shd w:val="clear" w:color="auto" w:fill="FFFFFF"/>
        </w:rPr>
        <w:t>,</w:t>
      </w:r>
      <w:r w:rsidRPr="001C27BF">
        <w:rPr>
          <w:rStyle w:val="apple-converted-space"/>
          <w:rFonts w:ascii="Arial" w:hAnsi="Arial" w:cs="Arial"/>
          <w:color w:val="595959" w:themeColor="text1" w:themeTint="A6"/>
          <w:shd w:val="clear" w:color="auto" w:fill="FFFFFF"/>
        </w:rPr>
        <w:t> </w:t>
      </w:r>
      <w:hyperlink r:id="rId189" w:history="1">
        <w:r w:rsidRPr="001C27BF">
          <w:rPr>
            <w:rStyle w:val="Hyperlink"/>
            <w:rFonts w:ascii="Arial" w:hAnsi="Arial" w:cs="Arial"/>
            <w:color w:val="595959" w:themeColor="text1" w:themeTint="A6"/>
            <w:u w:val="none"/>
            <w:shd w:val="clear" w:color="auto" w:fill="FFFFFF"/>
          </w:rPr>
          <w:t>Zeisberg M</w:t>
        </w:r>
      </w:hyperlink>
      <w:r w:rsidRPr="001C27BF">
        <w:rPr>
          <w:rFonts w:ascii="Arial" w:hAnsi="Arial" w:cs="Arial"/>
          <w:color w:val="595959" w:themeColor="text1" w:themeTint="A6"/>
          <w:shd w:val="clear" w:color="auto" w:fill="FFFFFF"/>
        </w:rPr>
        <w:t>.</w:t>
      </w:r>
      <w:r w:rsidRPr="001C27BF">
        <w:rPr>
          <w:rFonts w:ascii="Arial" w:hAnsi="Arial" w:cs="Arial"/>
          <w:color w:val="595959" w:themeColor="text1" w:themeTint="A6"/>
        </w:rPr>
        <w:t xml:space="preserve">. (2010). ‘Methylation determines fibroblast activation and fibrogenesis in the kidney’. </w:t>
      </w:r>
      <w:r w:rsidRPr="001C27BF">
        <w:rPr>
          <w:rFonts w:ascii="Arial" w:hAnsi="Arial" w:cs="Arial"/>
          <w:i/>
          <w:color w:val="595959" w:themeColor="text1" w:themeTint="A6"/>
        </w:rPr>
        <w:t>Nat. Med</w:t>
      </w:r>
      <w:r w:rsidRPr="001C27BF">
        <w:rPr>
          <w:rFonts w:ascii="Arial" w:hAnsi="Arial" w:cs="Arial"/>
          <w:color w:val="595959" w:themeColor="text1" w:themeTint="A6"/>
        </w:rPr>
        <w:t xml:space="preserve">. </w:t>
      </w:r>
      <w:r w:rsidRPr="001C27BF">
        <w:rPr>
          <w:rFonts w:ascii="Arial" w:hAnsi="Arial" w:cs="Arial"/>
          <w:b/>
          <w:color w:val="595959" w:themeColor="text1" w:themeTint="A6"/>
        </w:rPr>
        <w:t>16,</w:t>
      </w:r>
      <w:r w:rsidRPr="001C27BF">
        <w:rPr>
          <w:rFonts w:ascii="Arial" w:hAnsi="Arial" w:cs="Arial"/>
          <w:color w:val="595959" w:themeColor="text1" w:themeTint="A6"/>
        </w:rPr>
        <w:t xml:space="preserve"> 544–550.</w:t>
      </w:r>
    </w:p>
    <w:p w14:paraId="655EA6CA" w14:textId="7C76BB73" w:rsidR="00396EB2" w:rsidRPr="001C27BF" w:rsidRDefault="00396EB2" w:rsidP="001C27BF">
      <w:pPr>
        <w:spacing w:line="360" w:lineRule="auto"/>
        <w:jc w:val="both"/>
        <w:rPr>
          <w:rFonts w:ascii="Arial" w:hAnsi="Arial" w:cs="Arial"/>
          <w:color w:val="595959" w:themeColor="text1" w:themeTint="A6"/>
        </w:rPr>
      </w:pPr>
      <w:r w:rsidRPr="001C27BF">
        <w:rPr>
          <w:rFonts w:ascii="Arial" w:hAnsi="Arial" w:cs="Arial"/>
          <w:color w:val="595959" w:themeColor="text1" w:themeTint="A6"/>
        </w:rPr>
        <w:t xml:space="preserve">BERGERS, G., and </w:t>
      </w:r>
      <w:r w:rsidR="00B10103" w:rsidRPr="001C27BF">
        <w:rPr>
          <w:rFonts w:ascii="Arial" w:hAnsi="Arial" w:cs="Arial"/>
          <w:color w:val="595959" w:themeColor="text1" w:themeTint="A6"/>
        </w:rPr>
        <w:t>BENJAMIN</w:t>
      </w:r>
      <w:r w:rsidRPr="001C27BF">
        <w:rPr>
          <w:rFonts w:ascii="Arial" w:hAnsi="Arial" w:cs="Arial"/>
          <w:color w:val="595959" w:themeColor="text1" w:themeTint="A6"/>
        </w:rPr>
        <w:t xml:space="preserve"> L.E. (2003). ‘Tumorigenesis and the angiogenic switch’. </w:t>
      </w:r>
      <w:r w:rsidRPr="001C27BF">
        <w:rPr>
          <w:rFonts w:ascii="Arial" w:hAnsi="Arial" w:cs="Arial"/>
          <w:i/>
          <w:color w:val="595959" w:themeColor="text1" w:themeTint="A6"/>
        </w:rPr>
        <w:t xml:space="preserve">Nat Rev Cancer </w:t>
      </w:r>
      <w:r w:rsidRPr="001C27BF">
        <w:rPr>
          <w:rFonts w:ascii="Arial" w:hAnsi="Arial" w:cs="Arial"/>
          <w:b/>
          <w:color w:val="595959" w:themeColor="text1" w:themeTint="A6"/>
        </w:rPr>
        <w:t>3</w:t>
      </w:r>
      <w:r w:rsidRPr="001C27BF">
        <w:rPr>
          <w:rFonts w:ascii="Arial" w:hAnsi="Arial" w:cs="Arial"/>
          <w:color w:val="595959" w:themeColor="text1" w:themeTint="A6"/>
        </w:rPr>
        <w:t>: 401–410.</w:t>
      </w:r>
    </w:p>
    <w:p w14:paraId="7B317BAE" w14:textId="77777777" w:rsidR="00396EB2" w:rsidRPr="001C27BF" w:rsidRDefault="00396EB2" w:rsidP="001C27BF">
      <w:pPr>
        <w:spacing w:line="360" w:lineRule="auto"/>
        <w:jc w:val="both"/>
        <w:rPr>
          <w:rFonts w:ascii="Arial" w:eastAsia="Times New Roman" w:hAnsi="Arial" w:cs="Arial"/>
          <w:bCs/>
          <w:color w:val="595959" w:themeColor="text1" w:themeTint="A6"/>
          <w:kern w:val="36"/>
          <w:bdr w:val="none" w:sz="0" w:space="0" w:color="auto" w:frame="1"/>
          <w:lang w:eastAsia="en-GB"/>
        </w:rPr>
      </w:pPr>
      <w:bookmarkStart w:id="506" w:name="_Toc20423971"/>
      <w:bookmarkStart w:id="507" w:name="_Toc20427590"/>
      <w:bookmarkStart w:id="508" w:name="_Toc20563909"/>
      <w:r w:rsidRPr="001C27BF">
        <w:rPr>
          <w:rFonts w:ascii="Arial" w:eastAsia="Times New Roman" w:hAnsi="Arial" w:cs="Arial"/>
          <w:bCs/>
          <w:color w:val="595959" w:themeColor="text1" w:themeTint="A6"/>
          <w:kern w:val="36"/>
          <w:bdr w:val="none" w:sz="0" w:space="0" w:color="auto" w:frame="1"/>
          <w:lang w:eastAsia="en-GB"/>
        </w:rPr>
        <w:t xml:space="preserve">BERNDT, A. Richter, P. Kosmehl, H and Franz, M. (2015) ‘Tenascin-C and carcinoma cell invasion in oral and urinary bladder cancer’, </w:t>
      </w:r>
      <w:r w:rsidRPr="001C27BF">
        <w:rPr>
          <w:rFonts w:ascii="Arial" w:eastAsia="Times New Roman" w:hAnsi="Arial" w:cs="Arial"/>
          <w:bCs/>
          <w:i/>
          <w:color w:val="595959" w:themeColor="text1" w:themeTint="A6"/>
          <w:kern w:val="36"/>
          <w:bdr w:val="none" w:sz="0" w:space="0" w:color="auto" w:frame="1"/>
          <w:lang w:eastAsia="en-GB"/>
        </w:rPr>
        <w:t>Cell Adhesion &amp; Migration,</w:t>
      </w:r>
      <w:r w:rsidRPr="001C27BF">
        <w:rPr>
          <w:rFonts w:ascii="Arial" w:eastAsia="Times New Roman" w:hAnsi="Arial" w:cs="Arial"/>
          <w:bCs/>
          <w:color w:val="595959" w:themeColor="text1" w:themeTint="A6"/>
          <w:kern w:val="36"/>
          <w:bdr w:val="none" w:sz="0" w:space="0" w:color="auto" w:frame="1"/>
          <w:lang w:eastAsia="en-GB"/>
        </w:rPr>
        <w:t xml:space="preserve"> </w:t>
      </w:r>
      <w:r w:rsidRPr="001C27BF">
        <w:rPr>
          <w:rFonts w:ascii="Arial" w:eastAsia="Times New Roman" w:hAnsi="Arial" w:cs="Arial"/>
          <w:b/>
          <w:bCs/>
          <w:color w:val="595959" w:themeColor="text1" w:themeTint="A6"/>
          <w:kern w:val="36"/>
          <w:bdr w:val="none" w:sz="0" w:space="0" w:color="auto" w:frame="1"/>
          <w:lang w:eastAsia="en-GB"/>
        </w:rPr>
        <w:t>9</w:t>
      </w:r>
      <w:r w:rsidRPr="001C27BF">
        <w:rPr>
          <w:rFonts w:ascii="Arial" w:eastAsia="Times New Roman" w:hAnsi="Arial" w:cs="Arial"/>
          <w:bCs/>
          <w:color w:val="595959" w:themeColor="text1" w:themeTint="A6"/>
          <w:kern w:val="36"/>
          <w:bdr w:val="none" w:sz="0" w:space="0" w:color="auto" w:frame="1"/>
          <w:lang w:eastAsia="en-GB"/>
        </w:rPr>
        <w:t>:1-2, 105-111.</w:t>
      </w:r>
      <w:bookmarkEnd w:id="506"/>
      <w:bookmarkEnd w:id="507"/>
      <w:bookmarkEnd w:id="508"/>
    </w:p>
    <w:p w14:paraId="3462BC6C" w14:textId="77777777" w:rsidR="00396EB2" w:rsidRPr="001C27BF" w:rsidRDefault="00396EB2" w:rsidP="001C27BF">
      <w:pPr>
        <w:spacing w:after="0" w:line="360" w:lineRule="auto"/>
        <w:jc w:val="both"/>
        <w:textAlignment w:val="baseline"/>
        <w:outlineLvl w:val="0"/>
        <w:rPr>
          <w:rFonts w:ascii="Arial" w:eastAsia="Times New Roman" w:hAnsi="Arial" w:cs="Arial"/>
          <w:bCs/>
          <w:color w:val="595959" w:themeColor="text1" w:themeTint="A6"/>
          <w:kern w:val="36"/>
          <w:bdr w:val="none" w:sz="0" w:space="0" w:color="auto" w:frame="1"/>
          <w:lang w:eastAsia="en-GB"/>
        </w:rPr>
      </w:pPr>
    </w:p>
    <w:p w14:paraId="4AE3389A" w14:textId="77777777" w:rsidR="00396EB2" w:rsidRPr="001C27BF" w:rsidRDefault="00396EB2" w:rsidP="001C27BF">
      <w:pPr>
        <w:spacing w:line="360" w:lineRule="auto"/>
        <w:jc w:val="both"/>
        <w:rPr>
          <w:rFonts w:ascii="Arial" w:hAnsi="Arial" w:cs="Arial"/>
          <w:color w:val="595959" w:themeColor="text1" w:themeTint="A6"/>
        </w:rPr>
      </w:pPr>
      <w:r w:rsidRPr="001C27BF">
        <w:rPr>
          <w:rFonts w:ascii="Arial" w:hAnsi="Arial" w:cs="Arial"/>
          <w:color w:val="595959" w:themeColor="text1" w:themeTint="A6"/>
          <w:lang w:val="de-DE"/>
        </w:rPr>
        <w:t xml:space="preserve">BERNING, M. Prätzel-Wunder, S. Bickenbach, J.R. and Boukamp, P. (2015). </w:t>
      </w:r>
      <w:r w:rsidRPr="001C27BF">
        <w:rPr>
          <w:rFonts w:ascii="Arial" w:hAnsi="Arial" w:cs="Arial"/>
          <w:color w:val="595959" w:themeColor="text1" w:themeTint="A6"/>
        </w:rPr>
        <w:t xml:space="preserve">‘Three-Dimensional </w:t>
      </w:r>
      <w:r w:rsidRPr="001C27BF">
        <w:rPr>
          <w:rFonts w:ascii="Arial" w:hAnsi="Arial" w:cs="Arial"/>
          <w:i/>
          <w:color w:val="595959" w:themeColor="text1" w:themeTint="A6"/>
        </w:rPr>
        <w:t>in vitro</w:t>
      </w:r>
      <w:r w:rsidRPr="001C27BF">
        <w:rPr>
          <w:rFonts w:ascii="Arial" w:hAnsi="Arial" w:cs="Arial"/>
          <w:color w:val="595959" w:themeColor="text1" w:themeTint="A6"/>
        </w:rPr>
        <w:t xml:space="preserve"> skin and skin cancer models based on human fibroblast-derived matrix.’ </w:t>
      </w:r>
      <w:r w:rsidRPr="001C27BF">
        <w:rPr>
          <w:rFonts w:ascii="Arial" w:hAnsi="Arial" w:cs="Arial"/>
          <w:i/>
          <w:color w:val="595959" w:themeColor="text1" w:themeTint="A6"/>
        </w:rPr>
        <w:t>Tissue Engineering</w:t>
      </w:r>
      <w:r w:rsidRPr="001C27BF">
        <w:rPr>
          <w:rFonts w:ascii="Arial" w:hAnsi="Arial" w:cs="Arial"/>
          <w:color w:val="595959" w:themeColor="text1" w:themeTint="A6"/>
        </w:rPr>
        <w:t>, (</w:t>
      </w:r>
      <w:r w:rsidRPr="001C27BF">
        <w:rPr>
          <w:rFonts w:ascii="Arial" w:hAnsi="Arial" w:cs="Arial"/>
          <w:b/>
          <w:color w:val="595959" w:themeColor="text1" w:themeTint="A6"/>
        </w:rPr>
        <w:t>21</w:t>
      </w:r>
      <w:r w:rsidRPr="001C27BF">
        <w:rPr>
          <w:rFonts w:ascii="Arial" w:hAnsi="Arial" w:cs="Arial"/>
          <w:color w:val="595959" w:themeColor="text1" w:themeTint="A6"/>
        </w:rPr>
        <w:t xml:space="preserve">), 9, 958-970. </w:t>
      </w:r>
    </w:p>
    <w:p w14:paraId="09FF3CB9" w14:textId="72023056" w:rsidR="00396EB2" w:rsidRPr="001C27BF" w:rsidRDefault="00396EB2" w:rsidP="001C27BF">
      <w:pPr>
        <w:spacing w:line="360" w:lineRule="auto"/>
        <w:jc w:val="both"/>
        <w:rPr>
          <w:rFonts w:ascii="Arial" w:hAnsi="Arial" w:cs="Arial"/>
          <w:color w:val="595959" w:themeColor="text1" w:themeTint="A6"/>
        </w:rPr>
      </w:pPr>
      <w:r w:rsidRPr="001C27BF">
        <w:rPr>
          <w:rFonts w:ascii="Arial" w:hAnsi="Arial" w:cs="Arial"/>
          <w:color w:val="595959" w:themeColor="text1" w:themeTint="A6"/>
        </w:rPr>
        <w:t xml:space="preserve">BHARATH, K. Malathi, N. Narashiman, S and Rajan, S.T. (2014). ‘Evaluation of Myofibroblasts by Expression of Alpha Smooth Muscle Actin: A Marker in Fibrosis, Dysplasia and Carcinoma.’ </w:t>
      </w:r>
      <w:r w:rsidRPr="001C27BF">
        <w:rPr>
          <w:rFonts w:ascii="Arial" w:hAnsi="Arial" w:cs="Arial"/>
          <w:i/>
          <w:color w:val="595959" w:themeColor="text1" w:themeTint="A6"/>
        </w:rPr>
        <w:t>Journal of Clinical and Diagnostic Research</w:t>
      </w:r>
      <w:r w:rsidRPr="001C27BF">
        <w:rPr>
          <w:rFonts w:ascii="Arial" w:hAnsi="Arial" w:cs="Arial"/>
          <w:color w:val="595959" w:themeColor="text1" w:themeTint="A6"/>
        </w:rPr>
        <w:t>.</w:t>
      </w:r>
      <w:r w:rsidRPr="001C27BF">
        <w:rPr>
          <w:rFonts w:ascii="Arial" w:hAnsi="Arial" w:cs="Arial"/>
          <w:b/>
          <w:color w:val="595959" w:themeColor="text1" w:themeTint="A6"/>
        </w:rPr>
        <w:t>8</w:t>
      </w:r>
      <w:r w:rsidR="00B10103">
        <w:rPr>
          <w:rFonts w:ascii="Arial" w:hAnsi="Arial" w:cs="Arial"/>
          <w:b/>
          <w:color w:val="595959" w:themeColor="text1" w:themeTint="A6"/>
        </w:rPr>
        <w:t xml:space="preserve"> </w:t>
      </w:r>
      <w:r w:rsidRPr="001C27BF">
        <w:rPr>
          <w:rFonts w:ascii="Arial" w:hAnsi="Arial" w:cs="Arial"/>
          <w:color w:val="595959" w:themeColor="text1" w:themeTint="A6"/>
        </w:rPr>
        <w:t>(4): ZC14-ZC17.</w:t>
      </w:r>
    </w:p>
    <w:p w14:paraId="628D4D1C" w14:textId="52FC84E7" w:rsidR="00AE42BD" w:rsidRPr="001C27BF" w:rsidRDefault="00AE42BD" w:rsidP="001C27BF">
      <w:pPr>
        <w:spacing w:line="360" w:lineRule="auto"/>
        <w:jc w:val="both"/>
        <w:rPr>
          <w:rFonts w:ascii="Arial" w:hAnsi="Arial" w:cs="Arial"/>
          <w:color w:val="595959" w:themeColor="text1" w:themeTint="A6"/>
        </w:rPr>
      </w:pPr>
      <w:r w:rsidRPr="001C27BF">
        <w:rPr>
          <w:rFonts w:ascii="Arial" w:hAnsi="Arial" w:cs="Arial"/>
          <w:color w:val="595959" w:themeColor="text1" w:themeTint="A6"/>
        </w:rPr>
        <w:t xml:space="preserve">BRAAKHUIS B.J, Sneeuwloper </w:t>
      </w:r>
      <w:r w:rsidR="00DF4CA0" w:rsidRPr="001C27BF">
        <w:rPr>
          <w:rFonts w:ascii="Arial" w:hAnsi="Arial" w:cs="Arial"/>
          <w:color w:val="595959" w:themeColor="text1" w:themeTint="A6"/>
        </w:rPr>
        <w:t xml:space="preserve">G, </w:t>
      </w:r>
      <w:r w:rsidR="00FD21FD" w:rsidRPr="001C27BF">
        <w:rPr>
          <w:rFonts w:ascii="Arial" w:hAnsi="Arial" w:cs="Arial"/>
          <w:color w:val="595959" w:themeColor="text1" w:themeTint="A6"/>
        </w:rPr>
        <w:t xml:space="preserve">and </w:t>
      </w:r>
      <w:r w:rsidR="00DF4CA0" w:rsidRPr="001C27BF">
        <w:rPr>
          <w:rFonts w:ascii="Arial" w:hAnsi="Arial" w:cs="Arial"/>
          <w:color w:val="595959" w:themeColor="text1" w:themeTint="A6"/>
        </w:rPr>
        <w:t xml:space="preserve">Snow, G.B. (1984). ‘The potential of nude mouse xenograft model for the study of head and neck cancer.’ </w:t>
      </w:r>
      <w:r w:rsidR="00FD21FD" w:rsidRPr="001C27BF">
        <w:rPr>
          <w:rFonts w:ascii="Arial" w:hAnsi="Arial" w:cs="Arial"/>
          <w:i/>
          <w:iCs/>
          <w:color w:val="595959" w:themeColor="text1" w:themeTint="A6"/>
        </w:rPr>
        <w:t>Arch Otorhinolaryngol</w:t>
      </w:r>
      <w:r w:rsidR="00D53FC2" w:rsidRPr="001C27BF">
        <w:rPr>
          <w:rFonts w:ascii="Arial" w:hAnsi="Arial" w:cs="Arial"/>
          <w:i/>
          <w:iCs/>
          <w:color w:val="595959" w:themeColor="text1" w:themeTint="A6"/>
        </w:rPr>
        <w:t>;</w:t>
      </w:r>
      <w:r w:rsidR="00D53FC2" w:rsidRPr="001C27BF">
        <w:rPr>
          <w:rFonts w:ascii="Arial" w:hAnsi="Arial" w:cs="Arial"/>
          <w:color w:val="595959" w:themeColor="text1" w:themeTint="A6"/>
        </w:rPr>
        <w:t xml:space="preserve"> </w:t>
      </w:r>
      <w:r w:rsidR="00D53FC2" w:rsidRPr="001C27BF">
        <w:rPr>
          <w:rFonts w:ascii="Arial" w:hAnsi="Arial" w:cs="Arial"/>
          <w:b/>
          <w:bCs/>
          <w:color w:val="595959" w:themeColor="text1" w:themeTint="A6"/>
        </w:rPr>
        <w:t>239</w:t>
      </w:r>
      <w:r w:rsidR="00D53FC2" w:rsidRPr="001C27BF">
        <w:rPr>
          <w:rFonts w:ascii="Arial" w:hAnsi="Arial" w:cs="Arial"/>
          <w:color w:val="595959" w:themeColor="text1" w:themeTint="A6"/>
        </w:rPr>
        <w:t xml:space="preserve">: 69-79. </w:t>
      </w:r>
    </w:p>
    <w:p w14:paraId="4DBA4EC9" w14:textId="6AE3B444" w:rsidR="00F260B9" w:rsidRPr="001C27BF" w:rsidRDefault="004E1BF6" w:rsidP="001C27BF">
      <w:pPr>
        <w:spacing w:line="360" w:lineRule="auto"/>
        <w:jc w:val="both"/>
        <w:rPr>
          <w:rFonts w:ascii="Arial" w:hAnsi="Arial" w:cs="Arial"/>
          <w:color w:val="595959" w:themeColor="text1" w:themeTint="A6"/>
        </w:rPr>
      </w:pPr>
      <w:r w:rsidRPr="001C27BF">
        <w:rPr>
          <w:rFonts w:ascii="Arial" w:hAnsi="Arial" w:cs="Arial"/>
          <w:color w:val="595959" w:themeColor="text1" w:themeTint="A6"/>
        </w:rPr>
        <w:t>BREDFELDT</w:t>
      </w:r>
      <w:r w:rsidR="00745F8B" w:rsidRPr="001C27BF">
        <w:rPr>
          <w:rFonts w:ascii="Arial" w:hAnsi="Arial" w:cs="Arial"/>
          <w:color w:val="595959" w:themeColor="text1" w:themeTint="A6"/>
        </w:rPr>
        <w:t>, J.S. Liu, Y. Pehlke, C.A</w:t>
      </w:r>
      <w:r w:rsidR="00647DA3" w:rsidRPr="001C27BF">
        <w:rPr>
          <w:rFonts w:ascii="Arial" w:hAnsi="Arial" w:cs="Arial"/>
          <w:color w:val="595959" w:themeColor="text1" w:themeTint="A6"/>
        </w:rPr>
        <w:t>.</w:t>
      </w:r>
      <w:r w:rsidR="00745F8B" w:rsidRPr="001C27BF">
        <w:rPr>
          <w:rFonts w:ascii="Arial" w:hAnsi="Arial" w:cs="Arial"/>
          <w:color w:val="595959" w:themeColor="text1" w:themeTint="A6"/>
        </w:rPr>
        <w:t xml:space="preserve"> Conklin,</w:t>
      </w:r>
      <w:r w:rsidR="00647DA3" w:rsidRPr="001C27BF">
        <w:rPr>
          <w:rFonts w:ascii="Arial" w:hAnsi="Arial" w:cs="Arial"/>
          <w:color w:val="595959" w:themeColor="text1" w:themeTint="A6"/>
        </w:rPr>
        <w:t xml:space="preserve"> M.W.</w:t>
      </w:r>
      <w:r w:rsidR="00745F8B" w:rsidRPr="001C27BF">
        <w:rPr>
          <w:rFonts w:ascii="Arial" w:hAnsi="Arial" w:cs="Arial"/>
          <w:color w:val="595959" w:themeColor="text1" w:themeTint="A6"/>
        </w:rPr>
        <w:t xml:space="preserve"> Szulczewski,</w:t>
      </w:r>
      <w:r w:rsidR="00647DA3" w:rsidRPr="001C27BF">
        <w:rPr>
          <w:rFonts w:ascii="Arial" w:hAnsi="Arial" w:cs="Arial"/>
          <w:color w:val="595959" w:themeColor="text1" w:themeTint="A6"/>
        </w:rPr>
        <w:t xml:space="preserve"> J.M. </w:t>
      </w:r>
      <w:r w:rsidR="00745F8B" w:rsidRPr="001C27BF">
        <w:rPr>
          <w:rFonts w:ascii="Arial" w:hAnsi="Arial" w:cs="Arial"/>
          <w:color w:val="595959" w:themeColor="text1" w:themeTint="A6"/>
        </w:rPr>
        <w:t>Inman,</w:t>
      </w:r>
      <w:r w:rsidR="00647DA3" w:rsidRPr="001C27BF">
        <w:rPr>
          <w:rFonts w:ascii="Arial" w:hAnsi="Arial" w:cs="Arial"/>
          <w:color w:val="595959" w:themeColor="text1" w:themeTint="A6"/>
        </w:rPr>
        <w:t xml:space="preserve"> D.R.</w:t>
      </w:r>
      <w:r w:rsidR="00745F8B" w:rsidRPr="001C27BF">
        <w:rPr>
          <w:rFonts w:ascii="Arial" w:hAnsi="Arial" w:cs="Arial"/>
          <w:color w:val="595959" w:themeColor="text1" w:themeTint="A6"/>
        </w:rPr>
        <w:t xml:space="preserve"> Keely,</w:t>
      </w:r>
      <w:r w:rsidR="00647DA3" w:rsidRPr="001C27BF">
        <w:rPr>
          <w:rFonts w:ascii="Arial" w:hAnsi="Arial" w:cs="Arial"/>
          <w:color w:val="595959" w:themeColor="text1" w:themeTint="A6"/>
        </w:rPr>
        <w:t xml:space="preserve"> P.J.</w:t>
      </w:r>
      <w:r w:rsidR="00745F8B" w:rsidRPr="001C27BF">
        <w:rPr>
          <w:rFonts w:ascii="Arial" w:hAnsi="Arial" w:cs="Arial"/>
          <w:color w:val="595959" w:themeColor="text1" w:themeTint="A6"/>
        </w:rPr>
        <w:t xml:space="preserve"> Nowak,</w:t>
      </w:r>
      <w:r w:rsidR="00647DA3" w:rsidRPr="001C27BF">
        <w:rPr>
          <w:rFonts w:ascii="Arial" w:hAnsi="Arial" w:cs="Arial"/>
          <w:color w:val="595959" w:themeColor="text1" w:themeTint="A6"/>
        </w:rPr>
        <w:t xml:space="preserve"> R.D.</w:t>
      </w:r>
      <w:r w:rsidR="00745F8B" w:rsidRPr="001C27BF">
        <w:rPr>
          <w:rFonts w:ascii="Arial" w:hAnsi="Arial" w:cs="Arial"/>
          <w:color w:val="595959" w:themeColor="text1" w:themeTint="A6"/>
        </w:rPr>
        <w:t xml:space="preserve"> Mackie,</w:t>
      </w:r>
      <w:r w:rsidR="00647DA3" w:rsidRPr="001C27BF">
        <w:rPr>
          <w:rFonts w:ascii="Arial" w:hAnsi="Arial" w:cs="Arial"/>
          <w:color w:val="595959" w:themeColor="text1" w:themeTint="A6"/>
        </w:rPr>
        <w:t xml:space="preserve"> T.R.</w:t>
      </w:r>
      <w:r w:rsidR="00745F8B" w:rsidRPr="001C27BF">
        <w:rPr>
          <w:rFonts w:ascii="Arial" w:hAnsi="Arial" w:cs="Arial"/>
          <w:color w:val="595959" w:themeColor="text1" w:themeTint="A6"/>
        </w:rPr>
        <w:t xml:space="preserve"> and Eliceiri,</w:t>
      </w:r>
      <w:r w:rsidR="00647DA3" w:rsidRPr="001C27BF">
        <w:rPr>
          <w:rFonts w:ascii="Arial" w:hAnsi="Arial" w:cs="Arial"/>
          <w:color w:val="595959" w:themeColor="text1" w:themeTint="A6"/>
        </w:rPr>
        <w:t xml:space="preserve"> K.W</w:t>
      </w:r>
      <w:r w:rsidRPr="001C27BF">
        <w:rPr>
          <w:rFonts w:ascii="Arial" w:hAnsi="Arial" w:cs="Arial"/>
          <w:color w:val="595959" w:themeColor="text1" w:themeTint="A6"/>
        </w:rPr>
        <w:t>. (2014).</w:t>
      </w:r>
      <w:r w:rsidR="00745F8B" w:rsidRPr="001C27BF">
        <w:rPr>
          <w:rFonts w:ascii="Arial" w:hAnsi="Arial" w:cs="Arial"/>
          <w:color w:val="595959" w:themeColor="text1" w:themeTint="A6"/>
        </w:rPr>
        <w:t xml:space="preserve"> "Computational segmentation of collagen fibers from second-harmonic generation images of breast cancer," J. </w:t>
      </w:r>
      <w:r w:rsidR="00745F8B" w:rsidRPr="001C27BF">
        <w:rPr>
          <w:rFonts w:ascii="Arial" w:hAnsi="Arial" w:cs="Arial"/>
          <w:i/>
          <w:iCs/>
          <w:color w:val="595959" w:themeColor="text1" w:themeTint="A6"/>
        </w:rPr>
        <w:t>Biomed. Opt.</w:t>
      </w:r>
      <w:r w:rsidR="00745F8B" w:rsidRPr="001C27BF">
        <w:rPr>
          <w:rFonts w:ascii="Arial" w:hAnsi="Arial" w:cs="Arial"/>
          <w:color w:val="595959" w:themeColor="text1" w:themeTint="A6"/>
        </w:rPr>
        <w:t> </w:t>
      </w:r>
      <w:r w:rsidR="00745F8B" w:rsidRPr="001C27BF">
        <w:rPr>
          <w:rFonts w:ascii="Arial" w:hAnsi="Arial" w:cs="Arial"/>
          <w:b/>
          <w:bCs/>
          <w:color w:val="595959" w:themeColor="text1" w:themeTint="A6"/>
        </w:rPr>
        <w:t>19</w:t>
      </w:r>
      <w:r w:rsidR="00745F8B" w:rsidRPr="001C27BF">
        <w:rPr>
          <w:rFonts w:ascii="Arial" w:hAnsi="Arial" w:cs="Arial"/>
          <w:color w:val="595959" w:themeColor="text1" w:themeTint="A6"/>
        </w:rPr>
        <w:t xml:space="preserve">, 016007–016007. </w:t>
      </w:r>
      <w:r w:rsidR="00F260B9" w:rsidRPr="001C27BF">
        <w:rPr>
          <w:rFonts w:ascii="Arial" w:hAnsi="Arial" w:cs="Arial"/>
          <w:color w:val="595959" w:themeColor="text1" w:themeTint="A6"/>
        </w:rPr>
        <w:t>(</w:t>
      </w:r>
      <w:hyperlink r:id="rId190" w:tgtFrame="pmc_ext" w:history="1">
        <w:r w:rsidR="00F260B9" w:rsidRPr="001C27BF">
          <w:rPr>
            <w:rFonts w:ascii="Arial" w:hAnsi="Arial" w:cs="Arial"/>
            <w:color w:val="0563C1" w:themeColor="hyperlink"/>
            <w:u w:val="single"/>
          </w:rPr>
          <w:t>http://loci.wisc.edu/software/ctfire</w:t>
        </w:r>
      </w:hyperlink>
      <w:r w:rsidR="00F260B9" w:rsidRPr="001C27BF">
        <w:rPr>
          <w:rFonts w:ascii="Arial" w:hAnsi="Arial" w:cs="Arial"/>
          <w:color w:val="595959" w:themeColor="text1" w:themeTint="A6"/>
        </w:rPr>
        <w:t>).</w:t>
      </w:r>
    </w:p>
    <w:p w14:paraId="1FC93158" w14:textId="20CD84AF" w:rsidR="00396EB2" w:rsidRPr="001C27BF" w:rsidRDefault="00396EB2" w:rsidP="001C27BF">
      <w:pPr>
        <w:spacing w:line="360" w:lineRule="auto"/>
        <w:jc w:val="both"/>
        <w:rPr>
          <w:rFonts w:ascii="Arial" w:hAnsi="Arial" w:cs="Arial"/>
          <w:color w:val="595959" w:themeColor="text1" w:themeTint="A6"/>
        </w:rPr>
      </w:pPr>
      <w:r w:rsidRPr="001C27BF">
        <w:rPr>
          <w:rFonts w:ascii="Arial" w:hAnsi="Arial" w:cs="Arial"/>
          <w:color w:val="595959" w:themeColor="text1" w:themeTint="A6"/>
        </w:rPr>
        <w:t>BREGENZER M</w:t>
      </w:r>
      <w:r w:rsidR="00EB7376">
        <w:rPr>
          <w:rFonts w:ascii="Arial" w:hAnsi="Arial" w:cs="Arial"/>
          <w:color w:val="595959" w:themeColor="text1" w:themeTint="A6"/>
        </w:rPr>
        <w:t>.</w:t>
      </w:r>
      <w:r w:rsidRPr="001C27BF">
        <w:rPr>
          <w:rFonts w:ascii="Arial" w:hAnsi="Arial" w:cs="Arial"/>
          <w:color w:val="595959" w:themeColor="text1" w:themeTint="A6"/>
        </w:rPr>
        <w:t>E</w:t>
      </w:r>
      <w:r w:rsidR="00EB7376">
        <w:rPr>
          <w:rFonts w:ascii="Arial" w:hAnsi="Arial" w:cs="Arial"/>
          <w:color w:val="595959" w:themeColor="text1" w:themeTint="A6"/>
        </w:rPr>
        <w:t>.</w:t>
      </w:r>
      <w:r w:rsidRPr="001C27BF">
        <w:rPr>
          <w:rFonts w:ascii="Arial" w:hAnsi="Arial" w:cs="Arial"/>
          <w:color w:val="595959" w:themeColor="text1" w:themeTint="A6"/>
        </w:rPr>
        <w:t>, Horst E</w:t>
      </w:r>
      <w:r w:rsidR="00EB7376">
        <w:rPr>
          <w:rFonts w:ascii="Arial" w:hAnsi="Arial" w:cs="Arial"/>
          <w:color w:val="595959" w:themeColor="text1" w:themeTint="A6"/>
        </w:rPr>
        <w:t>.</w:t>
      </w:r>
      <w:r w:rsidRPr="001C27BF">
        <w:rPr>
          <w:rFonts w:ascii="Arial" w:hAnsi="Arial" w:cs="Arial"/>
          <w:color w:val="595959" w:themeColor="text1" w:themeTint="A6"/>
        </w:rPr>
        <w:t>N</w:t>
      </w:r>
      <w:r w:rsidR="00EB7376">
        <w:rPr>
          <w:rFonts w:ascii="Arial" w:hAnsi="Arial" w:cs="Arial"/>
          <w:color w:val="595959" w:themeColor="text1" w:themeTint="A6"/>
        </w:rPr>
        <w:t>.</w:t>
      </w:r>
      <w:r w:rsidRPr="001C27BF">
        <w:rPr>
          <w:rFonts w:ascii="Arial" w:hAnsi="Arial" w:cs="Arial"/>
          <w:color w:val="595959" w:themeColor="text1" w:themeTint="A6"/>
        </w:rPr>
        <w:t>, Mehta P, Novak C</w:t>
      </w:r>
      <w:r w:rsidR="00EB7376">
        <w:rPr>
          <w:rFonts w:ascii="Arial" w:hAnsi="Arial" w:cs="Arial"/>
          <w:color w:val="595959" w:themeColor="text1" w:themeTint="A6"/>
        </w:rPr>
        <w:t>.</w:t>
      </w:r>
      <w:r w:rsidRPr="001C27BF">
        <w:rPr>
          <w:rFonts w:ascii="Arial" w:hAnsi="Arial" w:cs="Arial"/>
          <w:color w:val="595959" w:themeColor="text1" w:themeTint="A6"/>
        </w:rPr>
        <w:t>M</w:t>
      </w:r>
      <w:r w:rsidR="00EB7376">
        <w:rPr>
          <w:rFonts w:ascii="Arial" w:hAnsi="Arial" w:cs="Arial"/>
          <w:color w:val="595959" w:themeColor="text1" w:themeTint="A6"/>
        </w:rPr>
        <w:t>.</w:t>
      </w:r>
      <w:r w:rsidRPr="001C27BF">
        <w:rPr>
          <w:rFonts w:ascii="Arial" w:hAnsi="Arial" w:cs="Arial"/>
          <w:color w:val="595959" w:themeColor="text1" w:themeTint="A6"/>
        </w:rPr>
        <w:t>, Raghavan S, Snyder C</w:t>
      </w:r>
      <w:r w:rsidR="00EB7376">
        <w:rPr>
          <w:rFonts w:ascii="Arial" w:hAnsi="Arial" w:cs="Arial"/>
          <w:color w:val="595959" w:themeColor="text1" w:themeTint="A6"/>
        </w:rPr>
        <w:t>.</w:t>
      </w:r>
      <w:r w:rsidRPr="001C27BF">
        <w:rPr>
          <w:rFonts w:ascii="Arial" w:hAnsi="Arial" w:cs="Arial"/>
          <w:color w:val="595959" w:themeColor="text1" w:themeTint="A6"/>
        </w:rPr>
        <w:t>S</w:t>
      </w:r>
      <w:r w:rsidR="00EB7376">
        <w:rPr>
          <w:rFonts w:ascii="Arial" w:hAnsi="Arial" w:cs="Arial"/>
          <w:color w:val="595959" w:themeColor="text1" w:themeTint="A6"/>
        </w:rPr>
        <w:t>.</w:t>
      </w:r>
      <w:r w:rsidRPr="001C27BF">
        <w:rPr>
          <w:rFonts w:ascii="Arial" w:hAnsi="Arial" w:cs="Arial"/>
          <w:color w:val="595959" w:themeColor="text1" w:themeTint="A6"/>
        </w:rPr>
        <w:t>, and Mehta, G (2019). ‘Integrated cancer tissue engineering models for precision medicine.’ PLoS ONE 14 (</w:t>
      </w:r>
      <w:r w:rsidRPr="00EB7376">
        <w:rPr>
          <w:rFonts w:ascii="Arial" w:hAnsi="Arial" w:cs="Arial"/>
          <w:b/>
          <w:bCs/>
          <w:color w:val="595959" w:themeColor="text1" w:themeTint="A6"/>
        </w:rPr>
        <w:t>5):</w:t>
      </w:r>
      <w:r w:rsidR="00EB7376">
        <w:rPr>
          <w:rFonts w:ascii="Arial" w:hAnsi="Arial" w:cs="Arial"/>
          <w:color w:val="595959" w:themeColor="text1" w:themeTint="A6"/>
        </w:rPr>
        <w:t xml:space="preserve"> </w:t>
      </w:r>
      <w:r w:rsidRPr="001C27BF">
        <w:rPr>
          <w:rFonts w:ascii="Arial" w:hAnsi="Arial" w:cs="Arial"/>
          <w:color w:val="595959" w:themeColor="text1" w:themeTint="A6"/>
        </w:rPr>
        <w:t>e0216564.</w:t>
      </w:r>
    </w:p>
    <w:p w14:paraId="0476AFED" w14:textId="3AE336D9" w:rsidR="00396EB2" w:rsidRPr="001C27BF" w:rsidRDefault="00396EB2" w:rsidP="001C27BF">
      <w:pPr>
        <w:spacing w:line="360" w:lineRule="auto"/>
        <w:jc w:val="both"/>
        <w:rPr>
          <w:rFonts w:ascii="Arial" w:hAnsi="Arial" w:cs="Arial"/>
          <w:color w:val="595959" w:themeColor="text1" w:themeTint="A6"/>
        </w:rPr>
      </w:pPr>
      <w:r w:rsidRPr="001C27BF">
        <w:rPr>
          <w:rFonts w:ascii="Arial" w:hAnsi="Arial" w:cs="Arial"/>
          <w:color w:val="595959" w:themeColor="text1" w:themeTint="A6"/>
        </w:rPr>
        <w:t xml:space="preserve">BRESLIN, S., and </w:t>
      </w:r>
      <w:r w:rsidR="00EB7376" w:rsidRPr="001C27BF">
        <w:rPr>
          <w:rFonts w:ascii="Arial" w:hAnsi="Arial" w:cs="Arial"/>
          <w:color w:val="595959" w:themeColor="text1" w:themeTint="A6"/>
        </w:rPr>
        <w:t>O’DRISCOLL</w:t>
      </w:r>
      <w:r w:rsidRPr="001C27BF">
        <w:rPr>
          <w:rFonts w:ascii="Arial" w:hAnsi="Arial" w:cs="Arial"/>
          <w:color w:val="595959" w:themeColor="text1" w:themeTint="A6"/>
        </w:rPr>
        <w:t xml:space="preserve">, L. (2013). ‘3D cell culture: the missing link in drug discovery.’ </w:t>
      </w:r>
      <w:r w:rsidRPr="001C27BF">
        <w:rPr>
          <w:rFonts w:ascii="Arial" w:hAnsi="Arial" w:cs="Arial"/>
          <w:i/>
          <w:color w:val="595959" w:themeColor="text1" w:themeTint="A6"/>
        </w:rPr>
        <w:t>Drug Discovery today</w:t>
      </w:r>
      <w:r w:rsidRPr="001C27BF">
        <w:rPr>
          <w:rFonts w:ascii="Arial" w:hAnsi="Arial" w:cs="Arial"/>
          <w:color w:val="595959" w:themeColor="text1" w:themeTint="A6"/>
        </w:rPr>
        <w:t xml:space="preserve">; </w:t>
      </w:r>
      <w:r w:rsidRPr="001C27BF">
        <w:rPr>
          <w:rFonts w:ascii="Arial" w:hAnsi="Arial" w:cs="Arial"/>
          <w:b/>
          <w:color w:val="595959" w:themeColor="text1" w:themeTint="A6"/>
        </w:rPr>
        <w:t>18</w:t>
      </w:r>
      <w:r w:rsidRPr="001C27BF">
        <w:rPr>
          <w:rFonts w:ascii="Arial" w:hAnsi="Arial" w:cs="Arial"/>
          <w:color w:val="595959" w:themeColor="text1" w:themeTint="A6"/>
        </w:rPr>
        <w:t xml:space="preserve">(5/6):241-249. </w:t>
      </w:r>
    </w:p>
    <w:p w14:paraId="36F58AC9" w14:textId="54B625C2" w:rsidR="004E1BF6" w:rsidRPr="001C27BF" w:rsidRDefault="00396EB2" w:rsidP="001C27BF">
      <w:pPr>
        <w:spacing w:line="360" w:lineRule="auto"/>
        <w:jc w:val="both"/>
        <w:rPr>
          <w:rFonts w:ascii="Arial" w:eastAsia="Times New Roman" w:hAnsi="Arial" w:cs="Arial"/>
          <w:bCs/>
          <w:color w:val="595959" w:themeColor="text1" w:themeTint="A6"/>
          <w:kern w:val="36"/>
          <w:bdr w:val="none" w:sz="0" w:space="0" w:color="auto" w:frame="1"/>
          <w:lang w:eastAsia="en-GB"/>
        </w:rPr>
      </w:pPr>
      <w:bookmarkStart w:id="509" w:name="_Toc20423972"/>
      <w:bookmarkStart w:id="510" w:name="_Toc20427591"/>
      <w:bookmarkStart w:id="511" w:name="_Toc20563910"/>
      <w:r w:rsidRPr="001C27BF">
        <w:rPr>
          <w:rFonts w:ascii="Arial" w:eastAsia="Times New Roman" w:hAnsi="Arial" w:cs="Arial"/>
          <w:bCs/>
          <w:color w:val="595959" w:themeColor="text1" w:themeTint="A6"/>
          <w:kern w:val="36"/>
          <w:bdr w:val="none" w:sz="0" w:space="0" w:color="auto" w:frame="1"/>
          <w:lang w:eastAsia="en-GB"/>
        </w:rPr>
        <w:t xml:space="preserve">BROWN, E., McKee, T., DiTomaso, E., Pleun, A., Seed, B., Boucher, Y., and Jain, R.K. (2013) ‘Rheological Properties of Extracellular Matrix Derived Gels’. </w:t>
      </w:r>
      <w:r w:rsidRPr="001C27BF">
        <w:rPr>
          <w:rFonts w:ascii="Arial" w:eastAsia="Times New Roman" w:hAnsi="Arial" w:cs="Arial"/>
          <w:bCs/>
          <w:i/>
          <w:color w:val="595959" w:themeColor="text1" w:themeTint="A6"/>
          <w:kern w:val="36"/>
          <w:bdr w:val="none" w:sz="0" w:space="0" w:color="auto" w:frame="1"/>
          <w:lang w:eastAsia="en-GB"/>
        </w:rPr>
        <w:t>Nature Medicine</w:t>
      </w:r>
      <w:r w:rsidRPr="001C27BF">
        <w:rPr>
          <w:rFonts w:ascii="Arial" w:eastAsia="Times New Roman" w:hAnsi="Arial" w:cs="Arial"/>
          <w:bCs/>
          <w:color w:val="595959" w:themeColor="text1" w:themeTint="A6"/>
          <w:kern w:val="36"/>
          <w:bdr w:val="none" w:sz="0" w:space="0" w:color="auto" w:frame="1"/>
          <w:lang w:eastAsia="en-GB"/>
        </w:rPr>
        <w:t xml:space="preserve">: </w:t>
      </w:r>
      <w:r w:rsidRPr="001C27BF">
        <w:rPr>
          <w:rFonts w:ascii="Arial" w:eastAsia="Times New Roman" w:hAnsi="Arial" w:cs="Arial"/>
          <w:b/>
          <w:bCs/>
          <w:color w:val="595959" w:themeColor="text1" w:themeTint="A6"/>
          <w:kern w:val="36"/>
          <w:bdr w:val="none" w:sz="0" w:space="0" w:color="auto" w:frame="1"/>
          <w:lang w:eastAsia="en-GB"/>
        </w:rPr>
        <w:t>9</w:t>
      </w:r>
      <w:r w:rsidR="002B1F48">
        <w:rPr>
          <w:rFonts w:ascii="Arial" w:eastAsia="Times New Roman" w:hAnsi="Arial" w:cs="Arial"/>
          <w:b/>
          <w:bCs/>
          <w:color w:val="595959" w:themeColor="text1" w:themeTint="A6"/>
          <w:kern w:val="36"/>
          <w:bdr w:val="none" w:sz="0" w:space="0" w:color="auto" w:frame="1"/>
          <w:lang w:eastAsia="en-GB"/>
        </w:rPr>
        <w:t xml:space="preserve"> </w:t>
      </w:r>
      <w:r w:rsidRPr="001C27BF">
        <w:rPr>
          <w:rFonts w:ascii="Arial" w:eastAsia="Times New Roman" w:hAnsi="Arial" w:cs="Arial"/>
          <w:bCs/>
          <w:color w:val="595959" w:themeColor="text1" w:themeTint="A6"/>
          <w:kern w:val="36"/>
          <w:bdr w:val="none" w:sz="0" w:space="0" w:color="auto" w:frame="1"/>
          <w:lang w:eastAsia="en-GB"/>
        </w:rPr>
        <w:t>(6):796-800.</w:t>
      </w:r>
      <w:bookmarkEnd w:id="509"/>
      <w:bookmarkEnd w:id="510"/>
      <w:bookmarkEnd w:id="511"/>
      <w:r w:rsidRPr="001C27BF">
        <w:rPr>
          <w:rFonts w:ascii="Arial" w:eastAsia="Times New Roman" w:hAnsi="Arial" w:cs="Arial"/>
          <w:bCs/>
          <w:color w:val="595959" w:themeColor="text1" w:themeTint="A6"/>
          <w:kern w:val="36"/>
          <w:bdr w:val="none" w:sz="0" w:space="0" w:color="auto" w:frame="1"/>
          <w:lang w:eastAsia="en-GB"/>
        </w:rPr>
        <w:t xml:space="preserve"> </w:t>
      </w:r>
    </w:p>
    <w:p w14:paraId="3F78CDC2" w14:textId="591D9E1B" w:rsidR="004E1BF6" w:rsidRPr="001C27BF" w:rsidRDefault="00396EB2" w:rsidP="00EB7376">
      <w:pPr>
        <w:spacing w:line="360" w:lineRule="auto"/>
        <w:jc w:val="both"/>
        <w:rPr>
          <w:rFonts w:ascii="Arial" w:eastAsia="Times New Roman" w:hAnsi="Arial" w:cs="Arial"/>
          <w:bCs/>
          <w:color w:val="595959" w:themeColor="text1" w:themeTint="A6"/>
          <w:kern w:val="36"/>
          <w:bdr w:val="none" w:sz="0" w:space="0" w:color="auto" w:frame="1"/>
          <w:lang w:eastAsia="en-GB"/>
        </w:rPr>
      </w:pPr>
      <w:bookmarkStart w:id="512" w:name="_Toc20423973"/>
      <w:bookmarkStart w:id="513" w:name="_Toc20427592"/>
      <w:bookmarkStart w:id="514" w:name="_Toc20563911"/>
      <w:r w:rsidRPr="001C27BF">
        <w:rPr>
          <w:rFonts w:ascii="Arial" w:eastAsia="Times New Roman" w:hAnsi="Arial" w:cs="Arial"/>
          <w:bCs/>
          <w:color w:val="595959" w:themeColor="text1" w:themeTint="A6"/>
          <w:kern w:val="36"/>
          <w:bdr w:val="none" w:sz="0" w:space="0" w:color="auto" w:frame="1"/>
          <w:lang w:eastAsia="en-GB"/>
        </w:rPr>
        <w:t xml:space="preserve">BROWN, J.M., and </w:t>
      </w:r>
      <w:r w:rsidR="002B1F48" w:rsidRPr="001C27BF">
        <w:rPr>
          <w:rFonts w:ascii="Arial" w:eastAsia="Times New Roman" w:hAnsi="Arial" w:cs="Arial"/>
          <w:bCs/>
          <w:color w:val="595959" w:themeColor="text1" w:themeTint="A6"/>
          <w:kern w:val="36"/>
          <w:bdr w:val="none" w:sz="0" w:space="0" w:color="auto" w:frame="1"/>
          <w:lang w:eastAsia="en-GB"/>
        </w:rPr>
        <w:t xml:space="preserve">ATTARDI, </w:t>
      </w:r>
      <w:r w:rsidRPr="001C27BF">
        <w:rPr>
          <w:rFonts w:ascii="Arial" w:eastAsia="Times New Roman" w:hAnsi="Arial" w:cs="Arial"/>
          <w:bCs/>
          <w:color w:val="595959" w:themeColor="text1" w:themeTint="A6"/>
          <w:kern w:val="36"/>
          <w:bdr w:val="none" w:sz="0" w:space="0" w:color="auto" w:frame="1"/>
          <w:lang w:eastAsia="en-GB"/>
        </w:rPr>
        <w:t xml:space="preserve">L.D. (2005). ‘The role of apoptosis in cancer development and treatment response’. </w:t>
      </w:r>
      <w:r w:rsidRPr="001C27BF">
        <w:rPr>
          <w:rFonts w:ascii="Arial" w:eastAsia="Times New Roman" w:hAnsi="Arial" w:cs="Arial"/>
          <w:bCs/>
          <w:i/>
          <w:color w:val="595959" w:themeColor="text1" w:themeTint="A6"/>
          <w:kern w:val="36"/>
          <w:bdr w:val="none" w:sz="0" w:space="0" w:color="auto" w:frame="1"/>
          <w:lang w:eastAsia="en-GB"/>
        </w:rPr>
        <w:t>Nat reviews cancer</w:t>
      </w:r>
      <w:r w:rsidRPr="001C27BF">
        <w:rPr>
          <w:rFonts w:ascii="Arial" w:eastAsia="Times New Roman" w:hAnsi="Arial" w:cs="Arial"/>
          <w:bCs/>
          <w:color w:val="595959" w:themeColor="text1" w:themeTint="A6"/>
          <w:kern w:val="36"/>
          <w:bdr w:val="none" w:sz="0" w:space="0" w:color="auto" w:frame="1"/>
          <w:lang w:eastAsia="en-GB"/>
        </w:rPr>
        <w:t>,</w:t>
      </w:r>
      <w:r w:rsidRPr="001C27BF">
        <w:rPr>
          <w:rFonts w:ascii="Arial" w:eastAsia="Times New Roman" w:hAnsi="Arial" w:cs="Arial"/>
          <w:b/>
          <w:bCs/>
          <w:color w:val="595959" w:themeColor="text1" w:themeTint="A6"/>
          <w:kern w:val="36"/>
          <w:bdr w:val="none" w:sz="0" w:space="0" w:color="auto" w:frame="1"/>
          <w:lang w:eastAsia="en-GB"/>
        </w:rPr>
        <w:t xml:space="preserve"> 5</w:t>
      </w:r>
      <w:r w:rsidRPr="001C27BF">
        <w:rPr>
          <w:rFonts w:ascii="Arial" w:eastAsia="Times New Roman" w:hAnsi="Arial" w:cs="Arial"/>
          <w:bCs/>
          <w:color w:val="595959" w:themeColor="text1" w:themeTint="A6"/>
          <w:kern w:val="36"/>
          <w:bdr w:val="none" w:sz="0" w:space="0" w:color="auto" w:frame="1"/>
          <w:lang w:eastAsia="en-GB"/>
        </w:rPr>
        <w:t>: 231-237.</w:t>
      </w:r>
      <w:bookmarkEnd w:id="512"/>
      <w:bookmarkEnd w:id="513"/>
      <w:bookmarkEnd w:id="514"/>
    </w:p>
    <w:p w14:paraId="55378C68" w14:textId="604767F8" w:rsidR="00396EB2" w:rsidRPr="001C27BF" w:rsidRDefault="00396EB2" w:rsidP="001C27BF">
      <w:pPr>
        <w:spacing w:line="360" w:lineRule="auto"/>
        <w:jc w:val="both"/>
        <w:rPr>
          <w:rFonts w:ascii="Arial" w:hAnsi="Arial" w:cs="Arial"/>
          <w:color w:val="595959" w:themeColor="text1" w:themeTint="A6"/>
          <w:shd w:val="clear" w:color="auto" w:fill="FFFFFF"/>
        </w:rPr>
      </w:pPr>
      <w:r w:rsidRPr="001C27BF">
        <w:rPr>
          <w:rFonts w:ascii="Arial" w:hAnsi="Arial" w:cs="Arial"/>
          <w:color w:val="595959" w:themeColor="text1" w:themeTint="A6"/>
          <w:shd w:val="clear" w:color="auto" w:fill="FFFFFF"/>
        </w:rPr>
        <w:t>BUTCHER D. T., Alliston T., Weaver V.M. (2009).</w:t>
      </w:r>
      <w:r w:rsidRPr="001C27BF">
        <w:rPr>
          <w:rStyle w:val="apple-converted-space"/>
          <w:rFonts w:ascii="Arial" w:hAnsi="Arial" w:cs="Arial"/>
          <w:color w:val="595959" w:themeColor="text1" w:themeTint="A6"/>
          <w:shd w:val="clear" w:color="auto" w:fill="FFFFFF"/>
        </w:rPr>
        <w:t> ‘</w:t>
      </w:r>
      <w:r w:rsidRPr="001C27BF">
        <w:rPr>
          <w:rStyle w:val="ref-title"/>
          <w:rFonts w:ascii="Arial" w:hAnsi="Arial" w:cs="Arial"/>
          <w:color w:val="595959" w:themeColor="text1" w:themeTint="A6"/>
          <w:shd w:val="clear" w:color="auto" w:fill="FFFFFF"/>
        </w:rPr>
        <w:t>A tense situation: forcing tumour progression’</w:t>
      </w:r>
      <w:r w:rsidRPr="001C27BF">
        <w:rPr>
          <w:rFonts w:ascii="Arial" w:hAnsi="Arial" w:cs="Arial"/>
          <w:color w:val="595959" w:themeColor="text1" w:themeTint="A6"/>
          <w:shd w:val="clear" w:color="auto" w:fill="FFFFFF"/>
        </w:rPr>
        <w:t>.</w:t>
      </w:r>
      <w:r w:rsidRPr="001C27BF">
        <w:rPr>
          <w:rStyle w:val="apple-converted-space"/>
          <w:rFonts w:ascii="Arial" w:hAnsi="Arial" w:cs="Arial"/>
          <w:color w:val="595959" w:themeColor="text1" w:themeTint="A6"/>
          <w:shd w:val="clear" w:color="auto" w:fill="FFFFFF"/>
        </w:rPr>
        <w:t> </w:t>
      </w:r>
      <w:r w:rsidRPr="001C27BF">
        <w:rPr>
          <w:rStyle w:val="ref-journal"/>
          <w:rFonts w:ascii="Arial" w:hAnsi="Arial" w:cs="Arial"/>
          <w:i/>
          <w:color w:val="595959" w:themeColor="text1" w:themeTint="A6"/>
          <w:shd w:val="clear" w:color="auto" w:fill="FFFFFF"/>
        </w:rPr>
        <w:t>Nat. Rev. Cancer</w:t>
      </w:r>
      <w:r w:rsidRPr="001C27BF">
        <w:rPr>
          <w:rStyle w:val="apple-converted-space"/>
          <w:rFonts w:ascii="Arial" w:hAnsi="Arial" w:cs="Arial"/>
          <w:color w:val="595959" w:themeColor="text1" w:themeTint="A6"/>
          <w:shd w:val="clear" w:color="auto" w:fill="FFFFFF"/>
        </w:rPr>
        <w:t xml:space="preserve">; </w:t>
      </w:r>
      <w:r w:rsidRPr="001C27BF">
        <w:rPr>
          <w:rStyle w:val="ref-vol"/>
          <w:rFonts w:ascii="Arial" w:hAnsi="Arial" w:cs="Arial"/>
          <w:b/>
          <w:color w:val="595959" w:themeColor="text1" w:themeTint="A6"/>
          <w:shd w:val="clear" w:color="auto" w:fill="FFFFFF"/>
        </w:rPr>
        <w:t>9</w:t>
      </w:r>
      <w:r w:rsidRPr="001C27BF">
        <w:rPr>
          <w:rFonts w:ascii="Arial" w:hAnsi="Arial" w:cs="Arial"/>
          <w:b/>
          <w:color w:val="595959" w:themeColor="text1" w:themeTint="A6"/>
          <w:shd w:val="clear" w:color="auto" w:fill="FFFFFF"/>
        </w:rPr>
        <w:t>,</w:t>
      </w:r>
      <w:r w:rsidRPr="001C27BF">
        <w:rPr>
          <w:rFonts w:ascii="Arial" w:hAnsi="Arial" w:cs="Arial"/>
          <w:color w:val="595959" w:themeColor="text1" w:themeTint="A6"/>
          <w:shd w:val="clear" w:color="auto" w:fill="FFFFFF"/>
        </w:rPr>
        <w:t xml:space="preserve"> 108–122.</w:t>
      </w:r>
    </w:p>
    <w:p w14:paraId="4F12562F" w14:textId="77777777" w:rsidR="00396EB2" w:rsidRPr="001C27BF" w:rsidRDefault="00396EB2" w:rsidP="001C27BF">
      <w:pPr>
        <w:spacing w:line="360" w:lineRule="auto"/>
        <w:jc w:val="both"/>
        <w:rPr>
          <w:rFonts w:ascii="Arial" w:hAnsi="Arial" w:cs="Arial"/>
          <w:color w:val="595959" w:themeColor="text1" w:themeTint="A6"/>
          <w:shd w:val="clear" w:color="auto" w:fill="FFFFFF"/>
        </w:rPr>
      </w:pPr>
      <w:r w:rsidRPr="001C27BF">
        <w:rPr>
          <w:rFonts w:ascii="Arial" w:hAnsi="Arial" w:cs="Arial"/>
          <w:color w:val="595959" w:themeColor="text1" w:themeTint="A6"/>
          <w:shd w:val="clear" w:color="auto" w:fill="FFFFFF"/>
        </w:rPr>
        <w:t xml:space="preserve">CALVO, F. Ege, N., Grande-Garcia, A., Hooper, S., Jenkins, R.P., Chaudhry, S.I., Harrington, K., Williamson, P., Charras, G.L., and Sahai, E. (2013). ‘Mechanotransduction and YAP-dependent matrix remodelling is required for the generation and maintenance of cancer-associated fibroblasts’. </w:t>
      </w:r>
      <w:r w:rsidRPr="001C27BF">
        <w:rPr>
          <w:rFonts w:ascii="Arial" w:hAnsi="Arial" w:cs="Arial"/>
          <w:i/>
          <w:color w:val="595959" w:themeColor="text1" w:themeTint="A6"/>
          <w:shd w:val="clear" w:color="auto" w:fill="FFFFFF"/>
        </w:rPr>
        <w:t>Nat. Cell Biol.</w:t>
      </w:r>
      <w:r w:rsidRPr="001C27BF">
        <w:rPr>
          <w:rFonts w:ascii="Arial" w:hAnsi="Arial" w:cs="Arial"/>
          <w:color w:val="595959" w:themeColor="text1" w:themeTint="A6"/>
          <w:shd w:val="clear" w:color="auto" w:fill="FFFFFF"/>
        </w:rPr>
        <w:t xml:space="preserve"> </w:t>
      </w:r>
      <w:r w:rsidRPr="001C27BF">
        <w:rPr>
          <w:rFonts w:ascii="Arial" w:hAnsi="Arial" w:cs="Arial"/>
          <w:b/>
          <w:color w:val="595959" w:themeColor="text1" w:themeTint="A6"/>
          <w:shd w:val="clear" w:color="auto" w:fill="FFFFFF"/>
        </w:rPr>
        <w:t>15</w:t>
      </w:r>
      <w:r w:rsidRPr="001C27BF">
        <w:rPr>
          <w:rFonts w:ascii="Arial" w:hAnsi="Arial" w:cs="Arial"/>
          <w:color w:val="595959" w:themeColor="text1" w:themeTint="A6"/>
          <w:shd w:val="clear" w:color="auto" w:fill="FFFFFF"/>
        </w:rPr>
        <w:t>, 637–646.</w:t>
      </w:r>
    </w:p>
    <w:p w14:paraId="0D813234" w14:textId="77777777" w:rsidR="00396EB2" w:rsidRPr="001C27BF" w:rsidRDefault="00396EB2" w:rsidP="001C27BF">
      <w:pPr>
        <w:spacing w:line="360" w:lineRule="auto"/>
        <w:jc w:val="both"/>
        <w:rPr>
          <w:rFonts w:ascii="Arial" w:hAnsi="Arial" w:cs="Arial"/>
          <w:color w:val="595959" w:themeColor="text1" w:themeTint="A6"/>
          <w:shd w:val="clear" w:color="auto" w:fill="FFFFFF"/>
        </w:rPr>
      </w:pPr>
      <w:r w:rsidRPr="001C27BF">
        <w:rPr>
          <w:rFonts w:ascii="Arial" w:hAnsi="Arial" w:cs="Arial"/>
          <w:color w:val="595959" w:themeColor="text1" w:themeTint="A6"/>
          <w:shd w:val="clear" w:color="auto" w:fill="FFFFFF"/>
        </w:rPr>
        <w:t xml:space="preserve">CHAKRAVARTHY A, Khan L, Bensler N.P., Bose P, and De Carvalho D.D. (2018). ‘TGF-β-associated extracellular matrix genes link cancer-associated fibroblasts to immune evasion and immunotherapy failure.’ </w:t>
      </w:r>
      <w:r w:rsidRPr="001C27BF">
        <w:rPr>
          <w:rFonts w:ascii="Arial" w:hAnsi="Arial" w:cs="Arial"/>
          <w:i/>
          <w:iCs/>
          <w:color w:val="595959" w:themeColor="text1" w:themeTint="A6"/>
          <w:shd w:val="clear" w:color="auto" w:fill="FFFFFF"/>
        </w:rPr>
        <w:t xml:space="preserve">Nature communications. </w:t>
      </w:r>
      <w:r w:rsidRPr="001C27BF">
        <w:rPr>
          <w:rFonts w:ascii="Arial" w:hAnsi="Arial" w:cs="Arial"/>
          <w:b/>
          <w:bCs/>
          <w:color w:val="595959" w:themeColor="text1" w:themeTint="A6"/>
          <w:shd w:val="clear" w:color="auto" w:fill="FFFFFF"/>
        </w:rPr>
        <w:t>9</w:t>
      </w:r>
      <w:r w:rsidRPr="001C27BF">
        <w:rPr>
          <w:rFonts w:ascii="Arial" w:hAnsi="Arial" w:cs="Arial"/>
          <w:color w:val="595959" w:themeColor="text1" w:themeTint="A6"/>
          <w:shd w:val="clear" w:color="auto" w:fill="FFFFFF"/>
        </w:rPr>
        <w:t xml:space="preserve">:4692. </w:t>
      </w:r>
    </w:p>
    <w:p w14:paraId="306FA24C" w14:textId="77777777" w:rsidR="00396EB2" w:rsidRPr="001C27BF" w:rsidRDefault="00396EB2" w:rsidP="001C27BF">
      <w:pPr>
        <w:spacing w:line="360" w:lineRule="auto"/>
        <w:jc w:val="both"/>
        <w:rPr>
          <w:rFonts w:ascii="Arial" w:hAnsi="Arial" w:cs="Arial"/>
          <w:color w:val="595959" w:themeColor="text1" w:themeTint="A6"/>
        </w:rPr>
      </w:pPr>
      <w:r w:rsidRPr="001C27BF">
        <w:rPr>
          <w:rFonts w:ascii="Arial" w:hAnsi="Arial" w:cs="Arial"/>
          <w:color w:val="595959" w:themeColor="text1" w:themeTint="A6"/>
        </w:rPr>
        <w:t xml:space="preserve">CHAUDHURI O., Koshy S.T., Branco da Cunha C., Shin, J-W., Verbeke C.S., Allison, K.H and Mooney, D.J. (2014). ‘Extracellular matrix stiffness and composition jointly regulate the induction of malignant phenotypes in mammary epithelium.’ </w:t>
      </w:r>
      <w:r w:rsidRPr="001C27BF">
        <w:rPr>
          <w:rFonts w:ascii="Arial" w:hAnsi="Arial" w:cs="Arial"/>
          <w:i/>
          <w:color w:val="595959" w:themeColor="text1" w:themeTint="A6"/>
        </w:rPr>
        <w:t xml:space="preserve">Nature materials; </w:t>
      </w:r>
      <w:r w:rsidRPr="001C27BF">
        <w:rPr>
          <w:rFonts w:ascii="Arial" w:hAnsi="Arial" w:cs="Arial"/>
          <w:b/>
          <w:color w:val="595959" w:themeColor="text1" w:themeTint="A6"/>
        </w:rPr>
        <w:t>13</w:t>
      </w:r>
      <w:r w:rsidRPr="001C27BF">
        <w:rPr>
          <w:rFonts w:ascii="Arial" w:hAnsi="Arial" w:cs="Arial"/>
          <w:color w:val="595959" w:themeColor="text1" w:themeTint="A6"/>
        </w:rPr>
        <w:t>: 970-978.</w:t>
      </w:r>
    </w:p>
    <w:p w14:paraId="45B21A4C" w14:textId="5EB6D4AB" w:rsidR="00396EB2" w:rsidRPr="001C27BF" w:rsidRDefault="00396EB2" w:rsidP="001C27BF">
      <w:pPr>
        <w:spacing w:line="360" w:lineRule="auto"/>
        <w:jc w:val="both"/>
        <w:rPr>
          <w:rFonts w:ascii="Arial" w:hAnsi="Arial" w:cs="Arial"/>
          <w:color w:val="595959" w:themeColor="text1" w:themeTint="A6"/>
        </w:rPr>
      </w:pPr>
      <w:r w:rsidRPr="001C27BF">
        <w:rPr>
          <w:rFonts w:ascii="Arial" w:hAnsi="Arial" w:cs="Arial"/>
          <w:color w:val="595959" w:themeColor="text1" w:themeTint="A6"/>
        </w:rPr>
        <w:t>CHEN R, Khormaee S, Eccleston M</w:t>
      </w:r>
      <w:r w:rsidR="001632A6">
        <w:rPr>
          <w:rFonts w:ascii="Arial" w:hAnsi="Arial" w:cs="Arial"/>
          <w:color w:val="595959" w:themeColor="text1" w:themeTint="A6"/>
        </w:rPr>
        <w:t>.</w:t>
      </w:r>
      <w:r w:rsidRPr="001C27BF">
        <w:rPr>
          <w:rFonts w:ascii="Arial" w:hAnsi="Arial" w:cs="Arial"/>
          <w:color w:val="595959" w:themeColor="text1" w:themeTint="A6"/>
        </w:rPr>
        <w:t>E</w:t>
      </w:r>
      <w:r w:rsidR="001632A6">
        <w:rPr>
          <w:rFonts w:ascii="Arial" w:hAnsi="Arial" w:cs="Arial"/>
          <w:color w:val="595959" w:themeColor="text1" w:themeTint="A6"/>
        </w:rPr>
        <w:t>.</w:t>
      </w:r>
      <w:r w:rsidRPr="001C27BF">
        <w:rPr>
          <w:rFonts w:ascii="Arial" w:hAnsi="Arial" w:cs="Arial"/>
          <w:color w:val="595959" w:themeColor="text1" w:themeTint="A6"/>
        </w:rPr>
        <w:t>, Slater N</w:t>
      </w:r>
      <w:r w:rsidR="001632A6">
        <w:rPr>
          <w:rFonts w:ascii="Arial" w:hAnsi="Arial" w:cs="Arial"/>
          <w:color w:val="595959" w:themeColor="text1" w:themeTint="A6"/>
        </w:rPr>
        <w:t>.</w:t>
      </w:r>
      <w:r w:rsidRPr="001C27BF">
        <w:rPr>
          <w:rFonts w:ascii="Arial" w:hAnsi="Arial" w:cs="Arial"/>
          <w:color w:val="595959" w:themeColor="text1" w:themeTint="A6"/>
        </w:rPr>
        <w:t>K</w:t>
      </w:r>
      <w:r w:rsidR="001632A6">
        <w:rPr>
          <w:rFonts w:ascii="Arial" w:hAnsi="Arial" w:cs="Arial"/>
          <w:color w:val="595959" w:themeColor="text1" w:themeTint="A6"/>
        </w:rPr>
        <w:t>.</w:t>
      </w:r>
      <w:r w:rsidRPr="001C27BF">
        <w:rPr>
          <w:rFonts w:ascii="Arial" w:hAnsi="Arial" w:cs="Arial"/>
          <w:color w:val="595959" w:themeColor="text1" w:themeTint="A6"/>
        </w:rPr>
        <w:t xml:space="preserve"> (2009). ‘The role of hydrophobic amino acid grafts in the enhancement of membranedisruptive activity of pH-responsive pseudo-peptides’. </w:t>
      </w:r>
      <w:r w:rsidRPr="001C27BF">
        <w:rPr>
          <w:rFonts w:ascii="Arial" w:hAnsi="Arial" w:cs="Arial"/>
          <w:i/>
          <w:color w:val="595959" w:themeColor="text1" w:themeTint="A6"/>
        </w:rPr>
        <w:t xml:space="preserve">Biomaterials </w:t>
      </w:r>
      <w:r w:rsidRPr="001C27BF">
        <w:rPr>
          <w:rFonts w:ascii="Arial" w:hAnsi="Arial" w:cs="Arial"/>
          <w:b/>
          <w:color w:val="595959" w:themeColor="text1" w:themeTint="A6"/>
        </w:rPr>
        <w:t>30</w:t>
      </w:r>
      <w:r w:rsidRPr="001C27BF">
        <w:rPr>
          <w:rFonts w:ascii="Arial" w:hAnsi="Arial" w:cs="Arial"/>
          <w:color w:val="595959" w:themeColor="text1" w:themeTint="A6"/>
        </w:rPr>
        <w:t>:1954–1961.</w:t>
      </w:r>
    </w:p>
    <w:p w14:paraId="5CA7A389" w14:textId="77777777" w:rsidR="00396EB2" w:rsidRPr="001C27BF" w:rsidRDefault="00396EB2" w:rsidP="001C27BF">
      <w:pPr>
        <w:spacing w:line="360" w:lineRule="auto"/>
        <w:jc w:val="both"/>
        <w:rPr>
          <w:rFonts w:ascii="Arial" w:hAnsi="Arial" w:cs="Arial"/>
          <w:color w:val="595959" w:themeColor="text1" w:themeTint="A6"/>
        </w:rPr>
      </w:pPr>
      <w:r w:rsidRPr="001C27BF">
        <w:rPr>
          <w:rFonts w:ascii="Arial" w:hAnsi="Arial" w:cs="Arial"/>
          <w:color w:val="595959" w:themeColor="text1" w:themeTint="A6"/>
        </w:rPr>
        <w:t xml:space="preserve">CHENG Y.S., Champliaud M.F., Burgeson R.E, Marinkovich M.P., and Yurchenco P.D. (1997) ‘Self-assembly of laminin isoforms’. </w:t>
      </w:r>
      <w:r w:rsidRPr="001C27BF">
        <w:rPr>
          <w:rFonts w:ascii="Arial" w:hAnsi="Arial" w:cs="Arial"/>
          <w:i/>
          <w:color w:val="595959" w:themeColor="text1" w:themeTint="A6"/>
        </w:rPr>
        <w:t>J Biol Chem</w:t>
      </w:r>
      <w:r w:rsidRPr="001C27BF">
        <w:rPr>
          <w:rFonts w:ascii="Arial" w:hAnsi="Arial" w:cs="Arial"/>
          <w:color w:val="595959" w:themeColor="text1" w:themeTint="A6"/>
        </w:rPr>
        <w:t xml:space="preserve">; </w:t>
      </w:r>
      <w:r w:rsidRPr="001C27BF">
        <w:rPr>
          <w:rFonts w:ascii="Arial" w:hAnsi="Arial" w:cs="Arial"/>
          <w:b/>
          <w:color w:val="595959" w:themeColor="text1" w:themeTint="A6"/>
        </w:rPr>
        <w:t>272</w:t>
      </w:r>
      <w:r w:rsidRPr="001C27BF">
        <w:rPr>
          <w:rFonts w:ascii="Arial" w:hAnsi="Arial" w:cs="Arial"/>
          <w:color w:val="595959" w:themeColor="text1" w:themeTint="A6"/>
        </w:rPr>
        <w:t xml:space="preserve">:31525–31532. </w:t>
      </w:r>
    </w:p>
    <w:p w14:paraId="26399504" w14:textId="77777777" w:rsidR="00396EB2" w:rsidRPr="001C27BF" w:rsidRDefault="00396EB2" w:rsidP="001C27BF">
      <w:pPr>
        <w:spacing w:line="360" w:lineRule="auto"/>
        <w:jc w:val="both"/>
        <w:rPr>
          <w:rFonts w:ascii="Arial" w:hAnsi="Arial" w:cs="Arial"/>
          <w:color w:val="595959" w:themeColor="text1" w:themeTint="A6"/>
        </w:rPr>
      </w:pPr>
      <w:r w:rsidRPr="001C27BF">
        <w:rPr>
          <w:rFonts w:ascii="Arial" w:hAnsi="Arial" w:cs="Arial"/>
          <w:color w:val="595959" w:themeColor="text1" w:themeTint="A6"/>
        </w:rPr>
        <w:t xml:space="preserve">COLLER, H.A. Sang, L and Roberts, J.M. (2006). ‘A new description of cellular quiescence.’ </w:t>
      </w:r>
      <w:r w:rsidRPr="001C27BF">
        <w:rPr>
          <w:rFonts w:ascii="Arial" w:hAnsi="Arial" w:cs="Arial"/>
          <w:i/>
          <w:color w:val="595959" w:themeColor="text1" w:themeTint="A6"/>
        </w:rPr>
        <w:t>PLoS Biol</w:t>
      </w:r>
      <w:r w:rsidRPr="001C27BF">
        <w:rPr>
          <w:rFonts w:ascii="Arial" w:hAnsi="Arial" w:cs="Arial"/>
          <w:color w:val="595959" w:themeColor="text1" w:themeTint="A6"/>
        </w:rPr>
        <w:t xml:space="preserve">, </w:t>
      </w:r>
      <w:r w:rsidRPr="001632A6">
        <w:rPr>
          <w:rFonts w:ascii="Arial" w:hAnsi="Arial" w:cs="Arial"/>
          <w:b/>
          <w:bCs/>
          <w:color w:val="595959" w:themeColor="text1" w:themeTint="A6"/>
        </w:rPr>
        <w:t>4</w:t>
      </w:r>
      <w:r w:rsidRPr="001C27BF">
        <w:rPr>
          <w:rFonts w:ascii="Arial" w:hAnsi="Arial" w:cs="Arial"/>
          <w:color w:val="595959" w:themeColor="text1" w:themeTint="A6"/>
        </w:rPr>
        <w:t xml:space="preserve">(3): e83. </w:t>
      </w:r>
    </w:p>
    <w:p w14:paraId="0A16708E" w14:textId="2EAD08DB" w:rsidR="00396EB2" w:rsidRPr="001C27BF" w:rsidRDefault="00396EB2" w:rsidP="001C27BF">
      <w:pPr>
        <w:spacing w:line="360" w:lineRule="auto"/>
        <w:jc w:val="both"/>
        <w:rPr>
          <w:rFonts w:ascii="Arial" w:hAnsi="Arial" w:cs="Arial"/>
          <w:color w:val="595959" w:themeColor="text1" w:themeTint="A6"/>
        </w:rPr>
      </w:pPr>
      <w:r w:rsidRPr="001C27BF">
        <w:rPr>
          <w:rFonts w:ascii="Arial" w:hAnsi="Arial" w:cs="Arial"/>
          <w:color w:val="595959" w:themeColor="text1" w:themeTint="A6"/>
        </w:rPr>
        <w:t>COLLEY, H.E, Hearnden V, Jones A.V., Weinreb P.H., Violette S.M., MacNeil S, Thornhill M</w:t>
      </w:r>
      <w:r w:rsidR="00253FB7">
        <w:rPr>
          <w:rFonts w:ascii="Arial" w:hAnsi="Arial" w:cs="Arial"/>
          <w:color w:val="595959" w:themeColor="text1" w:themeTint="A6"/>
        </w:rPr>
        <w:t>.</w:t>
      </w:r>
      <w:r w:rsidRPr="001C27BF">
        <w:rPr>
          <w:rFonts w:ascii="Arial" w:hAnsi="Arial" w:cs="Arial"/>
          <w:color w:val="595959" w:themeColor="text1" w:themeTint="A6"/>
        </w:rPr>
        <w:t>H</w:t>
      </w:r>
      <w:r w:rsidR="00253FB7">
        <w:rPr>
          <w:rFonts w:ascii="Arial" w:hAnsi="Arial" w:cs="Arial"/>
          <w:color w:val="595959" w:themeColor="text1" w:themeTint="A6"/>
        </w:rPr>
        <w:t>.</w:t>
      </w:r>
      <w:r w:rsidRPr="001C27BF">
        <w:rPr>
          <w:rFonts w:ascii="Arial" w:hAnsi="Arial" w:cs="Arial"/>
          <w:color w:val="595959" w:themeColor="text1" w:themeTint="A6"/>
        </w:rPr>
        <w:t xml:space="preserve"> and Murdoch C (2011). ‘Development of tissue-engineered models of oral dysplasia and early invasive oral squamous cell carcinoma.’</w:t>
      </w:r>
      <w:r w:rsidRPr="001C27BF">
        <w:rPr>
          <w:rFonts w:ascii="Arial" w:hAnsi="Arial" w:cs="Arial"/>
        </w:rPr>
        <w:t xml:space="preserve"> </w:t>
      </w:r>
      <w:r w:rsidRPr="001C27BF">
        <w:rPr>
          <w:rFonts w:ascii="Arial" w:hAnsi="Arial" w:cs="Arial"/>
          <w:i/>
          <w:color w:val="595959" w:themeColor="text1" w:themeTint="A6"/>
        </w:rPr>
        <w:t>British Journal of Cancer</w:t>
      </w:r>
      <w:r w:rsidRPr="001C27BF">
        <w:rPr>
          <w:rFonts w:ascii="Arial" w:hAnsi="Arial" w:cs="Arial"/>
          <w:color w:val="595959" w:themeColor="text1" w:themeTint="A6"/>
        </w:rPr>
        <w:t xml:space="preserve">; </w:t>
      </w:r>
      <w:r w:rsidRPr="001C27BF">
        <w:rPr>
          <w:rFonts w:ascii="Arial" w:hAnsi="Arial" w:cs="Arial"/>
          <w:b/>
          <w:color w:val="595959" w:themeColor="text1" w:themeTint="A6"/>
        </w:rPr>
        <w:t>105</w:t>
      </w:r>
      <w:r w:rsidRPr="001C27BF">
        <w:rPr>
          <w:rFonts w:ascii="Arial" w:hAnsi="Arial" w:cs="Arial"/>
          <w:color w:val="595959" w:themeColor="text1" w:themeTint="A6"/>
        </w:rPr>
        <w:t>, 1582 – 1592.</w:t>
      </w:r>
    </w:p>
    <w:p w14:paraId="19E8B09C" w14:textId="77777777" w:rsidR="00396EB2" w:rsidRPr="001C27BF" w:rsidRDefault="00396EB2" w:rsidP="001C27BF">
      <w:pPr>
        <w:spacing w:line="360" w:lineRule="auto"/>
        <w:jc w:val="both"/>
        <w:rPr>
          <w:rFonts w:ascii="Arial" w:hAnsi="Arial" w:cs="Arial"/>
          <w:color w:val="595959" w:themeColor="text1" w:themeTint="A6"/>
        </w:rPr>
      </w:pPr>
      <w:r w:rsidRPr="001C27BF">
        <w:rPr>
          <w:rFonts w:ascii="Arial" w:hAnsi="Arial" w:cs="Arial"/>
          <w:color w:val="595959" w:themeColor="text1" w:themeTint="A6"/>
        </w:rPr>
        <w:t xml:space="preserve">COMPER W.D and Laurent T.C. (1978). ‘Physiological functions of connective tissue polysaccharides’. </w:t>
      </w:r>
      <w:r w:rsidRPr="001C27BF">
        <w:rPr>
          <w:rFonts w:ascii="Arial" w:hAnsi="Arial" w:cs="Arial"/>
          <w:i/>
          <w:color w:val="595959" w:themeColor="text1" w:themeTint="A6"/>
        </w:rPr>
        <w:t>Physiol Rev</w:t>
      </w:r>
      <w:r w:rsidRPr="001C27BF">
        <w:rPr>
          <w:rFonts w:ascii="Arial" w:hAnsi="Arial" w:cs="Arial"/>
          <w:color w:val="595959" w:themeColor="text1" w:themeTint="A6"/>
        </w:rPr>
        <w:t xml:space="preserve">; </w:t>
      </w:r>
      <w:r w:rsidRPr="001C27BF">
        <w:rPr>
          <w:rFonts w:ascii="Arial" w:hAnsi="Arial" w:cs="Arial"/>
          <w:b/>
          <w:color w:val="595959" w:themeColor="text1" w:themeTint="A6"/>
        </w:rPr>
        <w:t>58</w:t>
      </w:r>
      <w:r w:rsidRPr="001C27BF">
        <w:rPr>
          <w:rFonts w:ascii="Arial" w:hAnsi="Arial" w:cs="Arial"/>
          <w:color w:val="595959" w:themeColor="text1" w:themeTint="A6"/>
        </w:rPr>
        <w:t>: 255-315.</w:t>
      </w:r>
    </w:p>
    <w:p w14:paraId="0ECC0CEB" w14:textId="77777777" w:rsidR="00396EB2" w:rsidRPr="001C27BF" w:rsidRDefault="00396EB2" w:rsidP="001C27BF">
      <w:pPr>
        <w:spacing w:line="360" w:lineRule="auto"/>
        <w:jc w:val="both"/>
        <w:rPr>
          <w:rFonts w:ascii="Arial" w:hAnsi="Arial" w:cs="Arial"/>
          <w:color w:val="595959" w:themeColor="text1" w:themeTint="A6"/>
        </w:rPr>
      </w:pPr>
      <w:r w:rsidRPr="001C27BF">
        <w:rPr>
          <w:rFonts w:ascii="Arial" w:hAnsi="Arial" w:cs="Arial"/>
          <w:color w:val="595959" w:themeColor="text1" w:themeTint="A6"/>
        </w:rPr>
        <w:t xml:space="preserve">CONKLIN M.W, Eickhoff J.C, Riching K.M, Pehlke C.A, Eliceiri K.W, Provenzano P.P, Friedl A, Keely P.J. (2011). ‘Aligned Collagen Is a Prognostic Signature for Survival in Human Breast Carcinoma.’ </w:t>
      </w:r>
      <w:r w:rsidRPr="001C27BF">
        <w:rPr>
          <w:rFonts w:ascii="Arial" w:hAnsi="Arial" w:cs="Arial"/>
          <w:i/>
          <w:color w:val="595959" w:themeColor="text1" w:themeTint="A6"/>
        </w:rPr>
        <w:t>The American Journal of Pathology.</w:t>
      </w:r>
      <w:r w:rsidRPr="001C27BF">
        <w:rPr>
          <w:rFonts w:ascii="Arial" w:hAnsi="Arial" w:cs="Arial"/>
          <w:color w:val="595959" w:themeColor="text1" w:themeTint="A6"/>
        </w:rPr>
        <w:t xml:space="preserve"> </w:t>
      </w:r>
      <w:r w:rsidRPr="001C27BF">
        <w:rPr>
          <w:rFonts w:ascii="Arial" w:hAnsi="Arial" w:cs="Arial"/>
          <w:b/>
          <w:color w:val="595959" w:themeColor="text1" w:themeTint="A6"/>
        </w:rPr>
        <w:t>178</w:t>
      </w:r>
      <w:r w:rsidRPr="001C27BF">
        <w:rPr>
          <w:rFonts w:ascii="Arial" w:hAnsi="Arial" w:cs="Arial"/>
          <w:color w:val="595959" w:themeColor="text1" w:themeTint="A6"/>
        </w:rPr>
        <w:t>:1221–1232.</w:t>
      </w:r>
    </w:p>
    <w:p w14:paraId="45184858" w14:textId="77777777" w:rsidR="00396EB2" w:rsidRPr="001C27BF" w:rsidRDefault="00396EB2" w:rsidP="001C27BF">
      <w:pPr>
        <w:spacing w:line="360" w:lineRule="auto"/>
        <w:jc w:val="both"/>
        <w:rPr>
          <w:rFonts w:ascii="Arial" w:hAnsi="Arial" w:cs="Arial"/>
          <w:color w:val="595959" w:themeColor="text1" w:themeTint="A6"/>
        </w:rPr>
      </w:pPr>
      <w:r w:rsidRPr="001C27BF">
        <w:rPr>
          <w:rFonts w:ascii="Arial" w:hAnsi="Arial" w:cs="Arial"/>
          <w:color w:val="595959" w:themeColor="text1" w:themeTint="A6"/>
        </w:rPr>
        <w:t xml:space="preserve">COUGHLIN, M.F. Bielenberg, D.R. Lenormand, G. Marinkovic, M. Waghorne, C.G. Zetter, B.R. and Fredberg, J.J. (2013). ‘Cytoskeletal stiffness, friction, and Fluidity of cancer cell lines with different metastatic potential.’ </w:t>
      </w:r>
      <w:r w:rsidRPr="001C27BF">
        <w:rPr>
          <w:rFonts w:ascii="Arial" w:hAnsi="Arial" w:cs="Arial"/>
          <w:i/>
          <w:color w:val="595959" w:themeColor="text1" w:themeTint="A6"/>
        </w:rPr>
        <w:t>Clin Exp Metastisis</w:t>
      </w:r>
      <w:r w:rsidRPr="001C27BF">
        <w:rPr>
          <w:rFonts w:ascii="Arial" w:hAnsi="Arial" w:cs="Arial"/>
          <w:color w:val="595959" w:themeColor="text1" w:themeTint="A6"/>
        </w:rPr>
        <w:t xml:space="preserve">, </w:t>
      </w:r>
      <w:r w:rsidRPr="001C27BF">
        <w:rPr>
          <w:rFonts w:ascii="Arial" w:hAnsi="Arial" w:cs="Arial"/>
          <w:b/>
          <w:color w:val="595959" w:themeColor="text1" w:themeTint="A6"/>
        </w:rPr>
        <w:t>30</w:t>
      </w:r>
      <w:r w:rsidRPr="001C27BF">
        <w:rPr>
          <w:rFonts w:ascii="Arial" w:hAnsi="Arial" w:cs="Arial"/>
          <w:color w:val="595959" w:themeColor="text1" w:themeTint="A6"/>
        </w:rPr>
        <w:t xml:space="preserve">:237-250. </w:t>
      </w:r>
    </w:p>
    <w:p w14:paraId="4F9C41EB" w14:textId="3F398E74" w:rsidR="00396EB2" w:rsidRPr="001C27BF" w:rsidRDefault="00396EB2" w:rsidP="001C27BF">
      <w:pPr>
        <w:spacing w:line="360" w:lineRule="auto"/>
        <w:jc w:val="both"/>
        <w:rPr>
          <w:rFonts w:ascii="Arial" w:hAnsi="Arial" w:cs="Arial"/>
          <w:color w:val="595959" w:themeColor="text1" w:themeTint="A6"/>
          <w:lang w:val="de-DE"/>
        </w:rPr>
      </w:pPr>
      <w:r w:rsidRPr="001C27BF">
        <w:rPr>
          <w:rFonts w:ascii="Arial" w:hAnsi="Arial" w:cs="Arial"/>
          <w:color w:val="595959" w:themeColor="text1" w:themeTint="A6"/>
        </w:rPr>
        <w:t xml:space="preserve">COX, T.R and Erler, J.T. (2011). ‘Remodelling and homeostasis of the ECM; implications for fibrotic diseases and cancer.’ </w:t>
      </w:r>
      <w:r w:rsidRPr="001C27BF">
        <w:rPr>
          <w:rFonts w:ascii="Arial" w:hAnsi="Arial" w:cs="Arial"/>
          <w:i/>
          <w:color w:val="595959" w:themeColor="text1" w:themeTint="A6"/>
          <w:lang w:val="de-DE"/>
        </w:rPr>
        <w:t>Dis model Mech</w:t>
      </w:r>
      <w:r w:rsidRPr="001C27BF">
        <w:rPr>
          <w:rFonts w:ascii="Arial" w:hAnsi="Arial" w:cs="Arial"/>
          <w:color w:val="595959" w:themeColor="text1" w:themeTint="A6"/>
          <w:lang w:val="de-DE"/>
        </w:rPr>
        <w:t xml:space="preserve">; </w:t>
      </w:r>
      <w:r w:rsidRPr="001C27BF">
        <w:rPr>
          <w:rFonts w:ascii="Arial" w:hAnsi="Arial" w:cs="Arial"/>
          <w:b/>
          <w:color w:val="595959" w:themeColor="text1" w:themeTint="A6"/>
          <w:lang w:val="de-DE"/>
        </w:rPr>
        <w:t>4</w:t>
      </w:r>
      <w:r w:rsidR="00253FB7">
        <w:rPr>
          <w:rFonts w:ascii="Arial" w:hAnsi="Arial" w:cs="Arial"/>
          <w:b/>
          <w:color w:val="595959" w:themeColor="text1" w:themeTint="A6"/>
          <w:lang w:val="de-DE"/>
        </w:rPr>
        <w:t xml:space="preserve"> </w:t>
      </w:r>
      <w:r w:rsidRPr="001C27BF">
        <w:rPr>
          <w:rFonts w:ascii="Arial" w:hAnsi="Arial" w:cs="Arial"/>
          <w:color w:val="595959" w:themeColor="text1" w:themeTint="A6"/>
          <w:lang w:val="de-DE"/>
        </w:rPr>
        <w:t xml:space="preserve">(2); 165-178. </w:t>
      </w:r>
    </w:p>
    <w:p w14:paraId="3DAFD6F9" w14:textId="491E9A10" w:rsidR="005B7816" w:rsidRPr="001C27BF" w:rsidRDefault="00EF11A4" w:rsidP="001C27BF">
      <w:pPr>
        <w:spacing w:line="360" w:lineRule="auto"/>
        <w:jc w:val="both"/>
        <w:rPr>
          <w:rFonts w:ascii="Arial" w:hAnsi="Arial" w:cs="Arial"/>
          <w:color w:val="595959" w:themeColor="text1" w:themeTint="A6"/>
          <w:lang w:val="de-DE"/>
        </w:rPr>
      </w:pPr>
      <w:r w:rsidRPr="001C27BF">
        <w:rPr>
          <w:rFonts w:ascii="Arial" w:hAnsi="Arial" w:cs="Arial"/>
          <w:color w:val="595959" w:themeColor="text1" w:themeTint="A6"/>
        </w:rPr>
        <w:t>CurveAlign software</w:t>
      </w:r>
      <w:r w:rsidR="00B730B1" w:rsidRPr="001C27BF">
        <w:rPr>
          <w:rFonts w:ascii="Arial" w:hAnsi="Arial" w:cs="Arial"/>
          <w:color w:val="595959" w:themeColor="text1" w:themeTint="A6"/>
        </w:rPr>
        <w:t xml:space="preserve">, LOCI, version 4.0, 2017, </w:t>
      </w:r>
      <w:r w:rsidRPr="001C27BF">
        <w:rPr>
          <w:rFonts w:ascii="Arial" w:hAnsi="Arial" w:cs="Arial"/>
          <w:color w:val="595959" w:themeColor="text1" w:themeTint="A6"/>
        </w:rPr>
        <w:t>(</w:t>
      </w:r>
      <w:hyperlink r:id="rId191" w:tgtFrame="pmc_ext" w:history="1">
        <w:r w:rsidRPr="001C27BF">
          <w:rPr>
            <w:rStyle w:val="Hyperlink"/>
            <w:rFonts w:ascii="Arial" w:hAnsi="Arial" w:cs="Arial"/>
          </w:rPr>
          <w:t>http://loci.wisc.edu/software/curvealign</w:t>
        </w:r>
      </w:hyperlink>
      <w:r w:rsidRPr="001C27BF">
        <w:rPr>
          <w:rFonts w:ascii="Arial" w:hAnsi="Arial" w:cs="Arial"/>
          <w:color w:val="595959" w:themeColor="text1" w:themeTint="A6"/>
        </w:rPr>
        <w:t>)</w:t>
      </w:r>
      <w:r w:rsidR="00C05154" w:rsidRPr="001C27BF">
        <w:rPr>
          <w:rFonts w:ascii="Arial" w:hAnsi="Arial" w:cs="Arial"/>
          <w:color w:val="595959" w:themeColor="text1" w:themeTint="A6"/>
        </w:rPr>
        <w:t>.</w:t>
      </w:r>
    </w:p>
    <w:p w14:paraId="3899A811" w14:textId="77777777" w:rsidR="00396EB2" w:rsidRPr="001C27BF" w:rsidRDefault="00396EB2" w:rsidP="001C27BF">
      <w:pPr>
        <w:spacing w:line="360" w:lineRule="auto"/>
        <w:jc w:val="both"/>
        <w:rPr>
          <w:rFonts w:ascii="Arial" w:hAnsi="Arial" w:cs="Arial"/>
          <w:color w:val="595959" w:themeColor="text1" w:themeTint="A6"/>
        </w:rPr>
      </w:pPr>
      <w:r w:rsidRPr="001C27BF">
        <w:rPr>
          <w:rFonts w:ascii="Arial" w:hAnsi="Arial" w:cs="Arial"/>
          <w:color w:val="595959" w:themeColor="text1" w:themeTint="A6"/>
          <w:lang w:val="de-DE"/>
        </w:rPr>
        <w:t xml:space="preserve">DARBY, I. A., Laverdet, B., Bonte, F. &amp; Desmouliere, A. (2014). </w:t>
      </w:r>
      <w:r w:rsidRPr="001C27BF">
        <w:rPr>
          <w:rFonts w:ascii="Arial" w:hAnsi="Arial" w:cs="Arial"/>
          <w:color w:val="595959" w:themeColor="text1" w:themeTint="A6"/>
        </w:rPr>
        <w:t xml:space="preserve">‘Fibroblasts and myofibroblasts in wound healing’. </w:t>
      </w:r>
      <w:r w:rsidRPr="001C27BF">
        <w:rPr>
          <w:rFonts w:ascii="Arial" w:hAnsi="Arial" w:cs="Arial"/>
          <w:i/>
          <w:color w:val="595959" w:themeColor="text1" w:themeTint="A6"/>
        </w:rPr>
        <w:t>Clin. Cosmet. Investigat. Dermatol.</w:t>
      </w:r>
      <w:r w:rsidRPr="001C27BF">
        <w:rPr>
          <w:rFonts w:ascii="Arial" w:hAnsi="Arial" w:cs="Arial"/>
          <w:color w:val="595959" w:themeColor="text1" w:themeTint="A6"/>
        </w:rPr>
        <w:t xml:space="preserve"> </w:t>
      </w:r>
      <w:r w:rsidRPr="001C27BF">
        <w:rPr>
          <w:rFonts w:ascii="Arial" w:hAnsi="Arial" w:cs="Arial"/>
          <w:b/>
          <w:color w:val="595959" w:themeColor="text1" w:themeTint="A6"/>
        </w:rPr>
        <w:t>7</w:t>
      </w:r>
      <w:r w:rsidRPr="001C27BF">
        <w:rPr>
          <w:rFonts w:ascii="Arial" w:hAnsi="Arial" w:cs="Arial"/>
          <w:color w:val="595959" w:themeColor="text1" w:themeTint="A6"/>
        </w:rPr>
        <w:t>, 301–311.</w:t>
      </w:r>
    </w:p>
    <w:p w14:paraId="79D169E4" w14:textId="77777777" w:rsidR="00396EB2" w:rsidRPr="001C27BF" w:rsidRDefault="00396EB2" w:rsidP="001C27BF">
      <w:pPr>
        <w:spacing w:line="360" w:lineRule="auto"/>
        <w:jc w:val="both"/>
        <w:rPr>
          <w:rFonts w:ascii="Arial" w:hAnsi="Arial" w:cs="Arial"/>
          <w:color w:val="595959" w:themeColor="text1" w:themeTint="A6"/>
        </w:rPr>
      </w:pPr>
      <w:r w:rsidRPr="001C27BF">
        <w:rPr>
          <w:rFonts w:ascii="Arial" w:hAnsi="Arial" w:cs="Arial"/>
          <w:color w:val="595959" w:themeColor="text1" w:themeTint="A6"/>
        </w:rPr>
        <w:t xml:space="preserve">DAVID L, Dulong V, Le C.D, Chauzy C, Norris V, Delpech B, Lamacz M, Vannier J.P (2004). ‘Reticulated hyaluronan hydrogels: a model for examining cancer cell invasion in 3D’. </w:t>
      </w:r>
      <w:r w:rsidRPr="001C27BF">
        <w:rPr>
          <w:rFonts w:ascii="Arial" w:hAnsi="Arial" w:cs="Arial"/>
          <w:i/>
          <w:color w:val="595959" w:themeColor="text1" w:themeTint="A6"/>
        </w:rPr>
        <w:t>Matrix Biol</w:t>
      </w:r>
      <w:r w:rsidRPr="001C27BF">
        <w:rPr>
          <w:rFonts w:ascii="Arial" w:hAnsi="Arial" w:cs="Arial"/>
          <w:color w:val="595959" w:themeColor="text1" w:themeTint="A6"/>
        </w:rPr>
        <w:t xml:space="preserve"> </w:t>
      </w:r>
      <w:r w:rsidRPr="00A378ED">
        <w:rPr>
          <w:rFonts w:ascii="Arial" w:hAnsi="Arial" w:cs="Arial"/>
          <w:b/>
          <w:bCs/>
          <w:color w:val="595959" w:themeColor="text1" w:themeTint="A6"/>
        </w:rPr>
        <w:t>23</w:t>
      </w:r>
      <w:r w:rsidRPr="001C27BF">
        <w:rPr>
          <w:rFonts w:ascii="Arial" w:hAnsi="Arial" w:cs="Arial"/>
          <w:color w:val="595959" w:themeColor="text1" w:themeTint="A6"/>
        </w:rPr>
        <w:t>:183– 193.</w:t>
      </w:r>
    </w:p>
    <w:p w14:paraId="71D8483C" w14:textId="77777777" w:rsidR="00396EB2" w:rsidRPr="001C27BF" w:rsidRDefault="00396EB2" w:rsidP="001C27BF">
      <w:pPr>
        <w:spacing w:line="360" w:lineRule="auto"/>
        <w:jc w:val="both"/>
        <w:rPr>
          <w:rFonts w:ascii="Arial" w:hAnsi="Arial" w:cs="Arial"/>
          <w:color w:val="595959" w:themeColor="text1" w:themeTint="A6"/>
        </w:rPr>
      </w:pPr>
      <w:r w:rsidRPr="001C27BF">
        <w:rPr>
          <w:rFonts w:ascii="Arial" w:hAnsi="Arial" w:cs="Arial"/>
          <w:color w:val="595959" w:themeColor="text1" w:themeTint="A6"/>
        </w:rPr>
        <w:t xml:space="preserve">DE WEVER, O. Demetter, P. Mareel, M and Bracke, M. (2008). ‘Stromal myofibroblasts are drivers of invasive cancer growth.’ </w:t>
      </w:r>
      <w:r w:rsidRPr="001C27BF">
        <w:rPr>
          <w:rFonts w:ascii="Arial" w:hAnsi="Arial" w:cs="Arial"/>
          <w:i/>
          <w:color w:val="595959" w:themeColor="text1" w:themeTint="A6"/>
        </w:rPr>
        <w:t>Int .j. Cancer</w:t>
      </w:r>
      <w:r w:rsidRPr="001C27BF">
        <w:rPr>
          <w:rFonts w:ascii="Arial" w:hAnsi="Arial" w:cs="Arial"/>
          <w:color w:val="595959" w:themeColor="text1" w:themeTint="A6"/>
        </w:rPr>
        <w:t xml:space="preserve">: </w:t>
      </w:r>
      <w:r w:rsidRPr="001C27BF">
        <w:rPr>
          <w:rFonts w:ascii="Arial" w:hAnsi="Arial" w:cs="Arial"/>
          <w:b/>
          <w:color w:val="595959" w:themeColor="text1" w:themeTint="A6"/>
        </w:rPr>
        <w:t>123</w:t>
      </w:r>
      <w:r w:rsidRPr="001C27BF">
        <w:rPr>
          <w:rFonts w:ascii="Arial" w:hAnsi="Arial" w:cs="Arial"/>
          <w:color w:val="595959" w:themeColor="text1" w:themeTint="A6"/>
        </w:rPr>
        <w:t xml:space="preserve">, 2229-2238. </w:t>
      </w:r>
    </w:p>
    <w:p w14:paraId="1158221B" w14:textId="77777777" w:rsidR="00396EB2" w:rsidRPr="001C27BF" w:rsidRDefault="00396EB2" w:rsidP="001C27BF">
      <w:pPr>
        <w:spacing w:line="360" w:lineRule="auto"/>
        <w:jc w:val="both"/>
        <w:rPr>
          <w:rFonts w:ascii="Arial" w:hAnsi="Arial" w:cs="Arial"/>
          <w:color w:val="595959" w:themeColor="text1" w:themeTint="A6"/>
        </w:rPr>
      </w:pPr>
      <w:r w:rsidRPr="001C27BF">
        <w:rPr>
          <w:rFonts w:ascii="Arial" w:hAnsi="Arial" w:cs="Arial"/>
          <w:color w:val="595959" w:themeColor="text1" w:themeTint="A6"/>
        </w:rPr>
        <w:t xml:space="preserve">DEBELLE, L., and Alix, A.J. (1999). ‘The structures of elastins and their function’. </w:t>
      </w:r>
      <w:r w:rsidRPr="001C27BF">
        <w:rPr>
          <w:rFonts w:ascii="Arial" w:hAnsi="Arial" w:cs="Arial"/>
          <w:i/>
          <w:color w:val="595959" w:themeColor="text1" w:themeTint="A6"/>
        </w:rPr>
        <w:t>Biochimie</w:t>
      </w:r>
      <w:r w:rsidRPr="001C27BF">
        <w:rPr>
          <w:rFonts w:ascii="Arial" w:hAnsi="Arial" w:cs="Arial"/>
          <w:color w:val="595959" w:themeColor="text1" w:themeTint="A6"/>
        </w:rPr>
        <w:t xml:space="preserve"> </w:t>
      </w:r>
      <w:r w:rsidRPr="001C27BF">
        <w:rPr>
          <w:rFonts w:ascii="Arial" w:hAnsi="Arial" w:cs="Arial"/>
          <w:b/>
          <w:color w:val="595959" w:themeColor="text1" w:themeTint="A6"/>
        </w:rPr>
        <w:t>81</w:t>
      </w:r>
      <w:r w:rsidRPr="001C27BF">
        <w:rPr>
          <w:rFonts w:ascii="Arial" w:hAnsi="Arial" w:cs="Arial"/>
          <w:color w:val="595959" w:themeColor="text1" w:themeTint="A6"/>
        </w:rPr>
        <w:t>, 981-994.</w:t>
      </w:r>
    </w:p>
    <w:p w14:paraId="7D212678" w14:textId="77777777" w:rsidR="00396EB2" w:rsidRPr="001C27BF" w:rsidRDefault="00396EB2" w:rsidP="001C27BF">
      <w:pPr>
        <w:spacing w:line="360" w:lineRule="auto"/>
        <w:jc w:val="both"/>
        <w:rPr>
          <w:rFonts w:ascii="Arial" w:hAnsi="Arial" w:cs="Arial"/>
          <w:color w:val="595959" w:themeColor="text1" w:themeTint="A6"/>
        </w:rPr>
      </w:pPr>
      <w:r w:rsidRPr="001C27BF">
        <w:rPr>
          <w:rFonts w:ascii="Arial" w:hAnsi="Arial" w:cs="Arial"/>
          <w:color w:val="595959" w:themeColor="text1" w:themeTint="A6"/>
        </w:rPr>
        <w:t xml:space="preserve">DESMOULIERЀ, A., Guyot, C. and Gabbiani, G. (2004). ‘The Stroma reaction myofibroblast: a key player in the control of tumour cell behaviour.’ </w:t>
      </w:r>
      <w:r w:rsidRPr="001C27BF">
        <w:rPr>
          <w:rFonts w:ascii="Arial" w:hAnsi="Arial" w:cs="Arial"/>
          <w:i/>
          <w:color w:val="595959" w:themeColor="text1" w:themeTint="A6"/>
        </w:rPr>
        <w:t>Int. J. Dev. Biol</w:t>
      </w:r>
      <w:r w:rsidRPr="001C27BF">
        <w:rPr>
          <w:rFonts w:ascii="Arial" w:hAnsi="Arial" w:cs="Arial"/>
          <w:color w:val="595959" w:themeColor="text1" w:themeTint="A6"/>
        </w:rPr>
        <w:t>, (</w:t>
      </w:r>
      <w:r w:rsidRPr="001C27BF">
        <w:rPr>
          <w:rFonts w:ascii="Arial" w:hAnsi="Arial" w:cs="Arial"/>
          <w:b/>
          <w:color w:val="595959" w:themeColor="text1" w:themeTint="A6"/>
        </w:rPr>
        <w:t>48</w:t>
      </w:r>
      <w:r w:rsidRPr="001C27BF">
        <w:rPr>
          <w:rFonts w:ascii="Arial" w:hAnsi="Arial" w:cs="Arial"/>
          <w:color w:val="595959" w:themeColor="text1" w:themeTint="A6"/>
        </w:rPr>
        <w:t xml:space="preserve">), 509-517. </w:t>
      </w:r>
    </w:p>
    <w:p w14:paraId="7BCDC06D" w14:textId="760CE57F" w:rsidR="00396EB2" w:rsidRPr="001C27BF" w:rsidRDefault="00396EB2" w:rsidP="001C27BF">
      <w:pPr>
        <w:spacing w:line="360" w:lineRule="auto"/>
        <w:jc w:val="both"/>
        <w:rPr>
          <w:rFonts w:ascii="Arial" w:hAnsi="Arial" w:cs="Arial"/>
          <w:color w:val="595959" w:themeColor="text1" w:themeTint="A6"/>
        </w:rPr>
      </w:pPr>
      <w:r w:rsidRPr="001C27BF">
        <w:rPr>
          <w:rFonts w:ascii="Arial" w:hAnsi="Arial" w:cs="Arial"/>
          <w:color w:val="595959" w:themeColor="text1" w:themeTint="A6"/>
        </w:rPr>
        <w:t xml:space="preserve">DESMOULIERЀ, A., Guyot, C., Gabbiani, F., and Gabbiani, G. (1993). ‘Transforming Growth Factor-β Induces α-Smooth Muscle Actin Expression in Granulation Tissue Myofibroblasts and in Quiescent and Growing Cultured Fibroblasts’. </w:t>
      </w:r>
      <w:r w:rsidRPr="001C27BF">
        <w:rPr>
          <w:rFonts w:ascii="Arial" w:hAnsi="Arial" w:cs="Arial"/>
          <w:i/>
          <w:color w:val="595959" w:themeColor="text1" w:themeTint="A6"/>
        </w:rPr>
        <w:t>Journal of Cell Biology</w:t>
      </w:r>
      <w:r w:rsidRPr="001C27BF">
        <w:rPr>
          <w:rFonts w:ascii="Arial" w:hAnsi="Arial" w:cs="Arial"/>
          <w:color w:val="595959" w:themeColor="text1" w:themeTint="A6"/>
        </w:rPr>
        <w:t xml:space="preserve">; </w:t>
      </w:r>
      <w:r w:rsidRPr="001C27BF">
        <w:rPr>
          <w:rFonts w:ascii="Arial" w:hAnsi="Arial" w:cs="Arial"/>
          <w:b/>
          <w:color w:val="595959" w:themeColor="text1" w:themeTint="A6"/>
        </w:rPr>
        <w:t>122</w:t>
      </w:r>
      <w:r w:rsidR="00A378ED">
        <w:rPr>
          <w:rFonts w:ascii="Arial" w:hAnsi="Arial" w:cs="Arial"/>
          <w:b/>
          <w:color w:val="595959" w:themeColor="text1" w:themeTint="A6"/>
        </w:rPr>
        <w:t xml:space="preserve"> </w:t>
      </w:r>
      <w:r w:rsidRPr="001C27BF">
        <w:rPr>
          <w:rFonts w:ascii="Arial" w:hAnsi="Arial" w:cs="Arial"/>
          <w:color w:val="595959" w:themeColor="text1" w:themeTint="A6"/>
        </w:rPr>
        <w:t xml:space="preserve">(1); 103-111. </w:t>
      </w:r>
    </w:p>
    <w:p w14:paraId="1F5C1919" w14:textId="46C1947E" w:rsidR="00396EB2" w:rsidRPr="001C27BF" w:rsidRDefault="007B378B" w:rsidP="001C27BF">
      <w:pPr>
        <w:spacing w:line="360" w:lineRule="auto"/>
        <w:jc w:val="both"/>
        <w:rPr>
          <w:rFonts w:ascii="Arial" w:hAnsi="Arial" w:cs="Arial"/>
          <w:b/>
          <w:color w:val="595959" w:themeColor="text1" w:themeTint="A6"/>
          <w:shd w:val="clear" w:color="auto" w:fill="FFFFFF"/>
        </w:rPr>
      </w:pPr>
      <w:hyperlink r:id="rId192" w:history="1">
        <w:bookmarkStart w:id="515" w:name="_Toc20423974"/>
        <w:bookmarkStart w:id="516" w:name="_Toc20427593"/>
        <w:bookmarkStart w:id="517" w:name="_Toc20563912"/>
        <w:r w:rsidR="00396EB2" w:rsidRPr="001C27BF">
          <w:rPr>
            <w:rStyle w:val="Hyperlink"/>
            <w:rFonts w:ascii="Arial" w:hAnsi="Arial" w:cs="Arial"/>
            <w:color w:val="595959" w:themeColor="text1" w:themeTint="A6"/>
            <w:u w:val="none"/>
            <w:shd w:val="clear" w:color="auto" w:fill="FFFFFF"/>
            <w:lang w:val="de-DE"/>
          </w:rPr>
          <w:t>DISCHER D.E</w:t>
        </w:r>
      </w:hyperlink>
      <w:r w:rsidR="00396EB2" w:rsidRPr="001C27BF">
        <w:rPr>
          <w:rFonts w:ascii="Arial" w:hAnsi="Arial" w:cs="Arial"/>
          <w:color w:val="595959" w:themeColor="text1" w:themeTint="A6"/>
          <w:lang w:val="de-DE"/>
        </w:rPr>
        <w:t>.</w:t>
      </w:r>
      <w:r w:rsidR="00396EB2" w:rsidRPr="001C27BF">
        <w:rPr>
          <w:rFonts w:ascii="Arial" w:hAnsi="Arial" w:cs="Arial"/>
          <w:color w:val="595959" w:themeColor="text1" w:themeTint="A6"/>
          <w:shd w:val="clear" w:color="auto" w:fill="FFFFFF"/>
          <w:lang w:val="de-DE"/>
        </w:rPr>
        <w:t>,</w:t>
      </w:r>
      <w:r w:rsidR="00396EB2" w:rsidRPr="001C27BF">
        <w:rPr>
          <w:rStyle w:val="apple-converted-space"/>
          <w:rFonts w:ascii="Arial" w:hAnsi="Arial" w:cs="Arial"/>
          <w:color w:val="595959" w:themeColor="text1" w:themeTint="A6"/>
          <w:shd w:val="clear" w:color="auto" w:fill="FFFFFF"/>
          <w:lang w:val="de-DE"/>
        </w:rPr>
        <w:t> </w:t>
      </w:r>
      <w:hyperlink r:id="rId193" w:history="1">
        <w:r w:rsidR="00396EB2" w:rsidRPr="001C27BF">
          <w:rPr>
            <w:rStyle w:val="Hyperlink"/>
            <w:rFonts w:ascii="Arial" w:hAnsi="Arial" w:cs="Arial"/>
            <w:color w:val="595959" w:themeColor="text1" w:themeTint="A6"/>
            <w:u w:val="none"/>
            <w:shd w:val="clear" w:color="auto" w:fill="FFFFFF"/>
            <w:lang w:val="de-DE"/>
          </w:rPr>
          <w:t>Janmey P</w:t>
        </w:r>
      </w:hyperlink>
      <w:r w:rsidR="00396EB2" w:rsidRPr="001C27BF">
        <w:rPr>
          <w:rFonts w:ascii="Arial" w:hAnsi="Arial" w:cs="Arial"/>
          <w:color w:val="595959" w:themeColor="text1" w:themeTint="A6"/>
          <w:lang w:val="de-DE"/>
        </w:rPr>
        <w:t>.</w:t>
      </w:r>
      <w:r w:rsidR="00396EB2" w:rsidRPr="001C27BF">
        <w:rPr>
          <w:rFonts w:ascii="Arial" w:hAnsi="Arial" w:cs="Arial"/>
          <w:color w:val="595959" w:themeColor="text1" w:themeTint="A6"/>
          <w:shd w:val="clear" w:color="auto" w:fill="FFFFFF"/>
          <w:lang w:val="de-DE"/>
        </w:rPr>
        <w:t xml:space="preserve">, and </w:t>
      </w:r>
      <w:hyperlink r:id="rId194" w:history="1">
        <w:r w:rsidR="00396EB2" w:rsidRPr="001C27BF">
          <w:rPr>
            <w:rStyle w:val="Hyperlink"/>
            <w:rFonts w:ascii="Arial" w:hAnsi="Arial" w:cs="Arial"/>
            <w:color w:val="595959" w:themeColor="text1" w:themeTint="A6"/>
            <w:u w:val="none"/>
            <w:shd w:val="clear" w:color="auto" w:fill="FFFFFF"/>
            <w:lang w:val="de-DE"/>
          </w:rPr>
          <w:t>Wang, Y.L</w:t>
        </w:r>
      </w:hyperlink>
      <w:r w:rsidR="00396EB2" w:rsidRPr="001C27BF">
        <w:rPr>
          <w:rFonts w:ascii="Arial" w:hAnsi="Arial" w:cs="Arial"/>
          <w:color w:val="595959" w:themeColor="text1" w:themeTint="A6"/>
          <w:shd w:val="clear" w:color="auto" w:fill="FFFFFF"/>
          <w:lang w:val="de-DE"/>
        </w:rPr>
        <w:t xml:space="preserve">. (2005). </w:t>
      </w:r>
      <w:r w:rsidR="00396EB2" w:rsidRPr="001C27BF">
        <w:rPr>
          <w:rFonts w:ascii="Arial" w:hAnsi="Arial" w:cs="Arial"/>
          <w:color w:val="595959" w:themeColor="text1" w:themeTint="A6"/>
          <w:shd w:val="clear" w:color="auto" w:fill="FFFFFF"/>
        </w:rPr>
        <w:t>‘</w:t>
      </w:r>
      <w:r w:rsidR="00396EB2" w:rsidRPr="001C27BF">
        <w:rPr>
          <w:rFonts w:ascii="Arial" w:eastAsia="Times New Roman" w:hAnsi="Arial" w:cs="Arial"/>
          <w:color w:val="595959" w:themeColor="text1" w:themeTint="A6"/>
          <w:kern w:val="36"/>
          <w:lang w:eastAsia="en-GB"/>
        </w:rPr>
        <w:t>Tissue cells feel and respond to the stiffness of their substrate.’</w:t>
      </w:r>
      <w:r w:rsidR="00396EB2" w:rsidRPr="001C27BF">
        <w:rPr>
          <w:rFonts w:ascii="Arial" w:eastAsia="Times New Roman" w:hAnsi="Arial" w:cs="Arial"/>
          <w:i/>
          <w:color w:val="595959" w:themeColor="text1" w:themeTint="A6"/>
          <w:kern w:val="36"/>
          <w:lang w:eastAsia="en-GB"/>
        </w:rPr>
        <w:t xml:space="preserve"> </w:t>
      </w:r>
      <w:hyperlink r:id="rId195" w:tooltip="Science (New York, N.Y.)." w:history="1">
        <w:r w:rsidR="00396EB2" w:rsidRPr="001C27BF">
          <w:rPr>
            <w:rStyle w:val="Hyperlink"/>
            <w:rFonts w:ascii="Arial" w:hAnsi="Arial" w:cs="Arial"/>
            <w:i/>
            <w:color w:val="595959" w:themeColor="text1" w:themeTint="A6"/>
            <w:u w:val="none"/>
            <w:shd w:val="clear" w:color="auto" w:fill="FFFFFF"/>
          </w:rPr>
          <w:t>Science.</w:t>
        </w:r>
      </w:hyperlink>
      <w:r w:rsidR="00F260B9" w:rsidRPr="001C27BF">
        <w:rPr>
          <w:rStyle w:val="Hyperlink"/>
          <w:rFonts w:ascii="Arial" w:hAnsi="Arial" w:cs="Arial"/>
          <w:i/>
          <w:color w:val="595959" w:themeColor="text1" w:themeTint="A6"/>
          <w:u w:val="none"/>
          <w:shd w:val="clear" w:color="auto" w:fill="FFFFFF"/>
        </w:rPr>
        <w:t xml:space="preserve"> </w:t>
      </w:r>
      <w:r w:rsidR="00396EB2" w:rsidRPr="001C27BF">
        <w:rPr>
          <w:rFonts w:ascii="Arial" w:hAnsi="Arial" w:cs="Arial"/>
          <w:b/>
          <w:bCs/>
          <w:color w:val="595959" w:themeColor="text1" w:themeTint="A6"/>
          <w:shd w:val="clear" w:color="auto" w:fill="FFFFFF"/>
        </w:rPr>
        <w:t>310</w:t>
      </w:r>
      <w:r w:rsidR="00396EB2" w:rsidRPr="001C27BF">
        <w:rPr>
          <w:rFonts w:ascii="Arial" w:hAnsi="Arial" w:cs="Arial"/>
          <w:color w:val="595959" w:themeColor="text1" w:themeTint="A6"/>
          <w:shd w:val="clear" w:color="auto" w:fill="FFFFFF"/>
        </w:rPr>
        <w:t xml:space="preserve"> (5751):1139-43.</w:t>
      </w:r>
      <w:bookmarkEnd w:id="515"/>
      <w:bookmarkEnd w:id="516"/>
      <w:bookmarkEnd w:id="517"/>
    </w:p>
    <w:p w14:paraId="2B3BA588" w14:textId="77777777" w:rsidR="00396EB2" w:rsidRPr="001C27BF" w:rsidRDefault="00396EB2" w:rsidP="001C27BF">
      <w:pPr>
        <w:spacing w:line="360" w:lineRule="auto"/>
        <w:jc w:val="both"/>
        <w:rPr>
          <w:rFonts w:ascii="Arial" w:hAnsi="Arial" w:cs="Arial"/>
          <w:color w:val="595959" w:themeColor="text1" w:themeTint="A6"/>
        </w:rPr>
      </w:pPr>
      <w:r w:rsidRPr="001C27BF">
        <w:rPr>
          <w:rFonts w:ascii="Arial" w:hAnsi="Arial" w:cs="Arial"/>
          <w:color w:val="595959" w:themeColor="text1" w:themeTint="A6"/>
        </w:rPr>
        <w:t xml:space="preserve">DVORAK, H.F. (2015). ‘Tumours; wounds that do not heal- redux.’ </w:t>
      </w:r>
      <w:r w:rsidRPr="001C27BF">
        <w:rPr>
          <w:rFonts w:ascii="Arial" w:hAnsi="Arial" w:cs="Arial"/>
          <w:i/>
          <w:color w:val="595959" w:themeColor="text1" w:themeTint="A6"/>
        </w:rPr>
        <w:t>Cancer immunol Res</w:t>
      </w:r>
      <w:r w:rsidRPr="001C27BF">
        <w:rPr>
          <w:rFonts w:ascii="Arial" w:hAnsi="Arial" w:cs="Arial"/>
          <w:color w:val="595959" w:themeColor="text1" w:themeTint="A6"/>
        </w:rPr>
        <w:t xml:space="preserve">; </w:t>
      </w:r>
      <w:r w:rsidRPr="001C27BF">
        <w:rPr>
          <w:rFonts w:ascii="Arial" w:hAnsi="Arial" w:cs="Arial"/>
          <w:b/>
          <w:color w:val="595959" w:themeColor="text1" w:themeTint="A6"/>
        </w:rPr>
        <w:t>3</w:t>
      </w:r>
      <w:r w:rsidRPr="001C27BF">
        <w:rPr>
          <w:rFonts w:ascii="Arial" w:hAnsi="Arial" w:cs="Arial"/>
          <w:color w:val="595959" w:themeColor="text1" w:themeTint="A6"/>
        </w:rPr>
        <w:t xml:space="preserve">; 1-11. </w:t>
      </w:r>
    </w:p>
    <w:p w14:paraId="2A4A16E4" w14:textId="77777777" w:rsidR="00396EB2" w:rsidRPr="001C27BF" w:rsidRDefault="00396EB2" w:rsidP="001C27BF">
      <w:pPr>
        <w:spacing w:line="360" w:lineRule="auto"/>
        <w:jc w:val="both"/>
        <w:rPr>
          <w:rFonts w:ascii="Arial" w:hAnsi="Arial" w:cs="Arial"/>
          <w:color w:val="595959" w:themeColor="text1" w:themeTint="A6"/>
        </w:rPr>
      </w:pPr>
      <w:r w:rsidRPr="001C27BF">
        <w:rPr>
          <w:rFonts w:ascii="Arial" w:hAnsi="Arial" w:cs="Arial"/>
          <w:color w:val="595959" w:themeColor="text1" w:themeTint="A6"/>
        </w:rPr>
        <w:t xml:space="preserve">DVORAK, H. F. (1986). ‘Tumours: wounds that do not heal. Similarities between tumour stroma generation and wound healing’. </w:t>
      </w:r>
      <w:r w:rsidRPr="001C27BF">
        <w:rPr>
          <w:rFonts w:ascii="Arial" w:hAnsi="Arial" w:cs="Arial"/>
          <w:i/>
          <w:color w:val="595959" w:themeColor="text1" w:themeTint="A6"/>
        </w:rPr>
        <w:t>N. Engl. J. Med</w:t>
      </w:r>
      <w:r w:rsidRPr="001C27BF">
        <w:rPr>
          <w:rFonts w:ascii="Arial" w:hAnsi="Arial" w:cs="Arial"/>
          <w:color w:val="595959" w:themeColor="text1" w:themeTint="A6"/>
        </w:rPr>
        <w:t xml:space="preserve">. </w:t>
      </w:r>
      <w:r w:rsidRPr="001C27BF">
        <w:rPr>
          <w:rFonts w:ascii="Arial" w:hAnsi="Arial" w:cs="Arial"/>
          <w:b/>
          <w:color w:val="595959" w:themeColor="text1" w:themeTint="A6"/>
        </w:rPr>
        <w:t>315</w:t>
      </w:r>
      <w:r w:rsidRPr="001C27BF">
        <w:rPr>
          <w:rFonts w:ascii="Arial" w:hAnsi="Arial" w:cs="Arial"/>
          <w:color w:val="595959" w:themeColor="text1" w:themeTint="A6"/>
        </w:rPr>
        <w:t>, 1650–1659.</w:t>
      </w:r>
    </w:p>
    <w:p w14:paraId="775D036A" w14:textId="2BB424AD" w:rsidR="00396EB2" w:rsidRPr="001C27BF" w:rsidRDefault="00396EB2" w:rsidP="001C27BF">
      <w:pPr>
        <w:spacing w:line="360" w:lineRule="auto"/>
        <w:jc w:val="both"/>
        <w:rPr>
          <w:rFonts w:ascii="Arial" w:hAnsi="Arial" w:cs="Arial"/>
          <w:color w:val="595959" w:themeColor="text1" w:themeTint="A6"/>
        </w:rPr>
      </w:pPr>
      <w:r w:rsidRPr="001C27BF">
        <w:rPr>
          <w:rFonts w:ascii="Arial" w:hAnsi="Arial" w:cs="Arial"/>
          <w:color w:val="595959" w:themeColor="text1" w:themeTint="A6"/>
        </w:rPr>
        <w:t xml:space="preserve">EKERT, J.E., Johnson, K., Strake, B., Pardinas, J., Jarantow, S., Perkinson, R. and Colter, D.C. (2014). ‘Three-dimensional lung tumor microenvironment modulates therapeutic compound responsiveness in vitro–implication for drug development’. </w:t>
      </w:r>
      <w:r w:rsidRPr="001C27BF">
        <w:rPr>
          <w:rFonts w:ascii="Arial" w:hAnsi="Arial" w:cs="Arial"/>
          <w:i/>
          <w:iCs/>
          <w:color w:val="595959" w:themeColor="text1" w:themeTint="A6"/>
        </w:rPr>
        <w:t>PLoS ONE</w:t>
      </w:r>
      <w:r w:rsidRPr="001C27BF">
        <w:rPr>
          <w:rFonts w:ascii="Arial" w:hAnsi="Arial" w:cs="Arial"/>
          <w:color w:val="595959" w:themeColor="text1" w:themeTint="A6"/>
        </w:rPr>
        <w:t xml:space="preserve"> </w:t>
      </w:r>
      <w:r w:rsidRPr="001C27BF">
        <w:rPr>
          <w:rFonts w:ascii="Arial" w:hAnsi="Arial" w:cs="Arial"/>
          <w:b/>
          <w:bCs/>
          <w:color w:val="595959" w:themeColor="text1" w:themeTint="A6"/>
        </w:rPr>
        <w:t>9</w:t>
      </w:r>
      <w:r w:rsidRPr="001C27BF">
        <w:rPr>
          <w:rFonts w:ascii="Arial" w:hAnsi="Arial" w:cs="Arial"/>
          <w:color w:val="595959" w:themeColor="text1" w:themeTint="A6"/>
        </w:rPr>
        <w:t>, e92248.</w:t>
      </w:r>
    </w:p>
    <w:p w14:paraId="4658EA80" w14:textId="77777777" w:rsidR="00396EB2" w:rsidRPr="001C27BF" w:rsidRDefault="00396EB2" w:rsidP="001C27BF">
      <w:pPr>
        <w:spacing w:line="360" w:lineRule="auto"/>
        <w:jc w:val="both"/>
        <w:rPr>
          <w:rFonts w:ascii="Arial" w:hAnsi="Arial" w:cs="Arial"/>
          <w:color w:val="595959" w:themeColor="text1" w:themeTint="A6"/>
        </w:rPr>
      </w:pPr>
      <w:r w:rsidRPr="001C27BF">
        <w:rPr>
          <w:rFonts w:ascii="Arial" w:hAnsi="Arial" w:cs="Arial"/>
          <w:color w:val="595959" w:themeColor="text1" w:themeTint="A6"/>
        </w:rPr>
        <w:t>EL GHALBZOURI, A. Commandeur, S.  Reietveld, M.H. Mulder, A.A. Willemze, R.  (2009). ‘Replacement of animal-derived collagen matrix by human fibroblast-derived dermal matrix for human skin equivalent products.’</w:t>
      </w:r>
      <w:r w:rsidRPr="001C27BF">
        <w:rPr>
          <w:rFonts w:ascii="Arial" w:hAnsi="Arial" w:cs="Arial"/>
          <w:i/>
          <w:color w:val="595959" w:themeColor="text1" w:themeTint="A6"/>
        </w:rPr>
        <w:t xml:space="preserve"> Biomaterials</w:t>
      </w:r>
      <w:r w:rsidRPr="001C27BF">
        <w:rPr>
          <w:rFonts w:ascii="Arial" w:hAnsi="Arial" w:cs="Arial"/>
          <w:color w:val="595959" w:themeColor="text1" w:themeTint="A6"/>
        </w:rPr>
        <w:t>, (</w:t>
      </w:r>
      <w:r w:rsidRPr="001C27BF">
        <w:rPr>
          <w:rFonts w:ascii="Arial" w:hAnsi="Arial" w:cs="Arial"/>
          <w:b/>
          <w:color w:val="595959" w:themeColor="text1" w:themeTint="A6"/>
        </w:rPr>
        <w:t>30</w:t>
      </w:r>
      <w:r w:rsidRPr="001C27BF">
        <w:rPr>
          <w:rFonts w:ascii="Arial" w:hAnsi="Arial" w:cs="Arial"/>
          <w:color w:val="595959" w:themeColor="text1" w:themeTint="A6"/>
        </w:rPr>
        <w:t xml:space="preserve">), 71-78. </w:t>
      </w:r>
    </w:p>
    <w:p w14:paraId="5C29070A" w14:textId="77777777" w:rsidR="00396EB2" w:rsidRPr="001C27BF" w:rsidRDefault="00396EB2" w:rsidP="001C27BF">
      <w:pPr>
        <w:spacing w:line="360" w:lineRule="auto"/>
        <w:jc w:val="both"/>
        <w:rPr>
          <w:rFonts w:ascii="Arial" w:hAnsi="Arial" w:cs="Arial"/>
          <w:color w:val="595959" w:themeColor="text1" w:themeTint="A6"/>
        </w:rPr>
      </w:pPr>
      <w:r w:rsidRPr="001C27BF">
        <w:rPr>
          <w:rFonts w:ascii="Arial" w:hAnsi="Arial" w:cs="Arial"/>
          <w:color w:val="595959" w:themeColor="text1" w:themeTint="A6"/>
        </w:rPr>
        <w:t xml:space="preserve">ELSTROM R.L, Bauer D.E, Buzzai M, Karnauskas R, Harris M.H, Plas D.R, Zhuang H, Cinalli R.M, Alavi A, Rudin C.M. (2004) ‘Akt stimulates aerobic glycolysis in cancer cells’. </w:t>
      </w:r>
      <w:r w:rsidRPr="001C27BF">
        <w:rPr>
          <w:rFonts w:ascii="Arial" w:hAnsi="Arial" w:cs="Arial"/>
          <w:i/>
          <w:color w:val="595959" w:themeColor="text1" w:themeTint="A6"/>
        </w:rPr>
        <w:t>Cancer Res</w:t>
      </w:r>
      <w:r w:rsidRPr="001C27BF">
        <w:rPr>
          <w:rFonts w:ascii="Arial" w:hAnsi="Arial" w:cs="Arial"/>
          <w:color w:val="595959" w:themeColor="text1" w:themeTint="A6"/>
        </w:rPr>
        <w:t xml:space="preserve"> </w:t>
      </w:r>
      <w:r w:rsidRPr="001C27BF">
        <w:rPr>
          <w:rFonts w:ascii="Arial" w:hAnsi="Arial" w:cs="Arial"/>
          <w:b/>
          <w:color w:val="595959" w:themeColor="text1" w:themeTint="A6"/>
        </w:rPr>
        <w:t>64</w:t>
      </w:r>
      <w:r w:rsidRPr="001C27BF">
        <w:rPr>
          <w:rFonts w:ascii="Arial" w:hAnsi="Arial" w:cs="Arial"/>
          <w:color w:val="595959" w:themeColor="text1" w:themeTint="A6"/>
        </w:rPr>
        <w:t>: 3892–3899.</w:t>
      </w:r>
    </w:p>
    <w:p w14:paraId="2D0002F8" w14:textId="77777777" w:rsidR="00396EB2" w:rsidRPr="001C27BF" w:rsidRDefault="00396EB2" w:rsidP="001C27BF">
      <w:pPr>
        <w:spacing w:line="360" w:lineRule="auto"/>
        <w:jc w:val="both"/>
        <w:rPr>
          <w:rFonts w:ascii="Arial" w:hAnsi="Arial" w:cs="Arial"/>
          <w:color w:val="595959" w:themeColor="text1" w:themeTint="A6"/>
        </w:rPr>
      </w:pPr>
      <w:r w:rsidRPr="001C27BF">
        <w:rPr>
          <w:rFonts w:ascii="Arial" w:hAnsi="Arial" w:cs="Arial"/>
          <w:color w:val="595959" w:themeColor="text1" w:themeTint="A6"/>
        </w:rPr>
        <w:t>FISCHBACH C, Chen R, Matsumoto T, Schmelzle T, Brugge J.S, Polverini P.J and Mooney D.J. (2007). ‘</w:t>
      </w:r>
      <w:bookmarkStart w:id="518" w:name="_Hlk18423265"/>
      <w:r w:rsidRPr="001C27BF">
        <w:rPr>
          <w:rFonts w:ascii="Arial" w:hAnsi="Arial" w:cs="Arial"/>
          <w:color w:val="595959" w:themeColor="text1" w:themeTint="A6"/>
        </w:rPr>
        <w:t>Engineering tumours with 3D scaffolds</w:t>
      </w:r>
      <w:bookmarkEnd w:id="518"/>
      <w:r w:rsidRPr="001C27BF">
        <w:rPr>
          <w:rFonts w:ascii="Arial" w:hAnsi="Arial" w:cs="Arial"/>
          <w:color w:val="595959" w:themeColor="text1" w:themeTint="A6"/>
        </w:rPr>
        <w:t xml:space="preserve">.’ </w:t>
      </w:r>
      <w:r w:rsidRPr="001C27BF">
        <w:rPr>
          <w:rFonts w:ascii="Arial" w:hAnsi="Arial" w:cs="Arial"/>
          <w:i/>
          <w:iCs/>
          <w:color w:val="595959" w:themeColor="text1" w:themeTint="A6"/>
        </w:rPr>
        <w:t>Nature methods</w:t>
      </w:r>
      <w:r w:rsidRPr="001C27BF">
        <w:rPr>
          <w:rFonts w:ascii="Arial" w:hAnsi="Arial" w:cs="Arial"/>
          <w:color w:val="595959" w:themeColor="text1" w:themeTint="A6"/>
        </w:rPr>
        <w:t xml:space="preserve"> </w:t>
      </w:r>
      <w:r w:rsidRPr="001C27BF">
        <w:rPr>
          <w:rFonts w:ascii="Arial" w:hAnsi="Arial" w:cs="Arial"/>
          <w:b/>
          <w:bCs/>
          <w:color w:val="595959" w:themeColor="text1" w:themeTint="A6"/>
        </w:rPr>
        <w:t>4</w:t>
      </w:r>
      <w:r w:rsidRPr="001C27BF">
        <w:rPr>
          <w:rFonts w:ascii="Arial" w:hAnsi="Arial" w:cs="Arial"/>
          <w:color w:val="595959" w:themeColor="text1" w:themeTint="A6"/>
        </w:rPr>
        <w:t xml:space="preserve">, 855-860. </w:t>
      </w:r>
    </w:p>
    <w:p w14:paraId="747EB2FE" w14:textId="77777777" w:rsidR="00396EB2" w:rsidRPr="001C27BF" w:rsidRDefault="00396EB2" w:rsidP="001C27BF">
      <w:pPr>
        <w:spacing w:line="360" w:lineRule="auto"/>
        <w:jc w:val="both"/>
        <w:rPr>
          <w:rFonts w:ascii="Arial" w:hAnsi="Arial" w:cs="Arial"/>
          <w:color w:val="595959" w:themeColor="text1" w:themeTint="A6"/>
        </w:rPr>
      </w:pPr>
      <w:r w:rsidRPr="001C27BF">
        <w:rPr>
          <w:rFonts w:ascii="Arial" w:hAnsi="Arial" w:cs="Arial"/>
          <w:iCs/>
          <w:color w:val="595959" w:themeColor="text1" w:themeTint="A6"/>
        </w:rPr>
        <w:t xml:space="preserve">FONG, E. L., Wan, X., and Yang, J. (2016). ‘A 3D in vitro Model of patient-derived prostate Cancer xenograft for controlled interrogation of in vivo tumour-stromal interactions’. </w:t>
      </w:r>
      <w:r w:rsidRPr="001C27BF">
        <w:rPr>
          <w:rFonts w:ascii="Arial" w:hAnsi="Arial" w:cs="Arial"/>
          <w:i/>
          <w:color w:val="595959" w:themeColor="text1" w:themeTint="A6"/>
        </w:rPr>
        <w:t>Biomaterials </w:t>
      </w:r>
      <w:r w:rsidRPr="001C27BF">
        <w:rPr>
          <w:rFonts w:ascii="Arial" w:hAnsi="Arial" w:cs="Arial"/>
          <w:b/>
          <w:bCs/>
          <w:iCs/>
          <w:color w:val="595959" w:themeColor="text1" w:themeTint="A6"/>
        </w:rPr>
        <w:t>77</w:t>
      </w:r>
      <w:r w:rsidRPr="001C27BF">
        <w:rPr>
          <w:rFonts w:ascii="Arial" w:hAnsi="Arial" w:cs="Arial"/>
          <w:iCs/>
          <w:color w:val="595959" w:themeColor="text1" w:themeTint="A6"/>
        </w:rPr>
        <w:t>, 164–172. </w:t>
      </w:r>
    </w:p>
    <w:p w14:paraId="3BA59E61" w14:textId="38EFB945" w:rsidR="00396EB2" w:rsidRPr="001C27BF" w:rsidRDefault="00396EB2" w:rsidP="001C27BF">
      <w:pPr>
        <w:spacing w:line="360" w:lineRule="auto"/>
        <w:jc w:val="both"/>
        <w:rPr>
          <w:rFonts w:ascii="Arial" w:hAnsi="Arial" w:cs="Arial"/>
          <w:color w:val="595959" w:themeColor="text1" w:themeTint="A6"/>
        </w:rPr>
      </w:pPr>
      <w:r w:rsidRPr="001C27BF">
        <w:rPr>
          <w:rFonts w:ascii="Arial" w:hAnsi="Arial" w:cs="Arial"/>
          <w:color w:val="595959" w:themeColor="text1" w:themeTint="A6"/>
          <w:lang w:val="de-DE"/>
        </w:rPr>
        <w:t xml:space="preserve">FRANCO-BARRAZA, J, </w:t>
      </w:r>
      <w:hyperlink r:id="rId196" w:history="1">
        <w:r w:rsidRPr="001C27BF">
          <w:rPr>
            <w:rStyle w:val="Hyperlink"/>
            <w:rFonts w:ascii="Arial" w:hAnsi="Arial" w:cs="Arial"/>
            <w:color w:val="595959" w:themeColor="text1" w:themeTint="A6"/>
            <w:u w:val="none"/>
            <w:lang w:val="de-DE"/>
          </w:rPr>
          <w:t>Beacham</w:t>
        </w:r>
      </w:hyperlink>
      <w:r w:rsidRPr="001C27BF">
        <w:rPr>
          <w:rFonts w:ascii="Arial" w:hAnsi="Arial" w:cs="Arial"/>
          <w:color w:val="595959" w:themeColor="text1" w:themeTint="A6"/>
          <w:lang w:val="de-DE"/>
        </w:rPr>
        <w:t>, D.A, </w:t>
      </w:r>
      <w:hyperlink r:id="rId197" w:history="1">
        <w:r w:rsidRPr="001C27BF">
          <w:rPr>
            <w:rStyle w:val="Hyperlink"/>
            <w:rFonts w:ascii="Arial" w:hAnsi="Arial" w:cs="Arial"/>
            <w:color w:val="595959" w:themeColor="text1" w:themeTint="A6"/>
            <w:u w:val="none"/>
            <w:lang w:val="de-DE"/>
          </w:rPr>
          <w:t>Amatangelo</w:t>
        </w:r>
      </w:hyperlink>
      <w:r w:rsidRPr="001C27BF">
        <w:rPr>
          <w:rFonts w:ascii="Arial" w:hAnsi="Arial" w:cs="Arial"/>
          <w:color w:val="595959" w:themeColor="text1" w:themeTint="A6"/>
          <w:lang w:val="de-DE"/>
        </w:rPr>
        <w:t>, M.D, and </w:t>
      </w:r>
      <w:hyperlink r:id="rId198" w:history="1">
        <w:r w:rsidRPr="001C27BF">
          <w:rPr>
            <w:rStyle w:val="Hyperlink"/>
            <w:rFonts w:ascii="Arial" w:hAnsi="Arial" w:cs="Arial"/>
            <w:color w:val="595959" w:themeColor="text1" w:themeTint="A6"/>
            <w:u w:val="none"/>
            <w:lang w:val="de-DE"/>
          </w:rPr>
          <w:t>Cukierman</w:t>
        </w:r>
      </w:hyperlink>
      <w:r w:rsidRPr="001C27BF">
        <w:rPr>
          <w:rFonts w:ascii="Arial" w:hAnsi="Arial" w:cs="Arial"/>
          <w:color w:val="595959" w:themeColor="text1" w:themeTint="A6"/>
          <w:lang w:val="de-DE"/>
        </w:rPr>
        <w:t>,</w:t>
      </w:r>
      <w:r w:rsidR="00504347">
        <w:rPr>
          <w:rFonts w:ascii="Arial" w:hAnsi="Arial" w:cs="Arial"/>
          <w:color w:val="595959" w:themeColor="text1" w:themeTint="A6"/>
          <w:lang w:val="de-DE"/>
        </w:rPr>
        <w:t xml:space="preserve"> </w:t>
      </w:r>
      <w:r w:rsidRPr="001C27BF">
        <w:rPr>
          <w:rFonts w:ascii="Arial" w:hAnsi="Arial" w:cs="Arial"/>
          <w:color w:val="595959" w:themeColor="text1" w:themeTint="A6"/>
          <w:lang w:val="de-DE"/>
        </w:rPr>
        <w:t xml:space="preserve">E (2016). </w:t>
      </w:r>
      <w:r w:rsidRPr="001C27BF">
        <w:rPr>
          <w:rFonts w:ascii="Arial" w:hAnsi="Arial" w:cs="Arial"/>
          <w:color w:val="595959" w:themeColor="text1" w:themeTint="A6"/>
        </w:rPr>
        <w:t xml:space="preserve">‘Preparation of extracellular matrices produced by cultured and primary fibroblasts’. </w:t>
      </w:r>
      <w:hyperlink r:id="rId199" w:tgtFrame="pmc_ext" w:history="1">
        <w:r w:rsidRPr="001C27BF">
          <w:rPr>
            <w:rStyle w:val="Hyperlink"/>
            <w:rFonts w:ascii="Arial" w:hAnsi="Arial" w:cs="Arial"/>
            <w:color w:val="595959" w:themeColor="text1" w:themeTint="A6"/>
            <w:u w:val="none"/>
          </w:rPr>
          <w:t xml:space="preserve">Curr </w:t>
        </w:r>
        <w:r w:rsidRPr="001C27BF">
          <w:rPr>
            <w:rStyle w:val="Hyperlink"/>
            <w:rFonts w:ascii="Arial" w:hAnsi="Arial" w:cs="Arial"/>
            <w:i/>
            <w:iCs/>
            <w:color w:val="595959" w:themeColor="text1" w:themeTint="A6"/>
            <w:u w:val="none"/>
          </w:rPr>
          <w:t>Protoc Cell Biol</w:t>
        </w:r>
        <w:r w:rsidRPr="001C27BF">
          <w:rPr>
            <w:rStyle w:val="Hyperlink"/>
            <w:rFonts w:ascii="Arial" w:hAnsi="Arial" w:cs="Arial"/>
            <w:color w:val="595959" w:themeColor="text1" w:themeTint="A6"/>
            <w:u w:val="none"/>
          </w:rPr>
          <w:t xml:space="preserve">. </w:t>
        </w:r>
        <w:r w:rsidRPr="001C27BF">
          <w:rPr>
            <w:rStyle w:val="Hyperlink"/>
            <w:rFonts w:ascii="Arial" w:hAnsi="Arial" w:cs="Arial"/>
            <w:b/>
            <w:bCs/>
            <w:color w:val="595959" w:themeColor="text1" w:themeTint="A6"/>
            <w:u w:val="none"/>
          </w:rPr>
          <w:t>71:</w:t>
        </w:r>
        <w:r w:rsidRPr="001C27BF">
          <w:rPr>
            <w:rStyle w:val="Hyperlink"/>
            <w:rFonts w:ascii="Arial" w:hAnsi="Arial" w:cs="Arial"/>
            <w:color w:val="595959" w:themeColor="text1" w:themeTint="A6"/>
            <w:u w:val="none"/>
          </w:rPr>
          <w:t xml:space="preserve"> 10.9.1–10.9.34.</w:t>
        </w:r>
      </w:hyperlink>
    </w:p>
    <w:p w14:paraId="5BB9BC7D" w14:textId="77777777" w:rsidR="00396EB2" w:rsidRPr="001C27BF" w:rsidRDefault="00396EB2" w:rsidP="001C27BF">
      <w:pPr>
        <w:spacing w:line="360" w:lineRule="auto"/>
        <w:jc w:val="both"/>
        <w:rPr>
          <w:rFonts w:ascii="Arial" w:hAnsi="Arial" w:cs="Arial"/>
          <w:color w:val="595959" w:themeColor="text1" w:themeTint="A6"/>
        </w:rPr>
      </w:pPr>
      <w:r w:rsidRPr="001C27BF">
        <w:rPr>
          <w:rFonts w:ascii="Arial" w:hAnsi="Arial" w:cs="Arial"/>
          <w:color w:val="595959" w:themeColor="text1" w:themeTint="A6"/>
        </w:rPr>
        <w:t xml:space="preserve">FRANK, C.J., and McCreery, R.L. (1995). ‘Raman Spectroscopy of Normal and Diseased Human Breast Tissues.’ </w:t>
      </w:r>
      <w:r w:rsidRPr="001C27BF">
        <w:rPr>
          <w:rFonts w:ascii="Arial" w:hAnsi="Arial" w:cs="Arial"/>
          <w:i/>
          <w:color w:val="595959" w:themeColor="text1" w:themeTint="A6"/>
        </w:rPr>
        <w:t>Anals. Chem</w:t>
      </w:r>
      <w:r w:rsidRPr="001C27BF">
        <w:rPr>
          <w:rFonts w:ascii="Arial" w:hAnsi="Arial" w:cs="Arial"/>
          <w:color w:val="595959" w:themeColor="text1" w:themeTint="A6"/>
        </w:rPr>
        <w:t xml:space="preserve">; </w:t>
      </w:r>
      <w:r w:rsidRPr="001C27BF">
        <w:rPr>
          <w:rFonts w:ascii="Arial" w:hAnsi="Arial" w:cs="Arial"/>
          <w:b/>
          <w:color w:val="595959" w:themeColor="text1" w:themeTint="A6"/>
        </w:rPr>
        <w:t>67</w:t>
      </w:r>
      <w:r w:rsidRPr="001C27BF">
        <w:rPr>
          <w:rFonts w:ascii="Arial" w:hAnsi="Arial" w:cs="Arial"/>
          <w:color w:val="595959" w:themeColor="text1" w:themeTint="A6"/>
        </w:rPr>
        <w:t xml:space="preserve">:777-783. </w:t>
      </w:r>
    </w:p>
    <w:p w14:paraId="7F80EBA9" w14:textId="77777777" w:rsidR="00396EB2" w:rsidRPr="001C27BF" w:rsidRDefault="00396EB2" w:rsidP="001C27BF">
      <w:pPr>
        <w:spacing w:line="360" w:lineRule="auto"/>
        <w:jc w:val="both"/>
        <w:rPr>
          <w:rFonts w:ascii="Arial" w:hAnsi="Arial" w:cs="Arial"/>
          <w:color w:val="595959" w:themeColor="text1" w:themeTint="A6"/>
        </w:rPr>
      </w:pPr>
      <w:r w:rsidRPr="001C27BF">
        <w:rPr>
          <w:rFonts w:ascii="Arial" w:hAnsi="Arial" w:cs="Arial"/>
          <w:color w:val="595959" w:themeColor="text1" w:themeTint="A6"/>
        </w:rPr>
        <w:t xml:space="preserve">FRANTZ, C. Stewart, K.M, and Weaver, V.M. (2010). ‘The extracellular matrix at a glance.’ </w:t>
      </w:r>
      <w:r w:rsidRPr="001C27BF">
        <w:rPr>
          <w:rFonts w:ascii="Arial" w:hAnsi="Arial" w:cs="Arial"/>
          <w:i/>
          <w:color w:val="595959" w:themeColor="text1" w:themeTint="A6"/>
        </w:rPr>
        <w:t>Journal of cell science</w:t>
      </w:r>
      <w:r w:rsidRPr="001C27BF">
        <w:rPr>
          <w:rFonts w:ascii="Arial" w:hAnsi="Arial" w:cs="Arial"/>
          <w:color w:val="595959" w:themeColor="text1" w:themeTint="A6"/>
        </w:rPr>
        <w:t xml:space="preserve">, </w:t>
      </w:r>
      <w:r w:rsidRPr="001C27BF">
        <w:rPr>
          <w:rFonts w:ascii="Arial" w:hAnsi="Arial" w:cs="Arial"/>
          <w:b/>
          <w:color w:val="595959" w:themeColor="text1" w:themeTint="A6"/>
        </w:rPr>
        <w:t>123</w:t>
      </w:r>
      <w:r w:rsidRPr="001C27BF">
        <w:rPr>
          <w:rFonts w:ascii="Arial" w:hAnsi="Arial" w:cs="Arial"/>
          <w:color w:val="595959" w:themeColor="text1" w:themeTint="A6"/>
        </w:rPr>
        <w:t>, 4195-4200.</w:t>
      </w:r>
    </w:p>
    <w:p w14:paraId="0FDDB3F3" w14:textId="58866300" w:rsidR="00396EB2" w:rsidRPr="001C27BF" w:rsidRDefault="00396EB2" w:rsidP="001C27BF">
      <w:pPr>
        <w:spacing w:line="360" w:lineRule="auto"/>
        <w:jc w:val="both"/>
        <w:rPr>
          <w:rFonts w:ascii="Arial" w:hAnsi="Arial" w:cs="Arial"/>
          <w:color w:val="595959" w:themeColor="text1" w:themeTint="A6"/>
        </w:rPr>
      </w:pPr>
      <w:r w:rsidRPr="001C27BF">
        <w:rPr>
          <w:rFonts w:ascii="Arial" w:hAnsi="Arial" w:cs="Arial"/>
          <w:color w:val="595959" w:themeColor="text1" w:themeTint="A6"/>
        </w:rPr>
        <w:t>FREYER JP, Sutherland RM (1980). ‘Selective dissociation and characterization of cells from d</w:t>
      </w:r>
      <w:r w:rsidR="00065445" w:rsidRPr="001C27BF">
        <w:rPr>
          <w:rFonts w:ascii="Arial" w:hAnsi="Arial" w:cs="Arial"/>
          <w:color w:val="000000"/>
          <w:shd w:val="clear" w:color="auto" w:fill="FFFFFF"/>
        </w:rPr>
        <w:t xml:space="preserve">ifferent </w:t>
      </w:r>
      <w:r w:rsidRPr="001C27BF">
        <w:rPr>
          <w:rFonts w:ascii="Arial" w:hAnsi="Arial" w:cs="Arial"/>
          <w:color w:val="595959" w:themeColor="text1" w:themeTint="A6"/>
        </w:rPr>
        <w:t xml:space="preserve">regions of multicell tumour spheroids’. </w:t>
      </w:r>
      <w:r w:rsidRPr="001C27BF">
        <w:rPr>
          <w:rFonts w:ascii="Arial" w:hAnsi="Arial" w:cs="Arial"/>
          <w:i/>
          <w:color w:val="595959" w:themeColor="text1" w:themeTint="A6"/>
        </w:rPr>
        <w:t>Cancer Res</w:t>
      </w:r>
      <w:r w:rsidRPr="001C27BF">
        <w:rPr>
          <w:rFonts w:ascii="Arial" w:hAnsi="Arial" w:cs="Arial"/>
          <w:color w:val="595959" w:themeColor="text1" w:themeTint="A6"/>
        </w:rPr>
        <w:t xml:space="preserve"> </w:t>
      </w:r>
      <w:r w:rsidRPr="001C27BF">
        <w:rPr>
          <w:rFonts w:ascii="Arial" w:hAnsi="Arial" w:cs="Arial"/>
          <w:b/>
          <w:color w:val="595959" w:themeColor="text1" w:themeTint="A6"/>
        </w:rPr>
        <w:t>40</w:t>
      </w:r>
      <w:r w:rsidRPr="001C27BF">
        <w:rPr>
          <w:rFonts w:ascii="Arial" w:hAnsi="Arial" w:cs="Arial"/>
          <w:color w:val="595959" w:themeColor="text1" w:themeTint="A6"/>
        </w:rPr>
        <w:t xml:space="preserve">:3956–3965. </w:t>
      </w:r>
    </w:p>
    <w:p w14:paraId="6B49F168" w14:textId="47066D80" w:rsidR="00F73C08" w:rsidRPr="001C27BF" w:rsidRDefault="00F73C08" w:rsidP="001C27BF">
      <w:pPr>
        <w:spacing w:line="360" w:lineRule="auto"/>
        <w:jc w:val="both"/>
        <w:rPr>
          <w:rFonts w:ascii="Arial" w:hAnsi="Arial" w:cs="Arial"/>
          <w:color w:val="595959" w:themeColor="text1" w:themeTint="A6"/>
        </w:rPr>
      </w:pPr>
      <w:r w:rsidRPr="001C27BF">
        <w:rPr>
          <w:rFonts w:ascii="Arial" w:hAnsi="Arial" w:cs="Arial"/>
          <w:color w:val="595959" w:themeColor="text1" w:themeTint="A6"/>
        </w:rPr>
        <w:t>GABBIANI</w:t>
      </w:r>
      <w:r w:rsidR="00065445" w:rsidRPr="001C27BF">
        <w:rPr>
          <w:rFonts w:ascii="Arial" w:hAnsi="Arial" w:cs="Arial"/>
          <w:color w:val="595959" w:themeColor="text1" w:themeTint="A6"/>
        </w:rPr>
        <w:t xml:space="preserve"> G, Ryan GB, Majno G. </w:t>
      </w:r>
      <w:r w:rsidRPr="001C27BF">
        <w:rPr>
          <w:rFonts w:ascii="Arial" w:hAnsi="Arial" w:cs="Arial"/>
          <w:color w:val="595959" w:themeColor="text1" w:themeTint="A6"/>
        </w:rPr>
        <w:t>(1971). ‘</w:t>
      </w:r>
      <w:r w:rsidR="00065445" w:rsidRPr="001C27BF">
        <w:rPr>
          <w:rFonts w:ascii="Arial" w:hAnsi="Arial" w:cs="Arial"/>
          <w:color w:val="595959" w:themeColor="text1" w:themeTint="A6"/>
        </w:rPr>
        <w:t>Presence of modified fibroblasts in granulation tissue and their possible role in wound contraction</w:t>
      </w:r>
      <w:r w:rsidRPr="001C27BF">
        <w:rPr>
          <w:rFonts w:ascii="Arial" w:hAnsi="Arial" w:cs="Arial"/>
          <w:color w:val="595959" w:themeColor="text1" w:themeTint="A6"/>
        </w:rPr>
        <w:t>’</w:t>
      </w:r>
      <w:r w:rsidR="00065445" w:rsidRPr="001C27BF">
        <w:rPr>
          <w:rFonts w:ascii="Arial" w:hAnsi="Arial" w:cs="Arial"/>
          <w:color w:val="595959" w:themeColor="text1" w:themeTint="A6"/>
        </w:rPr>
        <w:t>. </w:t>
      </w:r>
      <w:r w:rsidR="00065445" w:rsidRPr="001C27BF">
        <w:rPr>
          <w:rFonts w:ascii="Arial" w:hAnsi="Arial" w:cs="Arial"/>
          <w:i/>
          <w:iCs/>
          <w:color w:val="595959" w:themeColor="text1" w:themeTint="A6"/>
        </w:rPr>
        <w:t>Experientia</w:t>
      </w:r>
      <w:r w:rsidR="00065445" w:rsidRPr="001C27BF">
        <w:rPr>
          <w:rFonts w:ascii="Arial" w:hAnsi="Arial" w:cs="Arial"/>
          <w:color w:val="595959" w:themeColor="text1" w:themeTint="A6"/>
        </w:rPr>
        <w:t>;</w:t>
      </w:r>
      <w:r w:rsidR="00065445" w:rsidRPr="001C27BF">
        <w:rPr>
          <w:rFonts w:ascii="Arial" w:hAnsi="Arial" w:cs="Arial"/>
          <w:b/>
          <w:bCs/>
          <w:color w:val="595959" w:themeColor="text1" w:themeTint="A6"/>
        </w:rPr>
        <w:t>27</w:t>
      </w:r>
      <w:r w:rsidR="00D70BC1">
        <w:rPr>
          <w:rFonts w:ascii="Arial" w:hAnsi="Arial" w:cs="Arial"/>
          <w:b/>
          <w:bCs/>
          <w:color w:val="595959" w:themeColor="text1" w:themeTint="A6"/>
        </w:rPr>
        <w:t xml:space="preserve"> </w:t>
      </w:r>
      <w:r w:rsidR="00065445" w:rsidRPr="001C27BF">
        <w:rPr>
          <w:rFonts w:ascii="Arial" w:hAnsi="Arial" w:cs="Arial"/>
          <w:color w:val="595959" w:themeColor="text1" w:themeTint="A6"/>
        </w:rPr>
        <w:t>(5):549–550.</w:t>
      </w:r>
    </w:p>
    <w:p w14:paraId="474D2700" w14:textId="4B79D1C9" w:rsidR="00396EB2" w:rsidRPr="001C27BF" w:rsidRDefault="00396EB2" w:rsidP="001C27BF">
      <w:pPr>
        <w:tabs>
          <w:tab w:val="left" w:pos="3026"/>
        </w:tabs>
        <w:spacing w:line="360" w:lineRule="auto"/>
        <w:jc w:val="both"/>
        <w:rPr>
          <w:rFonts w:ascii="Arial" w:hAnsi="Arial" w:cs="Arial"/>
        </w:rPr>
      </w:pPr>
      <w:r w:rsidRPr="001C27BF">
        <w:rPr>
          <w:rFonts w:ascii="Arial" w:hAnsi="Arial" w:cs="Arial"/>
          <w:color w:val="595959" w:themeColor="text1" w:themeTint="A6"/>
        </w:rPr>
        <w:t xml:space="preserve">GAGGIOLI, C. Hooper, S. Hidalgo-Carcedo, C. Grosse, R. Marshall, J.F. Harrington, K. and Sahai, E. (2007). ‘Fibroblast-led collective invasion of carcinoma cells with differing roles for RhoGTPases in leading and following cells.’ </w:t>
      </w:r>
      <w:r w:rsidRPr="001C27BF">
        <w:rPr>
          <w:rFonts w:ascii="Arial" w:hAnsi="Arial" w:cs="Arial"/>
          <w:i/>
          <w:color w:val="595959" w:themeColor="text1" w:themeTint="A6"/>
        </w:rPr>
        <w:t>Nat. Cell Biol</w:t>
      </w:r>
      <w:r w:rsidRPr="001C27BF">
        <w:rPr>
          <w:rFonts w:ascii="Arial" w:hAnsi="Arial" w:cs="Arial"/>
          <w:color w:val="595959" w:themeColor="text1" w:themeTint="A6"/>
        </w:rPr>
        <w:t xml:space="preserve">: </w:t>
      </w:r>
      <w:r w:rsidRPr="001C27BF">
        <w:rPr>
          <w:rFonts w:ascii="Arial" w:hAnsi="Arial" w:cs="Arial"/>
          <w:b/>
          <w:color w:val="595959" w:themeColor="text1" w:themeTint="A6"/>
        </w:rPr>
        <w:t>9</w:t>
      </w:r>
      <w:r w:rsidRPr="001C27BF">
        <w:rPr>
          <w:rFonts w:ascii="Arial" w:hAnsi="Arial" w:cs="Arial"/>
          <w:color w:val="595959" w:themeColor="text1" w:themeTint="A6"/>
        </w:rPr>
        <w:t xml:space="preserve"> 1392-1400. </w:t>
      </w:r>
    </w:p>
    <w:p w14:paraId="75DE0DE7" w14:textId="77777777" w:rsidR="00396EB2" w:rsidRPr="001C27BF" w:rsidRDefault="00396EB2" w:rsidP="001C27BF">
      <w:pPr>
        <w:spacing w:line="360" w:lineRule="auto"/>
        <w:jc w:val="both"/>
        <w:rPr>
          <w:rFonts w:ascii="Arial" w:hAnsi="Arial" w:cs="Arial"/>
          <w:color w:val="595959" w:themeColor="text1" w:themeTint="A6"/>
        </w:rPr>
      </w:pPr>
      <w:bookmarkStart w:id="519" w:name="_Hlk535331998"/>
      <w:r w:rsidRPr="001C27BF">
        <w:rPr>
          <w:rFonts w:ascii="Arial" w:hAnsi="Arial" w:cs="Arial"/>
          <w:color w:val="595959" w:themeColor="text1" w:themeTint="A6"/>
        </w:rPr>
        <w:t>GHARIBI, B and HUGHES</w:t>
      </w:r>
      <w:bookmarkEnd w:id="519"/>
      <w:r w:rsidRPr="001C27BF">
        <w:rPr>
          <w:rFonts w:ascii="Arial" w:hAnsi="Arial" w:cs="Arial"/>
          <w:color w:val="595959" w:themeColor="text1" w:themeTint="A6"/>
        </w:rPr>
        <w:t xml:space="preserve">, F.J. (2012). ‘Effects of Medium Supplements on Proliferation, Differentiation Potential, and In Vitro Expansion of Mesenchymal Stem Cells.’ </w:t>
      </w:r>
      <w:r w:rsidRPr="001C27BF">
        <w:rPr>
          <w:rFonts w:ascii="Arial" w:hAnsi="Arial" w:cs="Arial"/>
          <w:i/>
          <w:color w:val="595959" w:themeColor="text1" w:themeTint="A6"/>
        </w:rPr>
        <w:t>Stem cells translational medicine,</w:t>
      </w:r>
      <w:r w:rsidRPr="001C27BF">
        <w:rPr>
          <w:rFonts w:ascii="Arial" w:hAnsi="Arial" w:cs="Arial"/>
          <w:b/>
          <w:i/>
          <w:color w:val="595959" w:themeColor="text1" w:themeTint="A6"/>
        </w:rPr>
        <w:t xml:space="preserve"> </w:t>
      </w:r>
      <w:r w:rsidRPr="001C27BF">
        <w:rPr>
          <w:rFonts w:ascii="Arial" w:hAnsi="Arial" w:cs="Arial"/>
          <w:b/>
          <w:color w:val="595959" w:themeColor="text1" w:themeTint="A6"/>
        </w:rPr>
        <w:t>1</w:t>
      </w:r>
      <w:r w:rsidRPr="001C27BF">
        <w:rPr>
          <w:rFonts w:ascii="Arial" w:hAnsi="Arial" w:cs="Arial"/>
          <w:color w:val="595959" w:themeColor="text1" w:themeTint="A6"/>
        </w:rPr>
        <w:t xml:space="preserve">:771–782. </w:t>
      </w:r>
    </w:p>
    <w:p w14:paraId="62C84E21" w14:textId="77777777" w:rsidR="00396EB2" w:rsidRPr="001C27BF" w:rsidRDefault="00396EB2" w:rsidP="001C27BF">
      <w:pPr>
        <w:spacing w:line="360" w:lineRule="auto"/>
        <w:jc w:val="both"/>
        <w:rPr>
          <w:rFonts w:ascii="Arial" w:hAnsi="Arial" w:cs="Arial"/>
          <w:color w:val="595959" w:themeColor="text1" w:themeTint="A6"/>
        </w:rPr>
      </w:pPr>
      <w:r w:rsidRPr="001C27BF">
        <w:rPr>
          <w:rFonts w:ascii="Arial" w:hAnsi="Arial" w:cs="Arial"/>
          <w:color w:val="595959" w:themeColor="text1" w:themeTint="A6"/>
        </w:rPr>
        <w:t xml:space="preserve">GIALLELI, C, Theocharis, A.D., and Karamanos, N.K. (2011). ‘Roles of matrix metalloproteinases in cancer progression and their pharmacological targeting.’ </w:t>
      </w:r>
      <w:r w:rsidRPr="001C27BF">
        <w:rPr>
          <w:rFonts w:ascii="Arial" w:hAnsi="Arial" w:cs="Arial"/>
          <w:i/>
          <w:color w:val="595959" w:themeColor="text1" w:themeTint="A6"/>
        </w:rPr>
        <w:t>FEBS journal</w:t>
      </w:r>
      <w:r w:rsidRPr="001C27BF">
        <w:rPr>
          <w:rFonts w:ascii="Arial" w:hAnsi="Arial" w:cs="Arial"/>
          <w:color w:val="595959" w:themeColor="text1" w:themeTint="A6"/>
        </w:rPr>
        <w:t xml:space="preserve">, </w:t>
      </w:r>
      <w:r w:rsidRPr="001C27BF">
        <w:rPr>
          <w:rFonts w:ascii="Arial" w:hAnsi="Arial" w:cs="Arial"/>
          <w:b/>
          <w:color w:val="595959" w:themeColor="text1" w:themeTint="A6"/>
        </w:rPr>
        <w:t>278,</w:t>
      </w:r>
      <w:r w:rsidRPr="001C27BF">
        <w:rPr>
          <w:rFonts w:ascii="Arial" w:hAnsi="Arial" w:cs="Arial"/>
          <w:color w:val="595959" w:themeColor="text1" w:themeTint="A6"/>
        </w:rPr>
        <w:t xml:space="preserve"> 16-27. </w:t>
      </w:r>
    </w:p>
    <w:p w14:paraId="396A2187" w14:textId="77777777" w:rsidR="00396EB2" w:rsidRPr="001C27BF" w:rsidRDefault="00396EB2" w:rsidP="001C27BF">
      <w:pPr>
        <w:spacing w:line="360" w:lineRule="auto"/>
        <w:jc w:val="both"/>
        <w:rPr>
          <w:rFonts w:ascii="Arial" w:hAnsi="Arial" w:cs="Arial"/>
          <w:color w:val="595959" w:themeColor="text1" w:themeTint="A6"/>
        </w:rPr>
      </w:pPr>
      <w:r w:rsidRPr="001C27BF">
        <w:rPr>
          <w:rFonts w:ascii="Arial" w:hAnsi="Arial" w:cs="Arial"/>
          <w:color w:val="595959" w:themeColor="text1" w:themeTint="A6"/>
        </w:rPr>
        <w:t xml:space="preserve">GILL, B.J and WEST, J.L. (2014). ‘Modelling the tumour extracellular matrix: Tissue engineering tools repurposed towards new frontiers in cancer biology’. </w:t>
      </w:r>
      <w:r w:rsidRPr="001C27BF">
        <w:rPr>
          <w:rFonts w:ascii="Arial" w:hAnsi="Arial" w:cs="Arial"/>
          <w:i/>
          <w:color w:val="595959" w:themeColor="text1" w:themeTint="A6"/>
        </w:rPr>
        <w:t>Journal of</w:t>
      </w:r>
      <w:r w:rsidRPr="001C27BF">
        <w:rPr>
          <w:rFonts w:ascii="Arial" w:hAnsi="Arial" w:cs="Arial"/>
          <w:color w:val="595959" w:themeColor="text1" w:themeTint="A6"/>
        </w:rPr>
        <w:t xml:space="preserve"> </w:t>
      </w:r>
      <w:r w:rsidRPr="001C27BF">
        <w:rPr>
          <w:rFonts w:ascii="Arial" w:hAnsi="Arial" w:cs="Arial"/>
          <w:i/>
          <w:color w:val="595959" w:themeColor="text1" w:themeTint="A6"/>
        </w:rPr>
        <w:t>Biomechanics</w:t>
      </w:r>
      <w:r w:rsidRPr="001C27BF">
        <w:rPr>
          <w:rFonts w:ascii="Arial" w:hAnsi="Arial" w:cs="Arial"/>
          <w:color w:val="595959" w:themeColor="text1" w:themeTint="A6"/>
        </w:rPr>
        <w:t xml:space="preserve"> </w:t>
      </w:r>
      <w:r w:rsidRPr="001C27BF">
        <w:rPr>
          <w:rFonts w:ascii="Arial" w:hAnsi="Arial" w:cs="Arial"/>
          <w:b/>
          <w:color w:val="595959" w:themeColor="text1" w:themeTint="A6"/>
        </w:rPr>
        <w:t>47</w:t>
      </w:r>
      <w:r w:rsidRPr="001C27BF">
        <w:rPr>
          <w:rFonts w:ascii="Arial" w:hAnsi="Arial" w:cs="Arial"/>
          <w:color w:val="595959" w:themeColor="text1" w:themeTint="A6"/>
        </w:rPr>
        <w:t>; 1969–1978.</w:t>
      </w:r>
    </w:p>
    <w:p w14:paraId="37951435" w14:textId="77777777" w:rsidR="00396EB2" w:rsidRPr="001C27BF" w:rsidRDefault="00396EB2" w:rsidP="001C27BF">
      <w:pPr>
        <w:spacing w:line="360" w:lineRule="auto"/>
        <w:jc w:val="both"/>
        <w:rPr>
          <w:rFonts w:ascii="Arial" w:hAnsi="Arial" w:cs="Arial"/>
          <w:color w:val="595959" w:themeColor="text1" w:themeTint="A6"/>
        </w:rPr>
      </w:pPr>
      <w:r w:rsidRPr="001C27BF">
        <w:rPr>
          <w:rFonts w:ascii="Arial" w:hAnsi="Arial" w:cs="Arial"/>
          <w:color w:val="595959" w:themeColor="text1" w:themeTint="A6"/>
        </w:rPr>
        <w:t xml:space="preserve">GILMORE, A.P., Metcalfe, A.D., Romer, L.H., Streuli, C.H. (2000). ‘Integrin mediated survival signals regulate the apoptotic function of Bax through its conformation and subcellular localisation.’ </w:t>
      </w:r>
      <w:r w:rsidRPr="001C27BF">
        <w:rPr>
          <w:rFonts w:ascii="Arial" w:hAnsi="Arial" w:cs="Arial"/>
          <w:i/>
          <w:color w:val="595959" w:themeColor="text1" w:themeTint="A6"/>
        </w:rPr>
        <w:t>J cell biol,</w:t>
      </w:r>
      <w:r w:rsidRPr="001C27BF">
        <w:rPr>
          <w:rFonts w:ascii="Arial" w:hAnsi="Arial" w:cs="Arial"/>
          <w:color w:val="595959" w:themeColor="text1" w:themeTint="A6"/>
        </w:rPr>
        <w:t xml:space="preserve"> </w:t>
      </w:r>
      <w:r w:rsidRPr="001C27BF">
        <w:rPr>
          <w:rFonts w:ascii="Arial" w:hAnsi="Arial" w:cs="Arial"/>
          <w:b/>
          <w:color w:val="595959" w:themeColor="text1" w:themeTint="A6"/>
        </w:rPr>
        <w:t>149</w:t>
      </w:r>
      <w:r w:rsidRPr="001C27BF">
        <w:rPr>
          <w:rFonts w:ascii="Arial" w:hAnsi="Arial" w:cs="Arial"/>
          <w:color w:val="595959" w:themeColor="text1" w:themeTint="A6"/>
        </w:rPr>
        <w:t xml:space="preserve">: 431-446. </w:t>
      </w:r>
    </w:p>
    <w:p w14:paraId="6D34F8C3" w14:textId="77777777" w:rsidR="00396EB2" w:rsidRPr="001C27BF" w:rsidRDefault="00396EB2" w:rsidP="001C27BF">
      <w:pPr>
        <w:spacing w:line="360" w:lineRule="auto"/>
        <w:jc w:val="both"/>
        <w:rPr>
          <w:rFonts w:ascii="Arial" w:hAnsi="Arial" w:cs="Arial"/>
          <w:color w:val="595959" w:themeColor="text1" w:themeTint="A6"/>
        </w:rPr>
      </w:pPr>
      <w:r w:rsidRPr="001C27BF">
        <w:rPr>
          <w:rFonts w:ascii="Arial" w:hAnsi="Arial" w:cs="Arial"/>
          <w:color w:val="595959" w:themeColor="text1" w:themeTint="A6"/>
        </w:rPr>
        <w:t xml:space="preserve">GRINNELL, F. </w:t>
      </w:r>
      <w:r w:rsidRPr="001C27BF">
        <w:rPr>
          <w:rFonts w:ascii="Arial" w:hAnsi="Arial" w:cs="Arial"/>
          <w:iCs/>
          <w:color w:val="595959" w:themeColor="text1" w:themeTint="A6"/>
        </w:rPr>
        <w:t>Fukamizu, H. Oawelek, P, and Nakagawa, S</w:t>
      </w:r>
      <w:r w:rsidRPr="001C27BF">
        <w:rPr>
          <w:rFonts w:ascii="Arial" w:hAnsi="Arial" w:cs="Arial"/>
          <w:i/>
          <w:iCs/>
          <w:color w:val="595959" w:themeColor="text1" w:themeTint="A6"/>
        </w:rPr>
        <w:t xml:space="preserve">. </w:t>
      </w:r>
      <w:r w:rsidRPr="001C27BF">
        <w:rPr>
          <w:rFonts w:ascii="Arial" w:hAnsi="Arial" w:cs="Arial"/>
          <w:color w:val="595959" w:themeColor="text1" w:themeTint="A6"/>
        </w:rPr>
        <w:t xml:space="preserve">(1989). ‘Collagen processing, crosslinking, and fibril bundle assembly in matrix produced by fibroblasts in long-term cultures supplemented with ascorbic acid’. </w:t>
      </w:r>
      <w:r w:rsidRPr="001C27BF">
        <w:rPr>
          <w:rFonts w:ascii="Arial" w:hAnsi="Arial" w:cs="Arial"/>
          <w:i/>
          <w:iCs/>
          <w:color w:val="595959" w:themeColor="text1" w:themeTint="A6"/>
        </w:rPr>
        <w:t>Exp. Cell Res</w:t>
      </w:r>
      <w:r w:rsidRPr="001C27BF">
        <w:rPr>
          <w:rFonts w:ascii="Arial" w:hAnsi="Arial" w:cs="Arial"/>
          <w:color w:val="595959" w:themeColor="text1" w:themeTint="A6"/>
        </w:rPr>
        <w:t xml:space="preserve">., </w:t>
      </w:r>
      <w:r w:rsidRPr="001C27BF">
        <w:rPr>
          <w:rFonts w:ascii="Arial" w:hAnsi="Arial" w:cs="Arial"/>
          <w:b/>
          <w:bCs/>
          <w:color w:val="595959" w:themeColor="text1" w:themeTint="A6"/>
        </w:rPr>
        <w:t>181</w:t>
      </w:r>
      <w:r w:rsidRPr="001C27BF">
        <w:rPr>
          <w:rFonts w:ascii="Arial" w:hAnsi="Arial" w:cs="Arial"/>
          <w:color w:val="595959" w:themeColor="text1" w:themeTint="A6"/>
        </w:rPr>
        <w:t>, 483–491.</w:t>
      </w:r>
    </w:p>
    <w:p w14:paraId="243843EF" w14:textId="7E33FFDD" w:rsidR="00396EB2" w:rsidRPr="001C27BF" w:rsidRDefault="00396EB2" w:rsidP="001C27BF">
      <w:pPr>
        <w:spacing w:line="360" w:lineRule="auto"/>
        <w:jc w:val="both"/>
        <w:rPr>
          <w:rFonts w:ascii="Arial" w:hAnsi="Arial" w:cs="Arial"/>
          <w:color w:val="595959" w:themeColor="text1" w:themeTint="A6"/>
          <w:lang w:val="de-DE"/>
        </w:rPr>
      </w:pPr>
      <w:r w:rsidRPr="001C27BF">
        <w:rPr>
          <w:rFonts w:ascii="Arial" w:hAnsi="Arial" w:cs="Arial"/>
          <w:color w:val="595959" w:themeColor="text1" w:themeTint="A6"/>
        </w:rPr>
        <w:t>GURSKI L</w:t>
      </w:r>
      <w:r w:rsidR="00B17DA0">
        <w:rPr>
          <w:rFonts w:ascii="Arial" w:hAnsi="Arial" w:cs="Arial"/>
          <w:color w:val="595959" w:themeColor="text1" w:themeTint="A6"/>
        </w:rPr>
        <w:t>.</w:t>
      </w:r>
      <w:r w:rsidRPr="001C27BF">
        <w:rPr>
          <w:rFonts w:ascii="Arial" w:hAnsi="Arial" w:cs="Arial"/>
          <w:color w:val="595959" w:themeColor="text1" w:themeTint="A6"/>
        </w:rPr>
        <w:t>A</w:t>
      </w:r>
      <w:r w:rsidR="00B17DA0">
        <w:rPr>
          <w:rFonts w:ascii="Arial" w:hAnsi="Arial" w:cs="Arial"/>
          <w:color w:val="595959" w:themeColor="text1" w:themeTint="A6"/>
        </w:rPr>
        <w:t>.</w:t>
      </w:r>
      <w:r w:rsidRPr="001C27BF">
        <w:rPr>
          <w:rFonts w:ascii="Arial" w:hAnsi="Arial" w:cs="Arial"/>
          <w:color w:val="595959" w:themeColor="text1" w:themeTint="A6"/>
        </w:rPr>
        <w:t>, Jha A</w:t>
      </w:r>
      <w:r w:rsidR="00B17DA0">
        <w:rPr>
          <w:rFonts w:ascii="Arial" w:hAnsi="Arial" w:cs="Arial"/>
          <w:color w:val="595959" w:themeColor="text1" w:themeTint="A6"/>
        </w:rPr>
        <w:t>.</w:t>
      </w:r>
      <w:r w:rsidRPr="001C27BF">
        <w:rPr>
          <w:rFonts w:ascii="Arial" w:hAnsi="Arial" w:cs="Arial"/>
          <w:color w:val="595959" w:themeColor="text1" w:themeTint="A6"/>
        </w:rPr>
        <w:t>K</w:t>
      </w:r>
      <w:r w:rsidR="00B17DA0">
        <w:rPr>
          <w:rFonts w:ascii="Arial" w:hAnsi="Arial" w:cs="Arial"/>
          <w:color w:val="595959" w:themeColor="text1" w:themeTint="A6"/>
        </w:rPr>
        <w:t>.</w:t>
      </w:r>
      <w:r w:rsidRPr="001C27BF">
        <w:rPr>
          <w:rFonts w:ascii="Arial" w:hAnsi="Arial" w:cs="Arial"/>
          <w:color w:val="595959" w:themeColor="text1" w:themeTint="A6"/>
        </w:rPr>
        <w:t>, Zhang C, Jia X, Farach-Carson M</w:t>
      </w:r>
      <w:r w:rsidR="00B17DA0">
        <w:rPr>
          <w:rFonts w:ascii="Arial" w:hAnsi="Arial" w:cs="Arial"/>
          <w:color w:val="595959" w:themeColor="text1" w:themeTint="A6"/>
        </w:rPr>
        <w:t>.</w:t>
      </w:r>
      <w:r w:rsidRPr="001C27BF">
        <w:rPr>
          <w:rFonts w:ascii="Arial" w:hAnsi="Arial" w:cs="Arial"/>
          <w:color w:val="595959" w:themeColor="text1" w:themeTint="A6"/>
        </w:rPr>
        <w:t>C</w:t>
      </w:r>
      <w:r w:rsidR="00B17DA0">
        <w:rPr>
          <w:rFonts w:ascii="Arial" w:hAnsi="Arial" w:cs="Arial"/>
          <w:color w:val="595959" w:themeColor="text1" w:themeTint="A6"/>
        </w:rPr>
        <w:t>.</w:t>
      </w:r>
      <w:r w:rsidRPr="001C27BF">
        <w:rPr>
          <w:rFonts w:ascii="Arial" w:hAnsi="Arial" w:cs="Arial"/>
          <w:color w:val="595959" w:themeColor="text1" w:themeTint="A6"/>
        </w:rPr>
        <w:t xml:space="preserve"> (2009). ‘Hyaluronic acid-based hydrogels as 3D matrices for in vitro evaluation of chemotherapeutic drugs using poorly adherent prostate cancer cells.’ </w:t>
      </w:r>
      <w:r w:rsidRPr="001C27BF">
        <w:rPr>
          <w:rFonts w:ascii="Arial" w:hAnsi="Arial" w:cs="Arial"/>
          <w:i/>
          <w:color w:val="595959" w:themeColor="text1" w:themeTint="A6"/>
          <w:lang w:val="de-DE"/>
        </w:rPr>
        <w:t>Biomaterials</w:t>
      </w:r>
      <w:r w:rsidRPr="001C27BF">
        <w:rPr>
          <w:rFonts w:ascii="Arial" w:hAnsi="Arial" w:cs="Arial"/>
          <w:color w:val="595959" w:themeColor="text1" w:themeTint="A6"/>
          <w:lang w:val="de-DE"/>
        </w:rPr>
        <w:t xml:space="preserve"> 30:6076–6085.</w:t>
      </w:r>
    </w:p>
    <w:p w14:paraId="1D92DB4D" w14:textId="77777777" w:rsidR="00396EB2" w:rsidRPr="001C27BF" w:rsidRDefault="00396EB2" w:rsidP="001C27BF">
      <w:pPr>
        <w:spacing w:line="360" w:lineRule="auto"/>
        <w:jc w:val="both"/>
        <w:rPr>
          <w:rFonts w:ascii="Arial" w:hAnsi="Arial" w:cs="Arial"/>
          <w:color w:val="595959" w:themeColor="text1" w:themeTint="A6"/>
        </w:rPr>
      </w:pPr>
      <w:r w:rsidRPr="001C27BF">
        <w:rPr>
          <w:rFonts w:ascii="Arial" w:hAnsi="Arial" w:cs="Arial"/>
          <w:color w:val="595959" w:themeColor="text1" w:themeTint="A6"/>
          <w:lang w:val="de-DE"/>
        </w:rPr>
        <w:t xml:space="preserve">HAHN, W.C., Counter, C.M., Lundberg, A.S., Beijersbergen, R.L., Brooks, M.W. and Weinberg, R.A. (1999). </w:t>
      </w:r>
      <w:r w:rsidRPr="001C27BF">
        <w:rPr>
          <w:rFonts w:ascii="Arial" w:hAnsi="Arial" w:cs="Arial"/>
          <w:color w:val="595959" w:themeColor="text1" w:themeTint="A6"/>
        </w:rPr>
        <w:t xml:space="preserve">‘Creation of human tumour cells with defined genetic elements’. </w:t>
      </w:r>
      <w:r w:rsidRPr="001C27BF">
        <w:rPr>
          <w:rFonts w:ascii="Arial" w:hAnsi="Arial" w:cs="Arial"/>
          <w:i/>
          <w:iCs/>
          <w:color w:val="595959" w:themeColor="text1" w:themeTint="A6"/>
        </w:rPr>
        <w:t>Nature</w:t>
      </w:r>
      <w:r w:rsidRPr="001C27BF">
        <w:rPr>
          <w:rFonts w:ascii="Arial" w:hAnsi="Arial" w:cs="Arial"/>
          <w:color w:val="595959" w:themeColor="text1" w:themeTint="A6"/>
        </w:rPr>
        <w:t xml:space="preserve">, </w:t>
      </w:r>
      <w:r w:rsidRPr="001C27BF">
        <w:rPr>
          <w:rFonts w:ascii="Arial" w:hAnsi="Arial" w:cs="Arial"/>
          <w:b/>
          <w:bCs/>
          <w:color w:val="595959" w:themeColor="text1" w:themeTint="A6"/>
        </w:rPr>
        <w:t>400</w:t>
      </w:r>
      <w:r w:rsidRPr="001C27BF">
        <w:rPr>
          <w:rFonts w:ascii="Arial" w:hAnsi="Arial" w:cs="Arial"/>
          <w:color w:val="595959" w:themeColor="text1" w:themeTint="A6"/>
        </w:rPr>
        <w:t>, 464-468.</w:t>
      </w:r>
    </w:p>
    <w:p w14:paraId="25F3EAA5" w14:textId="77777777" w:rsidR="00396EB2" w:rsidRPr="001C27BF" w:rsidRDefault="00396EB2" w:rsidP="001C27BF">
      <w:pPr>
        <w:spacing w:line="360" w:lineRule="auto"/>
        <w:jc w:val="both"/>
        <w:rPr>
          <w:rFonts w:ascii="Arial" w:hAnsi="Arial" w:cs="Arial"/>
          <w:color w:val="595959" w:themeColor="text1" w:themeTint="A6"/>
        </w:rPr>
      </w:pPr>
      <w:r w:rsidRPr="001C27BF">
        <w:rPr>
          <w:rFonts w:ascii="Arial" w:hAnsi="Arial" w:cs="Arial"/>
          <w:color w:val="595959" w:themeColor="text1" w:themeTint="A6"/>
        </w:rPr>
        <w:t xml:space="preserve">HAMASAKI, H, Koga, K, Aoki, M, Hamasaki, M, Koshikawa N, Seiki M, Iwasaki H, Nakayama J, and Nabeshima K. (2011). ‘Expression of laminin 5-g2 chain in cutaneous squamous cell carcinoma and its role in tumour invasion’. </w:t>
      </w:r>
      <w:r w:rsidRPr="001C27BF">
        <w:rPr>
          <w:rFonts w:ascii="Arial" w:hAnsi="Arial" w:cs="Arial"/>
          <w:i/>
          <w:color w:val="595959" w:themeColor="text1" w:themeTint="A6"/>
        </w:rPr>
        <w:t>British Journal of Cancer</w:t>
      </w:r>
      <w:r w:rsidRPr="001C27BF">
        <w:rPr>
          <w:rFonts w:ascii="Arial" w:hAnsi="Arial" w:cs="Arial"/>
          <w:color w:val="595959" w:themeColor="text1" w:themeTint="A6"/>
        </w:rPr>
        <w:t xml:space="preserve">, </w:t>
      </w:r>
      <w:r w:rsidRPr="001C27BF">
        <w:rPr>
          <w:rFonts w:ascii="Arial" w:hAnsi="Arial" w:cs="Arial"/>
          <w:b/>
          <w:color w:val="595959" w:themeColor="text1" w:themeTint="A6"/>
        </w:rPr>
        <w:t>105</w:t>
      </w:r>
      <w:r w:rsidRPr="001C27BF">
        <w:rPr>
          <w:rFonts w:ascii="Arial" w:hAnsi="Arial" w:cs="Arial"/>
          <w:color w:val="595959" w:themeColor="text1" w:themeTint="A6"/>
        </w:rPr>
        <w:t>, 824 – 832.</w:t>
      </w:r>
    </w:p>
    <w:p w14:paraId="197D9555" w14:textId="77777777" w:rsidR="00396EB2" w:rsidRPr="001C27BF" w:rsidRDefault="00396EB2" w:rsidP="001C27BF">
      <w:pPr>
        <w:spacing w:line="360" w:lineRule="auto"/>
        <w:jc w:val="both"/>
        <w:rPr>
          <w:rFonts w:ascii="Arial" w:hAnsi="Arial" w:cs="Arial"/>
          <w:color w:val="595959" w:themeColor="text1" w:themeTint="A6"/>
        </w:rPr>
      </w:pPr>
      <w:r w:rsidRPr="001C27BF">
        <w:rPr>
          <w:rFonts w:ascii="Arial" w:hAnsi="Arial" w:cs="Arial"/>
          <w:color w:val="595959" w:themeColor="text1" w:themeTint="A6"/>
        </w:rPr>
        <w:t xml:space="preserve">HANAHAN, D and Weinberg, R.A. (2000). ‘The Hallmarks of Cancer.’ </w:t>
      </w:r>
      <w:r w:rsidRPr="001C27BF">
        <w:rPr>
          <w:rFonts w:ascii="Arial" w:hAnsi="Arial" w:cs="Arial"/>
          <w:i/>
          <w:color w:val="595959" w:themeColor="text1" w:themeTint="A6"/>
        </w:rPr>
        <w:t>Cell</w:t>
      </w:r>
      <w:r w:rsidRPr="001C27BF">
        <w:rPr>
          <w:rFonts w:ascii="Arial" w:hAnsi="Arial" w:cs="Arial"/>
          <w:color w:val="595959" w:themeColor="text1" w:themeTint="A6"/>
        </w:rPr>
        <w:t xml:space="preserve">; </w:t>
      </w:r>
      <w:r w:rsidRPr="001C27BF">
        <w:rPr>
          <w:rFonts w:ascii="Arial" w:hAnsi="Arial" w:cs="Arial"/>
          <w:b/>
          <w:color w:val="595959" w:themeColor="text1" w:themeTint="A6"/>
        </w:rPr>
        <w:t>100</w:t>
      </w:r>
      <w:r w:rsidRPr="001C27BF">
        <w:rPr>
          <w:rFonts w:ascii="Arial" w:hAnsi="Arial" w:cs="Arial"/>
          <w:color w:val="595959" w:themeColor="text1" w:themeTint="A6"/>
        </w:rPr>
        <w:t xml:space="preserve">, 57-70. </w:t>
      </w:r>
    </w:p>
    <w:p w14:paraId="01D6AC1C" w14:textId="77777777" w:rsidR="00396EB2" w:rsidRPr="001C27BF" w:rsidRDefault="00396EB2" w:rsidP="001C27BF">
      <w:pPr>
        <w:spacing w:line="360" w:lineRule="auto"/>
        <w:jc w:val="both"/>
        <w:rPr>
          <w:rFonts w:ascii="Arial" w:hAnsi="Arial" w:cs="Arial"/>
          <w:color w:val="595959" w:themeColor="text1" w:themeTint="A6"/>
        </w:rPr>
      </w:pPr>
      <w:r w:rsidRPr="001C27BF">
        <w:rPr>
          <w:rFonts w:ascii="Arial" w:hAnsi="Arial" w:cs="Arial"/>
          <w:color w:val="595959" w:themeColor="text1" w:themeTint="A6"/>
        </w:rPr>
        <w:t xml:space="preserve">HANAHAN, D and Weinberg, R.A. (2010). ‘The Hallmarks of Cancer: The next generation.’ </w:t>
      </w:r>
      <w:r w:rsidRPr="001C27BF">
        <w:rPr>
          <w:rFonts w:ascii="Arial" w:hAnsi="Arial" w:cs="Arial"/>
          <w:i/>
          <w:color w:val="595959" w:themeColor="text1" w:themeTint="A6"/>
        </w:rPr>
        <w:t>Cell</w:t>
      </w:r>
      <w:r w:rsidRPr="001C27BF">
        <w:rPr>
          <w:rFonts w:ascii="Arial" w:hAnsi="Arial" w:cs="Arial"/>
          <w:color w:val="595959" w:themeColor="text1" w:themeTint="A6"/>
        </w:rPr>
        <w:t>;</w:t>
      </w:r>
      <w:r w:rsidRPr="001C27BF">
        <w:rPr>
          <w:rFonts w:ascii="Arial" w:hAnsi="Arial" w:cs="Arial"/>
          <w:b/>
          <w:color w:val="595959" w:themeColor="text1" w:themeTint="A6"/>
        </w:rPr>
        <w:t xml:space="preserve"> 144</w:t>
      </w:r>
      <w:r w:rsidRPr="001C27BF">
        <w:rPr>
          <w:rFonts w:ascii="Arial" w:hAnsi="Arial" w:cs="Arial"/>
          <w:color w:val="595959" w:themeColor="text1" w:themeTint="A6"/>
        </w:rPr>
        <w:t xml:space="preserve">: 646-674. </w:t>
      </w:r>
    </w:p>
    <w:p w14:paraId="23955390" w14:textId="77777777" w:rsidR="00396EB2" w:rsidRPr="001C27BF" w:rsidRDefault="00396EB2" w:rsidP="001C27BF">
      <w:pPr>
        <w:spacing w:line="360" w:lineRule="auto"/>
        <w:jc w:val="both"/>
        <w:rPr>
          <w:rFonts w:ascii="Arial" w:hAnsi="Arial" w:cs="Arial"/>
          <w:color w:val="595959" w:themeColor="text1" w:themeTint="A6"/>
        </w:rPr>
      </w:pPr>
      <w:r w:rsidRPr="001C27BF">
        <w:rPr>
          <w:rFonts w:ascii="Arial" w:hAnsi="Arial" w:cs="Arial"/>
          <w:color w:val="595959" w:themeColor="text1" w:themeTint="A6"/>
        </w:rPr>
        <w:t xml:space="preserve">HANLEY, C.J, Noble, F, Ward, M. Bullock, m. Drifka, C. Mellone, M. Manousopoulou, A. Johnston, H.E. Hayden, A. Thirdborough, S. Lui, Y. Smith, D.M. Mellows, T. Kao, W.J. Garbis, S.D. Mirenzami, A, Underwood, T.J. Eliceiri, K.W. and Thomas, G,J. (2016). ‘A sub-set of myofibroblastic cancer-associated fibroblast regulates collagen fibre elongation, which is prognostic in multiple cancers.’ </w:t>
      </w:r>
      <w:r w:rsidRPr="001C27BF">
        <w:rPr>
          <w:rFonts w:ascii="Arial" w:hAnsi="Arial" w:cs="Arial"/>
          <w:i/>
          <w:color w:val="595959" w:themeColor="text1" w:themeTint="A6"/>
        </w:rPr>
        <w:t>Oncotarget</w:t>
      </w:r>
      <w:r w:rsidRPr="001C27BF">
        <w:rPr>
          <w:rFonts w:ascii="Arial" w:hAnsi="Arial" w:cs="Arial"/>
          <w:color w:val="595959" w:themeColor="text1" w:themeTint="A6"/>
        </w:rPr>
        <w:t xml:space="preserve">, 2;7 (5):6159-74.   </w:t>
      </w:r>
    </w:p>
    <w:p w14:paraId="32B3874B" w14:textId="77777777" w:rsidR="00396EB2" w:rsidRPr="001C27BF" w:rsidRDefault="00396EB2" w:rsidP="001C27BF">
      <w:pPr>
        <w:spacing w:line="360" w:lineRule="auto"/>
        <w:jc w:val="both"/>
        <w:rPr>
          <w:rFonts w:ascii="Arial" w:hAnsi="Arial" w:cs="Arial"/>
          <w:color w:val="595959" w:themeColor="text1" w:themeTint="A6"/>
        </w:rPr>
      </w:pPr>
      <w:r w:rsidRPr="001C27BF">
        <w:rPr>
          <w:rFonts w:ascii="Arial" w:hAnsi="Arial" w:cs="Arial"/>
          <w:color w:val="595959" w:themeColor="text1" w:themeTint="A6"/>
        </w:rPr>
        <w:t xml:space="preserve">HEINO, J., Huhtala, M., Käpylä, J., and Johnson, M.S. (2009). ‘Evolution of collagen-based adhesion systems’ </w:t>
      </w:r>
      <w:r w:rsidRPr="001C27BF">
        <w:rPr>
          <w:rFonts w:ascii="Arial" w:hAnsi="Arial" w:cs="Arial"/>
          <w:i/>
          <w:color w:val="595959" w:themeColor="text1" w:themeTint="A6"/>
        </w:rPr>
        <w:t>International Journal of biochemistry and cell biology.</w:t>
      </w:r>
      <w:r w:rsidRPr="001C27BF">
        <w:rPr>
          <w:rFonts w:ascii="Arial" w:hAnsi="Arial" w:cs="Arial"/>
          <w:color w:val="595959" w:themeColor="text1" w:themeTint="A6"/>
        </w:rPr>
        <w:t xml:space="preserve"> </w:t>
      </w:r>
      <w:r w:rsidRPr="001C27BF">
        <w:rPr>
          <w:rFonts w:ascii="Arial" w:hAnsi="Arial" w:cs="Arial"/>
          <w:b/>
          <w:color w:val="595959" w:themeColor="text1" w:themeTint="A6"/>
        </w:rPr>
        <w:t xml:space="preserve">41, </w:t>
      </w:r>
      <w:r w:rsidRPr="001C27BF">
        <w:rPr>
          <w:rFonts w:ascii="Arial" w:hAnsi="Arial" w:cs="Arial"/>
          <w:color w:val="595959" w:themeColor="text1" w:themeTint="A6"/>
        </w:rPr>
        <w:t xml:space="preserve">341-348. </w:t>
      </w:r>
    </w:p>
    <w:p w14:paraId="2C5A19C5" w14:textId="450790D2" w:rsidR="00396EB2" w:rsidRPr="001C27BF" w:rsidRDefault="00396EB2" w:rsidP="001C27BF">
      <w:pPr>
        <w:spacing w:line="360" w:lineRule="auto"/>
        <w:jc w:val="both"/>
        <w:rPr>
          <w:rFonts w:ascii="Arial" w:hAnsi="Arial" w:cs="Arial"/>
          <w:color w:val="595959" w:themeColor="text1" w:themeTint="A6"/>
        </w:rPr>
      </w:pPr>
      <w:r w:rsidRPr="001C27BF">
        <w:rPr>
          <w:rFonts w:ascii="Arial" w:hAnsi="Arial" w:cs="Arial"/>
          <w:color w:val="595959" w:themeColor="text1" w:themeTint="A6"/>
        </w:rPr>
        <w:t>HERRMANN, D. Conway, J.R.W, Vennin, C, Magenau, A. Hughes, WG. Morton, J. P and Timpson, P. (2014) ‘Three-dimensional cancer models mimic cell–matrix interactions in the tumour microenvironment’.</w:t>
      </w:r>
      <w:r w:rsidRPr="001C27BF">
        <w:rPr>
          <w:rFonts w:ascii="Arial" w:hAnsi="Arial" w:cs="Arial"/>
        </w:rPr>
        <w:t xml:space="preserve"> </w:t>
      </w:r>
      <w:r w:rsidRPr="001C27BF">
        <w:rPr>
          <w:rFonts w:ascii="Arial" w:hAnsi="Arial" w:cs="Arial"/>
          <w:i/>
          <w:color w:val="595959" w:themeColor="text1" w:themeTint="A6"/>
        </w:rPr>
        <w:t>Carcinogenesi</w:t>
      </w:r>
      <w:r w:rsidRPr="001C27BF">
        <w:rPr>
          <w:rFonts w:ascii="Arial" w:hAnsi="Arial" w:cs="Arial"/>
          <w:color w:val="595959" w:themeColor="text1" w:themeTint="A6"/>
        </w:rPr>
        <w:t xml:space="preserve">s </w:t>
      </w:r>
      <w:r w:rsidR="003B1553">
        <w:rPr>
          <w:rFonts w:ascii="Arial" w:hAnsi="Arial" w:cs="Arial"/>
          <w:b/>
          <w:bCs/>
          <w:color w:val="595959" w:themeColor="text1" w:themeTint="A6"/>
        </w:rPr>
        <w:t>(</w:t>
      </w:r>
      <w:r w:rsidRPr="003B1553">
        <w:rPr>
          <w:rFonts w:ascii="Arial" w:hAnsi="Arial" w:cs="Arial"/>
          <w:b/>
          <w:bCs/>
          <w:color w:val="595959" w:themeColor="text1" w:themeTint="A6"/>
        </w:rPr>
        <w:t>00</w:t>
      </w:r>
      <w:r w:rsidR="003B1553">
        <w:rPr>
          <w:rFonts w:ascii="Arial" w:hAnsi="Arial" w:cs="Arial"/>
          <w:b/>
          <w:bCs/>
          <w:color w:val="595959" w:themeColor="text1" w:themeTint="A6"/>
        </w:rPr>
        <w:t>)</w:t>
      </w:r>
      <w:r w:rsidRPr="001C27BF">
        <w:rPr>
          <w:rFonts w:ascii="Arial" w:hAnsi="Arial" w:cs="Arial"/>
          <w:color w:val="595959" w:themeColor="text1" w:themeTint="A6"/>
        </w:rPr>
        <w:t>, no.00 1-9.</w:t>
      </w:r>
    </w:p>
    <w:p w14:paraId="179B6606" w14:textId="77777777" w:rsidR="00396EB2" w:rsidRPr="001C27BF" w:rsidRDefault="00396EB2" w:rsidP="001C27BF">
      <w:pPr>
        <w:spacing w:line="360" w:lineRule="auto"/>
        <w:jc w:val="both"/>
        <w:rPr>
          <w:rFonts w:ascii="Arial" w:hAnsi="Arial" w:cs="Arial"/>
          <w:color w:val="595959" w:themeColor="text1" w:themeTint="A6"/>
        </w:rPr>
      </w:pPr>
      <w:r w:rsidRPr="001C27BF">
        <w:rPr>
          <w:rFonts w:ascii="Arial" w:hAnsi="Arial" w:cs="Arial"/>
          <w:color w:val="595959" w:themeColor="text1" w:themeTint="A6"/>
          <w:lang w:val="de-DE"/>
        </w:rPr>
        <w:t xml:space="preserve">HIELSCHER A.C. and Gerecht S. (2012). </w:t>
      </w:r>
      <w:r w:rsidRPr="001C27BF">
        <w:rPr>
          <w:rFonts w:ascii="Arial" w:hAnsi="Arial" w:cs="Arial"/>
          <w:color w:val="595959" w:themeColor="text1" w:themeTint="A6"/>
        </w:rPr>
        <w:t xml:space="preserve">‘Engineering Approaches for Investigating Tumour Angiogenesis: Exploiting the Role of the Extracellular Matrix. </w:t>
      </w:r>
      <w:r w:rsidRPr="001C27BF">
        <w:rPr>
          <w:rFonts w:ascii="Arial" w:hAnsi="Arial" w:cs="Arial"/>
          <w:i/>
          <w:color w:val="595959" w:themeColor="text1" w:themeTint="A6"/>
        </w:rPr>
        <w:t>Cancer Res</w:t>
      </w:r>
      <w:r w:rsidRPr="001C27BF">
        <w:rPr>
          <w:rFonts w:ascii="Arial" w:hAnsi="Arial" w:cs="Arial"/>
          <w:color w:val="595959" w:themeColor="text1" w:themeTint="A6"/>
        </w:rPr>
        <w:t>, 72 (</w:t>
      </w:r>
      <w:r w:rsidRPr="001C27BF">
        <w:rPr>
          <w:rFonts w:ascii="Arial" w:hAnsi="Arial" w:cs="Arial"/>
          <w:b/>
          <w:color w:val="595959" w:themeColor="text1" w:themeTint="A6"/>
        </w:rPr>
        <w:t>23</w:t>
      </w:r>
      <w:r w:rsidRPr="001C27BF">
        <w:rPr>
          <w:rFonts w:ascii="Arial" w:hAnsi="Arial" w:cs="Arial"/>
          <w:color w:val="595959" w:themeColor="text1" w:themeTint="A6"/>
        </w:rPr>
        <w:t xml:space="preserve">), 6089-96. </w:t>
      </w:r>
    </w:p>
    <w:p w14:paraId="3FA5A449" w14:textId="77777777" w:rsidR="00396EB2" w:rsidRPr="001C27BF" w:rsidRDefault="00396EB2" w:rsidP="001C27BF">
      <w:pPr>
        <w:spacing w:line="360" w:lineRule="auto"/>
        <w:jc w:val="both"/>
        <w:rPr>
          <w:rFonts w:ascii="Arial" w:hAnsi="Arial" w:cs="Arial"/>
          <w:color w:val="595959" w:themeColor="text1" w:themeTint="A6"/>
        </w:rPr>
      </w:pPr>
      <w:r w:rsidRPr="001C27BF">
        <w:rPr>
          <w:rFonts w:ascii="Arial" w:hAnsi="Arial" w:cs="Arial"/>
          <w:color w:val="595959" w:themeColor="text1" w:themeTint="A6"/>
        </w:rPr>
        <w:t xml:space="preserve">HILDAGO, M and ECKHARDT, G. (2001). ‘Development of Matrix Metalloproteinase Inhibitors in Cancer Therapy.’ </w:t>
      </w:r>
      <w:r w:rsidRPr="001C27BF">
        <w:rPr>
          <w:rFonts w:ascii="Arial" w:hAnsi="Arial" w:cs="Arial"/>
          <w:i/>
          <w:color w:val="595959" w:themeColor="text1" w:themeTint="A6"/>
        </w:rPr>
        <w:t>Journal of the National Cancer Institute,</w:t>
      </w:r>
      <w:r w:rsidRPr="001C27BF">
        <w:rPr>
          <w:rFonts w:ascii="Arial" w:hAnsi="Arial" w:cs="Arial"/>
          <w:color w:val="595959" w:themeColor="text1" w:themeTint="A6"/>
        </w:rPr>
        <w:t xml:space="preserve"> (</w:t>
      </w:r>
      <w:r w:rsidRPr="001C27BF">
        <w:rPr>
          <w:rFonts w:ascii="Arial" w:hAnsi="Arial" w:cs="Arial"/>
          <w:b/>
          <w:color w:val="595959" w:themeColor="text1" w:themeTint="A6"/>
        </w:rPr>
        <w:t>93</w:t>
      </w:r>
      <w:r w:rsidRPr="001C27BF">
        <w:rPr>
          <w:rFonts w:ascii="Arial" w:hAnsi="Arial" w:cs="Arial"/>
          <w:color w:val="595959" w:themeColor="text1" w:themeTint="A6"/>
        </w:rPr>
        <w:t xml:space="preserve">), 3. </w:t>
      </w:r>
    </w:p>
    <w:p w14:paraId="509C4F86" w14:textId="77777777" w:rsidR="00396EB2" w:rsidRPr="001C27BF" w:rsidRDefault="00396EB2" w:rsidP="001C27BF">
      <w:pPr>
        <w:spacing w:line="360" w:lineRule="auto"/>
        <w:jc w:val="both"/>
        <w:rPr>
          <w:rFonts w:ascii="Arial" w:hAnsi="Arial" w:cs="Arial"/>
          <w:iCs/>
          <w:color w:val="595959" w:themeColor="text1" w:themeTint="A6"/>
        </w:rPr>
      </w:pPr>
      <w:r w:rsidRPr="001C27BF">
        <w:rPr>
          <w:rFonts w:ascii="Arial" w:hAnsi="Arial" w:cs="Arial"/>
          <w:iCs/>
          <w:color w:val="595959" w:themeColor="text1" w:themeTint="A6"/>
        </w:rPr>
        <w:t>HILL, D.S., Robinson, N.D.P., Caley, M.P., Chen, M., O'Toole, E.A., Armstrong, J.L., Przyborski, S. &amp; Lovat, P.E. (2015). A novel fully-humanised 3D skin equivalent to model early melanoma invasion. </w:t>
      </w:r>
      <w:r w:rsidRPr="001C27BF">
        <w:rPr>
          <w:rFonts w:ascii="Arial" w:hAnsi="Arial" w:cs="Arial"/>
          <w:i/>
          <w:iCs/>
          <w:color w:val="595959" w:themeColor="text1" w:themeTint="A6"/>
        </w:rPr>
        <w:t>Molecular Cancer Therapeutics</w:t>
      </w:r>
      <w:r w:rsidRPr="001C27BF">
        <w:rPr>
          <w:rFonts w:ascii="Arial" w:hAnsi="Arial" w:cs="Arial"/>
          <w:iCs/>
          <w:color w:val="595959" w:themeColor="text1" w:themeTint="A6"/>
        </w:rPr>
        <w:t> </w:t>
      </w:r>
      <w:r w:rsidRPr="001C27BF">
        <w:rPr>
          <w:rFonts w:ascii="Arial" w:hAnsi="Arial" w:cs="Arial"/>
          <w:b/>
          <w:bCs/>
          <w:iCs/>
          <w:color w:val="595959" w:themeColor="text1" w:themeTint="A6"/>
        </w:rPr>
        <w:t>14</w:t>
      </w:r>
      <w:r w:rsidRPr="001C27BF">
        <w:rPr>
          <w:rFonts w:ascii="Arial" w:hAnsi="Arial" w:cs="Arial"/>
          <w:iCs/>
          <w:color w:val="595959" w:themeColor="text1" w:themeTint="A6"/>
        </w:rPr>
        <w:t>(11): 2665-2673</w:t>
      </w:r>
    </w:p>
    <w:p w14:paraId="17A39AB4" w14:textId="77777777" w:rsidR="00396EB2" w:rsidRPr="001C27BF" w:rsidRDefault="00396EB2" w:rsidP="001C27BF">
      <w:pPr>
        <w:spacing w:line="360" w:lineRule="auto"/>
        <w:jc w:val="both"/>
        <w:rPr>
          <w:rFonts w:ascii="Arial" w:hAnsi="Arial" w:cs="Arial"/>
          <w:color w:val="595959" w:themeColor="text1" w:themeTint="A6"/>
        </w:rPr>
      </w:pPr>
      <w:r w:rsidRPr="001C27BF">
        <w:rPr>
          <w:rFonts w:ascii="Arial" w:hAnsi="Arial" w:cs="Arial"/>
          <w:color w:val="595959" w:themeColor="text1" w:themeTint="A6"/>
        </w:rPr>
        <w:t xml:space="preserve">HINDERMANN W, Berndt A, Borsi L, Luo X, Hyckel P, Katenkamp D, Kosmehl H. (1999). ‘Synthesis and protein distribution of the unspliced large tenascin-C isoform in oral squamous cell carcinoma’. </w:t>
      </w:r>
      <w:r w:rsidRPr="001C27BF">
        <w:rPr>
          <w:rFonts w:ascii="Arial" w:hAnsi="Arial" w:cs="Arial"/>
          <w:i/>
          <w:iCs/>
          <w:color w:val="595959" w:themeColor="text1" w:themeTint="A6"/>
        </w:rPr>
        <w:t>J Pathol</w:t>
      </w:r>
      <w:r w:rsidRPr="001C27BF">
        <w:rPr>
          <w:rFonts w:ascii="Arial" w:hAnsi="Arial" w:cs="Arial"/>
          <w:color w:val="595959" w:themeColor="text1" w:themeTint="A6"/>
        </w:rPr>
        <w:t xml:space="preserve">: </w:t>
      </w:r>
      <w:r w:rsidRPr="001C27BF">
        <w:rPr>
          <w:rFonts w:ascii="Arial" w:hAnsi="Arial" w:cs="Arial"/>
          <w:b/>
          <w:bCs/>
          <w:color w:val="595959" w:themeColor="text1" w:themeTint="A6"/>
        </w:rPr>
        <w:t>189</w:t>
      </w:r>
      <w:r w:rsidRPr="001C27BF">
        <w:rPr>
          <w:rFonts w:ascii="Arial" w:hAnsi="Arial" w:cs="Arial"/>
          <w:color w:val="595959" w:themeColor="text1" w:themeTint="A6"/>
        </w:rPr>
        <w:t>:475-80.</w:t>
      </w:r>
    </w:p>
    <w:p w14:paraId="7A72A8C1" w14:textId="77777777" w:rsidR="00396EB2" w:rsidRPr="001C27BF" w:rsidRDefault="00396EB2" w:rsidP="001C27BF">
      <w:pPr>
        <w:spacing w:line="360" w:lineRule="auto"/>
        <w:jc w:val="both"/>
        <w:rPr>
          <w:rFonts w:ascii="Arial" w:hAnsi="Arial" w:cs="Arial"/>
          <w:color w:val="595959" w:themeColor="text1" w:themeTint="A6"/>
        </w:rPr>
      </w:pPr>
      <w:r w:rsidRPr="001C27BF">
        <w:rPr>
          <w:rFonts w:ascii="Arial" w:hAnsi="Arial" w:cs="Arial"/>
          <w:color w:val="595959" w:themeColor="text1" w:themeTint="A6"/>
        </w:rPr>
        <w:t xml:space="preserve">HINTERMANN E., and Quaranta V. (2004). ‘Epithelial cell motility on laminin-5: regulation by matrix assembly, proteolysis, integrins and erbB receptors’. </w:t>
      </w:r>
      <w:r w:rsidRPr="001C27BF">
        <w:rPr>
          <w:rFonts w:ascii="Arial" w:hAnsi="Arial" w:cs="Arial"/>
          <w:i/>
          <w:color w:val="595959" w:themeColor="text1" w:themeTint="A6"/>
        </w:rPr>
        <w:t>Matrix Biol</w:t>
      </w:r>
      <w:r w:rsidRPr="001C27BF">
        <w:rPr>
          <w:rFonts w:ascii="Arial" w:hAnsi="Arial" w:cs="Arial"/>
          <w:color w:val="595959" w:themeColor="text1" w:themeTint="A6"/>
        </w:rPr>
        <w:t xml:space="preserve">; </w:t>
      </w:r>
      <w:r w:rsidRPr="001C27BF">
        <w:rPr>
          <w:rFonts w:ascii="Arial" w:hAnsi="Arial" w:cs="Arial"/>
          <w:b/>
          <w:color w:val="595959" w:themeColor="text1" w:themeTint="A6"/>
        </w:rPr>
        <w:t>23</w:t>
      </w:r>
      <w:r w:rsidRPr="001C27BF">
        <w:rPr>
          <w:rFonts w:ascii="Arial" w:hAnsi="Arial" w:cs="Arial"/>
          <w:color w:val="595959" w:themeColor="text1" w:themeTint="A6"/>
        </w:rPr>
        <w:t>: 75–85.</w:t>
      </w:r>
    </w:p>
    <w:p w14:paraId="1BC0EB40" w14:textId="77777777" w:rsidR="00396EB2" w:rsidRPr="001C27BF" w:rsidRDefault="00396EB2" w:rsidP="001C27BF">
      <w:pPr>
        <w:spacing w:line="360" w:lineRule="auto"/>
        <w:jc w:val="both"/>
        <w:rPr>
          <w:rFonts w:ascii="Arial" w:hAnsi="Arial" w:cs="Arial"/>
          <w:color w:val="595959" w:themeColor="text1" w:themeTint="A6"/>
        </w:rPr>
      </w:pPr>
      <w:r w:rsidRPr="001C27BF">
        <w:rPr>
          <w:rFonts w:ascii="Arial" w:hAnsi="Arial" w:cs="Arial"/>
          <w:color w:val="595959" w:themeColor="text1" w:themeTint="A6"/>
        </w:rPr>
        <w:t xml:space="preserve">HINZ, B. (2009). ‘Tissue stiffness, latent TGF-β1 activation, and mechanical signal transduction: implications for the pathogenesis and treatment of fibrosis’. </w:t>
      </w:r>
      <w:r w:rsidRPr="001C27BF">
        <w:rPr>
          <w:rFonts w:ascii="Arial" w:hAnsi="Arial" w:cs="Arial"/>
          <w:i/>
          <w:iCs/>
          <w:color w:val="595959" w:themeColor="text1" w:themeTint="A6"/>
        </w:rPr>
        <w:t>Curr. Rheumatol. Rep.</w:t>
      </w:r>
      <w:r w:rsidRPr="001C27BF">
        <w:rPr>
          <w:rFonts w:ascii="Arial" w:hAnsi="Arial" w:cs="Arial"/>
          <w:b/>
          <w:bCs/>
          <w:i/>
          <w:iCs/>
          <w:color w:val="595959" w:themeColor="text1" w:themeTint="A6"/>
        </w:rPr>
        <w:t xml:space="preserve"> </w:t>
      </w:r>
      <w:r w:rsidRPr="001C27BF">
        <w:rPr>
          <w:rFonts w:ascii="Arial" w:hAnsi="Arial" w:cs="Arial"/>
          <w:b/>
          <w:bCs/>
          <w:color w:val="595959" w:themeColor="text1" w:themeTint="A6"/>
        </w:rPr>
        <w:t>11</w:t>
      </w:r>
      <w:r w:rsidRPr="001C27BF">
        <w:rPr>
          <w:rFonts w:ascii="Arial" w:hAnsi="Arial" w:cs="Arial"/>
          <w:color w:val="595959" w:themeColor="text1" w:themeTint="A6"/>
        </w:rPr>
        <w:t>, 120–126.</w:t>
      </w:r>
    </w:p>
    <w:p w14:paraId="530DC8E5" w14:textId="5B347549" w:rsidR="00396EB2" w:rsidRPr="001C27BF" w:rsidRDefault="00396EB2" w:rsidP="001C27BF">
      <w:pPr>
        <w:spacing w:line="360" w:lineRule="auto"/>
        <w:jc w:val="both"/>
        <w:rPr>
          <w:rFonts w:ascii="Arial" w:hAnsi="Arial" w:cs="Arial"/>
          <w:color w:val="595959" w:themeColor="text1" w:themeTint="A6"/>
        </w:rPr>
      </w:pPr>
      <w:r w:rsidRPr="001C27BF">
        <w:rPr>
          <w:rFonts w:ascii="Arial" w:hAnsi="Arial" w:cs="Arial"/>
          <w:color w:val="595959" w:themeColor="text1" w:themeTint="A6"/>
        </w:rPr>
        <w:t>HOLLIDAY D</w:t>
      </w:r>
      <w:r w:rsidR="0064371D">
        <w:rPr>
          <w:rFonts w:ascii="Arial" w:hAnsi="Arial" w:cs="Arial"/>
          <w:color w:val="595959" w:themeColor="text1" w:themeTint="A6"/>
        </w:rPr>
        <w:t>.</w:t>
      </w:r>
      <w:r w:rsidRPr="001C27BF">
        <w:rPr>
          <w:rFonts w:ascii="Arial" w:hAnsi="Arial" w:cs="Arial"/>
          <w:color w:val="595959" w:themeColor="text1" w:themeTint="A6"/>
        </w:rPr>
        <w:t>L</w:t>
      </w:r>
      <w:r w:rsidR="0064371D">
        <w:rPr>
          <w:rFonts w:ascii="Arial" w:hAnsi="Arial" w:cs="Arial"/>
          <w:color w:val="595959" w:themeColor="text1" w:themeTint="A6"/>
        </w:rPr>
        <w:t>.</w:t>
      </w:r>
      <w:r w:rsidRPr="001C27BF">
        <w:rPr>
          <w:rFonts w:ascii="Arial" w:hAnsi="Arial" w:cs="Arial"/>
          <w:color w:val="595959" w:themeColor="text1" w:themeTint="A6"/>
        </w:rPr>
        <w:t>, Brouilette K</w:t>
      </w:r>
      <w:r w:rsidR="0064371D">
        <w:rPr>
          <w:rFonts w:ascii="Arial" w:hAnsi="Arial" w:cs="Arial"/>
          <w:color w:val="595959" w:themeColor="text1" w:themeTint="A6"/>
        </w:rPr>
        <w:t>.</w:t>
      </w:r>
      <w:r w:rsidRPr="001C27BF">
        <w:rPr>
          <w:rFonts w:ascii="Arial" w:hAnsi="Arial" w:cs="Arial"/>
          <w:color w:val="595959" w:themeColor="text1" w:themeTint="A6"/>
        </w:rPr>
        <w:t>T</w:t>
      </w:r>
      <w:r w:rsidR="0064371D">
        <w:rPr>
          <w:rFonts w:ascii="Arial" w:hAnsi="Arial" w:cs="Arial"/>
          <w:color w:val="595959" w:themeColor="text1" w:themeTint="A6"/>
        </w:rPr>
        <w:t>.</w:t>
      </w:r>
      <w:r w:rsidRPr="001C27BF">
        <w:rPr>
          <w:rFonts w:ascii="Arial" w:hAnsi="Arial" w:cs="Arial"/>
          <w:color w:val="595959" w:themeColor="text1" w:themeTint="A6"/>
        </w:rPr>
        <w:t>, Markert A, Gordon L</w:t>
      </w:r>
      <w:r w:rsidR="0064371D">
        <w:rPr>
          <w:rFonts w:ascii="Arial" w:hAnsi="Arial" w:cs="Arial"/>
          <w:color w:val="595959" w:themeColor="text1" w:themeTint="A6"/>
        </w:rPr>
        <w:t>.</w:t>
      </w:r>
      <w:r w:rsidRPr="001C27BF">
        <w:rPr>
          <w:rFonts w:ascii="Arial" w:hAnsi="Arial" w:cs="Arial"/>
          <w:color w:val="595959" w:themeColor="text1" w:themeTint="A6"/>
        </w:rPr>
        <w:t>A</w:t>
      </w:r>
      <w:r w:rsidR="0064371D">
        <w:rPr>
          <w:rFonts w:ascii="Arial" w:hAnsi="Arial" w:cs="Arial"/>
          <w:color w:val="595959" w:themeColor="text1" w:themeTint="A6"/>
        </w:rPr>
        <w:t>.</w:t>
      </w:r>
      <w:r w:rsidRPr="001C27BF">
        <w:rPr>
          <w:rFonts w:ascii="Arial" w:hAnsi="Arial" w:cs="Arial"/>
          <w:color w:val="595959" w:themeColor="text1" w:themeTint="A6"/>
        </w:rPr>
        <w:t>, Jones J</w:t>
      </w:r>
      <w:r w:rsidR="0064371D">
        <w:rPr>
          <w:rFonts w:ascii="Arial" w:hAnsi="Arial" w:cs="Arial"/>
          <w:color w:val="595959" w:themeColor="text1" w:themeTint="A6"/>
        </w:rPr>
        <w:t>.</w:t>
      </w:r>
      <w:r w:rsidRPr="001C27BF">
        <w:rPr>
          <w:rFonts w:ascii="Arial" w:hAnsi="Arial" w:cs="Arial"/>
          <w:color w:val="595959" w:themeColor="text1" w:themeTint="A6"/>
        </w:rPr>
        <w:t>L</w:t>
      </w:r>
      <w:r w:rsidR="0064371D">
        <w:rPr>
          <w:rFonts w:ascii="Arial" w:hAnsi="Arial" w:cs="Arial"/>
          <w:color w:val="595959" w:themeColor="text1" w:themeTint="A6"/>
        </w:rPr>
        <w:t>.</w:t>
      </w:r>
      <w:r w:rsidRPr="001C27BF">
        <w:rPr>
          <w:rFonts w:ascii="Arial" w:hAnsi="Arial" w:cs="Arial"/>
          <w:color w:val="595959" w:themeColor="text1" w:themeTint="A6"/>
        </w:rPr>
        <w:t xml:space="preserve"> (2009). ‘Novel multicellular organotypic models of normal and malignant breast: tools for dissecting the role of the microenvironment in breast cancer progression’. </w:t>
      </w:r>
      <w:r w:rsidRPr="001C27BF">
        <w:rPr>
          <w:rFonts w:ascii="Arial" w:hAnsi="Arial" w:cs="Arial"/>
          <w:i/>
          <w:color w:val="595959" w:themeColor="text1" w:themeTint="A6"/>
        </w:rPr>
        <w:t>Breast Cancer Res</w:t>
      </w:r>
      <w:r w:rsidRPr="001C27BF">
        <w:rPr>
          <w:rFonts w:ascii="Arial" w:hAnsi="Arial" w:cs="Arial"/>
          <w:color w:val="595959" w:themeColor="text1" w:themeTint="A6"/>
        </w:rPr>
        <w:t xml:space="preserve"> 11:R3.</w:t>
      </w:r>
    </w:p>
    <w:p w14:paraId="52E0E071" w14:textId="77777777" w:rsidR="00396EB2" w:rsidRPr="001C27BF" w:rsidRDefault="00396EB2" w:rsidP="001C27BF">
      <w:pPr>
        <w:spacing w:line="360" w:lineRule="auto"/>
        <w:jc w:val="both"/>
        <w:rPr>
          <w:rFonts w:ascii="Arial" w:hAnsi="Arial" w:cs="Arial"/>
          <w:color w:val="595959" w:themeColor="text1" w:themeTint="A6"/>
        </w:rPr>
      </w:pPr>
      <w:r w:rsidRPr="001C27BF">
        <w:rPr>
          <w:rFonts w:ascii="Arial" w:hAnsi="Arial" w:cs="Arial"/>
          <w:color w:val="595959" w:themeColor="text1" w:themeTint="A6"/>
        </w:rPr>
        <w:t xml:space="preserve">HUGHES, C.S. (2010) “Matrigel: a complex protein mixture required for optimal growth of cell culture”. </w:t>
      </w:r>
      <w:r w:rsidRPr="001C27BF">
        <w:rPr>
          <w:rFonts w:ascii="Arial" w:hAnsi="Arial" w:cs="Arial"/>
          <w:i/>
          <w:color w:val="595959" w:themeColor="text1" w:themeTint="A6"/>
        </w:rPr>
        <w:t>Proteomics</w:t>
      </w:r>
      <w:r w:rsidRPr="001C27BF">
        <w:rPr>
          <w:rFonts w:ascii="Arial" w:hAnsi="Arial" w:cs="Arial"/>
          <w:color w:val="595959" w:themeColor="text1" w:themeTint="A6"/>
        </w:rPr>
        <w:t>, 10, 1886–1890.</w:t>
      </w:r>
    </w:p>
    <w:p w14:paraId="180F346E" w14:textId="77777777" w:rsidR="00396EB2" w:rsidRPr="001C27BF" w:rsidRDefault="00396EB2" w:rsidP="001C27BF">
      <w:pPr>
        <w:spacing w:line="360" w:lineRule="auto"/>
        <w:jc w:val="both"/>
        <w:rPr>
          <w:rFonts w:ascii="Arial" w:hAnsi="Arial" w:cs="Arial"/>
          <w:color w:val="595959" w:themeColor="text1" w:themeTint="A6"/>
        </w:rPr>
      </w:pPr>
      <w:r w:rsidRPr="001C27BF">
        <w:rPr>
          <w:rFonts w:ascii="Arial" w:hAnsi="Arial" w:cs="Arial"/>
          <w:color w:val="595959" w:themeColor="text1" w:themeTint="A6"/>
        </w:rPr>
        <w:t xml:space="preserve">HUO, C.W. Chew, G. Hill, P. Huang, D. Ingman, W. Hodson, L. Brown, K.A. Manginau, A. Allam, A.H. McGhee, E. Timpson, P. Henderson, M.A. Thompson, E.W, and Britt, K. (2015). ‘High mammographic density is associated with an increase in stromal collagen and immune cells within the mammary epithelium.’ </w:t>
      </w:r>
      <w:r w:rsidRPr="001C27BF">
        <w:rPr>
          <w:rFonts w:ascii="Arial" w:hAnsi="Arial" w:cs="Arial"/>
          <w:i/>
          <w:color w:val="595959" w:themeColor="text1" w:themeTint="A6"/>
        </w:rPr>
        <w:t xml:space="preserve">Breast cancer Res; </w:t>
      </w:r>
      <w:r w:rsidRPr="001C27BF">
        <w:rPr>
          <w:rFonts w:ascii="Arial" w:hAnsi="Arial" w:cs="Arial"/>
          <w:b/>
          <w:color w:val="595959" w:themeColor="text1" w:themeTint="A6"/>
        </w:rPr>
        <w:t>17</w:t>
      </w:r>
      <w:r w:rsidRPr="001C27BF">
        <w:rPr>
          <w:rFonts w:ascii="Arial" w:hAnsi="Arial" w:cs="Arial"/>
          <w:color w:val="595959" w:themeColor="text1" w:themeTint="A6"/>
        </w:rPr>
        <w:t xml:space="preserve">(1):79. </w:t>
      </w:r>
    </w:p>
    <w:p w14:paraId="1A5B3096" w14:textId="77777777" w:rsidR="00396EB2" w:rsidRPr="001C27BF" w:rsidRDefault="00396EB2" w:rsidP="001C27BF">
      <w:pPr>
        <w:spacing w:line="360" w:lineRule="auto"/>
        <w:jc w:val="both"/>
        <w:rPr>
          <w:rFonts w:ascii="Arial" w:hAnsi="Arial" w:cs="Arial"/>
          <w:color w:val="595959" w:themeColor="text1" w:themeTint="A6"/>
        </w:rPr>
      </w:pPr>
      <w:r w:rsidRPr="001C27BF">
        <w:rPr>
          <w:rFonts w:ascii="Arial" w:hAnsi="Arial" w:cs="Arial"/>
          <w:color w:val="595959" w:themeColor="text1" w:themeTint="A6"/>
        </w:rPr>
        <w:t xml:space="preserve">HYNES R.O. (2009), ‘Extracellular matrix: not just pretty fibrils.’ </w:t>
      </w:r>
      <w:r w:rsidRPr="001C27BF">
        <w:rPr>
          <w:rFonts w:ascii="Arial" w:hAnsi="Arial" w:cs="Arial"/>
          <w:i/>
          <w:color w:val="595959" w:themeColor="text1" w:themeTint="A6"/>
        </w:rPr>
        <w:t>Science</w:t>
      </w:r>
      <w:r w:rsidRPr="001C27BF">
        <w:rPr>
          <w:rFonts w:ascii="Arial" w:hAnsi="Arial" w:cs="Arial"/>
          <w:color w:val="595959" w:themeColor="text1" w:themeTint="A6"/>
        </w:rPr>
        <w:t xml:space="preserve">, </w:t>
      </w:r>
      <w:r w:rsidRPr="001C27BF">
        <w:rPr>
          <w:rFonts w:ascii="Arial" w:hAnsi="Arial" w:cs="Arial"/>
          <w:b/>
          <w:color w:val="595959" w:themeColor="text1" w:themeTint="A6"/>
        </w:rPr>
        <w:t>27</w:t>
      </w:r>
      <w:r w:rsidRPr="001C27BF">
        <w:rPr>
          <w:rFonts w:ascii="Arial" w:hAnsi="Arial" w:cs="Arial"/>
          <w:color w:val="595959" w:themeColor="text1" w:themeTint="A6"/>
        </w:rPr>
        <w:t xml:space="preserve">: 326(5957):1216-1219. </w:t>
      </w:r>
    </w:p>
    <w:p w14:paraId="063F6748" w14:textId="33F2B264" w:rsidR="00396EB2" w:rsidRPr="001C27BF" w:rsidRDefault="00396EB2" w:rsidP="001C27BF">
      <w:pPr>
        <w:spacing w:line="360" w:lineRule="auto"/>
        <w:jc w:val="both"/>
        <w:rPr>
          <w:rFonts w:ascii="Arial" w:hAnsi="Arial" w:cs="Arial"/>
          <w:color w:val="595959" w:themeColor="text1" w:themeTint="A6"/>
        </w:rPr>
      </w:pPr>
      <w:r w:rsidRPr="001C27BF">
        <w:rPr>
          <w:rFonts w:ascii="Arial" w:hAnsi="Arial" w:cs="Arial"/>
          <w:color w:val="595959" w:themeColor="text1" w:themeTint="A6"/>
        </w:rPr>
        <w:t xml:space="preserve">HYNES R.O.’ (2007). ‘Cell-matrix adhesion in vascular development’. </w:t>
      </w:r>
      <w:r w:rsidRPr="001C27BF">
        <w:rPr>
          <w:rFonts w:ascii="Arial" w:hAnsi="Arial" w:cs="Arial"/>
          <w:i/>
          <w:color w:val="595959" w:themeColor="text1" w:themeTint="A6"/>
        </w:rPr>
        <w:t>J Thromb Haemost</w:t>
      </w:r>
      <w:r w:rsidRPr="001C27BF">
        <w:rPr>
          <w:rFonts w:ascii="Arial" w:hAnsi="Arial" w:cs="Arial"/>
          <w:color w:val="595959" w:themeColor="text1" w:themeTint="A6"/>
        </w:rPr>
        <w:t xml:space="preserve"> </w:t>
      </w:r>
      <w:r w:rsidRPr="001C27BF">
        <w:rPr>
          <w:rFonts w:ascii="Arial" w:hAnsi="Arial" w:cs="Arial"/>
          <w:b/>
          <w:color w:val="595959" w:themeColor="text1" w:themeTint="A6"/>
        </w:rPr>
        <w:t>5</w:t>
      </w:r>
      <w:r w:rsidRPr="001C27BF">
        <w:rPr>
          <w:rFonts w:ascii="Arial" w:hAnsi="Arial" w:cs="Arial"/>
          <w:color w:val="595959" w:themeColor="text1" w:themeTint="A6"/>
        </w:rPr>
        <w:t xml:space="preserve">: 32–40. </w:t>
      </w:r>
    </w:p>
    <w:p w14:paraId="4969FBAA" w14:textId="77777777" w:rsidR="00396EB2" w:rsidRPr="001C27BF" w:rsidRDefault="00396EB2" w:rsidP="001C27BF">
      <w:pPr>
        <w:spacing w:line="360" w:lineRule="auto"/>
        <w:jc w:val="both"/>
        <w:rPr>
          <w:rFonts w:ascii="Arial" w:hAnsi="Arial" w:cs="Arial"/>
          <w:color w:val="595959" w:themeColor="text1" w:themeTint="A6"/>
        </w:rPr>
      </w:pPr>
      <w:r w:rsidRPr="001C27BF">
        <w:rPr>
          <w:rFonts w:ascii="Arial" w:hAnsi="Arial" w:cs="Arial"/>
          <w:color w:val="595959" w:themeColor="text1" w:themeTint="A6"/>
        </w:rPr>
        <w:t xml:space="preserve">IMAI K., Hiramatsu A., Fukushima D., Pierschbacher M.D., Okada Y. (1997). ‘Degradation of decorin by matrix metalloproteinases: identification of the cleavage sites, kinetic analyses and transforming growth factor-β1 release’. </w:t>
      </w:r>
      <w:r w:rsidRPr="001C27BF">
        <w:rPr>
          <w:rFonts w:ascii="Arial" w:hAnsi="Arial" w:cs="Arial"/>
          <w:i/>
          <w:color w:val="595959" w:themeColor="text1" w:themeTint="A6"/>
        </w:rPr>
        <w:t>Biochem. J</w:t>
      </w:r>
      <w:r w:rsidRPr="001C27BF">
        <w:rPr>
          <w:rFonts w:ascii="Arial" w:hAnsi="Arial" w:cs="Arial"/>
          <w:color w:val="595959" w:themeColor="text1" w:themeTint="A6"/>
        </w:rPr>
        <w:t xml:space="preserve">; </w:t>
      </w:r>
      <w:r w:rsidRPr="001C27BF">
        <w:rPr>
          <w:rFonts w:ascii="Arial" w:hAnsi="Arial" w:cs="Arial"/>
          <w:b/>
          <w:color w:val="595959" w:themeColor="text1" w:themeTint="A6"/>
        </w:rPr>
        <w:t>322</w:t>
      </w:r>
      <w:r w:rsidRPr="001C27BF">
        <w:rPr>
          <w:rFonts w:ascii="Arial" w:hAnsi="Arial" w:cs="Arial"/>
          <w:color w:val="595959" w:themeColor="text1" w:themeTint="A6"/>
        </w:rPr>
        <w:t>:809–814.</w:t>
      </w:r>
    </w:p>
    <w:p w14:paraId="01E87FAE" w14:textId="3802215B" w:rsidR="00396EB2" w:rsidRPr="001C27BF" w:rsidRDefault="00396EB2" w:rsidP="001C27BF">
      <w:pPr>
        <w:spacing w:line="360" w:lineRule="auto"/>
        <w:jc w:val="both"/>
        <w:rPr>
          <w:rFonts w:ascii="Arial" w:hAnsi="Arial" w:cs="Arial"/>
          <w:color w:val="595959" w:themeColor="text1" w:themeTint="A6"/>
        </w:rPr>
      </w:pPr>
      <w:r w:rsidRPr="001C27BF">
        <w:rPr>
          <w:rFonts w:ascii="Arial" w:hAnsi="Arial" w:cs="Arial"/>
          <w:color w:val="595959" w:themeColor="text1" w:themeTint="A6"/>
        </w:rPr>
        <w:t>IOZZO R.V. (1998). ‘M</w:t>
      </w:r>
      <w:r w:rsidR="00982EED" w:rsidRPr="001C27BF">
        <w:rPr>
          <w:rFonts w:ascii="Arial" w:hAnsi="Arial" w:cs="Arial"/>
          <w:color w:val="595959" w:themeColor="text1" w:themeTint="A6"/>
        </w:rPr>
        <w:t>atrix proteoglycans</w:t>
      </w:r>
      <w:r w:rsidRPr="001C27BF">
        <w:rPr>
          <w:rFonts w:ascii="Arial" w:hAnsi="Arial" w:cs="Arial"/>
          <w:color w:val="595959" w:themeColor="text1" w:themeTint="A6"/>
        </w:rPr>
        <w:t>: From Molecular Design to Cellular Function.’</w:t>
      </w:r>
      <w:r w:rsidRPr="001C27BF">
        <w:rPr>
          <w:rFonts w:ascii="Arial" w:hAnsi="Arial" w:cs="Arial"/>
        </w:rPr>
        <w:t xml:space="preserve"> </w:t>
      </w:r>
      <w:r w:rsidRPr="001C27BF">
        <w:rPr>
          <w:rFonts w:ascii="Arial" w:hAnsi="Arial" w:cs="Arial"/>
          <w:i/>
          <w:color w:val="595959" w:themeColor="text1" w:themeTint="A6"/>
        </w:rPr>
        <w:t>Annu. Rev. Biochem</w:t>
      </w:r>
      <w:r w:rsidRPr="001C27BF">
        <w:rPr>
          <w:rFonts w:ascii="Arial" w:hAnsi="Arial" w:cs="Arial"/>
          <w:color w:val="595959" w:themeColor="text1" w:themeTint="A6"/>
        </w:rPr>
        <w:t xml:space="preserve">; </w:t>
      </w:r>
      <w:r w:rsidRPr="001C27BF">
        <w:rPr>
          <w:rFonts w:ascii="Arial" w:hAnsi="Arial" w:cs="Arial"/>
          <w:b/>
          <w:color w:val="595959" w:themeColor="text1" w:themeTint="A6"/>
        </w:rPr>
        <w:t>67</w:t>
      </w:r>
      <w:r w:rsidRPr="001C27BF">
        <w:rPr>
          <w:rFonts w:ascii="Arial" w:hAnsi="Arial" w:cs="Arial"/>
          <w:color w:val="595959" w:themeColor="text1" w:themeTint="A6"/>
        </w:rPr>
        <w:t xml:space="preserve">:609–52. </w:t>
      </w:r>
    </w:p>
    <w:p w14:paraId="4F76DE4C" w14:textId="088BAE47" w:rsidR="00396EB2" w:rsidRPr="001C27BF" w:rsidRDefault="00396EB2" w:rsidP="001C27BF">
      <w:pPr>
        <w:spacing w:line="360" w:lineRule="auto"/>
        <w:jc w:val="both"/>
        <w:rPr>
          <w:rFonts w:ascii="Arial" w:hAnsi="Arial" w:cs="Arial"/>
          <w:color w:val="595959" w:themeColor="text1" w:themeTint="A6"/>
        </w:rPr>
      </w:pPr>
      <w:r w:rsidRPr="001C27BF">
        <w:rPr>
          <w:rFonts w:ascii="Arial" w:hAnsi="Arial" w:cs="Arial"/>
          <w:color w:val="595959" w:themeColor="text1" w:themeTint="A6"/>
        </w:rPr>
        <w:t xml:space="preserve">ISHII G., Ochiai A., and Neri S. (2016). ‘Phenotypic and functional heterogeneity of cancer-associated fibroblast within the tumour microenvironment’. </w:t>
      </w:r>
      <w:r w:rsidRPr="001C27BF">
        <w:rPr>
          <w:rFonts w:ascii="Arial" w:hAnsi="Arial" w:cs="Arial"/>
          <w:i/>
          <w:iCs/>
          <w:color w:val="595959" w:themeColor="text1" w:themeTint="A6"/>
        </w:rPr>
        <w:t>Advanced Drug Delivery Reviews</w:t>
      </w:r>
      <w:r w:rsidRPr="001C27BF">
        <w:rPr>
          <w:rFonts w:ascii="Arial" w:hAnsi="Arial" w:cs="Arial"/>
          <w:color w:val="595959" w:themeColor="text1" w:themeTint="A6"/>
        </w:rPr>
        <w:t xml:space="preserve">, </w:t>
      </w:r>
      <w:r w:rsidRPr="001C27BF">
        <w:rPr>
          <w:rFonts w:ascii="Arial" w:hAnsi="Arial" w:cs="Arial"/>
          <w:b/>
          <w:bCs/>
          <w:color w:val="595959" w:themeColor="text1" w:themeTint="A6"/>
        </w:rPr>
        <w:t>99</w:t>
      </w:r>
      <w:r w:rsidRPr="001C27BF">
        <w:rPr>
          <w:rFonts w:ascii="Arial" w:hAnsi="Arial" w:cs="Arial"/>
          <w:color w:val="595959" w:themeColor="text1" w:themeTint="A6"/>
        </w:rPr>
        <w:t xml:space="preserve"> (Pt B), 186–196.</w:t>
      </w:r>
    </w:p>
    <w:p w14:paraId="4A0E637C" w14:textId="718C83AA" w:rsidR="00982EED" w:rsidRDefault="00982EED" w:rsidP="001C27BF">
      <w:pPr>
        <w:spacing w:line="360" w:lineRule="auto"/>
        <w:jc w:val="both"/>
        <w:rPr>
          <w:rFonts w:ascii="Arial" w:hAnsi="Arial" w:cs="Arial"/>
          <w:color w:val="595959" w:themeColor="text1" w:themeTint="A6"/>
        </w:rPr>
      </w:pPr>
      <w:r w:rsidRPr="001C27BF">
        <w:rPr>
          <w:rFonts w:ascii="Arial" w:hAnsi="Arial" w:cs="Arial"/>
          <w:color w:val="595959" w:themeColor="text1" w:themeTint="A6"/>
        </w:rPr>
        <w:t xml:space="preserve">JENNINGS L, Colley H.E, Ong J, Panagakos F, Masters J, Trivedi H, Murdoch C &amp; Whawell S (2016). ‘Development and characterisation of in vitro human oral mucosal equivalents derived from immortalised oral keratinocytes’. </w:t>
      </w:r>
      <w:r w:rsidRPr="001C27BF">
        <w:rPr>
          <w:rFonts w:ascii="Arial" w:hAnsi="Arial" w:cs="Arial"/>
          <w:i/>
          <w:iCs/>
          <w:color w:val="595959" w:themeColor="text1" w:themeTint="A6"/>
        </w:rPr>
        <w:t>Tissue Engineering Part C: Methods</w:t>
      </w:r>
      <w:r w:rsidRPr="001C27BF">
        <w:rPr>
          <w:rFonts w:ascii="Arial" w:hAnsi="Arial" w:cs="Arial"/>
          <w:color w:val="595959" w:themeColor="text1" w:themeTint="A6"/>
        </w:rPr>
        <w:t xml:space="preserve">, </w:t>
      </w:r>
      <w:r w:rsidRPr="001C27BF">
        <w:rPr>
          <w:rFonts w:ascii="Arial" w:hAnsi="Arial" w:cs="Arial"/>
          <w:b/>
          <w:bCs/>
          <w:color w:val="595959" w:themeColor="text1" w:themeTint="A6"/>
        </w:rPr>
        <w:t>22</w:t>
      </w:r>
      <w:r w:rsidRPr="001C27BF">
        <w:rPr>
          <w:rFonts w:ascii="Arial" w:hAnsi="Arial" w:cs="Arial"/>
          <w:color w:val="595959" w:themeColor="text1" w:themeTint="A6"/>
        </w:rPr>
        <w:t>(2), 1108-1117.</w:t>
      </w:r>
    </w:p>
    <w:p w14:paraId="36A4153B" w14:textId="305324FE" w:rsidR="00231F03" w:rsidRPr="004B5330" w:rsidRDefault="00231F03" w:rsidP="001C27BF">
      <w:pPr>
        <w:spacing w:line="360" w:lineRule="auto"/>
        <w:jc w:val="both"/>
        <w:rPr>
          <w:rFonts w:ascii="Arial" w:hAnsi="Arial" w:cs="Arial"/>
          <w:color w:val="595959" w:themeColor="text1" w:themeTint="A6"/>
        </w:rPr>
      </w:pPr>
      <w:r w:rsidRPr="004B5330">
        <w:rPr>
          <w:rFonts w:ascii="Arial" w:hAnsi="Arial" w:cs="Arial"/>
          <w:color w:val="595959" w:themeColor="text1" w:themeTint="A6"/>
        </w:rPr>
        <w:t>JUNTTILA M</w:t>
      </w:r>
      <w:r w:rsidR="00E22FD0" w:rsidRPr="004B5330">
        <w:rPr>
          <w:rFonts w:ascii="Arial" w:hAnsi="Arial" w:cs="Arial"/>
          <w:color w:val="595959" w:themeColor="text1" w:themeTint="A6"/>
        </w:rPr>
        <w:t>.</w:t>
      </w:r>
      <w:r w:rsidRPr="004B5330">
        <w:rPr>
          <w:rFonts w:ascii="Arial" w:hAnsi="Arial" w:cs="Arial"/>
          <w:color w:val="595959" w:themeColor="text1" w:themeTint="A6"/>
        </w:rPr>
        <w:t>R</w:t>
      </w:r>
      <w:r w:rsidR="00E22FD0" w:rsidRPr="004B5330">
        <w:rPr>
          <w:rFonts w:ascii="Arial" w:hAnsi="Arial" w:cs="Arial"/>
          <w:color w:val="595959" w:themeColor="text1" w:themeTint="A6"/>
        </w:rPr>
        <w:t>.</w:t>
      </w:r>
      <w:r w:rsidRPr="004B5330">
        <w:rPr>
          <w:rFonts w:ascii="Arial" w:hAnsi="Arial" w:cs="Arial"/>
          <w:color w:val="595959" w:themeColor="text1" w:themeTint="A6"/>
        </w:rPr>
        <w:t xml:space="preserve">, </w:t>
      </w:r>
      <w:r w:rsidR="00E22FD0" w:rsidRPr="004B5330">
        <w:rPr>
          <w:rFonts w:ascii="Arial" w:hAnsi="Arial" w:cs="Arial"/>
          <w:color w:val="595959" w:themeColor="text1" w:themeTint="A6"/>
        </w:rPr>
        <w:t>D</w:t>
      </w:r>
      <w:r w:rsidRPr="004B5330">
        <w:rPr>
          <w:rFonts w:ascii="Arial" w:hAnsi="Arial" w:cs="Arial"/>
          <w:color w:val="595959" w:themeColor="text1" w:themeTint="A6"/>
        </w:rPr>
        <w:t>e Sauvage F</w:t>
      </w:r>
      <w:r w:rsidR="00E22FD0" w:rsidRPr="004B5330">
        <w:rPr>
          <w:rFonts w:ascii="Arial" w:hAnsi="Arial" w:cs="Arial"/>
          <w:color w:val="595959" w:themeColor="text1" w:themeTint="A6"/>
        </w:rPr>
        <w:t>.</w:t>
      </w:r>
      <w:r w:rsidRPr="004B5330">
        <w:rPr>
          <w:rFonts w:ascii="Arial" w:hAnsi="Arial" w:cs="Arial"/>
          <w:color w:val="595959" w:themeColor="text1" w:themeTint="A6"/>
        </w:rPr>
        <w:t>J.</w:t>
      </w:r>
      <w:r w:rsidR="00E22FD0" w:rsidRPr="004B5330">
        <w:rPr>
          <w:rFonts w:ascii="Arial" w:hAnsi="Arial" w:cs="Arial"/>
          <w:color w:val="595959" w:themeColor="text1" w:themeTint="A6"/>
        </w:rPr>
        <w:t xml:space="preserve"> (2013)</w:t>
      </w:r>
      <w:r w:rsidRPr="004B5330">
        <w:rPr>
          <w:rFonts w:ascii="Arial" w:hAnsi="Arial" w:cs="Arial"/>
          <w:color w:val="595959" w:themeColor="text1" w:themeTint="A6"/>
        </w:rPr>
        <w:t xml:space="preserve"> Influence of tumour micro-environment heterogeneity on therapeutic response. Nature. </w:t>
      </w:r>
      <w:r w:rsidRPr="004B5330">
        <w:rPr>
          <w:rFonts w:ascii="Arial" w:hAnsi="Arial" w:cs="Arial"/>
          <w:b/>
          <w:bCs/>
          <w:color w:val="595959" w:themeColor="text1" w:themeTint="A6"/>
        </w:rPr>
        <w:t>501</w:t>
      </w:r>
      <w:r w:rsidRPr="004B5330">
        <w:rPr>
          <w:rFonts w:ascii="Arial" w:hAnsi="Arial" w:cs="Arial"/>
          <w:color w:val="595959" w:themeColor="text1" w:themeTint="A6"/>
        </w:rPr>
        <w:t>:346–54.</w:t>
      </w:r>
    </w:p>
    <w:p w14:paraId="1E3AEA46" w14:textId="77777777" w:rsidR="00396EB2" w:rsidRPr="001C27BF" w:rsidRDefault="00396EB2" w:rsidP="001C27BF">
      <w:pPr>
        <w:spacing w:line="360" w:lineRule="auto"/>
        <w:jc w:val="both"/>
        <w:rPr>
          <w:rFonts w:ascii="Arial" w:hAnsi="Arial" w:cs="Arial"/>
          <w:color w:val="595959" w:themeColor="text1" w:themeTint="A6"/>
          <w:lang w:val="en-US"/>
        </w:rPr>
      </w:pPr>
      <w:r w:rsidRPr="001C27BF">
        <w:rPr>
          <w:rFonts w:ascii="Arial" w:hAnsi="Arial" w:cs="Arial"/>
          <w:color w:val="595959" w:themeColor="text1" w:themeTint="A6"/>
        </w:rPr>
        <w:t>KALLURI R. (2016). ‘</w:t>
      </w:r>
      <w:r w:rsidRPr="001C27BF">
        <w:rPr>
          <w:rFonts w:ascii="Arial" w:hAnsi="Arial" w:cs="Arial"/>
          <w:color w:val="595959" w:themeColor="text1" w:themeTint="A6"/>
          <w:lang w:val="en-US"/>
        </w:rPr>
        <w:t xml:space="preserve">The biology and function of fibroblasts in cancer.’ </w:t>
      </w:r>
      <w:r w:rsidRPr="001C27BF">
        <w:rPr>
          <w:rFonts w:ascii="Arial" w:hAnsi="Arial" w:cs="Arial"/>
          <w:i/>
          <w:iCs/>
          <w:color w:val="595959" w:themeColor="text1" w:themeTint="A6"/>
          <w:lang w:val="en-US"/>
        </w:rPr>
        <w:t xml:space="preserve">Nature Reviews Cancer; </w:t>
      </w:r>
      <w:r w:rsidRPr="001C27BF">
        <w:rPr>
          <w:rFonts w:ascii="Arial" w:hAnsi="Arial" w:cs="Arial"/>
          <w:b/>
          <w:bCs/>
          <w:color w:val="595959" w:themeColor="text1" w:themeTint="A6"/>
          <w:lang w:val="en-US"/>
        </w:rPr>
        <w:t>16</w:t>
      </w:r>
      <w:r w:rsidRPr="001C27BF">
        <w:rPr>
          <w:rFonts w:ascii="Arial" w:hAnsi="Arial" w:cs="Arial"/>
          <w:color w:val="595959" w:themeColor="text1" w:themeTint="A6"/>
          <w:lang w:val="en-US"/>
        </w:rPr>
        <w:t>,</w:t>
      </w:r>
      <w:r w:rsidRPr="001C27BF">
        <w:rPr>
          <w:rFonts w:ascii="Arial" w:hAnsi="Arial" w:cs="Arial"/>
          <w:i/>
          <w:iCs/>
          <w:color w:val="595959" w:themeColor="text1" w:themeTint="A6"/>
          <w:lang w:val="en-US"/>
        </w:rPr>
        <w:t xml:space="preserve"> </w:t>
      </w:r>
      <w:r w:rsidRPr="001C27BF">
        <w:rPr>
          <w:rFonts w:ascii="Arial" w:hAnsi="Arial" w:cs="Arial"/>
          <w:color w:val="595959" w:themeColor="text1" w:themeTint="A6"/>
          <w:lang w:val="en-US"/>
        </w:rPr>
        <w:t>582–598.</w:t>
      </w:r>
    </w:p>
    <w:p w14:paraId="553A2FAF" w14:textId="77777777" w:rsidR="00396EB2" w:rsidRPr="001C27BF" w:rsidRDefault="00396EB2" w:rsidP="001C27BF">
      <w:pPr>
        <w:spacing w:line="360" w:lineRule="auto"/>
        <w:jc w:val="both"/>
        <w:rPr>
          <w:rFonts w:ascii="Arial" w:hAnsi="Arial" w:cs="Arial"/>
          <w:color w:val="595959" w:themeColor="text1" w:themeTint="A6"/>
        </w:rPr>
      </w:pPr>
      <w:r w:rsidRPr="001C27BF">
        <w:rPr>
          <w:rFonts w:ascii="Arial" w:hAnsi="Arial" w:cs="Arial"/>
          <w:color w:val="595959" w:themeColor="text1" w:themeTint="A6"/>
          <w:lang w:val="el-GR"/>
        </w:rPr>
        <w:t>ΚΑΤΟ</w:t>
      </w:r>
      <w:r w:rsidRPr="001C27BF">
        <w:rPr>
          <w:rFonts w:ascii="Arial" w:hAnsi="Arial" w:cs="Arial"/>
          <w:color w:val="595959" w:themeColor="text1" w:themeTint="A6"/>
          <w:lang w:val="en-US"/>
        </w:rPr>
        <w:t xml:space="preserve"> </w:t>
      </w:r>
      <w:r w:rsidRPr="001C27BF">
        <w:rPr>
          <w:rFonts w:ascii="Arial" w:hAnsi="Arial" w:cs="Arial"/>
          <w:color w:val="595959" w:themeColor="text1" w:themeTint="A6"/>
          <w:lang w:val="el-GR"/>
        </w:rPr>
        <w:t>Κ</w:t>
      </w:r>
      <w:r w:rsidRPr="001C27BF">
        <w:rPr>
          <w:rFonts w:ascii="Arial" w:hAnsi="Arial" w:cs="Arial"/>
          <w:color w:val="595959" w:themeColor="text1" w:themeTint="A6"/>
          <w:lang w:val="en-US"/>
        </w:rPr>
        <w:t xml:space="preserve">, Hara </w:t>
      </w:r>
      <w:r w:rsidRPr="001C27BF">
        <w:rPr>
          <w:rFonts w:ascii="Arial" w:hAnsi="Arial" w:cs="Arial"/>
          <w:color w:val="595959" w:themeColor="text1" w:themeTint="A6"/>
          <w:lang w:val="el-GR"/>
        </w:rPr>
        <w:t>Α</w:t>
      </w:r>
      <w:r w:rsidRPr="001C27BF">
        <w:rPr>
          <w:rFonts w:ascii="Arial" w:hAnsi="Arial" w:cs="Arial"/>
          <w:color w:val="595959" w:themeColor="text1" w:themeTint="A6"/>
          <w:lang w:val="en-US"/>
        </w:rPr>
        <w:t xml:space="preserve">, Kuno </w:t>
      </w:r>
      <w:r w:rsidRPr="001C27BF">
        <w:rPr>
          <w:rFonts w:ascii="Arial" w:hAnsi="Arial" w:cs="Arial"/>
          <w:color w:val="595959" w:themeColor="text1" w:themeTint="A6"/>
          <w:lang w:val="el-GR"/>
        </w:rPr>
        <w:t>Τ</w:t>
      </w:r>
      <w:r w:rsidRPr="001C27BF">
        <w:rPr>
          <w:rFonts w:ascii="Arial" w:hAnsi="Arial" w:cs="Arial"/>
          <w:color w:val="595959" w:themeColor="text1" w:themeTint="A6"/>
          <w:lang w:val="en-US"/>
        </w:rPr>
        <w:t xml:space="preserve">, Kitaori </w:t>
      </w:r>
      <w:r w:rsidRPr="001C27BF">
        <w:rPr>
          <w:rFonts w:ascii="Arial" w:hAnsi="Arial" w:cs="Arial"/>
          <w:color w:val="595959" w:themeColor="text1" w:themeTint="A6"/>
          <w:lang w:val="el-GR"/>
        </w:rPr>
        <w:t>Ν</w:t>
      </w:r>
      <w:r w:rsidRPr="001C27BF">
        <w:rPr>
          <w:rFonts w:ascii="Arial" w:hAnsi="Arial" w:cs="Arial"/>
          <w:color w:val="595959" w:themeColor="text1" w:themeTint="A6"/>
          <w:lang w:val="en-US"/>
        </w:rPr>
        <w:t xml:space="preserve">, Huilan </w:t>
      </w:r>
      <w:r w:rsidRPr="001C27BF">
        <w:rPr>
          <w:rFonts w:ascii="Arial" w:hAnsi="Arial" w:cs="Arial"/>
          <w:color w:val="595959" w:themeColor="text1" w:themeTint="A6"/>
          <w:lang w:val="el-GR"/>
        </w:rPr>
        <w:t>Ζ</w:t>
      </w:r>
      <w:r w:rsidRPr="001C27BF">
        <w:rPr>
          <w:rFonts w:ascii="Arial" w:hAnsi="Arial" w:cs="Arial"/>
          <w:color w:val="595959" w:themeColor="text1" w:themeTint="A6"/>
          <w:lang w:val="en-US"/>
        </w:rPr>
        <w:t xml:space="preserve">, Mori </w:t>
      </w:r>
      <w:r w:rsidRPr="001C27BF">
        <w:rPr>
          <w:rFonts w:ascii="Arial" w:hAnsi="Arial" w:cs="Arial"/>
          <w:color w:val="595959" w:themeColor="text1" w:themeTint="A6"/>
          <w:lang w:val="el-GR"/>
        </w:rPr>
        <w:t>Η</w:t>
      </w:r>
      <w:r w:rsidRPr="001C27BF">
        <w:rPr>
          <w:rFonts w:ascii="Arial" w:hAnsi="Arial" w:cs="Arial"/>
          <w:color w:val="595959" w:themeColor="text1" w:themeTint="A6"/>
          <w:lang w:val="en-US"/>
        </w:rPr>
        <w:t xml:space="preserve">, Toida </w:t>
      </w:r>
      <w:r w:rsidRPr="001C27BF">
        <w:rPr>
          <w:rFonts w:ascii="Arial" w:hAnsi="Arial" w:cs="Arial"/>
          <w:color w:val="595959" w:themeColor="text1" w:themeTint="A6"/>
          <w:lang w:val="el-GR"/>
        </w:rPr>
        <w:t>Μ</w:t>
      </w:r>
      <w:r w:rsidRPr="001C27BF">
        <w:rPr>
          <w:rFonts w:ascii="Arial" w:hAnsi="Arial" w:cs="Arial"/>
          <w:color w:val="595959" w:themeColor="text1" w:themeTint="A6"/>
          <w:lang w:val="en-US"/>
        </w:rPr>
        <w:t xml:space="preserve">, Shibata </w:t>
      </w:r>
      <w:r w:rsidRPr="001C27BF">
        <w:rPr>
          <w:rFonts w:ascii="Arial" w:hAnsi="Arial" w:cs="Arial"/>
          <w:color w:val="595959" w:themeColor="text1" w:themeTint="A6"/>
          <w:lang w:val="el-GR"/>
        </w:rPr>
        <w:t>Τ</w:t>
      </w:r>
      <w:r w:rsidRPr="001C27BF">
        <w:rPr>
          <w:rFonts w:ascii="Arial" w:hAnsi="Arial" w:cs="Arial"/>
          <w:color w:val="595959" w:themeColor="text1" w:themeTint="A6"/>
          <w:lang w:val="en-US"/>
        </w:rPr>
        <w:t xml:space="preserve">. (2005). </w:t>
      </w:r>
      <w:r w:rsidRPr="001C27BF">
        <w:rPr>
          <w:rFonts w:ascii="Arial" w:hAnsi="Arial" w:cs="Arial"/>
          <w:color w:val="595959" w:themeColor="text1" w:themeTint="A6"/>
        </w:rPr>
        <w:t xml:space="preserve">‘Matrix metalloproteinases 2 and 9 in oral squamous cell carcinomas: manifestation and localization of their activity.’ </w:t>
      </w:r>
    </w:p>
    <w:p w14:paraId="34442584" w14:textId="1D3B2080" w:rsidR="00396EB2" w:rsidRPr="001C27BF" w:rsidRDefault="00396EB2" w:rsidP="001C27BF">
      <w:pPr>
        <w:spacing w:line="360" w:lineRule="auto"/>
        <w:jc w:val="both"/>
        <w:rPr>
          <w:rFonts w:ascii="Arial" w:hAnsi="Arial" w:cs="Arial"/>
          <w:color w:val="595959" w:themeColor="text1" w:themeTint="A6"/>
          <w:lang w:val="en-US"/>
        </w:rPr>
      </w:pPr>
      <w:r w:rsidRPr="001C27BF">
        <w:rPr>
          <w:rFonts w:ascii="Arial" w:hAnsi="Arial" w:cs="Arial"/>
          <w:color w:val="595959" w:themeColor="text1" w:themeTint="A6"/>
          <w:lang w:val="en-US"/>
        </w:rPr>
        <w:t>KENNY P.A, Lee G.Y, Myers C.A, Neve R.M, Semeiks J</w:t>
      </w:r>
      <w:r w:rsidR="005C3D42">
        <w:rPr>
          <w:rFonts w:ascii="Arial" w:hAnsi="Arial" w:cs="Arial"/>
          <w:color w:val="595959" w:themeColor="text1" w:themeTint="A6"/>
          <w:lang w:val="en-US"/>
        </w:rPr>
        <w:t>.</w:t>
      </w:r>
      <w:r w:rsidRPr="001C27BF">
        <w:rPr>
          <w:rFonts w:ascii="Arial" w:hAnsi="Arial" w:cs="Arial"/>
          <w:color w:val="595959" w:themeColor="text1" w:themeTint="A6"/>
          <w:lang w:val="en-US"/>
        </w:rPr>
        <w:t>R</w:t>
      </w:r>
      <w:r w:rsidR="005C3D42">
        <w:rPr>
          <w:rFonts w:ascii="Arial" w:hAnsi="Arial" w:cs="Arial"/>
          <w:color w:val="595959" w:themeColor="text1" w:themeTint="A6"/>
          <w:lang w:val="en-US"/>
        </w:rPr>
        <w:t>.</w:t>
      </w:r>
      <w:r w:rsidRPr="001C27BF">
        <w:rPr>
          <w:rFonts w:ascii="Arial" w:hAnsi="Arial" w:cs="Arial"/>
          <w:color w:val="595959" w:themeColor="text1" w:themeTint="A6"/>
          <w:lang w:val="en-US"/>
        </w:rPr>
        <w:t>, Spellman P</w:t>
      </w:r>
      <w:r w:rsidR="005C3D42">
        <w:rPr>
          <w:rFonts w:ascii="Arial" w:hAnsi="Arial" w:cs="Arial"/>
          <w:color w:val="595959" w:themeColor="text1" w:themeTint="A6"/>
          <w:lang w:val="en-US"/>
        </w:rPr>
        <w:t>.</w:t>
      </w:r>
      <w:r w:rsidRPr="001C27BF">
        <w:rPr>
          <w:rFonts w:ascii="Arial" w:hAnsi="Arial" w:cs="Arial"/>
          <w:color w:val="595959" w:themeColor="text1" w:themeTint="A6"/>
          <w:lang w:val="en-US"/>
        </w:rPr>
        <w:t>T,</w:t>
      </w:r>
      <w:r w:rsidR="005C3D42">
        <w:rPr>
          <w:rFonts w:ascii="Arial" w:hAnsi="Arial" w:cs="Arial"/>
          <w:color w:val="595959" w:themeColor="text1" w:themeTint="A6"/>
          <w:lang w:val="en-US"/>
        </w:rPr>
        <w:t>.</w:t>
      </w:r>
      <w:r w:rsidRPr="001C27BF">
        <w:rPr>
          <w:rFonts w:ascii="Arial" w:hAnsi="Arial" w:cs="Arial"/>
          <w:color w:val="595959" w:themeColor="text1" w:themeTint="A6"/>
          <w:lang w:val="en-US"/>
        </w:rPr>
        <w:t xml:space="preserve"> Lorenz K, Lee EH, Barcellos-Hoff M</w:t>
      </w:r>
      <w:r w:rsidR="005C3D42">
        <w:rPr>
          <w:rFonts w:ascii="Arial" w:hAnsi="Arial" w:cs="Arial"/>
          <w:color w:val="595959" w:themeColor="text1" w:themeTint="A6"/>
          <w:lang w:val="en-US"/>
        </w:rPr>
        <w:t>.</w:t>
      </w:r>
      <w:r w:rsidRPr="001C27BF">
        <w:rPr>
          <w:rFonts w:ascii="Arial" w:hAnsi="Arial" w:cs="Arial"/>
          <w:color w:val="595959" w:themeColor="text1" w:themeTint="A6"/>
          <w:lang w:val="en-US"/>
        </w:rPr>
        <w:t>H</w:t>
      </w:r>
      <w:r w:rsidR="005C3D42">
        <w:rPr>
          <w:rFonts w:ascii="Arial" w:hAnsi="Arial" w:cs="Arial"/>
          <w:color w:val="595959" w:themeColor="text1" w:themeTint="A6"/>
          <w:lang w:val="en-US"/>
        </w:rPr>
        <w:t>.</w:t>
      </w:r>
      <w:r w:rsidRPr="001C27BF">
        <w:rPr>
          <w:rFonts w:ascii="Arial" w:hAnsi="Arial" w:cs="Arial"/>
          <w:color w:val="595959" w:themeColor="text1" w:themeTint="A6"/>
          <w:lang w:val="en-US"/>
        </w:rPr>
        <w:t>, Petersen O</w:t>
      </w:r>
      <w:r w:rsidR="005C3D42">
        <w:rPr>
          <w:rFonts w:ascii="Arial" w:hAnsi="Arial" w:cs="Arial"/>
          <w:color w:val="595959" w:themeColor="text1" w:themeTint="A6"/>
          <w:lang w:val="en-US"/>
        </w:rPr>
        <w:t>.</w:t>
      </w:r>
      <w:r w:rsidRPr="001C27BF">
        <w:rPr>
          <w:rFonts w:ascii="Arial" w:hAnsi="Arial" w:cs="Arial"/>
          <w:color w:val="595959" w:themeColor="text1" w:themeTint="A6"/>
          <w:lang w:val="en-US"/>
        </w:rPr>
        <w:t>W</w:t>
      </w:r>
      <w:r w:rsidR="005C3D42">
        <w:rPr>
          <w:rFonts w:ascii="Arial" w:hAnsi="Arial" w:cs="Arial"/>
          <w:color w:val="595959" w:themeColor="text1" w:themeTint="A6"/>
          <w:lang w:val="en-US"/>
        </w:rPr>
        <w:t>.</w:t>
      </w:r>
      <w:r w:rsidRPr="001C27BF">
        <w:rPr>
          <w:rFonts w:ascii="Arial" w:hAnsi="Arial" w:cs="Arial"/>
          <w:color w:val="595959" w:themeColor="text1" w:themeTint="A6"/>
          <w:lang w:val="en-US"/>
        </w:rPr>
        <w:t>, Gray J</w:t>
      </w:r>
      <w:r w:rsidR="005C3D42">
        <w:rPr>
          <w:rFonts w:ascii="Arial" w:hAnsi="Arial" w:cs="Arial"/>
          <w:color w:val="595959" w:themeColor="text1" w:themeTint="A6"/>
          <w:lang w:val="en-US"/>
        </w:rPr>
        <w:t>.</w:t>
      </w:r>
      <w:r w:rsidRPr="001C27BF">
        <w:rPr>
          <w:rFonts w:ascii="Arial" w:hAnsi="Arial" w:cs="Arial"/>
          <w:color w:val="595959" w:themeColor="text1" w:themeTint="A6"/>
          <w:lang w:val="en-US"/>
        </w:rPr>
        <w:t>W</w:t>
      </w:r>
      <w:r w:rsidR="005C3D42">
        <w:rPr>
          <w:rFonts w:ascii="Arial" w:hAnsi="Arial" w:cs="Arial"/>
          <w:color w:val="595959" w:themeColor="text1" w:themeTint="A6"/>
          <w:lang w:val="en-US"/>
        </w:rPr>
        <w:t>.</w:t>
      </w:r>
      <w:r w:rsidRPr="001C27BF">
        <w:rPr>
          <w:rFonts w:ascii="Arial" w:hAnsi="Arial" w:cs="Arial"/>
          <w:color w:val="595959" w:themeColor="text1" w:themeTint="A6"/>
          <w:lang w:val="en-US"/>
        </w:rPr>
        <w:t>, Bissell M</w:t>
      </w:r>
      <w:r w:rsidR="005C3D42">
        <w:rPr>
          <w:rFonts w:ascii="Arial" w:hAnsi="Arial" w:cs="Arial"/>
          <w:color w:val="595959" w:themeColor="text1" w:themeTint="A6"/>
          <w:lang w:val="en-US"/>
        </w:rPr>
        <w:t>.</w:t>
      </w:r>
      <w:r w:rsidRPr="001C27BF">
        <w:rPr>
          <w:rFonts w:ascii="Arial" w:hAnsi="Arial" w:cs="Arial"/>
          <w:color w:val="595959" w:themeColor="text1" w:themeTint="A6"/>
          <w:lang w:val="en-US"/>
        </w:rPr>
        <w:t>J</w:t>
      </w:r>
      <w:r w:rsidR="005C3D42">
        <w:rPr>
          <w:rFonts w:ascii="Arial" w:hAnsi="Arial" w:cs="Arial"/>
          <w:color w:val="595959" w:themeColor="text1" w:themeTint="A6"/>
          <w:lang w:val="en-US"/>
        </w:rPr>
        <w:t>.</w:t>
      </w:r>
      <w:r w:rsidRPr="001C27BF">
        <w:rPr>
          <w:rFonts w:ascii="Arial" w:hAnsi="Arial" w:cs="Arial"/>
          <w:color w:val="595959" w:themeColor="text1" w:themeTint="A6"/>
          <w:lang w:val="en-US"/>
        </w:rPr>
        <w:t xml:space="preserve"> (2007). ‘The morphologies of breast cancer cell lines in three-dimensional assays correlate with their profiles of gene expression’. </w:t>
      </w:r>
      <w:r w:rsidRPr="001C27BF">
        <w:rPr>
          <w:rFonts w:ascii="Arial" w:hAnsi="Arial" w:cs="Arial"/>
          <w:i/>
          <w:color w:val="595959" w:themeColor="text1" w:themeTint="A6"/>
          <w:lang w:val="en-US"/>
        </w:rPr>
        <w:t>Mol Oncol</w:t>
      </w:r>
      <w:r w:rsidRPr="001C27BF">
        <w:rPr>
          <w:rFonts w:ascii="Arial" w:hAnsi="Arial" w:cs="Arial"/>
          <w:color w:val="595959" w:themeColor="text1" w:themeTint="A6"/>
          <w:lang w:val="en-US"/>
        </w:rPr>
        <w:t xml:space="preserve"> 1:84–96.</w:t>
      </w:r>
    </w:p>
    <w:p w14:paraId="356003BC" w14:textId="77777777" w:rsidR="00396EB2" w:rsidRPr="001C27BF" w:rsidRDefault="00396EB2" w:rsidP="001C27BF">
      <w:pPr>
        <w:spacing w:line="360" w:lineRule="auto"/>
        <w:jc w:val="both"/>
        <w:rPr>
          <w:rFonts w:ascii="Arial" w:hAnsi="Arial" w:cs="Arial"/>
          <w:color w:val="595959" w:themeColor="text1" w:themeTint="A6"/>
        </w:rPr>
      </w:pPr>
      <w:r w:rsidRPr="001C27BF">
        <w:rPr>
          <w:rFonts w:ascii="Arial" w:hAnsi="Arial" w:cs="Arial"/>
          <w:color w:val="595959" w:themeColor="text1" w:themeTint="A6"/>
        </w:rPr>
        <w:t xml:space="preserve">KIDD S., Spaeth E., and Watson K.  (2012). ‘Origins of the tumour microenvironment: quantitative assessment of the adipose-derived and bone derived stroma.’ </w:t>
      </w:r>
      <w:r w:rsidRPr="001C27BF">
        <w:rPr>
          <w:rFonts w:ascii="Arial" w:hAnsi="Arial" w:cs="Arial"/>
          <w:i/>
          <w:color w:val="595959" w:themeColor="text1" w:themeTint="A6"/>
        </w:rPr>
        <w:t>PloS One</w:t>
      </w:r>
      <w:r w:rsidRPr="001C27BF">
        <w:rPr>
          <w:rFonts w:ascii="Arial" w:hAnsi="Arial" w:cs="Arial"/>
          <w:color w:val="595959" w:themeColor="text1" w:themeTint="A6"/>
        </w:rPr>
        <w:t xml:space="preserve">: </w:t>
      </w:r>
      <w:r w:rsidRPr="001C27BF">
        <w:rPr>
          <w:rFonts w:ascii="Arial" w:hAnsi="Arial" w:cs="Arial"/>
          <w:b/>
          <w:color w:val="595959" w:themeColor="text1" w:themeTint="A6"/>
        </w:rPr>
        <w:t>7</w:t>
      </w:r>
      <w:r w:rsidRPr="001C27BF">
        <w:rPr>
          <w:rFonts w:ascii="Arial" w:hAnsi="Arial" w:cs="Arial"/>
          <w:color w:val="595959" w:themeColor="text1" w:themeTint="A6"/>
        </w:rPr>
        <w:t xml:space="preserve">, e30563. </w:t>
      </w:r>
    </w:p>
    <w:p w14:paraId="3F7C016A" w14:textId="77777777" w:rsidR="00396EB2" w:rsidRPr="001C27BF" w:rsidRDefault="00396EB2" w:rsidP="001C27BF">
      <w:pPr>
        <w:spacing w:line="360" w:lineRule="auto"/>
        <w:jc w:val="both"/>
        <w:rPr>
          <w:rFonts w:ascii="Arial" w:hAnsi="Arial" w:cs="Arial"/>
          <w:color w:val="595959" w:themeColor="text1" w:themeTint="A6"/>
        </w:rPr>
      </w:pPr>
      <w:r w:rsidRPr="001C27BF">
        <w:rPr>
          <w:rFonts w:ascii="Arial" w:hAnsi="Arial" w:cs="Arial"/>
          <w:color w:val="595959" w:themeColor="text1" w:themeTint="A6"/>
        </w:rPr>
        <w:t xml:space="preserve">KIM T.H, Mount C.W, Gombotz W.R, and Pun S.H (2010). ‘The delivery of doxorubicin to 3-D multicellular spheroids and tumours in a murine xenograft model using tumour-penetrating triblock polymeric micelles’. Biomaterials </w:t>
      </w:r>
      <w:r w:rsidRPr="001C27BF">
        <w:rPr>
          <w:rFonts w:ascii="Arial" w:hAnsi="Arial" w:cs="Arial"/>
          <w:b/>
          <w:color w:val="595959" w:themeColor="text1" w:themeTint="A6"/>
        </w:rPr>
        <w:t>31</w:t>
      </w:r>
      <w:r w:rsidRPr="001C27BF">
        <w:rPr>
          <w:rFonts w:ascii="Arial" w:hAnsi="Arial" w:cs="Arial"/>
          <w:color w:val="595959" w:themeColor="text1" w:themeTint="A6"/>
        </w:rPr>
        <w:t>:7386–7397.</w:t>
      </w:r>
    </w:p>
    <w:p w14:paraId="134F093E" w14:textId="77777777" w:rsidR="00396EB2" w:rsidRPr="001C27BF" w:rsidRDefault="00396EB2" w:rsidP="001C27BF">
      <w:pPr>
        <w:spacing w:line="360" w:lineRule="auto"/>
        <w:jc w:val="both"/>
        <w:rPr>
          <w:rFonts w:ascii="Arial" w:hAnsi="Arial" w:cs="Arial"/>
          <w:color w:val="595959" w:themeColor="text1" w:themeTint="A6"/>
        </w:rPr>
      </w:pPr>
      <w:r w:rsidRPr="001C27BF">
        <w:rPr>
          <w:rFonts w:ascii="Arial" w:hAnsi="Arial" w:cs="Arial"/>
          <w:color w:val="595959" w:themeColor="text1" w:themeTint="A6"/>
        </w:rPr>
        <w:t xml:space="preserve">KIMLIN L., Kassis J., and Virador V. (2013). ‘3D </w:t>
      </w:r>
      <w:r w:rsidRPr="001C27BF">
        <w:rPr>
          <w:rFonts w:ascii="Arial" w:hAnsi="Arial" w:cs="Arial"/>
          <w:i/>
          <w:color w:val="595959" w:themeColor="text1" w:themeTint="A6"/>
        </w:rPr>
        <w:t>in vitro</w:t>
      </w:r>
      <w:r w:rsidRPr="001C27BF">
        <w:rPr>
          <w:rFonts w:ascii="Arial" w:hAnsi="Arial" w:cs="Arial"/>
          <w:color w:val="595959" w:themeColor="text1" w:themeTint="A6"/>
        </w:rPr>
        <w:t xml:space="preserve"> tissue models and their potential for drug screening.’ </w:t>
      </w:r>
      <w:r w:rsidRPr="001C27BF">
        <w:rPr>
          <w:rFonts w:ascii="Arial" w:hAnsi="Arial" w:cs="Arial"/>
          <w:i/>
          <w:color w:val="595959" w:themeColor="text1" w:themeTint="A6"/>
        </w:rPr>
        <w:t>Expert Opinion Drug Discovery</w:t>
      </w:r>
      <w:r w:rsidRPr="001C27BF">
        <w:rPr>
          <w:rFonts w:ascii="Arial" w:hAnsi="Arial" w:cs="Arial"/>
          <w:color w:val="595959" w:themeColor="text1" w:themeTint="A6"/>
        </w:rPr>
        <w:t xml:space="preserve">; </w:t>
      </w:r>
      <w:r w:rsidRPr="001C27BF">
        <w:rPr>
          <w:rFonts w:ascii="Arial" w:hAnsi="Arial" w:cs="Arial"/>
          <w:b/>
          <w:color w:val="595959" w:themeColor="text1" w:themeTint="A6"/>
        </w:rPr>
        <w:t>8</w:t>
      </w:r>
      <w:r w:rsidRPr="001C27BF">
        <w:rPr>
          <w:rFonts w:ascii="Arial" w:hAnsi="Arial" w:cs="Arial"/>
          <w:color w:val="595959" w:themeColor="text1" w:themeTint="A6"/>
        </w:rPr>
        <w:t xml:space="preserve">(12); 1-12. </w:t>
      </w:r>
    </w:p>
    <w:p w14:paraId="5A2238CF" w14:textId="77777777" w:rsidR="00396EB2" w:rsidRPr="001C27BF" w:rsidRDefault="00396EB2" w:rsidP="001C27BF">
      <w:pPr>
        <w:spacing w:line="360" w:lineRule="auto"/>
        <w:jc w:val="both"/>
        <w:rPr>
          <w:rFonts w:ascii="Arial" w:hAnsi="Arial" w:cs="Arial"/>
          <w:color w:val="595959" w:themeColor="text1" w:themeTint="A6"/>
        </w:rPr>
      </w:pPr>
      <w:r w:rsidRPr="001C27BF">
        <w:rPr>
          <w:rFonts w:ascii="Arial" w:hAnsi="Arial" w:cs="Arial"/>
          <w:color w:val="595959" w:themeColor="text1" w:themeTint="A6"/>
        </w:rPr>
        <w:t xml:space="preserve">KLEINMAN H.K and MARTIN G.R (2005). ‘Matrigel: basement membrane matrix with biological activity’. </w:t>
      </w:r>
      <w:r w:rsidRPr="001C27BF">
        <w:rPr>
          <w:rFonts w:ascii="Arial" w:hAnsi="Arial" w:cs="Arial"/>
          <w:i/>
          <w:color w:val="595959" w:themeColor="text1" w:themeTint="A6"/>
        </w:rPr>
        <w:t>Semin Cancer Biol</w:t>
      </w:r>
      <w:r w:rsidRPr="001C27BF">
        <w:rPr>
          <w:rFonts w:ascii="Arial" w:hAnsi="Arial" w:cs="Arial"/>
          <w:color w:val="595959" w:themeColor="text1" w:themeTint="A6"/>
        </w:rPr>
        <w:t xml:space="preserve"> 15:378–386.</w:t>
      </w:r>
    </w:p>
    <w:p w14:paraId="6DEA3A42" w14:textId="77777777" w:rsidR="00396EB2" w:rsidRPr="001C27BF" w:rsidRDefault="00396EB2" w:rsidP="001C27BF">
      <w:pPr>
        <w:spacing w:line="360" w:lineRule="auto"/>
        <w:jc w:val="both"/>
        <w:rPr>
          <w:rFonts w:ascii="Arial" w:hAnsi="Arial" w:cs="Arial"/>
          <w:color w:val="595959" w:themeColor="text1" w:themeTint="A6"/>
        </w:rPr>
      </w:pPr>
      <w:r w:rsidRPr="001C27BF">
        <w:rPr>
          <w:rFonts w:ascii="Arial" w:hAnsi="Arial" w:cs="Arial"/>
          <w:color w:val="595959" w:themeColor="text1" w:themeTint="A6"/>
        </w:rPr>
        <w:t xml:space="preserve">KLEINMAN H.K, McGarvey M.L, Hassell J.R, Star V.L, Cannon FB, Laurie G.W, and Martin G.R. (1986). ‘Basement membrane complexes with biological activity’. </w:t>
      </w:r>
      <w:r w:rsidRPr="001C27BF">
        <w:rPr>
          <w:rFonts w:ascii="Arial" w:hAnsi="Arial" w:cs="Arial"/>
          <w:i/>
          <w:iCs/>
          <w:color w:val="595959" w:themeColor="text1" w:themeTint="A6"/>
        </w:rPr>
        <w:t>Biochemistry</w:t>
      </w:r>
      <w:r w:rsidRPr="001C27BF">
        <w:rPr>
          <w:rFonts w:ascii="Arial" w:hAnsi="Arial" w:cs="Arial"/>
          <w:color w:val="595959" w:themeColor="text1" w:themeTint="A6"/>
        </w:rPr>
        <w:t xml:space="preserve">; </w:t>
      </w:r>
      <w:r w:rsidRPr="001C27BF">
        <w:rPr>
          <w:rFonts w:ascii="Arial" w:hAnsi="Arial" w:cs="Arial"/>
          <w:b/>
          <w:bCs/>
          <w:color w:val="595959" w:themeColor="text1" w:themeTint="A6"/>
        </w:rPr>
        <w:t>25</w:t>
      </w:r>
      <w:r w:rsidRPr="001C27BF">
        <w:rPr>
          <w:rFonts w:ascii="Arial" w:hAnsi="Arial" w:cs="Arial"/>
          <w:color w:val="595959" w:themeColor="text1" w:themeTint="A6"/>
        </w:rPr>
        <w:t xml:space="preserve">:312–318. </w:t>
      </w:r>
    </w:p>
    <w:p w14:paraId="4DC9E6BE" w14:textId="77777777" w:rsidR="00396EB2" w:rsidRPr="001C27BF" w:rsidRDefault="00396EB2" w:rsidP="001C27BF">
      <w:pPr>
        <w:spacing w:line="360" w:lineRule="auto"/>
        <w:jc w:val="both"/>
        <w:rPr>
          <w:rFonts w:ascii="Arial" w:hAnsi="Arial" w:cs="Arial"/>
          <w:color w:val="595959" w:themeColor="text1" w:themeTint="A6"/>
        </w:rPr>
      </w:pPr>
      <w:r w:rsidRPr="001C27BF">
        <w:rPr>
          <w:rFonts w:ascii="Arial" w:hAnsi="Arial" w:cs="Arial"/>
          <w:color w:val="595959" w:themeColor="text1" w:themeTint="A6"/>
        </w:rPr>
        <w:t xml:space="preserve">KNIGHT E and PRZYBORSKI S (2015). ‘Advances in 3D cell culture technologies enabling tissue-like structures to be created </w:t>
      </w:r>
      <w:r w:rsidRPr="001C27BF">
        <w:rPr>
          <w:rFonts w:ascii="Arial" w:hAnsi="Arial" w:cs="Arial"/>
          <w:i/>
          <w:iCs/>
          <w:color w:val="595959" w:themeColor="text1" w:themeTint="A6"/>
        </w:rPr>
        <w:t>in vitro’</w:t>
      </w:r>
      <w:r w:rsidRPr="001C27BF">
        <w:rPr>
          <w:rFonts w:ascii="Arial" w:hAnsi="Arial" w:cs="Arial"/>
          <w:color w:val="595959" w:themeColor="text1" w:themeTint="A6"/>
        </w:rPr>
        <w:t xml:space="preserve">. </w:t>
      </w:r>
      <w:r w:rsidRPr="001C27BF">
        <w:rPr>
          <w:rFonts w:ascii="Arial" w:hAnsi="Arial" w:cs="Arial"/>
          <w:i/>
          <w:iCs/>
          <w:color w:val="595959" w:themeColor="text1" w:themeTint="A6"/>
        </w:rPr>
        <w:t>J. Anat.</w:t>
      </w:r>
      <w:r w:rsidRPr="001C27BF">
        <w:rPr>
          <w:rFonts w:ascii="Arial" w:hAnsi="Arial" w:cs="Arial"/>
          <w:color w:val="595959" w:themeColor="text1" w:themeTint="A6"/>
        </w:rPr>
        <w:t xml:space="preserve"> </w:t>
      </w:r>
      <w:r w:rsidRPr="001C27BF">
        <w:rPr>
          <w:rFonts w:ascii="Arial" w:hAnsi="Arial" w:cs="Arial"/>
          <w:b/>
          <w:bCs/>
          <w:color w:val="595959" w:themeColor="text1" w:themeTint="A6"/>
        </w:rPr>
        <w:t>227</w:t>
      </w:r>
      <w:r w:rsidRPr="001C27BF">
        <w:rPr>
          <w:rFonts w:ascii="Arial" w:hAnsi="Arial" w:cs="Arial"/>
          <w:color w:val="595959" w:themeColor="text1" w:themeTint="A6"/>
        </w:rPr>
        <w:t>, 746-756.</w:t>
      </w:r>
    </w:p>
    <w:p w14:paraId="55A5EF19" w14:textId="77777777" w:rsidR="00396EB2" w:rsidRPr="001C27BF" w:rsidRDefault="00396EB2" w:rsidP="001C27BF">
      <w:pPr>
        <w:spacing w:line="360" w:lineRule="auto"/>
        <w:jc w:val="both"/>
        <w:rPr>
          <w:rFonts w:ascii="Arial" w:hAnsi="Arial" w:cs="Arial"/>
          <w:color w:val="595959" w:themeColor="text1" w:themeTint="A6"/>
        </w:rPr>
      </w:pPr>
      <w:r w:rsidRPr="001C27BF">
        <w:rPr>
          <w:rFonts w:ascii="Arial" w:hAnsi="Arial" w:cs="Arial"/>
          <w:color w:val="595959" w:themeColor="text1" w:themeTint="A6"/>
        </w:rPr>
        <w:t xml:space="preserve">KNIGHT E, Murray B, Carnachan R, and Przyborski S. (2011). ‘Alvetex®: polystyrene scaffold technology for routine three dimensional cell culture’. </w:t>
      </w:r>
      <w:r w:rsidRPr="001C27BF">
        <w:rPr>
          <w:rFonts w:ascii="Arial" w:hAnsi="Arial" w:cs="Arial"/>
          <w:i/>
          <w:iCs/>
          <w:color w:val="595959" w:themeColor="text1" w:themeTint="A6"/>
        </w:rPr>
        <w:t>Methods Mol Biol</w:t>
      </w:r>
      <w:r w:rsidRPr="001C27BF">
        <w:rPr>
          <w:rFonts w:ascii="Arial" w:hAnsi="Arial" w:cs="Arial"/>
          <w:color w:val="595959" w:themeColor="text1" w:themeTint="A6"/>
        </w:rPr>
        <w:t xml:space="preserve">. </w:t>
      </w:r>
      <w:r w:rsidRPr="001C27BF">
        <w:rPr>
          <w:rFonts w:ascii="Arial" w:hAnsi="Arial" w:cs="Arial"/>
          <w:b/>
          <w:bCs/>
          <w:color w:val="595959" w:themeColor="text1" w:themeTint="A6"/>
        </w:rPr>
        <w:t>695</w:t>
      </w:r>
      <w:r w:rsidRPr="001C27BF">
        <w:rPr>
          <w:rFonts w:ascii="Arial" w:hAnsi="Arial" w:cs="Arial"/>
          <w:color w:val="595959" w:themeColor="text1" w:themeTint="A6"/>
        </w:rPr>
        <w:t>:323-40.</w:t>
      </w:r>
    </w:p>
    <w:p w14:paraId="59D27762" w14:textId="77777777" w:rsidR="00396EB2" w:rsidRPr="001C27BF" w:rsidRDefault="007B378B" w:rsidP="001C27BF">
      <w:pPr>
        <w:spacing w:line="360" w:lineRule="auto"/>
        <w:jc w:val="both"/>
        <w:rPr>
          <w:rFonts w:ascii="Arial" w:hAnsi="Arial" w:cs="Arial"/>
          <w:color w:val="595959" w:themeColor="text1" w:themeTint="A6"/>
          <w:shd w:val="clear" w:color="auto" w:fill="FFFFFF"/>
        </w:rPr>
      </w:pPr>
      <w:hyperlink r:id="rId200" w:history="1">
        <w:r w:rsidR="00396EB2" w:rsidRPr="001C27BF">
          <w:rPr>
            <w:rStyle w:val="Hyperlink"/>
            <w:rFonts w:ascii="Arial" w:hAnsi="Arial" w:cs="Arial"/>
            <w:color w:val="595959" w:themeColor="text1" w:themeTint="A6"/>
            <w:u w:val="none"/>
            <w:shd w:val="clear" w:color="auto" w:fill="FFFFFF"/>
          </w:rPr>
          <w:t>KOJIMA Y</w:t>
        </w:r>
      </w:hyperlink>
      <w:r w:rsidR="00396EB2" w:rsidRPr="001C27BF">
        <w:rPr>
          <w:rFonts w:ascii="Arial" w:hAnsi="Arial" w:cs="Arial"/>
          <w:color w:val="595959" w:themeColor="text1" w:themeTint="A6"/>
        </w:rPr>
        <w:t>.</w:t>
      </w:r>
      <w:r w:rsidR="00396EB2" w:rsidRPr="001C27BF">
        <w:rPr>
          <w:rFonts w:ascii="Arial" w:hAnsi="Arial" w:cs="Arial"/>
          <w:color w:val="595959" w:themeColor="text1" w:themeTint="A6"/>
          <w:shd w:val="clear" w:color="auto" w:fill="FFFFFF"/>
        </w:rPr>
        <w:t>,</w:t>
      </w:r>
      <w:r w:rsidR="00396EB2" w:rsidRPr="001C27BF">
        <w:rPr>
          <w:rStyle w:val="apple-converted-space"/>
          <w:rFonts w:ascii="Arial" w:hAnsi="Arial" w:cs="Arial"/>
          <w:color w:val="595959" w:themeColor="text1" w:themeTint="A6"/>
          <w:shd w:val="clear" w:color="auto" w:fill="FFFFFF"/>
        </w:rPr>
        <w:t> </w:t>
      </w:r>
      <w:hyperlink r:id="rId201" w:history="1">
        <w:r w:rsidR="00396EB2" w:rsidRPr="001C27BF">
          <w:rPr>
            <w:rStyle w:val="Hyperlink"/>
            <w:rFonts w:ascii="Arial" w:hAnsi="Arial" w:cs="Arial"/>
            <w:color w:val="595959" w:themeColor="text1" w:themeTint="A6"/>
            <w:u w:val="none"/>
            <w:shd w:val="clear" w:color="auto" w:fill="FFFFFF"/>
          </w:rPr>
          <w:t>Acar A</w:t>
        </w:r>
      </w:hyperlink>
      <w:r w:rsidR="00396EB2" w:rsidRPr="001C27BF">
        <w:rPr>
          <w:rFonts w:ascii="Arial" w:hAnsi="Arial" w:cs="Arial"/>
          <w:color w:val="595959" w:themeColor="text1" w:themeTint="A6"/>
        </w:rPr>
        <w:t>.</w:t>
      </w:r>
      <w:r w:rsidR="00396EB2" w:rsidRPr="001C27BF">
        <w:rPr>
          <w:rFonts w:ascii="Arial" w:hAnsi="Arial" w:cs="Arial"/>
          <w:color w:val="595959" w:themeColor="text1" w:themeTint="A6"/>
          <w:shd w:val="clear" w:color="auto" w:fill="FFFFFF"/>
        </w:rPr>
        <w:t>,</w:t>
      </w:r>
      <w:r w:rsidR="00396EB2" w:rsidRPr="001C27BF">
        <w:rPr>
          <w:rStyle w:val="apple-converted-space"/>
          <w:rFonts w:ascii="Arial" w:hAnsi="Arial" w:cs="Arial"/>
          <w:color w:val="595959" w:themeColor="text1" w:themeTint="A6"/>
          <w:shd w:val="clear" w:color="auto" w:fill="FFFFFF"/>
        </w:rPr>
        <w:t> </w:t>
      </w:r>
      <w:hyperlink r:id="rId202" w:history="1">
        <w:r w:rsidR="00396EB2" w:rsidRPr="001C27BF">
          <w:rPr>
            <w:rStyle w:val="Hyperlink"/>
            <w:rFonts w:ascii="Arial" w:hAnsi="Arial" w:cs="Arial"/>
            <w:color w:val="595959" w:themeColor="text1" w:themeTint="A6"/>
            <w:u w:val="none"/>
            <w:shd w:val="clear" w:color="auto" w:fill="FFFFFF"/>
          </w:rPr>
          <w:t>Eaton E.N</w:t>
        </w:r>
      </w:hyperlink>
      <w:r w:rsidR="00396EB2" w:rsidRPr="001C27BF">
        <w:rPr>
          <w:rFonts w:ascii="Arial" w:hAnsi="Arial" w:cs="Arial"/>
          <w:color w:val="595959" w:themeColor="text1" w:themeTint="A6"/>
        </w:rPr>
        <w:t>.</w:t>
      </w:r>
      <w:r w:rsidR="00396EB2" w:rsidRPr="001C27BF">
        <w:rPr>
          <w:rFonts w:ascii="Arial" w:hAnsi="Arial" w:cs="Arial"/>
          <w:color w:val="595959" w:themeColor="text1" w:themeTint="A6"/>
          <w:shd w:val="clear" w:color="auto" w:fill="FFFFFF"/>
        </w:rPr>
        <w:t>,</w:t>
      </w:r>
      <w:r w:rsidR="00396EB2" w:rsidRPr="001C27BF">
        <w:rPr>
          <w:rStyle w:val="apple-converted-space"/>
          <w:rFonts w:ascii="Arial" w:hAnsi="Arial" w:cs="Arial"/>
          <w:color w:val="595959" w:themeColor="text1" w:themeTint="A6"/>
          <w:shd w:val="clear" w:color="auto" w:fill="FFFFFF"/>
        </w:rPr>
        <w:t> </w:t>
      </w:r>
      <w:hyperlink r:id="rId203" w:history="1">
        <w:r w:rsidR="00396EB2" w:rsidRPr="001C27BF">
          <w:rPr>
            <w:rStyle w:val="Hyperlink"/>
            <w:rFonts w:ascii="Arial" w:hAnsi="Arial" w:cs="Arial"/>
            <w:color w:val="595959" w:themeColor="text1" w:themeTint="A6"/>
            <w:u w:val="none"/>
            <w:shd w:val="clear" w:color="auto" w:fill="FFFFFF"/>
          </w:rPr>
          <w:t>Mellody K.T</w:t>
        </w:r>
      </w:hyperlink>
      <w:r w:rsidR="00396EB2" w:rsidRPr="001C27BF">
        <w:rPr>
          <w:rFonts w:ascii="Arial" w:hAnsi="Arial" w:cs="Arial"/>
          <w:color w:val="595959" w:themeColor="text1" w:themeTint="A6"/>
        </w:rPr>
        <w:t>.</w:t>
      </w:r>
      <w:r w:rsidR="00396EB2" w:rsidRPr="001C27BF">
        <w:rPr>
          <w:rFonts w:ascii="Arial" w:hAnsi="Arial" w:cs="Arial"/>
          <w:color w:val="595959" w:themeColor="text1" w:themeTint="A6"/>
          <w:shd w:val="clear" w:color="auto" w:fill="FFFFFF"/>
        </w:rPr>
        <w:t>,</w:t>
      </w:r>
      <w:r w:rsidR="00396EB2" w:rsidRPr="001C27BF">
        <w:rPr>
          <w:rStyle w:val="apple-converted-space"/>
          <w:rFonts w:ascii="Arial" w:hAnsi="Arial" w:cs="Arial"/>
          <w:color w:val="595959" w:themeColor="text1" w:themeTint="A6"/>
          <w:shd w:val="clear" w:color="auto" w:fill="FFFFFF"/>
        </w:rPr>
        <w:t> </w:t>
      </w:r>
      <w:hyperlink r:id="rId204" w:history="1">
        <w:r w:rsidR="00396EB2" w:rsidRPr="001C27BF">
          <w:rPr>
            <w:rStyle w:val="Hyperlink"/>
            <w:rFonts w:ascii="Arial" w:hAnsi="Arial" w:cs="Arial"/>
            <w:color w:val="595959" w:themeColor="text1" w:themeTint="A6"/>
            <w:u w:val="none"/>
            <w:shd w:val="clear" w:color="auto" w:fill="FFFFFF"/>
          </w:rPr>
          <w:t>Scheel C</w:t>
        </w:r>
      </w:hyperlink>
      <w:r w:rsidR="00396EB2" w:rsidRPr="001C27BF">
        <w:rPr>
          <w:rFonts w:ascii="Arial" w:hAnsi="Arial" w:cs="Arial"/>
          <w:color w:val="595959" w:themeColor="text1" w:themeTint="A6"/>
        </w:rPr>
        <w:t>.</w:t>
      </w:r>
      <w:r w:rsidR="00396EB2" w:rsidRPr="001C27BF">
        <w:rPr>
          <w:rFonts w:ascii="Arial" w:hAnsi="Arial" w:cs="Arial"/>
          <w:color w:val="595959" w:themeColor="text1" w:themeTint="A6"/>
          <w:shd w:val="clear" w:color="auto" w:fill="FFFFFF"/>
        </w:rPr>
        <w:t>,</w:t>
      </w:r>
      <w:r w:rsidR="00396EB2" w:rsidRPr="001C27BF">
        <w:rPr>
          <w:rStyle w:val="apple-converted-space"/>
          <w:rFonts w:ascii="Arial" w:hAnsi="Arial" w:cs="Arial"/>
          <w:color w:val="595959" w:themeColor="text1" w:themeTint="A6"/>
          <w:shd w:val="clear" w:color="auto" w:fill="FFFFFF"/>
        </w:rPr>
        <w:t> </w:t>
      </w:r>
      <w:hyperlink r:id="rId205" w:history="1">
        <w:r w:rsidR="00396EB2" w:rsidRPr="001C27BF">
          <w:rPr>
            <w:rStyle w:val="Hyperlink"/>
            <w:rFonts w:ascii="Arial" w:hAnsi="Arial" w:cs="Arial"/>
            <w:color w:val="595959" w:themeColor="text1" w:themeTint="A6"/>
            <w:u w:val="none"/>
            <w:shd w:val="clear" w:color="auto" w:fill="FFFFFF"/>
          </w:rPr>
          <w:t>Ben-Porath I</w:t>
        </w:r>
      </w:hyperlink>
      <w:r w:rsidR="00396EB2" w:rsidRPr="001C27BF">
        <w:rPr>
          <w:rFonts w:ascii="Arial" w:hAnsi="Arial" w:cs="Arial"/>
          <w:color w:val="595959" w:themeColor="text1" w:themeTint="A6"/>
        </w:rPr>
        <w:t>.</w:t>
      </w:r>
      <w:r w:rsidR="00396EB2" w:rsidRPr="001C27BF">
        <w:rPr>
          <w:rFonts w:ascii="Arial" w:hAnsi="Arial" w:cs="Arial"/>
          <w:color w:val="595959" w:themeColor="text1" w:themeTint="A6"/>
          <w:shd w:val="clear" w:color="auto" w:fill="FFFFFF"/>
        </w:rPr>
        <w:t>,</w:t>
      </w:r>
      <w:r w:rsidR="00396EB2" w:rsidRPr="001C27BF">
        <w:rPr>
          <w:rStyle w:val="apple-converted-space"/>
          <w:rFonts w:ascii="Arial" w:hAnsi="Arial" w:cs="Arial"/>
          <w:color w:val="595959" w:themeColor="text1" w:themeTint="A6"/>
          <w:shd w:val="clear" w:color="auto" w:fill="FFFFFF"/>
        </w:rPr>
        <w:t> </w:t>
      </w:r>
      <w:hyperlink r:id="rId206" w:history="1">
        <w:r w:rsidR="00396EB2" w:rsidRPr="001C27BF">
          <w:rPr>
            <w:rStyle w:val="Hyperlink"/>
            <w:rFonts w:ascii="Arial" w:hAnsi="Arial" w:cs="Arial"/>
            <w:color w:val="595959" w:themeColor="text1" w:themeTint="A6"/>
            <w:u w:val="none"/>
            <w:shd w:val="clear" w:color="auto" w:fill="FFFFFF"/>
          </w:rPr>
          <w:t>Onder T.T</w:t>
        </w:r>
      </w:hyperlink>
      <w:r w:rsidR="00396EB2" w:rsidRPr="001C27BF">
        <w:rPr>
          <w:rFonts w:ascii="Arial" w:hAnsi="Arial" w:cs="Arial"/>
          <w:color w:val="595959" w:themeColor="text1" w:themeTint="A6"/>
        </w:rPr>
        <w:t>.</w:t>
      </w:r>
      <w:r w:rsidR="00396EB2" w:rsidRPr="001C27BF">
        <w:rPr>
          <w:rFonts w:ascii="Arial" w:hAnsi="Arial" w:cs="Arial"/>
          <w:color w:val="595959" w:themeColor="text1" w:themeTint="A6"/>
          <w:shd w:val="clear" w:color="auto" w:fill="FFFFFF"/>
        </w:rPr>
        <w:t>,</w:t>
      </w:r>
      <w:r w:rsidR="00396EB2" w:rsidRPr="001C27BF">
        <w:rPr>
          <w:rStyle w:val="apple-converted-space"/>
          <w:rFonts w:ascii="Arial" w:hAnsi="Arial" w:cs="Arial"/>
          <w:color w:val="595959" w:themeColor="text1" w:themeTint="A6"/>
          <w:shd w:val="clear" w:color="auto" w:fill="FFFFFF"/>
        </w:rPr>
        <w:t> </w:t>
      </w:r>
      <w:hyperlink r:id="rId207" w:history="1">
        <w:r w:rsidR="00396EB2" w:rsidRPr="001C27BF">
          <w:rPr>
            <w:rStyle w:val="Hyperlink"/>
            <w:rFonts w:ascii="Arial" w:hAnsi="Arial" w:cs="Arial"/>
            <w:color w:val="595959" w:themeColor="text1" w:themeTint="A6"/>
            <w:u w:val="none"/>
            <w:shd w:val="clear" w:color="auto" w:fill="FFFFFF"/>
          </w:rPr>
          <w:t>Wang Z.C</w:t>
        </w:r>
      </w:hyperlink>
      <w:r w:rsidR="00396EB2" w:rsidRPr="001C27BF">
        <w:rPr>
          <w:rFonts w:ascii="Arial" w:hAnsi="Arial" w:cs="Arial"/>
          <w:color w:val="595959" w:themeColor="text1" w:themeTint="A6"/>
        </w:rPr>
        <w:t>.</w:t>
      </w:r>
      <w:r w:rsidR="00396EB2" w:rsidRPr="001C27BF">
        <w:rPr>
          <w:rFonts w:ascii="Arial" w:hAnsi="Arial" w:cs="Arial"/>
          <w:color w:val="595959" w:themeColor="text1" w:themeTint="A6"/>
          <w:shd w:val="clear" w:color="auto" w:fill="FFFFFF"/>
        </w:rPr>
        <w:t>,</w:t>
      </w:r>
      <w:r w:rsidR="00396EB2" w:rsidRPr="001C27BF">
        <w:rPr>
          <w:rStyle w:val="apple-converted-space"/>
          <w:rFonts w:ascii="Arial" w:hAnsi="Arial" w:cs="Arial"/>
          <w:color w:val="595959" w:themeColor="text1" w:themeTint="A6"/>
          <w:shd w:val="clear" w:color="auto" w:fill="FFFFFF"/>
        </w:rPr>
        <w:t> </w:t>
      </w:r>
      <w:hyperlink r:id="rId208" w:history="1">
        <w:r w:rsidR="00396EB2" w:rsidRPr="001C27BF">
          <w:rPr>
            <w:rStyle w:val="Hyperlink"/>
            <w:rFonts w:ascii="Arial" w:hAnsi="Arial" w:cs="Arial"/>
            <w:color w:val="595959" w:themeColor="text1" w:themeTint="A6"/>
            <w:u w:val="none"/>
            <w:shd w:val="clear" w:color="auto" w:fill="FFFFFF"/>
          </w:rPr>
          <w:t>Richardson A.L</w:t>
        </w:r>
      </w:hyperlink>
      <w:r w:rsidR="00396EB2" w:rsidRPr="001C27BF">
        <w:rPr>
          <w:rFonts w:ascii="Arial" w:hAnsi="Arial" w:cs="Arial"/>
          <w:color w:val="595959" w:themeColor="text1" w:themeTint="A6"/>
        </w:rPr>
        <w:t>.</w:t>
      </w:r>
      <w:r w:rsidR="00396EB2" w:rsidRPr="001C27BF">
        <w:rPr>
          <w:rFonts w:ascii="Arial" w:hAnsi="Arial" w:cs="Arial"/>
          <w:color w:val="595959" w:themeColor="text1" w:themeTint="A6"/>
          <w:shd w:val="clear" w:color="auto" w:fill="FFFFFF"/>
        </w:rPr>
        <w:t>,</w:t>
      </w:r>
      <w:r w:rsidR="00396EB2" w:rsidRPr="001C27BF">
        <w:rPr>
          <w:rStyle w:val="apple-converted-space"/>
          <w:rFonts w:ascii="Arial" w:hAnsi="Arial" w:cs="Arial"/>
          <w:color w:val="595959" w:themeColor="text1" w:themeTint="A6"/>
          <w:shd w:val="clear" w:color="auto" w:fill="FFFFFF"/>
        </w:rPr>
        <w:t> </w:t>
      </w:r>
      <w:hyperlink r:id="rId209" w:history="1">
        <w:r w:rsidR="00396EB2" w:rsidRPr="001C27BF">
          <w:rPr>
            <w:rStyle w:val="Hyperlink"/>
            <w:rFonts w:ascii="Arial" w:hAnsi="Arial" w:cs="Arial"/>
            <w:color w:val="595959" w:themeColor="text1" w:themeTint="A6"/>
            <w:u w:val="none"/>
            <w:shd w:val="clear" w:color="auto" w:fill="FFFFFF"/>
          </w:rPr>
          <w:t>Weinberg R.A</w:t>
        </w:r>
      </w:hyperlink>
      <w:r w:rsidR="00396EB2" w:rsidRPr="001C27BF">
        <w:rPr>
          <w:rFonts w:ascii="Arial" w:hAnsi="Arial" w:cs="Arial"/>
          <w:color w:val="595959" w:themeColor="text1" w:themeTint="A6"/>
        </w:rPr>
        <w:t>.</w:t>
      </w:r>
      <w:r w:rsidR="00396EB2" w:rsidRPr="001C27BF">
        <w:rPr>
          <w:rFonts w:ascii="Arial" w:hAnsi="Arial" w:cs="Arial"/>
          <w:color w:val="595959" w:themeColor="text1" w:themeTint="A6"/>
          <w:shd w:val="clear" w:color="auto" w:fill="FFFFFF"/>
        </w:rPr>
        <w:t>,</w:t>
      </w:r>
      <w:r w:rsidR="00396EB2" w:rsidRPr="001C27BF">
        <w:rPr>
          <w:rStyle w:val="apple-converted-space"/>
          <w:rFonts w:ascii="Arial" w:hAnsi="Arial" w:cs="Arial"/>
          <w:color w:val="595959" w:themeColor="text1" w:themeTint="A6"/>
          <w:shd w:val="clear" w:color="auto" w:fill="FFFFFF"/>
        </w:rPr>
        <w:t xml:space="preserve"> and </w:t>
      </w:r>
      <w:hyperlink r:id="rId210" w:history="1">
        <w:r w:rsidR="00396EB2" w:rsidRPr="001C27BF">
          <w:rPr>
            <w:rStyle w:val="Hyperlink"/>
            <w:rFonts w:ascii="Arial" w:hAnsi="Arial" w:cs="Arial"/>
            <w:color w:val="595959" w:themeColor="text1" w:themeTint="A6"/>
            <w:u w:val="none"/>
            <w:shd w:val="clear" w:color="auto" w:fill="FFFFFF"/>
          </w:rPr>
          <w:t>Orimo A</w:t>
        </w:r>
      </w:hyperlink>
      <w:r w:rsidR="00396EB2" w:rsidRPr="001C27BF">
        <w:rPr>
          <w:rFonts w:ascii="Arial" w:hAnsi="Arial" w:cs="Arial"/>
          <w:color w:val="595959" w:themeColor="text1" w:themeTint="A6"/>
          <w:shd w:val="clear" w:color="auto" w:fill="FFFFFF"/>
        </w:rPr>
        <w:t>.</w:t>
      </w:r>
      <w:r w:rsidR="00396EB2" w:rsidRPr="001C27BF">
        <w:rPr>
          <w:rFonts w:ascii="Arial" w:eastAsia="Times New Roman" w:hAnsi="Arial" w:cs="Arial"/>
          <w:color w:val="595959" w:themeColor="text1" w:themeTint="A6"/>
          <w:kern w:val="36"/>
          <w:lang w:eastAsia="en-GB"/>
        </w:rPr>
        <w:t xml:space="preserve"> (2010). ‘</w:t>
      </w:r>
      <w:r w:rsidR="00396EB2" w:rsidRPr="001C27BF">
        <w:rPr>
          <w:rFonts w:ascii="Arial" w:hAnsi="Arial" w:cs="Arial"/>
          <w:bCs/>
          <w:color w:val="595959" w:themeColor="text1" w:themeTint="A6"/>
          <w:shd w:val="clear" w:color="auto" w:fill="FFFFFF"/>
        </w:rPr>
        <w:t xml:space="preserve">Autocrine TGF-beta and stromal cell-derived factor-1 (SDF-1) signalling drives the evolution of tumour-promoting mammary stromal myofibroblasts.’ </w:t>
      </w:r>
      <w:hyperlink r:id="rId211" w:tooltip="Proceedings of the National Academy of Sciences of the United States of America." w:history="1">
        <w:r w:rsidR="00396EB2" w:rsidRPr="001C27BF">
          <w:rPr>
            <w:rStyle w:val="Hyperlink"/>
            <w:rFonts w:ascii="Arial" w:hAnsi="Arial" w:cs="Arial"/>
            <w:i/>
            <w:color w:val="595959" w:themeColor="text1" w:themeTint="A6"/>
            <w:u w:val="none"/>
            <w:shd w:val="clear" w:color="auto" w:fill="FFFFFF"/>
          </w:rPr>
          <w:t>Proc Natl Acad Sci U S A</w:t>
        </w:r>
        <w:r w:rsidR="00396EB2" w:rsidRPr="001C27BF">
          <w:rPr>
            <w:rStyle w:val="Hyperlink"/>
            <w:rFonts w:ascii="Arial" w:hAnsi="Arial" w:cs="Arial"/>
            <w:color w:val="595959" w:themeColor="text1" w:themeTint="A6"/>
            <w:u w:val="none"/>
            <w:shd w:val="clear" w:color="auto" w:fill="FFFFFF"/>
          </w:rPr>
          <w:t>.</w:t>
        </w:r>
      </w:hyperlink>
      <w:r w:rsidR="00396EB2" w:rsidRPr="001C27BF">
        <w:rPr>
          <w:rFonts w:ascii="Arial" w:hAnsi="Arial" w:cs="Arial"/>
          <w:color w:val="595959" w:themeColor="text1" w:themeTint="A6"/>
          <w:shd w:val="clear" w:color="auto" w:fill="FFFFFF"/>
        </w:rPr>
        <w:t xml:space="preserve">; </w:t>
      </w:r>
      <w:r w:rsidR="00396EB2" w:rsidRPr="001C27BF">
        <w:rPr>
          <w:rFonts w:ascii="Arial" w:hAnsi="Arial" w:cs="Arial"/>
          <w:b/>
          <w:color w:val="595959" w:themeColor="text1" w:themeTint="A6"/>
          <w:shd w:val="clear" w:color="auto" w:fill="FFFFFF"/>
        </w:rPr>
        <w:t>107</w:t>
      </w:r>
      <w:r w:rsidR="00396EB2" w:rsidRPr="001C27BF">
        <w:rPr>
          <w:rFonts w:ascii="Arial" w:hAnsi="Arial" w:cs="Arial"/>
          <w:color w:val="595959" w:themeColor="text1" w:themeTint="A6"/>
          <w:shd w:val="clear" w:color="auto" w:fill="FFFFFF"/>
        </w:rPr>
        <w:t>(46):20009-14.</w:t>
      </w:r>
    </w:p>
    <w:p w14:paraId="7A3ADA9E" w14:textId="77777777" w:rsidR="00396EB2" w:rsidRPr="001C27BF" w:rsidRDefault="00396EB2" w:rsidP="001C27BF">
      <w:pPr>
        <w:spacing w:line="360" w:lineRule="auto"/>
        <w:jc w:val="both"/>
        <w:rPr>
          <w:rFonts w:ascii="Arial" w:hAnsi="Arial" w:cs="Arial"/>
          <w:color w:val="595959" w:themeColor="text1" w:themeTint="A6"/>
          <w:shd w:val="clear" w:color="auto" w:fill="FFFFFF"/>
        </w:rPr>
      </w:pPr>
      <w:r w:rsidRPr="001C27BF">
        <w:rPr>
          <w:rFonts w:ascii="Arial" w:hAnsi="Arial" w:cs="Arial"/>
          <w:color w:val="595959" w:themeColor="text1" w:themeTint="A6"/>
          <w:shd w:val="clear" w:color="auto" w:fill="FFFFFF"/>
        </w:rPr>
        <w:t xml:space="preserve">KOPANSKA K.S, Alcheikh Y, Staneva R, Vignjevic D, Betz T (2016). ‘Tensile Forces originating from cancer spheroids facilitate tumour invasion’. </w:t>
      </w:r>
      <w:r w:rsidRPr="001C27BF">
        <w:rPr>
          <w:rFonts w:ascii="Arial" w:hAnsi="Arial" w:cs="Arial"/>
          <w:b/>
          <w:bCs/>
          <w:color w:val="595959" w:themeColor="text1" w:themeTint="A6"/>
          <w:shd w:val="clear" w:color="auto" w:fill="FFFFFF"/>
        </w:rPr>
        <w:t>PLoS ONE</w:t>
      </w:r>
      <w:r w:rsidRPr="001C27BF">
        <w:rPr>
          <w:rFonts w:ascii="Arial" w:hAnsi="Arial" w:cs="Arial"/>
          <w:color w:val="595959" w:themeColor="text1" w:themeTint="A6"/>
          <w:shd w:val="clear" w:color="auto" w:fill="FFFFFF"/>
        </w:rPr>
        <w:t xml:space="preserve"> </w:t>
      </w:r>
      <w:r w:rsidRPr="001C27BF">
        <w:rPr>
          <w:rFonts w:ascii="Arial" w:hAnsi="Arial" w:cs="Arial"/>
          <w:b/>
          <w:bCs/>
          <w:color w:val="595959" w:themeColor="text1" w:themeTint="A6"/>
          <w:shd w:val="clear" w:color="auto" w:fill="FFFFFF"/>
        </w:rPr>
        <w:t>11</w:t>
      </w:r>
      <w:r w:rsidRPr="001C27BF">
        <w:rPr>
          <w:rFonts w:ascii="Arial" w:hAnsi="Arial" w:cs="Arial"/>
          <w:color w:val="595959" w:themeColor="text1" w:themeTint="A6"/>
          <w:shd w:val="clear" w:color="auto" w:fill="FFFFFF"/>
        </w:rPr>
        <w:t>(6): e0156442.</w:t>
      </w:r>
    </w:p>
    <w:p w14:paraId="3EE1CE71" w14:textId="77777777" w:rsidR="00396EB2" w:rsidRPr="001C27BF" w:rsidRDefault="00396EB2" w:rsidP="001C27BF">
      <w:pPr>
        <w:spacing w:line="360" w:lineRule="auto"/>
        <w:jc w:val="both"/>
        <w:rPr>
          <w:rFonts w:ascii="Arial" w:hAnsi="Arial" w:cs="Arial"/>
          <w:bCs/>
          <w:color w:val="595959" w:themeColor="text1" w:themeTint="A6"/>
          <w:shd w:val="clear" w:color="auto" w:fill="FFFFFF"/>
        </w:rPr>
      </w:pPr>
      <w:r w:rsidRPr="001C27BF">
        <w:rPr>
          <w:rFonts w:ascii="Arial" w:hAnsi="Arial" w:cs="Arial"/>
          <w:bCs/>
          <w:color w:val="595959" w:themeColor="text1" w:themeTint="A6"/>
          <w:shd w:val="clear" w:color="auto" w:fill="FFFFFF"/>
        </w:rPr>
        <w:t xml:space="preserve">KRAMAN M., Bambrough P.J., Arnold J.N., Roberts E.W., Magiera L., Jones J.O., Gopinatha A., Tuveson D.A., Fearon D.T. (2010). ‘Suppression of antitumor immunity by stromal cells expressing fibroblast activation protein-alpha’. </w:t>
      </w:r>
      <w:r w:rsidRPr="001C27BF">
        <w:rPr>
          <w:rFonts w:ascii="Arial" w:hAnsi="Arial" w:cs="Arial"/>
          <w:bCs/>
          <w:i/>
          <w:color w:val="595959" w:themeColor="text1" w:themeTint="A6"/>
          <w:shd w:val="clear" w:color="auto" w:fill="FFFFFF"/>
        </w:rPr>
        <w:t>Science</w:t>
      </w:r>
      <w:r w:rsidRPr="001C27BF">
        <w:rPr>
          <w:rFonts w:ascii="Arial" w:hAnsi="Arial" w:cs="Arial"/>
          <w:bCs/>
          <w:color w:val="595959" w:themeColor="text1" w:themeTint="A6"/>
          <w:shd w:val="clear" w:color="auto" w:fill="FFFFFF"/>
        </w:rPr>
        <w:t xml:space="preserve">, </w:t>
      </w:r>
      <w:r w:rsidRPr="001C27BF">
        <w:rPr>
          <w:rFonts w:ascii="Arial" w:hAnsi="Arial" w:cs="Arial"/>
          <w:b/>
          <w:bCs/>
          <w:color w:val="595959" w:themeColor="text1" w:themeTint="A6"/>
          <w:shd w:val="clear" w:color="auto" w:fill="FFFFFF"/>
        </w:rPr>
        <w:t>330</w:t>
      </w:r>
      <w:r w:rsidRPr="001C27BF">
        <w:rPr>
          <w:rFonts w:ascii="Arial" w:hAnsi="Arial" w:cs="Arial"/>
          <w:bCs/>
          <w:color w:val="595959" w:themeColor="text1" w:themeTint="A6"/>
          <w:shd w:val="clear" w:color="auto" w:fill="FFFFFF"/>
        </w:rPr>
        <w:t>, 827–830.</w:t>
      </w:r>
    </w:p>
    <w:p w14:paraId="77B9A661" w14:textId="77777777" w:rsidR="00396EB2" w:rsidRPr="001C27BF" w:rsidRDefault="00396EB2" w:rsidP="001C27BF">
      <w:pPr>
        <w:spacing w:line="360" w:lineRule="auto"/>
        <w:jc w:val="both"/>
        <w:rPr>
          <w:rFonts w:ascii="Arial" w:hAnsi="Arial" w:cs="Arial"/>
          <w:b/>
          <w:color w:val="595959" w:themeColor="text1" w:themeTint="A6"/>
        </w:rPr>
      </w:pPr>
      <w:bookmarkStart w:id="520" w:name="_Toc20423975"/>
      <w:bookmarkStart w:id="521" w:name="_Toc20427594"/>
      <w:bookmarkStart w:id="522" w:name="_Toc20563913"/>
      <w:r w:rsidRPr="001C27BF">
        <w:rPr>
          <w:rFonts w:ascii="Arial" w:hAnsi="Arial" w:cs="Arial"/>
          <w:color w:val="595959" w:themeColor="text1" w:themeTint="A6"/>
        </w:rPr>
        <w:t xml:space="preserve">KRAMER R.H, Bensch K.G, and Wong J (1986). ‘Invasion of reconstituted basement membrane matrix by metastatic human tumour cells.’ </w:t>
      </w:r>
      <w:r w:rsidRPr="001C27BF">
        <w:rPr>
          <w:rFonts w:ascii="Arial" w:hAnsi="Arial" w:cs="Arial"/>
          <w:i/>
          <w:color w:val="595959" w:themeColor="text1" w:themeTint="A6"/>
        </w:rPr>
        <w:t>Cancer Res</w:t>
      </w:r>
      <w:r w:rsidRPr="001C27BF">
        <w:rPr>
          <w:rFonts w:ascii="Arial" w:hAnsi="Arial" w:cs="Arial"/>
          <w:color w:val="595959" w:themeColor="text1" w:themeTint="A6"/>
        </w:rPr>
        <w:t xml:space="preserve"> 46:1980–1989.</w:t>
      </w:r>
      <w:bookmarkEnd w:id="520"/>
      <w:bookmarkEnd w:id="521"/>
      <w:bookmarkEnd w:id="522"/>
    </w:p>
    <w:p w14:paraId="2830D592" w14:textId="77777777" w:rsidR="00396EB2" w:rsidRPr="001C27BF" w:rsidRDefault="00396EB2" w:rsidP="001C27BF">
      <w:pPr>
        <w:spacing w:line="360" w:lineRule="auto"/>
        <w:jc w:val="both"/>
        <w:rPr>
          <w:rFonts w:ascii="Arial" w:eastAsia="Times New Roman" w:hAnsi="Arial" w:cs="Arial"/>
          <w:b/>
          <w:color w:val="595959" w:themeColor="text1" w:themeTint="A6"/>
          <w:kern w:val="36"/>
          <w:lang w:val="en-US"/>
        </w:rPr>
      </w:pPr>
      <w:bookmarkStart w:id="523" w:name="_Toc20423976"/>
      <w:bookmarkStart w:id="524" w:name="_Toc20427595"/>
      <w:bookmarkStart w:id="525" w:name="_Toc20563914"/>
      <w:r w:rsidRPr="001C27BF">
        <w:rPr>
          <w:rFonts w:ascii="Arial" w:hAnsi="Arial" w:cs="Arial"/>
          <w:color w:val="595959" w:themeColor="text1" w:themeTint="A6"/>
        </w:rPr>
        <w:t>KUMAR S. Shabi T.S. and Goormaghtigh E. (2014). ‘</w:t>
      </w:r>
      <w:r w:rsidRPr="001C27BF">
        <w:rPr>
          <w:rFonts w:ascii="Arial" w:eastAsia="Times New Roman" w:hAnsi="Arial" w:cs="Arial"/>
          <w:color w:val="595959" w:themeColor="text1" w:themeTint="A6"/>
          <w:kern w:val="36"/>
          <w:lang w:val="en-US"/>
        </w:rPr>
        <w:t xml:space="preserve">A FTIR Imaging Characterization of Fibroblasts Stimulated by Various Breast Cancer Cell Lines.’ </w:t>
      </w:r>
      <w:r w:rsidRPr="001C27BF">
        <w:rPr>
          <w:rFonts w:ascii="Arial" w:eastAsia="Times New Roman" w:hAnsi="Arial" w:cs="Arial"/>
          <w:i/>
          <w:color w:val="595959" w:themeColor="text1" w:themeTint="A6"/>
          <w:kern w:val="36"/>
          <w:lang w:val="en-US"/>
        </w:rPr>
        <w:t>PLoS One</w:t>
      </w:r>
      <w:r w:rsidRPr="001C27BF">
        <w:rPr>
          <w:rFonts w:ascii="Arial" w:eastAsia="Times New Roman" w:hAnsi="Arial" w:cs="Arial"/>
          <w:color w:val="595959" w:themeColor="text1" w:themeTint="A6"/>
          <w:kern w:val="36"/>
          <w:lang w:val="en-US"/>
        </w:rPr>
        <w:t>; 9(11): e111137.</w:t>
      </w:r>
      <w:bookmarkEnd w:id="523"/>
      <w:bookmarkEnd w:id="524"/>
      <w:bookmarkEnd w:id="525"/>
    </w:p>
    <w:p w14:paraId="747DFF1A" w14:textId="77777777" w:rsidR="00396EB2" w:rsidRPr="001C27BF" w:rsidRDefault="00396EB2" w:rsidP="001C27BF">
      <w:pPr>
        <w:spacing w:line="360" w:lineRule="auto"/>
        <w:jc w:val="both"/>
        <w:rPr>
          <w:rFonts w:ascii="Arial" w:hAnsi="Arial" w:cs="Arial"/>
          <w:color w:val="595959" w:themeColor="text1" w:themeTint="A6"/>
          <w:lang w:val="en-US"/>
        </w:rPr>
      </w:pPr>
      <w:r w:rsidRPr="001C27BF">
        <w:rPr>
          <w:rFonts w:ascii="Arial" w:hAnsi="Arial" w:cs="Arial"/>
          <w:color w:val="595959" w:themeColor="text1" w:themeTint="A6"/>
          <w:lang w:val="en-US"/>
        </w:rPr>
        <w:t xml:space="preserve">KUMARI K, Ghosh S, Patil S, Augustine D, Venkatesiah S.S, Roa R.S. (2016). ‘Expression of type III collagen correlation with poor prognosis in OSCC’. </w:t>
      </w:r>
      <w:r w:rsidRPr="001C27BF">
        <w:rPr>
          <w:rFonts w:ascii="Arial" w:hAnsi="Arial" w:cs="Arial"/>
          <w:i/>
          <w:iCs/>
          <w:color w:val="595959" w:themeColor="text1" w:themeTint="A6"/>
          <w:lang w:val="en-US"/>
        </w:rPr>
        <w:t>J Invest Clin Dent</w:t>
      </w:r>
      <w:r w:rsidRPr="001C27BF">
        <w:rPr>
          <w:rFonts w:ascii="Arial" w:hAnsi="Arial" w:cs="Arial"/>
          <w:color w:val="595959" w:themeColor="text1" w:themeTint="A6"/>
          <w:lang w:val="en-US"/>
        </w:rPr>
        <w:t xml:space="preserve">; </w:t>
      </w:r>
      <w:r w:rsidRPr="001C27BF">
        <w:rPr>
          <w:rFonts w:ascii="Arial" w:hAnsi="Arial" w:cs="Arial"/>
          <w:b/>
          <w:bCs/>
          <w:color w:val="595959" w:themeColor="text1" w:themeTint="A6"/>
          <w:lang w:val="en-US"/>
        </w:rPr>
        <w:t>00</w:t>
      </w:r>
      <w:r w:rsidRPr="001C27BF">
        <w:rPr>
          <w:rFonts w:ascii="Arial" w:hAnsi="Arial" w:cs="Arial"/>
          <w:color w:val="595959" w:themeColor="text1" w:themeTint="A6"/>
          <w:lang w:val="en-US"/>
        </w:rPr>
        <w:t>:1-7.</w:t>
      </w:r>
    </w:p>
    <w:p w14:paraId="20B08A13" w14:textId="77777777" w:rsidR="00396EB2" w:rsidRPr="001C27BF" w:rsidRDefault="00396EB2" w:rsidP="001C27BF">
      <w:pPr>
        <w:spacing w:line="360" w:lineRule="auto"/>
        <w:jc w:val="both"/>
        <w:rPr>
          <w:rFonts w:ascii="Arial" w:hAnsi="Arial" w:cs="Arial"/>
          <w:color w:val="595959" w:themeColor="text1" w:themeTint="A6"/>
          <w:lang w:val="en-US"/>
        </w:rPr>
      </w:pPr>
      <w:r w:rsidRPr="001C27BF">
        <w:rPr>
          <w:rFonts w:ascii="Arial" w:hAnsi="Arial" w:cs="Arial"/>
          <w:color w:val="595959" w:themeColor="text1" w:themeTint="A6"/>
          <w:lang w:val="en-US"/>
        </w:rPr>
        <w:t xml:space="preserve">KUNZ-SCHUGHART L.A, Kreutz M, and Knuechel R (1998). ‘Multicellular spheroids: a three-dimensional in vitro culture system to study tumour biology’. </w:t>
      </w:r>
      <w:r w:rsidRPr="001C27BF">
        <w:rPr>
          <w:rFonts w:ascii="Arial" w:hAnsi="Arial" w:cs="Arial"/>
          <w:i/>
          <w:color w:val="595959" w:themeColor="text1" w:themeTint="A6"/>
          <w:lang w:val="en-US"/>
        </w:rPr>
        <w:t>Int J Exp Pathol</w:t>
      </w:r>
      <w:r w:rsidRPr="001C27BF">
        <w:rPr>
          <w:rFonts w:ascii="Arial" w:hAnsi="Arial" w:cs="Arial"/>
          <w:color w:val="595959" w:themeColor="text1" w:themeTint="A6"/>
          <w:lang w:val="en-US"/>
        </w:rPr>
        <w:t xml:space="preserve"> 79:1–23. </w:t>
      </w:r>
    </w:p>
    <w:p w14:paraId="2FADB7AC" w14:textId="77777777" w:rsidR="00396EB2" w:rsidRPr="001C27BF" w:rsidRDefault="00396EB2" w:rsidP="001C27BF">
      <w:pPr>
        <w:spacing w:line="360" w:lineRule="auto"/>
        <w:jc w:val="both"/>
        <w:rPr>
          <w:rFonts w:ascii="Arial" w:hAnsi="Arial" w:cs="Arial"/>
          <w:color w:val="595959" w:themeColor="text1" w:themeTint="A6"/>
          <w:lang w:val="en-US"/>
        </w:rPr>
      </w:pPr>
      <w:r w:rsidRPr="001C27BF">
        <w:rPr>
          <w:rFonts w:ascii="Arial" w:hAnsi="Arial" w:cs="Arial"/>
          <w:color w:val="595959" w:themeColor="text1" w:themeTint="A6"/>
        </w:rPr>
        <w:t xml:space="preserve">LAWLOR E.R., Scheel C., and Irving J. (2002). ‘Anchorage-Independent Multi-Cellular Spheroids as an </w:t>
      </w:r>
      <w:r w:rsidRPr="001C27BF">
        <w:rPr>
          <w:rFonts w:ascii="Arial" w:hAnsi="Arial" w:cs="Arial"/>
          <w:i/>
          <w:iCs/>
          <w:color w:val="595959" w:themeColor="text1" w:themeTint="A6"/>
        </w:rPr>
        <w:t>In Vitro</w:t>
      </w:r>
      <w:r w:rsidRPr="001C27BF">
        <w:rPr>
          <w:rFonts w:ascii="Arial" w:hAnsi="Arial" w:cs="Arial"/>
          <w:color w:val="595959" w:themeColor="text1" w:themeTint="A6"/>
        </w:rPr>
        <w:t xml:space="preserve"> Model of Growth Signaling in Ewing Tumours’. </w:t>
      </w:r>
      <w:r w:rsidRPr="001C27BF">
        <w:rPr>
          <w:rFonts w:ascii="Arial" w:hAnsi="Arial" w:cs="Arial"/>
          <w:i/>
          <w:iCs/>
          <w:color w:val="595959" w:themeColor="text1" w:themeTint="A6"/>
        </w:rPr>
        <w:t>Oncogene,</w:t>
      </w:r>
      <w:r w:rsidRPr="001C27BF">
        <w:rPr>
          <w:rFonts w:ascii="Arial" w:hAnsi="Arial" w:cs="Arial"/>
          <w:color w:val="595959" w:themeColor="text1" w:themeTint="A6"/>
        </w:rPr>
        <w:t xml:space="preserve"> </w:t>
      </w:r>
      <w:r w:rsidRPr="001C27BF">
        <w:rPr>
          <w:rFonts w:ascii="Arial" w:hAnsi="Arial" w:cs="Arial"/>
          <w:b/>
          <w:bCs/>
          <w:color w:val="595959" w:themeColor="text1" w:themeTint="A6"/>
        </w:rPr>
        <w:t>21</w:t>
      </w:r>
      <w:r w:rsidRPr="001C27BF">
        <w:rPr>
          <w:rFonts w:ascii="Arial" w:hAnsi="Arial" w:cs="Arial"/>
          <w:color w:val="595959" w:themeColor="text1" w:themeTint="A6"/>
        </w:rPr>
        <w:t>, 307–318.</w:t>
      </w:r>
    </w:p>
    <w:p w14:paraId="366C00E0" w14:textId="77777777" w:rsidR="00396EB2" w:rsidRPr="001C27BF" w:rsidRDefault="00396EB2" w:rsidP="001C27BF">
      <w:pPr>
        <w:spacing w:line="360" w:lineRule="auto"/>
        <w:jc w:val="both"/>
        <w:rPr>
          <w:rFonts w:ascii="Arial" w:hAnsi="Arial" w:cs="Arial"/>
          <w:color w:val="595959" w:themeColor="text1" w:themeTint="A6"/>
          <w:lang w:val="en-US"/>
        </w:rPr>
      </w:pPr>
      <w:r w:rsidRPr="001C27BF">
        <w:rPr>
          <w:rFonts w:ascii="Arial" w:hAnsi="Arial" w:cs="Arial"/>
          <w:color w:val="595959" w:themeColor="text1" w:themeTint="A6"/>
          <w:lang w:val="en-US"/>
        </w:rPr>
        <w:t xml:space="preserve">LEE G.Y, Kenny P.A, Lee E.H, Bissell M.J (2007). ‘Three-dimensional culture models of normal and malignant breast epithelial cells.’ </w:t>
      </w:r>
      <w:r w:rsidRPr="001C27BF">
        <w:rPr>
          <w:rFonts w:ascii="Arial" w:hAnsi="Arial" w:cs="Arial"/>
          <w:i/>
          <w:color w:val="595959" w:themeColor="text1" w:themeTint="A6"/>
          <w:lang w:val="en-US"/>
        </w:rPr>
        <w:t>Nat Meth</w:t>
      </w:r>
      <w:r w:rsidRPr="001C27BF">
        <w:rPr>
          <w:rFonts w:ascii="Arial" w:hAnsi="Arial" w:cs="Arial"/>
          <w:color w:val="595959" w:themeColor="text1" w:themeTint="A6"/>
          <w:lang w:val="en-US"/>
        </w:rPr>
        <w:t xml:space="preserve"> 4:359–36.</w:t>
      </w:r>
    </w:p>
    <w:p w14:paraId="686A5E79" w14:textId="77777777" w:rsidR="00396EB2" w:rsidRPr="001C27BF" w:rsidRDefault="00396EB2" w:rsidP="001C27BF">
      <w:pPr>
        <w:spacing w:line="360" w:lineRule="auto"/>
        <w:jc w:val="both"/>
        <w:rPr>
          <w:rFonts w:ascii="Arial" w:hAnsi="Arial" w:cs="Arial"/>
          <w:color w:val="595959" w:themeColor="text1" w:themeTint="A6"/>
          <w:lang w:val="en-US"/>
        </w:rPr>
      </w:pPr>
      <w:r w:rsidRPr="001C27BF">
        <w:rPr>
          <w:rFonts w:ascii="Arial" w:hAnsi="Arial" w:cs="Arial"/>
          <w:color w:val="595959" w:themeColor="text1" w:themeTint="A6"/>
          <w:lang w:val="en-US"/>
        </w:rPr>
        <w:t xml:space="preserve">LEIGHT J.L., Wozniak M.A., Chen S., Lynch M.L., Chen C.S. (2012). ‘Matrix rigidity regulates a switch between TGF-beta1-induced apoptosis and epithelial-mesenchymal transition’. </w:t>
      </w:r>
      <w:r w:rsidRPr="001C27BF">
        <w:rPr>
          <w:rFonts w:ascii="Arial" w:hAnsi="Arial" w:cs="Arial"/>
          <w:i/>
          <w:color w:val="595959" w:themeColor="text1" w:themeTint="A6"/>
          <w:lang w:val="en-US"/>
        </w:rPr>
        <w:t>Mol Biol Cell</w:t>
      </w:r>
      <w:r w:rsidRPr="001C27BF">
        <w:rPr>
          <w:rFonts w:ascii="Arial" w:hAnsi="Arial" w:cs="Arial"/>
          <w:color w:val="595959" w:themeColor="text1" w:themeTint="A6"/>
          <w:lang w:val="en-US"/>
        </w:rPr>
        <w:t xml:space="preserve"> </w:t>
      </w:r>
      <w:r w:rsidRPr="001C27BF">
        <w:rPr>
          <w:rFonts w:ascii="Arial" w:hAnsi="Arial" w:cs="Arial"/>
          <w:b/>
          <w:color w:val="595959" w:themeColor="text1" w:themeTint="A6"/>
          <w:lang w:val="en-US"/>
        </w:rPr>
        <w:t>23</w:t>
      </w:r>
      <w:r w:rsidRPr="001C27BF">
        <w:rPr>
          <w:rFonts w:ascii="Arial" w:hAnsi="Arial" w:cs="Arial"/>
          <w:color w:val="595959" w:themeColor="text1" w:themeTint="A6"/>
          <w:lang w:val="en-US"/>
        </w:rPr>
        <w:t>: 781–791.</w:t>
      </w:r>
    </w:p>
    <w:p w14:paraId="53B744A3" w14:textId="77777777" w:rsidR="00396EB2" w:rsidRPr="001C27BF" w:rsidRDefault="00396EB2" w:rsidP="001C27BF">
      <w:pPr>
        <w:spacing w:line="360" w:lineRule="auto"/>
        <w:jc w:val="both"/>
        <w:rPr>
          <w:rFonts w:ascii="Arial" w:hAnsi="Arial" w:cs="Arial"/>
          <w:b/>
          <w:bCs/>
          <w:color w:val="595959" w:themeColor="text1" w:themeTint="A6"/>
        </w:rPr>
      </w:pPr>
      <w:r w:rsidRPr="001C27BF">
        <w:rPr>
          <w:rFonts w:ascii="Arial" w:hAnsi="Arial" w:cs="Arial"/>
          <w:color w:val="595959" w:themeColor="text1" w:themeTint="A6"/>
          <w:lang w:val="en-US"/>
        </w:rPr>
        <w:t>LOESSNER D, Stok K.S, Lutolf M.P, Hutmacher D.W, Clements J.A and Rizzi S.C. (2010). ‘</w:t>
      </w:r>
      <w:r w:rsidRPr="001C27BF">
        <w:rPr>
          <w:rFonts w:ascii="Arial" w:hAnsi="Arial" w:cs="Arial"/>
          <w:color w:val="595959" w:themeColor="text1" w:themeTint="A6"/>
        </w:rPr>
        <w:t xml:space="preserve">Bioengineered 3D platform to explore cell–ECM interactions and drug resistance of epithelial ovarian cancer cells’. </w:t>
      </w:r>
      <w:hyperlink r:id="rId212" w:tooltip="Go to Biomaterials on ScienceDirect" w:history="1">
        <w:r w:rsidRPr="001C27BF">
          <w:rPr>
            <w:rStyle w:val="Hyperlink"/>
            <w:rFonts w:ascii="Arial" w:hAnsi="Arial" w:cs="Arial"/>
            <w:i/>
            <w:iCs/>
            <w:color w:val="595959" w:themeColor="text1" w:themeTint="A6"/>
            <w:u w:val="none"/>
          </w:rPr>
          <w:t>Biomaterials</w:t>
        </w:r>
      </w:hyperlink>
      <w:r w:rsidRPr="001C27BF">
        <w:rPr>
          <w:rFonts w:ascii="Arial" w:hAnsi="Arial" w:cs="Arial"/>
          <w:color w:val="595959" w:themeColor="text1" w:themeTint="A6"/>
        </w:rPr>
        <w:t xml:space="preserve">. </w:t>
      </w:r>
      <w:hyperlink r:id="rId213" w:tooltip="Go to table of contents for this volume/issue" w:history="1">
        <w:r w:rsidRPr="001C27BF">
          <w:rPr>
            <w:rStyle w:val="Hyperlink"/>
            <w:rFonts w:ascii="Arial" w:hAnsi="Arial" w:cs="Arial"/>
            <w:b/>
            <w:bCs/>
            <w:color w:val="595959" w:themeColor="text1" w:themeTint="A6"/>
            <w:u w:val="none"/>
          </w:rPr>
          <w:t>31</w:t>
        </w:r>
        <w:r w:rsidRPr="001C27BF">
          <w:rPr>
            <w:rStyle w:val="Hyperlink"/>
            <w:rFonts w:ascii="Arial" w:hAnsi="Arial" w:cs="Arial"/>
            <w:color w:val="595959" w:themeColor="text1" w:themeTint="A6"/>
            <w:u w:val="none"/>
          </w:rPr>
          <w:t>, 32</w:t>
        </w:r>
      </w:hyperlink>
      <w:r w:rsidRPr="001C27BF">
        <w:rPr>
          <w:rFonts w:ascii="Arial" w:hAnsi="Arial" w:cs="Arial"/>
          <w:color w:val="595959" w:themeColor="text1" w:themeTint="A6"/>
        </w:rPr>
        <w:t>, 8494-8506.</w:t>
      </w:r>
    </w:p>
    <w:p w14:paraId="38D104A5" w14:textId="77777777" w:rsidR="00396EB2" w:rsidRPr="001C27BF" w:rsidRDefault="00396EB2" w:rsidP="001C27BF">
      <w:pPr>
        <w:spacing w:line="360" w:lineRule="auto"/>
        <w:jc w:val="both"/>
        <w:rPr>
          <w:rFonts w:ascii="Arial" w:hAnsi="Arial" w:cs="Arial"/>
          <w:color w:val="595959" w:themeColor="text1" w:themeTint="A6"/>
          <w:lang w:val="en-US"/>
        </w:rPr>
      </w:pPr>
      <w:r w:rsidRPr="001C27BF">
        <w:rPr>
          <w:rFonts w:ascii="Arial" w:hAnsi="Arial" w:cs="Arial"/>
          <w:color w:val="595959" w:themeColor="text1" w:themeTint="A6"/>
          <w:lang w:val="en-US"/>
        </w:rPr>
        <w:t xml:space="preserve">LOHR, M. (2001). ‘Transforming growth factor-β1 induces desmoplasia in an experimental model of human pancreatic carcinoma’. </w:t>
      </w:r>
      <w:r w:rsidRPr="001C27BF">
        <w:rPr>
          <w:rFonts w:ascii="Arial" w:hAnsi="Arial" w:cs="Arial"/>
          <w:i/>
          <w:color w:val="595959" w:themeColor="text1" w:themeTint="A6"/>
          <w:lang w:val="en-US"/>
        </w:rPr>
        <w:t>Cancer Res</w:t>
      </w:r>
      <w:r w:rsidRPr="001C27BF">
        <w:rPr>
          <w:rFonts w:ascii="Arial" w:hAnsi="Arial" w:cs="Arial"/>
          <w:color w:val="595959" w:themeColor="text1" w:themeTint="A6"/>
          <w:lang w:val="en-US"/>
        </w:rPr>
        <w:t>. 61, 550–555.</w:t>
      </w:r>
    </w:p>
    <w:p w14:paraId="45AC0934" w14:textId="77777777" w:rsidR="00396EB2" w:rsidRPr="001C27BF" w:rsidRDefault="00396EB2" w:rsidP="001C27BF">
      <w:pPr>
        <w:spacing w:line="360" w:lineRule="auto"/>
        <w:jc w:val="both"/>
        <w:rPr>
          <w:rFonts w:ascii="Arial" w:hAnsi="Arial" w:cs="Arial"/>
          <w:color w:val="595959" w:themeColor="text1" w:themeTint="A6"/>
        </w:rPr>
      </w:pPr>
      <w:r w:rsidRPr="001C27BF">
        <w:rPr>
          <w:rFonts w:ascii="Arial" w:hAnsi="Arial" w:cs="Arial"/>
          <w:color w:val="595959" w:themeColor="text1" w:themeTint="A6"/>
        </w:rPr>
        <w:t xml:space="preserve">LU P., Weaver V.M., and Werb Z. (2012). ‘The Extracellular Matrix; a dynamic niche in cancer progression.’ </w:t>
      </w:r>
      <w:r w:rsidRPr="001C27BF">
        <w:rPr>
          <w:rFonts w:ascii="Arial" w:hAnsi="Arial" w:cs="Arial"/>
          <w:i/>
          <w:color w:val="595959" w:themeColor="text1" w:themeTint="A6"/>
        </w:rPr>
        <w:t>J Cell Biol</w:t>
      </w:r>
      <w:r w:rsidRPr="001C27BF">
        <w:rPr>
          <w:rFonts w:ascii="Arial" w:hAnsi="Arial" w:cs="Arial"/>
          <w:color w:val="595959" w:themeColor="text1" w:themeTint="A6"/>
        </w:rPr>
        <w:t xml:space="preserve">, </w:t>
      </w:r>
      <w:r w:rsidRPr="001C27BF">
        <w:rPr>
          <w:rFonts w:ascii="Arial" w:hAnsi="Arial" w:cs="Arial"/>
          <w:b/>
          <w:color w:val="595959" w:themeColor="text1" w:themeTint="A6"/>
        </w:rPr>
        <w:t>196</w:t>
      </w:r>
      <w:r w:rsidRPr="001C27BF">
        <w:rPr>
          <w:rFonts w:ascii="Arial" w:hAnsi="Arial" w:cs="Arial"/>
          <w:color w:val="595959" w:themeColor="text1" w:themeTint="A6"/>
        </w:rPr>
        <w:t xml:space="preserve">, 395. </w:t>
      </w:r>
    </w:p>
    <w:p w14:paraId="73E9F2DE" w14:textId="77777777" w:rsidR="00396EB2" w:rsidRPr="001C27BF" w:rsidRDefault="00396EB2" w:rsidP="001C27BF">
      <w:pPr>
        <w:spacing w:line="360" w:lineRule="auto"/>
        <w:jc w:val="both"/>
        <w:rPr>
          <w:rFonts w:ascii="Arial" w:hAnsi="Arial" w:cs="Arial"/>
          <w:color w:val="595959" w:themeColor="text1" w:themeTint="A6"/>
          <w:lang w:val="en"/>
        </w:rPr>
      </w:pPr>
      <w:r w:rsidRPr="001C27BF">
        <w:rPr>
          <w:rFonts w:ascii="Arial" w:hAnsi="Arial" w:cs="Arial"/>
          <w:color w:val="595959" w:themeColor="text1" w:themeTint="A6"/>
          <w:lang w:val="en"/>
        </w:rPr>
        <w:t xml:space="preserve">LÜ W-D, Zhang L, Wu C-L, Liu Z-G, Lei G-Y, Liu J. (2014). ‘Development of an Acellular Tumor Extracellular Matrix as a Three-Dimensional Scaffold for Tumor Engineering’. </w:t>
      </w:r>
      <w:r w:rsidRPr="001C27BF">
        <w:rPr>
          <w:rFonts w:ascii="Arial" w:hAnsi="Arial" w:cs="Arial"/>
          <w:i/>
          <w:iCs/>
          <w:color w:val="595959" w:themeColor="text1" w:themeTint="A6"/>
          <w:lang w:val="en"/>
        </w:rPr>
        <w:t>PLoS ONE</w:t>
      </w:r>
      <w:r w:rsidRPr="001C27BF">
        <w:rPr>
          <w:rFonts w:ascii="Arial" w:hAnsi="Arial" w:cs="Arial"/>
          <w:color w:val="595959" w:themeColor="text1" w:themeTint="A6"/>
          <w:lang w:val="en"/>
        </w:rPr>
        <w:t xml:space="preserve"> </w:t>
      </w:r>
      <w:r w:rsidRPr="001C27BF">
        <w:rPr>
          <w:rFonts w:ascii="Arial" w:hAnsi="Arial" w:cs="Arial"/>
          <w:b/>
          <w:bCs/>
          <w:color w:val="595959" w:themeColor="text1" w:themeTint="A6"/>
          <w:lang w:val="en"/>
        </w:rPr>
        <w:t>9</w:t>
      </w:r>
      <w:r w:rsidRPr="001C27BF">
        <w:rPr>
          <w:rFonts w:ascii="Arial" w:hAnsi="Arial" w:cs="Arial"/>
          <w:color w:val="595959" w:themeColor="text1" w:themeTint="A6"/>
          <w:lang w:val="en"/>
        </w:rPr>
        <w:t xml:space="preserve">(7): e103672. </w:t>
      </w:r>
    </w:p>
    <w:p w14:paraId="71172CD3" w14:textId="3325465D" w:rsidR="00396EB2" w:rsidRPr="001C27BF" w:rsidRDefault="00396EB2" w:rsidP="001C27BF">
      <w:pPr>
        <w:spacing w:line="360" w:lineRule="auto"/>
        <w:jc w:val="both"/>
        <w:rPr>
          <w:rFonts w:ascii="Arial" w:hAnsi="Arial" w:cs="Arial"/>
          <w:color w:val="595959" w:themeColor="text1" w:themeTint="A6"/>
        </w:rPr>
      </w:pPr>
      <w:r w:rsidRPr="001C27BF">
        <w:rPr>
          <w:rFonts w:ascii="Arial" w:hAnsi="Arial" w:cs="Arial"/>
          <w:color w:val="595959" w:themeColor="text1" w:themeTint="A6"/>
        </w:rPr>
        <w:t xml:space="preserve">LUCA A.C., Mersch S., Deenen R., Schmidt S., Messner I., Schäfer K.L., Baldus S.E., Huckenbeck, W., Piekorz, R.P., Knoefel, W.T., Krieg, A., and Stoeckhlein, N.H. (2013). ‘Impact of the 3D microenvironment on phenotype, gene expression, and EGFR inhibition of colorectal cancer cell lines’. </w:t>
      </w:r>
      <w:r w:rsidRPr="001C27BF">
        <w:rPr>
          <w:rFonts w:ascii="Arial" w:hAnsi="Arial" w:cs="Arial"/>
          <w:i/>
          <w:iCs/>
          <w:color w:val="595959" w:themeColor="text1" w:themeTint="A6"/>
        </w:rPr>
        <w:t>PLoS ONE</w:t>
      </w:r>
      <w:r w:rsidRPr="001C27BF">
        <w:rPr>
          <w:rFonts w:ascii="Arial" w:hAnsi="Arial" w:cs="Arial"/>
          <w:color w:val="595959" w:themeColor="text1" w:themeTint="A6"/>
        </w:rPr>
        <w:t xml:space="preserve">, </w:t>
      </w:r>
      <w:r w:rsidRPr="001C27BF">
        <w:rPr>
          <w:rFonts w:ascii="Arial" w:hAnsi="Arial" w:cs="Arial"/>
          <w:b/>
          <w:bCs/>
          <w:color w:val="595959" w:themeColor="text1" w:themeTint="A6"/>
        </w:rPr>
        <w:t>8</w:t>
      </w:r>
      <w:r w:rsidRPr="001C27BF">
        <w:rPr>
          <w:rFonts w:ascii="Arial" w:hAnsi="Arial" w:cs="Arial"/>
          <w:color w:val="595959" w:themeColor="text1" w:themeTint="A6"/>
        </w:rPr>
        <w:t>, e59689.</w:t>
      </w:r>
    </w:p>
    <w:p w14:paraId="211F965C" w14:textId="4A770C50" w:rsidR="00396EB2" w:rsidRPr="001C27BF" w:rsidRDefault="00396EB2" w:rsidP="001C27BF">
      <w:pPr>
        <w:spacing w:line="360" w:lineRule="auto"/>
        <w:jc w:val="both"/>
        <w:rPr>
          <w:rFonts w:ascii="Arial" w:hAnsi="Arial" w:cs="Arial"/>
          <w:color w:val="595959" w:themeColor="text1" w:themeTint="A6"/>
        </w:rPr>
      </w:pPr>
      <w:r w:rsidRPr="001C27BF">
        <w:rPr>
          <w:rFonts w:ascii="Arial" w:hAnsi="Arial" w:cs="Arial"/>
          <w:color w:val="595959" w:themeColor="text1" w:themeTint="A6"/>
        </w:rPr>
        <w:t>LUKASHEV M</w:t>
      </w:r>
      <w:r w:rsidR="00137367" w:rsidRPr="001C27BF">
        <w:rPr>
          <w:rFonts w:ascii="Arial" w:hAnsi="Arial" w:cs="Arial"/>
          <w:color w:val="595959" w:themeColor="text1" w:themeTint="A6"/>
        </w:rPr>
        <w:t>.</w:t>
      </w:r>
      <w:r w:rsidRPr="001C27BF">
        <w:rPr>
          <w:rFonts w:ascii="Arial" w:hAnsi="Arial" w:cs="Arial"/>
          <w:color w:val="595959" w:themeColor="text1" w:themeTint="A6"/>
        </w:rPr>
        <w:t xml:space="preserve">E, and Werb Z. (1998). ‘ECM signalling: orchestrating cell behaviour and misbehaviour’. </w:t>
      </w:r>
      <w:r w:rsidRPr="001C27BF">
        <w:rPr>
          <w:rFonts w:ascii="Arial" w:hAnsi="Arial" w:cs="Arial"/>
          <w:i/>
          <w:color w:val="595959" w:themeColor="text1" w:themeTint="A6"/>
        </w:rPr>
        <w:t>Trends Cell Biol</w:t>
      </w:r>
      <w:r w:rsidRPr="001C27BF">
        <w:rPr>
          <w:rFonts w:ascii="Arial" w:hAnsi="Arial" w:cs="Arial"/>
          <w:color w:val="595959" w:themeColor="text1" w:themeTint="A6"/>
        </w:rPr>
        <w:t xml:space="preserve">; </w:t>
      </w:r>
      <w:r w:rsidRPr="001C27BF">
        <w:rPr>
          <w:rFonts w:ascii="Arial" w:hAnsi="Arial" w:cs="Arial"/>
          <w:b/>
          <w:color w:val="595959" w:themeColor="text1" w:themeTint="A6"/>
        </w:rPr>
        <w:t>8</w:t>
      </w:r>
      <w:r w:rsidRPr="001C27BF">
        <w:rPr>
          <w:rFonts w:ascii="Arial" w:hAnsi="Arial" w:cs="Arial"/>
          <w:color w:val="595959" w:themeColor="text1" w:themeTint="A6"/>
        </w:rPr>
        <w:t>:437–441.</w:t>
      </w:r>
    </w:p>
    <w:p w14:paraId="57D57673" w14:textId="57E6C096" w:rsidR="009D2A55" w:rsidRPr="001C27BF" w:rsidRDefault="00B246CD" w:rsidP="001C27BF">
      <w:pPr>
        <w:spacing w:line="360" w:lineRule="auto"/>
        <w:jc w:val="both"/>
        <w:rPr>
          <w:rFonts w:ascii="Arial" w:hAnsi="Arial" w:cs="Arial"/>
          <w:color w:val="595959" w:themeColor="text1" w:themeTint="A6"/>
        </w:rPr>
      </w:pPr>
      <w:r w:rsidRPr="001C27BF">
        <w:rPr>
          <w:rFonts w:ascii="Arial" w:hAnsi="Arial" w:cs="Arial"/>
          <w:color w:val="595959" w:themeColor="text1" w:themeTint="A6"/>
        </w:rPr>
        <w:t>LYNCH</w:t>
      </w:r>
      <w:r w:rsidR="009D2A55" w:rsidRPr="001C27BF">
        <w:rPr>
          <w:rFonts w:ascii="Arial" w:hAnsi="Arial" w:cs="Arial"/>
          <w:color w:val="595959" w:themeColor="text1" w:themeTint="A6"/>
        </w:rPr>
        <w:t xml:space="preserve"> C</w:t>
      </w:r>
      <w:r w:rsidR="00137367" w:rsidRPr="001C27BF">
        <w:rPr>
          <w:rFonts w:ascii="Arial" w:hAnsi="Arial" w:cs="Arial"/>
          <w:color w:val="595959" w:themeColor="text1" w:themeTint="A6"/>
        </w:rPr>
        <w:t>.</w:t>
      </w:r>
      <w:r w:rsidR="009D2A55" w:rsidRPr="001C27BF">
        <w:rPr>
          <w:rFonts w:ascii="Arial" w:hAnsi="Arial" w:cs="Arial"/>
          <w:color w:val="595959" w:themeColor="text1" w:themeTint="A6"/>
        </w:rPr>
        <w:t xml:space="preserve">C, </w:t>
      </w:r>
      <w:r w:rsidR="00137367" w:rsidRPr="001C27BF">
        <w:rPr>
          <w:rFonts w:ascii="Arial" w:hAnsi="Arial" w:cs="Arial"/>
          <w:color w:val="595959" w:themeColor="text1" w:themeTint="A6"/>
        </w:rPr>
        <w:t>and MATRISIAN</w:t>
      </w:r>
      <w:r w:rsidR="009D2A55" w:rsidRPr="001C27BF">
        <w:rPr>
          <w:rFonts w:ascii="Arial" w:hAnsi="Arial" w:cs="Arial"/>
          <w:color w:val="595959" w:themeColor="text1" w:themeTint="A6"/>
        </w:rPr>
        <w:t xml:space="preserve"> L</w:t>
      </w:r>
      <w:r w:rsidR="00137367" w:rsidRPr="001C27BF">
        <w:rPr>
          <w:rFonts w:ascii="Arial" w:hAnsi="Arial" w:cs="Arial"/>
          <w:color w:val="595959" w:themeColor="text1" w:themeTint="A6"/>
        </w:rPr>
        <w:t>.</w:t>
      </w:r>
      <w:r w:rsidR="009D2A55" w:rsidRPr="001C27BF">
        <w:rPr>
          <w:rFonts w:ascii="Arial" w:hAnsi="Arial" w:cs="Arial"/>
          <w:color w:val="595959" w:themeColor="text1" w:themeTint="A6"/>
        </w:rPr>
        <w:t xml:space="preserve">M. (2002). ‘Matrix metalloproteinases in tumour-host cell communication’. </w:t>
      </w:r>
      <w:r w:rsidR="009D2A55" w:rsidRPr="001C27BF">
        <w:rPr>
          <w:rFonts w:ascii="Arial" w:hAnsi="Arial" w:cs="Arial"/>
          <w:i/>
          <w:iCs/>
          <w:color w:val="595959" w:themeColor="text1" w:themeTint="A6"/>
        </w:rPr>
        <w:t>Differentiation</w:t>
      </w:r>
      <w:r w:rsidR="009D2A55" w:rsidRPr="001C27BF">
        <w:rPr>
          <w:rFonts w:ascii="Arial" w:hAnsi="Arial" w:cs="Arial"/>
          <w:color w:val="595959" w:themeColor="text1" w:themeTint="A6"/>
        </w:rPr>
        <w:t>;</w:t>
      </w:r>
      <w:r w:rsidR="009D2A55" w:rsidRPr="001C27BF">
        <w:rPr>
          <w:rFonts w:ascii="Arial" w:hAnsi="Arial" w:cs="Arial"/>
          <w:b/>
          <w:bCs/>
          <w:color w:val="595959" w:themeColor="text1" w:themeTint="A6"/>
        </w:rPr>
        <w:t>70</w:t>
      </w:r>
      <w:r w:rsidR="009D2A55" w:rsidRPr="001C27BF">
        <w:rPr>
          <w:rFonts w:ascii="Arial" w:hAnsi="Arial" w:cs="Arial"/>
          <w:color w:val="595959" w:themeColor="text1" w:themeTint="A6"/>
        </w:rPr>
        <w:t>(9–10):561–73.</w:t>
      </w:r>
    </w:p>
    <w:p w14:paraId="53D81D10" w14:textId="77777777" w:rsidR="00396EB2" w:rsidRPr="001C27BF" w:rsidRDefault="00396EB2" w:rsidP="001C27BF">
      <w:pPr>
        <w:spacing w:line="360" w:lineRule="auto"/>
        <w:jc w:val="both"/>
        <w:rPr>
          <w:rFonts w:ascii="Arial" w:hAnsi="Arial" w:cs="Arial"/>
          <w:color w:val="595959" w:themeColor="text1" w:themeTint="A6"/>
        </w:rPr>
      </w:pPr>
      <w:r w:rsidRPr="001C27BF">
        <w:rPr>
          <w:rFonts w:ascii="Arial" w:hAnsi="Arial" w:cs="Arial"/>
          <w:color w:val="595959" w:themeColor="text1" w:themeTint="A6"/>
        </w:rPr>
        <w:t xml:space="preserve">MACAULAY, V.M, O’Byrne, K.J, Saunder, M.P, Braybrooke, J.P, Long, L, Gleeson, F, Mason, C.S, Harris, A.L, Brown, P and Talbot, D.C. (1999). ‘Phase 1 study of Intrapleural Batimastat (BB-94), a matrix metalloproteinase inhibitor, in the treatment of malignant pleural effusions.’ </w:t>
      </w:r>
      <w:r w:rsidRPr="001C27BF">
        <w:rPr>
          <w:rFonts w:ascii="Arial" w:hAnsi="Arial" w:cs="Arial"/>
          <w:i/>
          <w:color w:val="595959" w:themeColor="text1" w:themeTint="A6"/>
        </w:rPr>
        <w:t>Clinical Cancer Research,</w:t>
      </w:r>
      <w:r w:rsidRPr="001C27BF">
        <w:rPr>
          <w:rFonts w:ascii="Arial" w:hAnsi="Arial" w:cs="Arial"/>
          <w:color w:val="595959" w:themeColor="text1" w:themeTint="A6"/>
        </w:rPr>
        <w:t xml:space="preserve"> </w:t>
      </w:r>
      <w:r w:rsidRPr="001C27BF">
        <w:rPr>
          <w:rFonts w:ascii="Arial" w:hAnsi="Arial" w:cs="Arial"/>
          <w:b/>
          <w:color w:val="595959" w:themeColor="text1" w:themeTint="A6"/>
        </w:rPr>
        <w:t xml:space="preserve">5, </w:t>
      </w:r>
      <w:r w:rsidRPr="001C27BF">
        <w:rPr>
          <w:rFonts w:ascii="Arial" w:hAnsi="Arial" w:cs="Arial"/>
          <w:color w:val="595959" w:themeColor="text1" w:themeTint="A6"/>
        </w:rPr>
        <w:t xml:space="preserve">513-520. </w:t>
      </w:r>
    </w:p>
    <w:p w14:paraId="24DFE042" w14:textId="75474AF8" w:rsidR="00396EB2" w:rsidRPr="001C27BF" w:rsidRDefault="00396EB2" w:rsidP="001C27BF">
      <w:pPr>
        <w:spacing w:line="360" w:lineRule="auto"/>
        <w:jc w:val="both"/>
        <w:rPr>
          <w:rFonts w:ascii="Arial" w:hAnsi="Arial" w:cs="Arial"/>
          <w:color w:val="595959" w:themeColor="text1" w:themeTint="A6"/>
        </w:rPr>
      </w:pPr>
      <w:r w:rsidRPr="001C27BF">
        <w:rPr>
          <w:rFonts w:ascii="Arial" w:hAnsi="Arial" w:cs="Arial"/>
          <w:color w:val="595959" w:themeColor="text1" w:themeTint="A6"/>
        </w:rPr>
        <w:t xml:space="preserve">MARISA, L., </w:t>
      </w:r>
      <w:r w:rsidR="00174372" w:rsidRPr="001C27BF">
        <w:rPr>
          <w:rFonts w:ascii="Arial" w:hAnsi="Arial" w:cs="Arial"/>
          <w:color w:val="595959" w:themeColor="text1" w:themeTint="A6"/>
        </w:rPr>
        <w:t>D</w:t>
      </w:r>
      <w:r w:rsidRPr="001C27BF">
        <w:rPr>
          <w:rFonts w:ascii="Arial" w:hAnsi="Arial" w:cs="Arial"/>
          <w:color w:val="595959" w:themeColor="text1" w:themeTint="A6"/>
        </w:rPr>
        <w:t xml:space="preserve">e Reynies, A., Duval, A., Selves, J., Gaub, M.P., Vescovo, L., ̀ Etienne-Grimaldi, M.C., Schiappa, R., Guenot, D., Ayadi, M. (2013). ‘Gene expression classification of colon cancer into molecular subtypes: characterization, validation, and prognostic value’. </w:t>
      </w:r>
      <w:r w:rsidRPr="001C27BF">
        <w:rPr>
          <w:rFonts w:ascii="Arial" w:hAnsi="Arial" w:cs="Arial"/>
          <w:i/>
          <w:iCs/>
          <w:color w:val="595959" w:themeColor="text1" w:themeTint="A6"/>
        </w:rPr>
        <w:t>PLoS Med.</w:t>
      </w:r>
      <w:r w:rsidRPr="001C27BF">
        <w:rPr>
          <w:rFonts w:ascii="Arial" w:hAnsi="Arial" w:cs="Arial"/>
          <w:color w:val="595959" w:themeColor="text1" w:themeTint="A6"/>
        </w:rPr>
        <w:t xml:space="preserve"> </w:t>
      </w:r>
      <w:r w:rsidRPr="001C27BF">
        <w:rPr>
          <w:rFonts w:ascii="Arial" w:hAnsi="Arial" w:cs="Arial"/>
          <w:b/>
          <w:bCs/>
          <w:color w:val="595959" w:themeColor="text1" w:themeTint="A6"/>
        </w:rPr>
        <w:t>10</w:t>
      </w:r>
      <w:r w:rsidRPr="001C27BF">
        <w:rPr>
          <w:rFonts w:ascii="Arial" w:hAnsi="Arial" w:cs="Arial"/>
          <w:color w:val="595959" w:themeColor="text1" w:themeTint="A6"/>
        </w:rPr>
        <w:t xml:space="preserve">, e1001453. </w:t>
      </w:r>
    </w:p>
    <w:p w14:paraId="3BAAF79A" w14:textId="77777777" w:rsidR="00396EB2" w:rsidRPr="001C27BF" w:rsidRDefault="00396EB2" w:rsidP="001C27BF">
      <w:pPr>
        <w:spacing w:line="360" w:lineRule="auto"/>
        <w:jc w:val="both"/>
        <w:rPr>
          <w:rFonts w:ascii="Arial" w:hAnsi="Arial" w:cs="Arial"/>
          <w:color w:val="595959" w:themeColor="text1" w:themeTint="A6"/>
        </w:rPr>
      </w:pPr>
      <w:r w:rsidRPr="001C27BF">
        <w:rPr>
          <w:rFonts w:ascii="Arial" w:hAnsi="Arial" w:cs="Arial"/>
          <w:color w:val="595959" w:themeColor="text1" w:themeTint="A6"/>
        </w:rPr>
        <w:t xml:space="preserve">MARSH, D., Suchak, K., Moutasim, K. A., Vallath, S., Hopper, C., Jerjes, W., Upile, T., Kalavrezos, N., Weinreb, P. H., Chester, K A., Chana, J. S., Marshall, J. F., Hart, I. R., HACKSHAW, A. K., Piper, K., &amp; Thomas, G. J. (2011). ‘Stromal features are predictive of disease mortality in oral cancer patients’. </w:t>
      </w:r>
      <w:r w:rsidRPr="001C27BF">
        <w:rPr>
          <w:rFonts w:ascii="Arial" w:hAnsi="Arial" w:cs="Arial"/>
          <w:i/>
          <w:color w:val="595959" w:themeColor="text1" w:themeTint="A6"/>
        </w:rPr>
        <w:t>The Journal of Pathology</w:t>
      </w:r>
      <w:r w:rsidRPr="001C27BF">
        <w:rPr>
          <w:rFonts w:ascii="Arial" w:hAnsi="Arial" w:cs="Arial"/>
          <w:color w:val="595959" w:themeColor="text1" w:themeTint="A6"/>
        </w:rPr>
        <w:t>, 223(</w:t>
      </w:r>
      <w:r w:rsidRPr="001C27BF">
        <w:rPr>
          <w:rFonts w:ascii="Arial" w:hAnsi="Arial" w:cs="Arial"/>
          <w:b/>
          <w:color w:val="595959" w:themeColor="text1" w:themeTint="A6"/>
        </w:rPr>
        <w:t>4</w:t>
      </w:r>
      <w:r w:rsidRPr="001C27BF">
        <w:rPr>
          <w:rFonts w:ascii="Arial" w:hAnsi="Arial" w:cs="Arial"/>
          <w:color w:val="595959" w:themeColor="text1" w:themeTint="A6"/>
        </w:rPr>
        <w:t>), 470–81.</w:t>
      </w:r>
    </w:p>
    <w:p w14:paraId="28E9AE8E" w14:textId="77777777" w:rsidR="00396EB2" w:rsidRPr="001C27BF" w:rsidRDefault="00396EB2" w:rsidP="001C27BF">
      <w:pPr>
        <w:spacing w:line="360" w:lineRule="auto"/>
        <w:jc w:val="both"/>
        <w:rPr>
          <w:rFonts w:ascii="Arial" w:hAnsi="Arial" w:cs="Arial"/>
          <w:color w:val="595959" w:themeColor="text1" w:themeTint="A6"/>
          <w:lang w:val="it-IT"/>
        </w:rPr>
      </w:pPr>
      <w:r w:rsidRPr="001C27BF">
        <w:rPr>
          <w:rFonts w:ascii="Arial" w:hAnsi="Arial" w:cs="Arial"/>
          <w:color w:val="595959" w:themeColor="text1" w:themeTint="A6"/>
        </w:rPr>
        <w:t xml:space="preserve">MCGEE G.S., Davidson J.M, Buckley A., (1988) ‘Recombinant basic fibroblast growth-factor accelerates wound-healing’. </w:t>
      </w:r>
      <w:r w:rsidRPr="001C27BF">
        <w:rPr>
          <w:rFonts w:ascii="Arial" w:hAnsi="Arial" w:cs="Arial"/>
          <w:i/>
          <w:color w:val="595959" w:themeColor="text1" w:themeTint="A6"/>
          <w:lang w:val="it-IT"/>
        </w:rPr>
        <w:t>J Surg Res</w:t>
      </w:r>
      <w:r w:rsidRPr="001C27BF">
        <w:rPr>
          <w:rFonts w:ascii="Arial" w:hAnsi="Arial" w:cs="Arial"/>
          <w:color w:val="595959" w:themeColor="text1" w:themeTint="A6"/>
          <w:lang w:val="it-IT"/>
        </w:rPr>
        <w:t>;</w:t>
      </w:r>
      <w:r w:rsidRPr="001C27BF">
        <w:rPr>
          <w:rFonts w:ascii="Arial" w:hAnsi="Arial" w:cs="Arial"/>
          <w:b/>
          <w:color w:val="595959" w:themeColor="text1" w:themeTint="A6"/>
          <w:lang w:val="it-IT"/>
        </w:rPr>
        <w:t>45</w:t>
      </w:r>
      <w:r w:rsidRPr="001C27BF">
        <w:rPr>
          <w:rFonts w:ascii="Arial" w:hAnsi="Arial" w:cs="Arial"/>
          <w:color w:val="595959" w:themeColor="text1" w:themeTint="A6"/>
          <w:lang w:val="it-IT"/>
        </w:rPr>
        <w:t>:145-153.</w:t>
      </w:r>
    </w:p>
    <w:p w14:paraId="27DA4EBC" w14:textId="77777777" w:rsidR="00396EB2" w:rsidRPr="001C27BF" w:rsidRDefault="00396EB2" w:rsidP="001C27BF">
      <w:pPr>
        <w:spacing w:line="360" w:lineRule="auto"/>
        <w:jc w:val="both"/>
        <w:rPr>
          <w:rFonts w:ascii="Arial" w:hAnsi="Arial" w:cs="Arial"/>
          <w:color w:val="595959" w:themeColor="text1" w:themeTint="A6"/>
        </w:rPr>
      </w:pPr>
      <w:r w:rsidRPr="001C27BF">
        <w:rPr>
          <w:rFonts w:ascii="Arial" w:hAnsi="Arial" w:cs="Arial"/>
          <w:color w:val="595959" w:themeColor="text1" w:themeTint="A6"/>
          <w:lang w:val="it-IT"/>
        </w:rPr>
        <w:t xml:space="preserve">MEDICO, E., Russo, M., Picco, G., Cancelliere, C., Valtorta, E., Corti, G., Buscarino, M., Isella, C., Lamba, S., Martinoglio, B. et al. </w:t>
      </w:r>
      <w:r w:rsidRPr="001C27BF">
        <w:rPr>
          <w:rFonts w:ascii="Arial" w:hAnsi="Arial" w:cs="Arial"/>
          <w:color w:val="595959" w:themeColor="text1" w:themeTint="A6"/>
        </w:rPr>
        <w:t>(2015). ‘The molecular landscape of colorectal cancer cell lines unveils clinically actionable kinase targets’</w:t>
      </w:r>
      <w:r w:rsidRPr="001C27BF">
        <w:rPr>
          <w:rFonts w:ascii="Arial" w:hAnsi="Arial" w:cs="Arial"/>
          <w:i/>
          <w:iCs/>
          <w:color w:val="595959" w:themeColor="text1" w:themeTint="A6"/>
        </w:rPr>
        <w:t>. Nat. Commun</w:t>
      </w:r>
      <w:r w:rsidRPr="001C27BF">
        <w:rPr>
          <w:rFonts w:ascii="Arial" w:hAnsi="Arial" w:cs="Arial"/>
          <w:color w:val="595959" w:themeColor="text1" w:themeTint="A6"/>
        </w:rPr>
        <w:t xml:space="preserve">. </w:t>
      </w:r>
      <w:r w:rsidRPr="001C27BF">
        <w:rPr>
          <w:rFonts w:ascii="Arial" w:hAnsi="Arial" w:cs="Arial"/>
          <w:b/>
          <w:bCs/>
          <w:color w:val="595959" w:themeColor="text1" w:themeTint="A6"/>
        </w:rPr>
        <w:t>6</w:t>
      </w:r>
      <w:r w:rsidRPr="001C27BF">
        <w:rPr>
          <w:rFonts w:ascii="Arial" w:hAnsi="Arial" w:cs="Arial"/>
          <w:color w:val="595959" w:themeColor="text1" w:themeTint="A6"/>
        </w:rPr>
        <w:t>, 7002.</w:t>
      </w:r>
    </w:p>
    <w:p w14:paraId="7D0B5145" w14:textId="77777777" w:rsidR="00396EB2" w:rsidRPr="00AB072A" w:rsidRDefault="00396EB2" w:rsidP="001C27BF">
      <w:pPr>
        <w:spacing w:line="360" w:lineRule="auto"/>
        <w:jc w:val="both"/>
        <w:rPr>
          <w:rFonts w:ascii="Arial" w:hAnsi="Arial" w:cs="Arial"/>
          <w:color w:val="595959" w:themeColor="text1" w:themeTint="A6"/>
        </w:rPr>
      </w:pPr>
      <w:r w:rsidRPr="00AB072A">
        <w:rPr>
          <w:rFonts w:ascii="Arial" w:hAnsi="Arial" w:cs="Arial"/>
          <w:color w:val="595959" w:themeColor="text1" w:themeTint="A6"/>
        </w:rPr>
        <w:t xml:space="preserve">MELLING, G.E. (2015). The role of mRNA-145 in the tumour microenvironment.’ PhD thesis, The University of Sheffield. </w:t>
      </w:r>
    </w:p>
    <w:p w14:paraId="4D26A193" w14:textId="1E08F86F" w:rsidR="00E35C78" w:rsidRPr="00E35C78" w:rsidRDefault="007B378B" w:rsidP="00E35C78">
      <w:pPr>
        <w:spacing w:line="360" w:lineRule="auto"/>
        <w:jc w:val="both"/>
        <w:rPr>
          <w:rFonts w:ascii="Arial" w:hAnsi="Arial" w:cs="Arial"/>
          <w:color w:val="595959" w:themeColor="text1" w:themeTint="A6"/>
        </w:rPr>
      </w:pPr>
      <w:hyperlink r:id="rId214" w:history="1">
        <w:r w:rsidR="00E35C78" w:rsidRPr="00E35C78">
          <w:rPr>
            <w:rStyle w:val="Hyperlink"/>
            <w:rFonts w:ascii="Arial" w:hAnsi="Arial" w:cs="Arial"/>
            <w:color w:val="595959" w:themeColor="text1" w:themeTint="A6"/>
            <w:u w:val="none"/>
          </w:rPr>
          <w:t>MELLONE</w:t>
        </w:r>
      </w:hyperlink>
      <w:r w:rsidR="00E35C78" w:rsidRPr="00E35C78">
        <w:rPr>
          <w:rFonts w:ascii="Arial" w:hAnsi="Arial" w:cs="Arial"/>
          <w:color w:val="595959" w:themeColor="text1" w:themeTint="A6"/>
        </w:rPr>
        <w:t>, M.,  </w:t>
      </w:r>
      <w:hyperlink r:id="rId215" w:history="1">
        <w:r w:rsidR="00E35C78" w:rsidRPr="00E35C78">
          <w:rPr>
            <w:rStyle w:val="Hyperlink"/>
            <w:rFonts w:ascii="Arial" w:hAnsi="Arial" w:cs="Arial"/>
            <w:color w:val="595959" w:themeColor="text1" w:themeTint="A6"/>
            <w:u w:val="none"/>
          </w:rPr>
          <w:t>Hanley</w:t>
        </w:r>
      </w:hyperlink>
      <w:r w:rsidR="00E35C78" w:rsidRPr="00E35C78">
        <w:rPr>
          <w:rFonts w:ascii="Arial" w:hAnsi="Arial" w:cs="Arial"/>
          <w:color w:val="595959" w:themeColor="text1" w:themeTint="A6"/>
        </w:rPr>
        <w:t>, C.J., </w:t>
      </w:r>
      <w:hyperlink r:id="rId216" w:history="1">
        <w:r w:rsidR="00E35C78" w:rsidRPr="00E35C78">
          <w:rPr>
            <w:rStyle w:val="Hyperlink"/>
            <w:rFonts w:ascii="Arial" w:hAnsi="Arial" w:cs="Arial"/>
            <w:color w:val="595959" w:themeColor="text1" w:themeTint="A6"/>
            <w:u w:val="none"/>
          </w:rPr>
          <w:t>Tirdborough</w:t>
        </w:r>
      </w:hyperlink>
      <w:r w:rsidR="00E35C78" w:rsidRPr="00E35C78">
        <w:rPr>
          <w:rFonts w:ascii="Arial" w:hAnsi="Arial" w:cs="Arial"/>
          <w:color w:val="595959" w:themeColor="text1" w:themeTint="A6"/>
        </w:rPr>
        <w:t xml:space="preserve">, S.,  </w:t>
      </w:r>
      <w:hyperlink r:id="rId217" w:history="1">
        <w:r w:rsidR="00E35C78" w:rsidRPr="00E35C78">
          <w:rPr>
            <w:rStyle w:val="Hyperlink"/>
            <w:rFonts w:ascii="Arial" w:hAnsi="Arial" w:cs="Arial"/>
            <w:color w:val="595959" w:themeColor="text1" w:themeTint="A6"/>
            <w:u w:val="none"/>
          </w:rPr>
          <w:t>Mellows</w:t>
        </w:r>
      </w:hyperlink>
      <w:r w:rsidR="00E35C78" w:rsidRPr="00E35C78">
        <w:rPr>
          <w:rFonts w:ascii="Arial" w:hAnsi="Arial" w:cs="Arial"/>
          <w:color w:val="595959" w:themeColor="text1" w:themeTint="A6"/>
        </w:rPr>
        <w:t>, T.,  </w:t>
      </w:r>
      <w:hyperlink r:id="rId218" w:history="1">
        <w:r w:rsidR="00E35C78" w:rsidRPr="00E35C78">
          <w:rPr>
            <w:rStyle w:val="Hyperlink"/>
            <w:rFonts w:ascii="Arial" w:hAnsi="Arial" w:cs="Arial"/>
            <w:color w:val="595959" w:themeColor="text1" w:themeTint="A6"/>
            <w:u w:val="none"/>
          </w:rPr>
          <w:t>Garcia</w:t>
        </w:r>
      </w:hyperlink>
      <w:r w:rsidR="00E35C78" w:rsidRPr="00E35C78">
        <w:rPr>
          <w:rFonts w:ascii="Arial" w:hAnsi="Arial" w:cs="Arial"/>
          <w:color w:val="595959" w:themeColor="text1" w:themeTint="A6"/>
        </w:rPr>
        <w:t xml:space="preserve">, E., </w:t>
      </w:r>
      <w:hyperlink r:id="rId219" w:history="1">
        <w:r w:rsidR="00E35C78" w:rsidRPr="00E35C78">
          <w:rPr>
            <w:rStyle w:val="Hyperlink"/>
            <w:rFonts w:ascii="Arial" w:hAnsi="Arial" w:cs="Arial"/>
            <w:color w:val="595959" w:themeColor="text1" w:themeTint="A6"/>
            <w:u w:val="none"/>
          </w:rPr>
          <w:t>Woo</w:t>
        </w:r>
      </w:hyperlink>
      <w:r w:rsidR="00E35C78" w:rsidRPr="00E35C78">
        <w:rPr>
          <w:rFonts w:ascii="Arial" w:hAnsi="Arial" w:cs="Arial"/>
          <w:color w:val="595959" w:themeColor="text1" w:themeTint="A6"/>
        </w:rPr>
        <w:t>, J., </w:t>
      </w:r>
      <w:hyperlink r:id="rId220" w:history="1">
        <w:r w:rsidR="00E35C78" w:rsidRPr="00E35C78">
          <w:rPr>
            <w:rStyle w:val="Hyperlink"/>
            <w:rFonts w:ascii="Arial" w:hAnsi="Arial" w:cs="Arial"/>
            <w:color w:val="595959" w:themeColor="text1" w:themeTint="A6"/>
            <w:u w:val="none"/>
          </w:rPr>
          <w:t>Tod</w:t>
        </w:r>
      </w:hyperlink>
      <w:r w:rsidR="00E35C78" w:rsidRPr="00E35C78">
        <w:rPr>
          <w:rFonts w:ascii="Arial" w:hAnsi="Arial" w:cs="Arial"/>
          <w:color w:val="595959" w:themeColor="text1" w:themeTint="A6"/>
        </w:rPr>
        <w:t>, J., </w:t>
      </w:r>
      <w:hyperlink r:id="rId221" w:history="1">
        <w:r w:rsidR="00E35C78" w:rsidRPr="00E35C78">
          <w:rPr>
            <w:rStyle w:val="Hyperlink"/>
            <w:rFonts w:ascii="Arial" w:hAnsi="Arial" w:cs="Arial"/>
            <w:color w:val="595959" w:themeColor="text1" w:themeTint="A6"/>
            <w:u w:val="none"/>
          </w:rPr>
          <w:t>Frampton</w:t>
        </w:r>
      </w:hyperlink>
      <w:r w:rsidR="00E35C78" w:rsidRPr="00E35C78">
        <w:rPr>
          <w:rFonts w:ascii="Arial" w:hAnsi="Arial" w:cs="Arial"/>
          <w:color w:val="595959" w:themeColor="text1" w:themeTint="A6"/>
        </w:rPr>
        <w:t>, S., </w:t>
      </w:r>
      <w:hyperlink r:id="rId222" w:history="1">
        <w:r w:rsidR="00E35C78" w:rsidRPr="00E35C78">
          <w:rPr>
            <w:rStyle w:val="Hyperlink"/>
            <w:rFonts w:ascii="Arial" w:hAnsi="Arial" w:cs="Arial"/>
            <w:color w:val="595959" w:themeColor="text1" w:themeTint="A6"/>
            <w:u w:val="none"/>
          </w:rPr>
          <w:t>Jenei</w:t>
        </w:r>
      </w:hyperlink>
      <w:r w:rsidR="00E35C78" w:rsidRPr="00E35C78">
        <w:rPr>
          <w:rFonts w:ascii="Arial" w:hAnsi="Arial" w:cs="Arial"/>
          <w:color w:val="595959" w:themeColor="text1" w:themeTint="A6"/>
        </w:rPr>
        <w:t>, V.,  </w:t>
      </w:r>
      <w:hyperlink r:id="rId223" w:history="1">
        <w:r w:rsidR="00E35C78" w:rsidRPr="00E35C78">
          <w:rPr>
            <w:rStyle w:val="Hyperlink"/>
            <w:rFonts w:ascii="Arial" w:hAnsi="Arial" w:cs="Arial"/>
            <w:color w:val="595959" w:themeColor="text1" w:themeTint="A6"/>
            <w:u w:val="none"/>
          </w:rPr>
          <w:t>Moutasim</w:t>
        </w:r>
      </w:hyperlink>
      <w:r w:rsidR="00E35C78" w:rsidRPr="00E35C78">
        <w:rPr>
          <w:rFonts w:ascii="Arial" w:hAnsi="Arial" w:cs="Arial"/>
          <w:color w:val="595959" w:themeColor="text1" w:themeTint="A6"/>
        </w:rPr>
        <w:t>, K.A., </w:t>
      </w:r>
      <w:hyperlink r:id="rId224" w:history="1">
        <w:r w:rsidR="00E35C78" w:rsidRPr="00E35C78">
          <w:rPr>
            <w:rStyle w:val="Hyperlink"/>
            <w:rFonts w:ascii="Arial" w:hAnsi="Arial" w:cs="Arial"/>
            <w:color w:val="595959" w:themeColor="text1" w:themeTint="A6"/>
            <w:u w:val="none"/>
          </w:rPr>
          <w:t>Kabir</w:t>
        </w:r>
      </w:hyperlink>
      <w:r w:rsidR="00E35C78" w:rsidRPr="00E35C78">
        <w:rPr>
          <w:rFonts w:ascii="Arial" w:hAnsi="Arial" w:cs="Arial"/>
          <w:color w:val="595959" w:themeColor="text1" w:themeTint="A6"/>
        </w:rPr>
        <w:t xml:space="preserve">, T.D, </w:t>
      </w:r>
      <w:hyperlink r:id="rId225" w:history="1">
        <w:r w:rsidR="00E35C78" w:rsidRPr="00E35C78">
          <w:rPr>
            <w:rStyle w:val="Hyperlink"/>
            <w:rFonts w:ascii="Arial" w:hAnsi="Arial" w:cs="Arial"/>
            <w:color w:val="595959" w:themeColor="text1" w:themeTint="A6"/>
            <w:u w:val="none"/>
          </w:rPr>
          <w:t>Brennan</w:t>
        </w:r>
      </w:hyperlink>
      <w:r w:rsidR="00E35C78" w:rsidRPr="00E35C78">
        <w:rPr>
          <w:rFonts w:ascii="Arial" w:hAnsi="Arial" w:cs="Arial"/>
          <w:color w:val="595959" w:themeColor="text1" w:themeTint="A6"/>
        </w:rPr>
        <w:t>, P.A., </w:t>
      </w:r>
      <w:hyperlink r:id="rId226" w:history="1">
        <w:r w:rsidR="00E35C78" w:rsidRPr="00E35C78">
          <w:rPr>
            <w:rStyle w:val="Hyperlink"/>
            <w:rFonts w:ascii="Arial" w:hAnsi="Arial" w:cs="Arial"/>
            <w:color w:val="595959" w:themeColor="text1" w:themeTint="A6"/>
            <w:u w:val="none"/>
          </w:rPr>
          <w:t>Venturi</w:t>
        </w:r>
      </w:hyperlink>
      <w:r w:rsidR="00E35C78" w:rsidRPr="00E35C78">
        <w:rPr>
          <w:rFonts w:ascii="Arial" w:hAnsi="Arial" w:cs="Arial"/>
          <w:color w:val="595959" w:themeColor="text1" w:themeTint="A6"/>
        </w:rPr>
        <w:t>, G., Ford, K., </w:t>
      </w:r>
      <w:hyperlink r:id="rId227" w:history="1">
        <w:r w:rsidR="00E35C78" w:rsidRPr="00E35C78">
          <w:rPr>
            <w:rStyle w:val="Hyperlink"/>
            <w:rFonts w:ascii="Arial" w:hAnsi="Arial" w:cs="Arial"/>
            <w:color w:val="595959" w:themeColor="text1" w:themeTint="A6"/>
            <w:u w:val="none"/>
          </w:rPr>
          <w:t>Herranz</w:t>
        </w:r>
      </w:hyperlink>
      <w:r w:rsidR="00E35C78" w:rsidRPr="00E35C78">
        <w:rPr>
          <w:rFonts w:ascii="Arial" w:hAnsi="Arial" w:cs="Arial"/>
          <w:color w:val="595959" w:themeColor="text1" w:themeTint="A6"/>
        </w:rPr>
        <w:t>, N., Peng, K., </w:t>
      </w:r>
      <w:hyperlink r:id="rId228" w:history="1">
        <w:r w:rsidR="00E35C78" w:rsidRPr="00E35C78">
          <w:rPr>
            <w:rStyle w:val="Hyperlink"/>
            <w:rFonts w:ascii="Arial" w:hAnsi="Arial" w:cs="Arial"/>
            <w:color w:val="595959" w:themeColor="text1" w:themeTint="A6"/>
            <w:u w:val="none"/>
          </w:rPr>
          <w:t>Clarke</w:t>
        </w:r>
      </w:hyperlink>
      <w:r w:rsidR="00E35C78" w:rsidRPr="00E35C78">
        <w:rPr>
          <w:rFonts w:ascii="Arial" w:hAnsi="Arial" w:cs="Arial"/>
          <w:color w:val="595959" w:themeColor="text1" w:themeTint="A6"/>
        </w:rPr>
        <w:t xml:space="preserve">, J., </w:t>
      </w:r>
      <w:hyperlink r:id="rId229" w:history="1">
        <w:r w:rsidR="00E35C78" w:rsidRPr="00E35C78">
          <w:rPr>
            <w:rStyle w:val="Hyperlink"/>
            <w:rFonts w:ascii="Arial" w:hAnsi="Arial" w:cs="Arial"/>
            <w:color w:val="595959" w:themeColor="text1" w:themeTint="A6"/>
            <w:u w:val="none"/>
          </w:rPr>
          <w:t>Lambert</w:t>
        </w:r>
      </w:hyperlink>
      <w:r w:rsidR="00E35C78" w:rsidRPr="00E35C78">
        <w:rPr>
          <w:rFonts w:ascii="Arial" w:hAnsi="Arial" w:cs="Arial"/>
          <w:color w:val="595959" w:themeColor="text1" w:themeTint="A6"/>
        </w:rPr>
        <w:t>, D.W, </w:t>
      </w:r>
      <w:hyperlink r:id="rId230" w:history="1">
        <w:r w:rsidR="00E35C78" w:rsidRPr="00E35C78">
          <w:rPr>
            <w:rStyle w:val="Hyperlink"/>
            <w:rFonts w:ascii="Arial" w:hAnsi="Arial" w:cs="Arial"/>
            <w:color w:val="595959" w:themeColor="text1" w:themeTint="A6"/>
            <w:u w:val="none"/>
          </w:rPr>
          <w:t>Prime</w:t>
        </w:r>
      </w:hyperlink>
      <w:r w:rsidR="00E35C78" w:rsidRPr="00E35C78">
        <w:rPr>
          <w:rFonts w:ascii="Arial" w:hAnsi="Arial" w:cs="Arial"/>
          <w:color w:val="595959" w:themeColor="text1" w:themeTint="A6"/>
        </w:rPr>
        <w:t>, S.S, </w:t>
      </w:r>
      <w:hyperlink r:id="rId231" w:history="1">
        <w:r w:rsidR="00E35C78" w:rsidRPr="00E35C78">
          <w:rPr>
            <w:rStyle w:val="Hyperlink"/>
            <w:rFonts w:ascii="Arial" w:hAnsi="Arial" w:cs="Arial"/>
            <w:color w:val="595959" w:themeColor="text1" w:themeTint="A6"/>
            <w:u w:val="none"/>
          </w:rPr>
          <w:t>Underwood</w:t>
        </w:r>
      </w:hyperlink>
      <w:r w:rsidR="00E35C78" w:rsidRPr="00E35C78">
        <w:rPr>
          <w:rFonts w:ascii="Arial" w:hAnsi="Arial" w:cs="Arial"/>
          <w:color w:val="595959" w:themeColor="text1" w:themeTint="A6"/>
        </w:rPr>
        <w:t>, T.J., </w:t>
      </w:r>
      <w:hyperlink r:id="rId232" w:history="1">
        <w:r w:rsidR="00E35C78" w:rsidRPr="00E35C78">
          <w:rPr>
            <w:rStyle w:val="Hyperlink"/>
            <w:rFonts w:ascii="Arial" w:hAnsi="Arial" w:cs="Arial"/>
            <w:color w:val="595959" w:themeColor="text1" w:themeTint="A6"/>
            <w:u w:val="none"/>
          </w:rPr>
          <w:t xml:space="preserve"> Vijayanand</w:t>
        </w:r>
      </w:hyperlink>
      <w:r w:rsidR="00E35C78" w:rsidRPr="00E35C78">
        <w:rPr>
          <w:rFonts w:ascii="Arial" w:hAnsi="Arial" w:cs="Arial"/>
          <w:color w:val="595959" w:themeColor="text1" w:themeTint="A6"/>
        </w:rPr>
        <w:t>, P</w:t>
      </w:r>
      <w:r w:rsidR="00E35C78" w:rsidRPr="00E35C78">
        <w:rPr>
          <w:rFonts w:ascii="Arial" w:hAnsi="Arial" w:cs="Arial"/>
          <w:color w:val="595959" w:themeColor="text1" w:themeTint="A6"/>
          <w:vertAlign w:val="superscript"/>
        </w:rPr>
        <w:t>.</w:t>
      </w:r>
      <w:r w:rsidR="00E35C78" w:rsidRPr="00E35C78">
        <w:rPr>
          <w:rFonts w:ascii="Arial" w:hAnsi="Arial" w:cs="Arial"/>
          <w:color w:val="595959" w:themeColor="text1" w:themeTint="A6"/>
        </w:rPr>
        <w:t>., </w:t>
      </w:r>
      <w:hyperlink r:id="rId233" w:history="1">
        <w:r w:rsidR="00E35C78" w:rsidRPr="00E35C78">
          <w:rPr>
            <w:rStyle w:val="Hyperlink"/>
            <w:rFonts w:ascii="Arial" w:hAnsi="Arial" w:cs="Arial"/>
            <w:color w:val="595959" w:themeColor="text1" w:themeTint="A6"/>
            <w:u w:val="none"/>
          </w:rPr>
          <w:t>Eliceiri</w:t>
        </w:r>
      </w:hyperlink>
      <w:r w:rsidR="00E35C78" w:rsidRPr="00E35C78">
        <w:rPr>
          <w:rFonts w:ascii="Arial" w:hAnsi="Arial" w:cs="Arial"/>
          <w:color w:val="595959" w:themeColor="text1" w:themeTint="A6"/>
        </w:rPr>
        <w:t xml:space="preserve">, K.W., </w:t>
      </w:r>
      <w:hyperlink r:id="rId234" w:history="1">
        <w:r w:rsidR="00E35C78" w:rsidRPr="00E35C78">
          <w:rPr>
            <w:rStyle w:val="Hyperlink"/>
            <w:rFonts w:ascii="Arial" w:hAnsi="Arial" w:cs="Arial"/>
            <w:color w:val="595959" w:themeColor="text1" w:themeTint="A6"/>
            <w:u w:val="none"/>
          </w:rPr>
          <w:t>Woelk</w:t>
        </w:r>
      </w:hyperlink>
      <w:r w:rsidR="00E35C78" w:rsidRPr="00E35C78">
        <w:rPr>
          <w:rFonts w:ascii="Arial" w:hAnsi="Arial" w:cs="Arial"/>
          <w:color w:val="595959" w:themeColor="text1" w:themeTint="A6"/>
        </w:rPr>
        <w:t>, C., King, E.V., </w:t>
      </w:r>
      <w:hyperlink r:id="rId235" w:history="1">
        <w:r w:rsidR="00E35C78" w:rsidRPr="00E35C78">
          <w:rPr>
            <w:rStyle w:val="Hyperlink"/>
            <w:rFonts w:ascii="Arial" w:hAnsi="Arial" w:cs="Arial"/>
            <w:color w:val="595959" w:themeColor="text1" w:themeTint="A6"/>
            <w:u w:val="none"/>
          </w:rPr>
          <w:t>Gil</w:t>
        </w:r>
      </w:hyperlink>
      <w:r w:rsidR="00E35C78" w:rsidRPr="00E35C78">
        <w:rPr>
          <w:rFonts w:ascii="Arial" w:hAnsi="Arial" w:cs="Arial"/>
          <w:color w:val="595959" w:themeColor="text1" w:themeTint="A6"/>
        </w:rPr>
        <w:t>, J., </w:t>
      </w:r>
      <w:hyperlink r:id="rId236" w:history="1">
        <w:r w:rsidR="00E35C78" w:rsidRPr="00E35C78">
          <w:rPr>
            <w:rStyle w:val="Hyperlink"/>
            <w:rFonts w:ascii="Arial" w:hAnsi="Arial" w:cs="Arial"/>
            <w:color w:val="595959" w:themeColor="text1" w:themeTint="A6"/>
            <w:u w:val="none"/>
          </w:rPr>
          <w:t xml:space="preserve"> Ottensmeier</w:t>
        </w:r>
      </w:hyperlink>
      <w:r w:rsidR="00E35C78" w:rsidRPr="00E35C78">
        <w:rPr>
          <w:rFonts w:ascii="Arial" w:hAnsi="Arial" w:cs="Arial"/>
          <w:color w:val="595959" w:themeColor="text1" w:themeTint="A6"/>
        </w:rPr>
        <w:t>, C.H., and </w:t>
      </w:r>
      <w:hyperlink r:id="rId237" w:history="1">
        <w:r w:rsidR="00E35C78" w:rsidRPr="00E35C78">
          <w:rPr>
            <w:rStyle w:val="Hyperlink"/>
            <w:rFonts w:ascii="Arial" w:hAnsi="Arial" w:cs="Arial"/>
            <w:color w:val="595959" w:themeColor="text1" w:themeTint="A6"/>
            <w:u w:val="none"/>
          </w:rPr>
          <w:t>Thomas</w:t>
        </w:r>
      </w:hyperlink>
      <w:r w:rsidR="00E35C78" w:rsidRPr="00E35C78">
        <w:rPr>
          <w:rFonts w:ascii="Arial" w:hAnsi="Arial" w:cs="Arial"/>
          <w:color w:val="595959" w:themeColor="text1" w:themeTint="A6"/>
        </w:rPr>
        <w:t>, G.J.</w:t>
      </w:r>
      <w:r w:rsidR="00E35C78" w:rsidRPr="00E35C78">
        <w:rPr>
          <w:rFonts w:ascii="Arial" w:hAnsi="Arial" w:cs="Arial"/>
          <w:color w:val="595959" w:themeColor="text1" w:themeTint="A6"/>
          <w:vertAlign w:val="superscript"/>
        </w:rPr>
        <w:t xml:space="preserve"> </w:t>
      </w:r>
      <w:r w:rsidR="00E35C78" w:rsidRPr="00E35C78">
        <w:rPr>
          <w:rFonts w:ascii="Arial" w:hAnsi="Arial" w:cs="Arial"/>
          <w:color w:val="595959" w:themeColor="text1" w:themeTint="A6"/>
        </w:rPr>
        <w:t xml:space="preserve">(2016). Induction of fibroblast senescence generates a non-fibrogenic myofibroblast phenotype that differentially impacts on cancer prognosis.’ </w:t>
      </w:r>
      <w:r w:rsidR="00E35C78" w:rsidRPr="00E35C78">
        <w:rPr>
          <w:rFonts w:ascii="Arial" w:hAnsi="Arial" w:cs="Arial"/>
          <w:i/>
          <w:iCs/>
          <w:color w:val="595959" w:themeColor="text1" w:themeTint="A6"/>
        </w:rPr>
        <w:t>Aging</w:t>
      </w:r>
      <w:r w:rsidR="00E35C78" w:rsidRPr="00E35C78">
        <w:rPr>
          <w:rFonts w:ascii="Arial" w:hAnsi="Arial" w:cs="Arial"/>
          <w:color w:val="595959" w:themeColor="text1" w:themeTint="A6"/>
        </w:rPr>
        <w:t xml:space="preserve">, </w:t>
      </w:r>
      <w:r w:rsidR="00E35C78" w:rsidRPr="00E35C78">
        <w:rPr>
          <w:rFonts w:ascii="Arial" w:hAnsi="Arial" w:cs="Arial"/>
          <w:b/>
          <w:bCs/>
          <w:color w:val="595959" w:themeColor="text1" w:themeTint="A6"/>
        </w:rPr>
        <w:t>9</w:t>
      </w:r>
      <w:r w:rsidR="00E35C78" w:rsidRPr="00E35C78">
        <w:rPr>
          <w:rFonts w:ascii="Arial" w:hAnsi="Arial" w:cs="Arial"/>
          <w:color w:val="595959" w:themeColor="text1" w:themeTint="A6"/>
        </w:rPr>
        <w:t>(1): 114–131.</w:t>
      </w:r>
    </w:p>
    <w:p w14:paraId="5E00C148" w14:textId="4310CE19" w:rsidR="00396EB2" w:rsidRPr="001C27BF" w:rsidRDefault="00396EB2" w:rsidP="001C27BF">
      <w:pPr>
        <w:spacing w:line="360" w:lineRule="auto"/>
        <w:jc w:val="both"/>
        <w:rPr>
          <w:rFonts w:ascii="Arial" w:hAnsi="Arial" w:cs="Arial"/>
          <w:color w:val="595959" w:themeColor="text1" w:themeTint="A6"/>
        </w:rPr>
      </w:pPr>
      <w:r w:rsidRPr="001C27BF">
        <w:rPr>
          <w:rFonts w:ascii="Arial" w:hAnsi="Arial" w:cs="Arial"/>
          <w:color w:val="595959" w:themeColor="text1" w:themeTint="A6"/>
        </w:rPr>
        <w:t xml:space="preserve">MEYAARD, L. (2008). ‘The inhibitory collagen receptor LAIR-1 (CD305)’. </w:t>
      </w:r>
      <w:r w:rsidRPr="001C27BF">
        <w:rPr>
          <w:rFonts w:ascii="Arial" w:hAnsi="Arial" w:cs="Arial"/>
          <w:i/>
          <w:color w:val="595959" w:themeColor="text1" w:themeTint="A6"/>
        </w:rPr>
        <w:t>J Leukoc Biol</w:t>
      </w:r>
      <w:r w:rsidRPr="001C27BF">
        <w:rPr>
          <w:rFonts w:ascii="Arial" w:hAnsi="Arial" w:cs="Arial"/>
          <w:color w:val="595959" w:themeColor="text1" w:themeTint="A6"/>
        </w:rPr>
        <w:t xml:space="preserve"> </w:t>
      </w:r>
      <w:r w:rsidRPr="001C27BF">
        <w:rPr>
          <w:rFonts w:ascii="Arial" w:hAnsi="Arial" w:cs="Arial"/>
          <w:b/>
          <w:color w:val="595959" w:themeColor="text1" w:themeTint="A6"/>
        </w:rPr>
        <w:t>83</w:t>
      </w:r>
      <w:r w:rsidRPr="001C27BF">
        <w:rPr>
          <w:rFonts w:ascii="Arial" w:hAnsi="Arial" w:cs="Arial"/>
          <w:color w:val="595959" w:themeColor="text1" w:themeTint="A6"/>
        </w:rPr>
        <w:t>: 799–803.</w:t>
      </w:r>
    </w:p>
    <w:p w14:paraId="0ACB2A86" w14:textId="71B4B602" w:rsidR="00D01284" w:rsidRPr="001C27BF" w:rsidRDefault="00D46467" w:rsidP="001C27BF">
      <w:pPr>
        <w:spacing w:line="360" w:lineRule="auto"/>
        <w:jc w:val="both"/>
        <w:rPr>
          <w:rFonts w:ascii="Arial" w:hAnsi="Arial" w:cs="Arial"/>
          <w:b/>
          <w:bCs/>
          <w:color w:val="595959" w:themeColor="text1" w:themeTint="A6"/>
        </w:rPr>
      </w:pPr>
      <w:r w:rsidRPr="001C27BF">
        <w:rPr>
          <w:rFonts w:ascii="Arial" w:hAnsi="Arial" w:cs="Arial"/>
          <w:color w:val="595959" w:themeColor="text1" w:themeTint="A6"/>
        </w:rPr>
        <w:t>MOHARAMZADEH</w:t>
      </w:r>
      <w:r w:rsidR="00E5333C" w:rsidRPr="001C27BF">
        <w:rPr>
          <w:rFonts w:ascii="Arial" w:hAnsi="Arial" w:cs="Arial"/>
          <w:color w:val="595959" w:themeColor="text1" w:themeTint="A6"/>
        </w:rPr>
        <w:t>, K</w:t>
      </w:r>
      <w:r w:rsidRPr="001C27BF">
        <w:rPr>
          <w:rFonts w:ascii="Arial" w:hAnsi="Arial" w:cs="Arial"/>
          <w:color w:val="595959" w:themeColor="text1" w:themeTint="A6"/>
        </w:rPr>
        <w:t>,</w:t>
      </w:r>
      <w:r w:rsidR="00E5333C" w:rsidRPr="001C27BF">
        <w:rPr>
          <w:rFonts w:ascii="Arial" w:hAnsi="Arial" w:cs="Arial"/>
          <w:color w:val="595959" w:themeColor="text1" w:themeTint="A6"/>
        </w:rPr>
        <w:t xml:space="preserve"> Brook, I.M</w:t>
      </w:r>
      <w:r w:rsidRPr="001C27BF">
        <w:rPr>
          <w:rFonts w:ascii="Arial" w:hAnsi="Arial" w:cs="Arial"/>
          <w:color w:val="595959" w:themeColor="text1" w:themeTint="A6"/>
        </w:rPr>
        <w:t>,</w:t>
      </w:r>
      <w:r w:rsidR="00E5333C" w:rsidRPr="001C27BF">
        <w:rPr>
          <w:rFonts w:ascii="Arial" w:hAnsi="Arial" w:cs="Arial"/>
          <w:color w:val="595959" w:themeColor="text1" w:themeTint="A6"/>
        </w:rPr>
        <w:t xml:space="preserve"> Van Noort, R</w:t>
      </w:r>
      <w:r w:rsidRPr="001C27BF">
        <w:rPr>
          <w:rFonts w:ascii="Arial" w:hAnsi="Arial" w:cs="Arial"/>
          <w:color w:val="595959" w:themeColor="text1" w:themeTint="A6"/>
        </w:rPr>
        <w:t>,</w:t>
      </w:r>
      <w:r w:rsidR="00E5333C" w:rsidRPr="001C27BF">
        <w:rPr>
          <w:rFonts w:ascii="Arial" w:hAnsi="Arial" w:cs="Arial"/>
          <w:color w:val="595959" w:themeColor="text1" w:themeTint="A6"/>
        </w:rPr>
        <w:t xml:space="preserve"> Scutt, A.M</w:t>
      </w:r>
      <w:r w:rsidRPr="001C27BF">
        <w:rPr>
          <w:rFonts w:ascii="Arial" w:hAnsi="Arial" w:cs="Arial"/>
          <w:color w:val="595959" w:themeColor="text1" w:themeTint="A6"/>
        </w:rPr>
        <w:t xml:space="preserve"> and </w:t>
      </w:r>
      <w:r w:rsidR="00E5333C" w:rsidRPr="001C27BF">
        <w:rPr>
          <w:rFonts w:ascii="Arial" w:hAnsi="Arial" w:cs="Arial"/>
          <w:color w:val="595959" w:themeColor="text1" w:themeTint="A6"/>
        </w:rPr>
        <w:t>Thornhill, M.H</w:t>
      </w:r>
      <w:r w:rsidRPr="001C27BF">
        <w:rPr>
          <w:rFonts w:ascii="Arial" w:hAnsi="Arial" w:cs="Arial"/>
          <w:color w:val="595959" w:themeColor="text1" w:themeTint="A6"/>
        </w:rPr>
        <w:t xml:space="preserve"> (2007). ‘</w:t>
      </w:r>
      <w:hyperlink r:id="rId238" w:history="1">
        <w:r w:rsidR="00D01284" w:rsidRPr="001C27BF">
          <w:rPr>
            <w:rStyle w:val="Hyperlink"/>
            <w:rFonts w:ascii="Arial" w:hAnsi="Arial" w:cs="Arial"/>
            <w:color w:val="595959" w:themeColor="text1" w:themeTint="A6"/>
            <w:u w:val="none"/>
          </w:rPr>
          <w:t>Tissue-engineered Oral Mucosa: a Review of the Scientific Literature</w:t>
        </w:r>
      </w:hyperlink>
      <w:r w:rsidR="00D01284" w:rsidRPr="001C27BF">
        <w:rPr>
          <w:rFonts w:ascii="Arial" w:hAnsi="Arial" w:cs="Arial"/>
          <w:color w:val="595959" w:themeColor="text1" w:themeTint="A6"/>
        </w:rPr>
        <w:t xml:space="preserve">.’ </w:t>
      </w:r>
      <w:r w:rsidR="0021332A" w:rsidRPr="001C27BF">
        <w:rPr>
          <w:rFonts w:ascii="Arial" w:hAnsi="Arial" w:cs="Arial"/>
          <w:i/>
          <w:iCs/>
          <w:color w:val="595959" w:themeColor="text1" w:themeTint="A6"/>
        </w:rPr>
        <w:t>Journal of Dental Research,</w:t>
      </w:r>
      <w:r w:rsidR="0021332A" w:rsidRPr="001C27BF">
        <w:rPr>
          <w:rFonts w:ascii="Arial" w:hAnsi="Arial" w:cs="Arial"/>
          <w:color w:val="595959" w:themeColor="text1" w:themeTint="A6"/>
        </w:rPr>
        <w:t xml:space="preserve"> </w:t>
      </w:r>
      <w:r w:rsidR="0021332A" w:rsidRPr="001C27BF">
        <w:rPr>
          <w:rFonts w:ascii="Arial" w:hAnsi="Arial" w:cs="Arial"/>
          <w:b/>
          <w:bCs/>
          <w:color w:val="595959" w:themeColor="text1" w:themeTint="A6"/>
        </w:rPr>
        <w:t>86</w:t>
      </w:r>
      <w:r w:rsidR="0021332A" w:rsidRPr="001C27BF">
        <w:rPr>
          <w:rFonts w:ascii="Arial" w:hAnsi="Arial" w:cs="Arial"/>
          <w:color w:val="595959" w:themeColor="text1" w:themeTint="A6"/>
        </w:rPr>
        <w:t>(2), 115-124.</w:t>
      </w:r>
    </w:p>
    <w:p w14:paraId="5E03D2C0" w14:textId="77777777" w:rsidR="00396EB2" w:rsidRPr="001C27BF" w:rsidRDefault="00396EB2" w:rsidP="001C27BF">
      <w:pPr>
        <w:spacing w:line="360" w:lineRule="auto"/>
        <w:jc w:val="both"/>
        <w:rPr>
          <w:rFonts w:ascii="Arial" w:hAnsi="Arial" w:cs="Arial"/>
          <w:color w:val="595959" w:themeColor="text1" w:themeTint="A6"/>
        </w:rPr>
      </w:pPr>
      <w:r w:rsidRPr="001C27BF">
        <w:rPr>
          <w:rFonts w:ascii="Arial" w:hAnsi="Arial" w:cs="Arial"/>
          <w:color w:val="595959" w:themeColor="text1" w:themeTint="A6"/>
        </w:rPr>
        <w:t xml:space="preserve">MONAZZAM A, Razifar P, Ide S, Rugaard JM, Josephsson R, Blomqvist C, Langstrom B, Bergstrom M (2009) Evaluation of the Hsp90 inhibitor NVP-AUY922 in multicellular tumour spheroids with respect to effects on growth and PET tracer uptake. </w:t>
      </w:r>
      <w:r w:rsidRPr="001C27BF">
        <w:rPr>
          <w:rFonts w:ascii="Arial" w:hAnsi="Arial" w:cs="Arial"/>
          <w:i/>
          <w:color w:val="595959" w:themeColor="text1" w:themeTint="A6"/>
        </w:rPr>
        <w:t>Nucl Med Biol</w:t>
      </w:r>
      <w:r w:rsidRPr="001C27BF">
        <w:rPr>
          <w:rFonts w:ascii="Arial" w:hAnsi="Arial" w:cs="Arial"/>
          <w:color w:val="595959" w:themeColor="text1" w:themeTint="A6"/>
        </w:rPr>
        <w:t xml:space="preserve"> 36:335–342.</w:t>
      </w:r>
    </w:p>
    <w:p w14:paraId="53B909A8" w14:textId="77777777" w:rsidR="00396EB2" w:rsidRPr="001C27BF" w:rsidRDefault="00396EB2" w:rsidP="001C27BF">
      <w:pPr>
        <w:spacing w:line="360" w:lineRule="auto"/>
        <w:jc w:val="both"/>
        <w:rPr>
          <w:rFonts w:ascii="Arial" w:hAnsi="Arial" w:cs="Arial"/>
          <w:color w:val="595959" w:themeColor="text1" w:themeTint="A6"/>
        </w:rPr>
      </w:pPr>
      <w:r w:rsidRPr="001C27BF">
        <w:rPr>
          <w:rFonts w:ascii="Arial" w:hAnsi="Arial" w:cs="Arial"/>
          <w:color w:val="595959" w:themeColor="text1" w:themeTint="A6"/>
        </w:rPr>
        <w:t xml:space="preserve">MONAZZAM A, Razifar P, Simonsson M, Qvarnstrom F, Josephsson R, Blomqvist C, Langstrom B, Bergstrom M (2006). ‘Multicellular tumour spheroid as a model for evaluation of [18F] FDG as biomarker for breast cancer treatment monitoring.’ </w:t>
      </w:r>
      <w:r w:rsidRPr="001C27BF">
        <w:rPr>
          <w:rFonts w:ascii="Arial" w:hAnsi="Arial" w:cs="Arial"/>
          <w:i/>
          <w:color w:val="595959" w:themeColor="text1" w:themeTint="A6"/>
        </w:rPr>
        <w:t>Cancer Cell Int</w:t>
      </w:r>
      <w:r w:rsidRPr="001C27BF">
        <w:rPr>
          <w:rFonts w:ascii="Arial" w:hAnsi="Arial" w:cs="Arial"/>
          <w:color w:val="595959" w:themeColor="text1" w:themeTint="A6"/>
        </w:rPr>
        <w:t xml:space="preserve"> 6:6.</w:t>
      </w:r>
    </w:p>
    <w:p w14:paraId="7CB4602C" w14:textId="7198C73A" w:rsidR="00396EB2" w:rsidRPr="00B90822" w:rsidRDefault="00396EB2" w:rsidP="001C27BF">
      <w:pPr>
        <w:spacing w:line="360" w:lineRule="auto"/>
        <w:jc w:val="both"/>
        <w:rPr>
          <w:rFonts w:ascii="Arial" w:hAnsi="Arial" w:cs="Arial"/>
          <w:color w:val="595959" w:themeColor="text1" w:themeTint="A6"/>
        </w:rPr>
      </w:pPr>
      <w:r w:rsidRPr="00B90822">
        <w:rPr>
          <w:rFonts w:ascii="Arial" w:hAnsi="Arial" w:cs="Arial"/>
          <w:color w:val="595959" w:themeColor="text1" w:themeTint="A6"/>
        </w:rPr>
        <w:t xml:space="preserve">MONTERO, P.H, and </w:t>
      </w:r>
      <w:r w:rsidR="004C3B23" w:rsidRPr="00B90822">
        <w:rPr>
          <w:rFonts w:ascii="Arial" w:hAnsi="Arial" w:cs="Arial"/>
          <w:color w:val="595959" w:themeColor="text1" w:themeTint="A6"/>
        </w:rPr>
        <w:t xml:space="preserve">PATEL, </w:t>
      </w:r>
      <w:r w:rsidRPr="00B90822">
        <w:rPr>
          <w:rFonts w:ascii="Arial" w:hAnsi="Arial" w:cs="Arial"/>
          <w:color w:val="595959" w:themeColor="text1" w:themeTint="A6"/>
        </w:rPr>
        <w:t>S.G. (</w:t>
      </w:r>
      <w:r w:rsidR="004C3B23">
        <w:rPr>
          <w:rFonts w:ascii="Arial" w:hAnsi="Arial" w:cs="Arial"/>
          <w:color w:val="595959" w:themeColor="text1" w:themeTint="A6"/>
        </w:rPr>
        <w:t xml:space="preserve">2015). ‘Cancer of the oral cavity.’ </w:t>
      </w:r>
      <w:r w:rsidR="004C3B23" w:rsidRPr="00385A1B">
        <w:rPr>
          <w:rFonts w:ascii="Arial" w:hAnsi="Arial" w:cs="Arial"/>
          <w:i/>
          <w:iCs/>
          <w:color w:val="595959" w:themeColor="text1" w:themeTint="A6"/>
        </w:rPr>
        <w:t>Surg Oncol Clin N Am</w:t>
      </w:r>
      <w:r w:rsidR="00385A1B">
        <w:rPr>
          <w:rFonts w:ascii="Arial" w:hAnsi="Arial" w:cs="Arial"/>
          <w:color w:val="595959" w:themeColor="text1" w:themeTint="A6"/>
        </w:rPr>
        <w:t xml:space="preserve">; </w:t>
      </w:r>
      <w:r w:rsidR="00385A1B" w:rsidRPr="00385A1B">
        <w:rPr>
          <w:rFonts w:ascii="Arial" w:hAnsi="Arial" w:cs="Arial"/>
          <w:b/>
          <w:bCs/>
          <w:color w:val="595959" w:themeColor="text1" w:themeTint="A6"/>
        </w:rPr>
        <w:t>24</w:t>
      </w:r>
      <w:r w:rsidR="00385A1B">
        <w:rPr>
          <w:rFonts w:ascii="Arial" w:hAnsi="Arial" w:cs="Arial"/>
          <w:color w:val="595959" w:themeColor="text1" w:themeTint="A6"/>
        </w:rPr>
        <w:t xml:space="preserve"> (3): 491-508. </w:t>
      </w:r>
    </w:p>
    <w:p w14:paraId="2EDA78A3" w14:textId="77777777" w:rsidR="00396EB2" w:rsidRPr="001C27BF" w:rsidRDefault="00396EB2" w:rsidP="001C27BF">
      <w:pPr>
        <w:spacing w:line="360" w:lineRule="auto"/>
        <w:jc w:val="both"/>
        <w:rPr>
          <w:rFonts w:ascii="Arial" w:hAnsi="Arial" w:cs="Arial"/>
          <w:color w:val="595959" w:themeColor="text1" w:themeTint="A6"/>
        </w:rPr>
      </w:pPr>
      <w:r w:rsidRPr="001C27BF">
        <w:rPr>
          <w:rFonts w:ascii="Arial" w:hAnsi="Arial" w:cs="Arial"/>
          <w:color w:val="595959" w:themeColor="text1" w:themeTint="A6"/>
        </w:rPr>
        <w:t>MONTESANO R, Orci L, Vassalli P. (1983) ‘</w:t>
      </w:r>
      <w:r w:rsidRPr="001C27BF">
        <w:rPr>
          <w:rFonts w:ascii="Arial" w:hAnsi="Arial" w:cs="Arial"/>
          <w:i/>
          <w:color w:val="595959" w:themeColor="text1" w:themeTint="A6"/>
        </w:rPr>
        <w:t>In vitro</w:t>
      </w:r>
      <w:r w:rsidRPr="001C27BF">
        <w:rPr>
          <w:rFonts w:ascii="Arial" w:hAnsi="Arial" w:cs="Arial"/>
          <w:color w:val="595959" w:themeColor="text1" w:themeTint="A6"/>
        </w:rPr>
        <w:t xml:space="preserve"> rapid organization of endothelial cells into capillary-like networks is promoted by collagen matrices’. </w:t>
      </w:r>
      <w:r w:rsidRPr="001C27BF">
        <w:rPr>
          <w:rFonts w:ascii="Arial" w:hAnsi="Arial" w:cs="Arial"/>
          <w:i/>
          <w:color w:val="595959" w:themeColor="text1" w:themeTint="A6"/>
        </w:rPr>
        <w:t>J Cell Biol</w:t>
      </w:r>
      <w:r w:rsidRPr="001C27BF">
        <w:rPr>
          <w:rFonts w:ascii="Arial" w:hAnsi="Arial" w:cs="Arial"/>
          <w:color w:val="595959" w:themeColor="text1" w:themeTint="A6"/>
        </w:rPr>
        <w:t xml:space="preserve"> </w:t>
      </w:r>
      <w:r w:rsidRPr="001C27BF">
        <w:rPr>
          <w:rFonts w:ascii="Arial" w:hAnsi="Arial" w:cs="Arial"/>
          <w:b/>
          <w:color w:val="595959" w:themeColor="text1" w:themeTint="A6"/>
        </w:rPr>
        <w:t>97</w:t>
      </w:r>
      <w:r w:rsidRPr="001C27BF">
        <w:rPr>
          <w:rFonts w:ascii="Arial" w:hAnsi="Arial" w:cs="Arial"/>
          <w:color w:val="595959" w:themeColor="text1" w:themeTint="A6"/>
        </w:rPr>
        <w:t>: 1648–1652.</w:t>
      </w:r>
    </w:p>
    <w:p w14:paraId="0E52DA69" w14:textId="12F531B4" w:rsidR="00396EB2" w:rsidRPr="001C27BF" w:rsidRDefault="00396EB2" w:rsidP="001C27BF">
      <w:pPr>
        <w:spacing w:line="360" w:lineRule="auto"/>
        <w:jc w:val="both"/>
        <w:rPr>
          <w:rFonts w:ascii="Arial" w:hAnsi="Arial" w:cs="Arial"/>
          <w:color w:val="595959" w:themeColor="text1" w:themeTint="A6"/>
        </w:rPr>
      </w:pPr>
      <w:r w:rsidRPr="001C27BF">
        <w:rPr>
          <w:rFonts w:ascii="Arial" w:hAnsi="Arial" w:cs="Arial"/>
          <w:color w:val="595959" w:themeColor="text1" w:themeTint="A6"/>
        </w:rPr>
        <w:t xml:space="preserve">MOSS N.M, Barbolina M.V, Liu Y, Sun L, Munshi H.G, and Stack M.S. </w:t>
      </w:r>
      <w:r w:rsidRPr="001C27BF">
        <w:rPr>
          <w:rFonts w:ascii="Arial" w:hAnsi="Arial" w:cs="Arial"/>
          <w:color w:val="595959" w:themeColor="text1" w:themeTint="A6"/>
        </w:rPr>
        <w:br/>
        <w:t>(2009). ‘Ovarian cancer cell detachment and multicellular aggregate formation are regulated by membrane type 1 matrix metalloproteinase: a potential role i</w:t>
      </w:r>
      <w:r w:rsidR="004D1AD8" w:rsidRPr="001C27BF">
        <w:rPr>
          <w:rFonts w:ascii="Arial" w:hAnsi="Arial" w:cs="Arial"/>
          <w:color w:val="595959" w:themeColor="text1" w:themeTint="A6"/>
        </w:rPr>
        <w:t>n</w:t>
      </w:r>
      <w:r w:rsidRPr="001C27BF">
        <w:rPr>
          <w:rFonts w:ascii="Arial" w:hAnsi="Arial" w:cs="Arial"/>
          <w:color w:val="595959" w:themeColor="text1" w:themeTint="A6"/>
        </w:rPr>
        <w:t xml:space="preserve"> metastatic dissemination.’ </w:t>
      </w:r>
      <w:r w:rsidRPr="001C27BF">
        <w:rPr>
          <w:rFonts w:ascii="Arial" w:hAnsi="Arial" w:cs="Arial"/>
          <w:i/>
          <w:iCs/>
          <w:color w:val="595959" w:themeColor="text1" w:themeTint="A6"/>
        </w:rPr>
        <w:t>Cancer Res</w:t>
      </w:r>
      <w:r w:rsidRPr="001C27BF">
        <w:rPr>
          <w:rFonts w:ascii="Arial" w:hAnsi="Arial" w:cs="Arial"/>
          <w:color w:val="595959" w:themeColor="text1" w:themeTint="A6"/>
        </w:rPr>
        <w:t xml:space="preserve">; </w:t>
      </w:r>
      <w:r w:rsidRPr="001C27BF">
        <w:rPr>
          <w:rFonts w:ascii="Arial" w:hAnsi="Arial" w:cs="Arial"/>
          <w:b/>
          <w:bCs/>
          <w:color w:val="595959" w:themeColor="text1" w:themeTint="A6"/>
        </w:rPr>
        <w:t>69</w:t>
      </w:r>
      <w:r w:rsidRPr="001C27BF">
        <w:rPr>
          <w:rFonts w:ascii="Arial" w:hAnsi="Arial" w:cs="Arial"/>
          <w:color w:val="595959" w:themeColor="text1" w:themeTint="A6"/>
        </w:rPr>
        <w:t>(17):7121e9.</w:t>
      </w:r>
    </w:p>
    <w:p w14:paraId="1B91B5C7" w14:textId="77777777" w:rsidR="00396EB2" w:rsidRPr="001C27BF" w:rsidRDefault="00396EB2" w:rsidP="001C27BF">
      <w:pPr>
        <w:spacing w:line="360" w:lineRule="auto"/>
        <w:jc w:val="both"/>
        <w:rPr>
          <w:rFonts w:ascii="Arial" w:hAnsi="Arial" w:cs="Arial"/>
          <w:color w:val="595959" w:themeColor="text1" w:themeTint="A6"/>
        </w:rPr>
      </w:pPr>
      <w:r w:rsidRPr="001C27BF">
        <w:rPr>
          <w:rFonts w:ascii="Arial" w:hAnsi="Arial" w:cs="Arial"/>
          <w:color w:val="595959" w:themeColor="text1" w:themeTint="A6"/>
        </w:rPr>
        <w:t xml:space="preserve">MUELLER-KLIESER W (1997). ‘Three-dimensional cell cultures: from molecular mechanisms to clinical applications.’ </w:t>
      </w:r>
      <w:r w:rsidRPr="001C27BF">
        <w:rPr>
          <w:rFonts w:ascii="Arial" w:hAnsi="Arial" w:cs="Arial"/>
          <w:i/>
          <w:color w:val="595959" w:themeColor="text1" w:themeTint="A6"/>
        </w:rPr>
        <w:t>Am J Physiol</w:t>
      </w:r>
      <w:r w:rsidRPr="001C27BF">
        <w:rPr>
          <w:rFonts w:ascii="Arial" w:hAnsi="Arial" w:cs="Arial"/>
          <w:color w:val="595959" w:themeColor="text1" w:themeTint="A6"/>
        </w:rPr>
        <w:t xml:space="preserve"> 273:C1109–C1123.</w:t>
      </w:r>
    </w:p>
    <w:p w14:paraId="3FF75FA5" w14:textId="71997FBE" w:rsidR="00396EB2" w:rsidRPr="00983687" w:rsidRDefault="00396EB2" w:rsidP="00A016EB">
      <w:pPr>
        <w:spacing w:line="360" w:lineRule="auto"/>
        <w:jc w:val="both"/>
        <w:rPr>
          <w:rFonts w:ascii="Arial" w:hAnsi="Arial" w:cs="Arial"/>
          <w:color w:val="FF0000"/>
        </w:rPr>
      </w:pPr>
      <w:r w:rsidRPr="00A016EB">
        <w:rPr>
          <w:rFonts w:ascii="Arial" w:hAnsi="Arial" w:cs="Arial"/>
          <w:color w:val="595959" w:themeColor="text1" w:themeTint="A6"/>
        </w:rPr>
        <w:t xml:space="preserve">MULLER, P.A. </w:t>
      </w:r>
      <w:hyperlink r:id="rId239" w:history="1">
        <w:r w:rsidR="003518E1" w:rsidRPr="00A016EB">
          <w:rPr>
            <w:rStyle w:val="Hyperlink"/>
            <w:rFonts w:ascii="Arial" w:hAnsi="Arial" w:cs="Arial"/>
            <w:color w:val="595959" w:themeColor="text1" w:themeTint="A6"/>
            <w:u w:val="none"/>
          </w:rPr>
          <w:t>Caswell</w:t>
        </w:r>
        <w:r w:rsidR="00A016EB">
          <w:rPr>
            <w:rStyle w:val="Hyperlink"/>
            <w:rFonts w:ascii="Arial" w:hAnsi="Arial" w:cs="Arial"/>
            <w:color w:val="595959" w:themeColor="text1" w:themeTint="A6"/>
            <w:u w:val="none"/>
          </w:rPr>
          <w:t xml:space="preserve">, </w:t>
        </w:r>
        <w:r w:rsidR="003518E1" w:rsidRPr="00A016EB">
          <w:rPr>
            <w:rStyle w:val="Hyperlink"/>
            <w:rFonts w:ascii="Arial" w:hAnsi="Arial" w:cs="Arial"/>
            <w:color w:val="595959" w:themeColor="text1" w:themeTint="A6"/>
            <w:u w:val="none"/>
          </w:rPr>
          <w:t>P</w:t>
        </w:r>
        <w:r w:rsidR="00A016EB">
          <w:rPr>
            <w:rStyle w:val="Hyperlink"/>
            <w:rFonts w:ascii="Arial" w:hAnsi="Arial" w:cs="Arial"/>
            <w:color w:val="595959" w:themeColor="text1" w:themeTint="A6"/>
            <w:u w:val="none"/>
          </w:rPr>
          <w:t>.</w:t>
        </w:r>
        <w:r w:rsidR="003518E1" w:rsidRPr="00A016EB">
          <w:rPr>
            <w:rStyle w:val="Hyperlink"/>
            <w:rFonts w:ascii="Arial" w:hAnsi="Arial" w:cs="Arial"/>
            <w:color w:val="595959" w:themeColor="text1" w:themeTint="A6"/>
            <w:u w:val="none"/>
          </w:rPr>
          <w:t>T</w:t>
        </w:r>
      </w:hyperlink>
      <w:r w:rsidR="00A016EB">
        <w:rPr>
          <w:rFonts w:ascii="Arial" w:hAnsi="Arial" w:cs="Arial"/>
          <w:color w:val="595959" w:themeColor="text1" w:themeTint="A6"/>
        </w:rPr>
        <w:t>.</w:t>
      </w:r>
      <w:r w:rsidR="003518E1" w:rsidRPr="00A016EB">
        <w:rPr>
          <w:rFonts w:ascii="Arial" w:hAnsi="Arial" w:cs="Arial"/>
          <w:color w:val="595959" w:themeColor="text1" w:themeTint="A6"/>
        </w:rPr>
        <w:t>, </w:t>
      </w:r>
      <w:hyperlink r:id="rId240" w:history="1">
        <w:r w:rsidR="003518E1" w:rsidRPr="00A016EB">
          <w:rPr>
            <w:rStyle w:val="Hyperlink"/>
            <w:rFonts w:ascii="Arial" w:hAnsi="Arial" w:cs="Arial"/>
            <w:color w:val="595959" w:themeColor="text1" w:themeTint="A6"/>
            <w:u w:val="none"/>
          </w:rPr>
          <w:t>Doyle B</w:t>
        </w:r>
      </w:hyperlink>
      <w:r w:rsidR="003518E1" w:rsidRPr="00A016EB">
        <w:rPr>
          <w:rFonts w:ascii="Arial" w:hAnsi="Arial" w:cs="Arial"/>
          <w:color w:val="595959" w:themeColor="text1" w:themeTint="A6"/>
        </w:rPr>
        <w:t>, </w:t>
      </w:r>
      <w:hyperlink r:id="rId241" w:history="1">
        <w:r w:rsidR="003518E1" w:rsidRPr="00A016EB">
          <w:rPr>
            <w:rStyle w:val="Hyperlink"/>
            <w:rFonts w:ascii="Arial" w:hAnsi="Arial" w:cs="Arial"/>
            <w:color w:val="595959" w:themeColor="text1" w:themeTint="A6"/>
            <w:u w:val="none"/>
          </w:rPr>
          <w:t>Iwanicki M</w:t>
        </w:r>
        <w:r w:rsidR="00A016EB">
          <w:rPr>
            <w:rStyle w:val="Hyperlink"/>
            <w:rFonts w:ascii="Arial" w:hAnsi="Arial" w:cs="Arial"/>
            <w:color w:val="595959" w:themeColor="text1" w:themeTint="A6"/>
            <w:u w:val="none"/>
          </w:rPr>
          <w:t>.</w:t>
        </w:r>
        <w:r w:rsidR="003518E1" w:rsidRPr="00A016EB">
          <w:rPr>
            <w:rStyle w:val="Hyperlink"/>
            <w:rFonts w:ascii="Arial" w:hAnsi="Arial" w:cs="Arial"/>
            <w:color w:val="595959" w:themeColor="text1" w:themeTint="A6"/>
            <w:u w:val="none"/>
          </w:rPr>
          <w:t>P</w:t>
        </w:r>
      </w:hyperlink>
      <w:r w:rsidR="00A016EB">
        <w:rPr>
          <w:rFonts w:ascii="Arial" w:hAnsi="Arial" w:cs="Arial"/>
          <w:color w:val="595959" w:themeColor="text1" w:themeTint="A6"/>
        </w:rPr>
        <w:t>.,</w:t>
      </w:r>
      <w:r w:rsidR="003518E1" w:rsidRPr="00A016EB">
        <w:rPr>
          <w:rFonts w:ascii="Arial" w:hAnsi="Arial" w:cs="Arial"/>
          <w:color w:val="595959" w:themeColor="text1" w:themeTint="A6"/>
        </w:rPr>
        <w:t> </w:t>
      </w:r>
      <w:hyperlink r:id="rId242" w:history="1">
        <w:r w:rsidR="003518E1" w:rsidRPr="00A016EB">
          <w:rPr>
            <w:rStyle w:val="Hyperlink"/>
            <w:rFonts w:ascii="Arial" w:hAnsi="Arial" w:cs="Arial"/>
            <w:color w:val="595959" w:themeColor="text1" w:themeTint="A6"/>
            <w:u w:val="none"/>
          </w:rPr>
          <w:t>Tan E</w:t>
        </w:r>
        <w:r w:rsidR="00A016EB">
          <w:rPr>
            <w:rStyle w:val="Hyperlink"/>
            <w:rFonts w:ascii="Arial" w:hAnsi="Arial" w:cs="Arial"/>
            <w:color w:val="595959" w:themeColor="text1" w:themeTint="A6"/>
            <w:u w:val="none"/>
          </w:rPr>
          <w:t>.</w:t>
        </w:r>
        <w:r w:rsidR="003518E1" w:rsidRPr="00A016EB">
          <w:rPr>
            <w:rStyle w:val="Hyperlink"/>
            <w:rFonts w:ascii="Arial" w:hAnsi="Arial" w:cs="Arial"/>
            <w:color w:val="595959" w:themeColor="text1" w:themeTint="A6"/>
            <w:u w:val="none"/>
          </w:rPr>
          <w:t>H</w:t>
        </w:r>
      </w:hyperlink>
      <w:r w:rsidR="00A016EB">
        <w:rPr>
          <w:rFonts w:ascii="Arial" w:hAnsi="Arial" w:cs="Arial"/>
          <w:color w:val="595959" w:themeColor="text1" w:themeTint="A6"/>
        </w:rPr>
        <w:t>.</w:t>
      </w:r>
      <w:r w:rsidR="003518E1" w:rsidRPr="00A016EB">
        <w:rPr>
          <w:rFonts w:ascii="Arial" w:hAnsi="Arial" w:cs="Arial"/>
          <w:color w:val="595959" w:themeColor="text1" w:themeTint="A6"/>
        </w:rPr>
        <w:t>, </w:t>
      </w:r>
      <w:hyperlink r:id="rId243" w:history="1">
        <w:r w:rsidR="003518E1" w:rsidRPr="00A016EB">
          <w:rPr>
            <w:rStyle w:val="Hyperlink"/>
            <w:rFonts w:ascii="Arial" w:hAnsi="Arial" w:cs="Arial"/>
            <w:color w:val="595959" w:themeColor="text1" w:themeTint="A6"/>
            <w:u w:val="none"/>
          </w:rPr>
          <w:t>Karim S</w:t>
        </w:r>
      </w:hyperlink>
      <w:r w:rsidR="003518E1" w:rsidRPr="00A016EB">
        <w:rPr>
          <w:rFonts w:ascii="Arial" w:hAnsi="Arial" w:cs="Arial"/>
          <w:color w:val="595959" w:themeColor="text1" w:themeTint="A6"/>
        </w:rPr>
        <w:t>, </w:t>
      </w:r>
      <w:hyperlink r:id="rId244" w:history="1">
        <w:r w:rsidR="003518E1" w:rsidRPr="00A016EB">
          <w:rPr>
            <w:rStyle w:val="Hyperlink"/>
            <w:rFonts w:ascii="Arial" w:hAnsi="Arial" w:cs="Arial"/>
            <w:color w:val="595959" w:themeColor="text1" w:themeTint="A6"/>
            <w:u w:val="none"/>
          </w:rPr>
          <w:t>Lukashchuk N</w:t>
        </w:r>
      </w:hyperlink>
      <w:r w:rsidR="003518E1" w:rsidRPr="00A016EB">
        <w:rPr>
          <w:rFonts w:ascii="Arial" w:hAnsi="Arial" w:cs="Arial"/>
          <w:color w:val="595959" w:themeColor="text1" w:themeTint="A6"/>
        </w:rPr>
        <w:t>, </w:t>
      </w:r>
      <w:hyperlink r:id="rId245" w:history="1">
        <w:r w:rsidR="003518E1" w:rsidRPr="00A016EB">
          <w:rPr>
            <w:rStyle w:val="Hyperlink"/>
            <w:rFonts w:ascii="Arial" w:hAnsi="Arial" w:cs="Arial"/>
            <w:color w:val="595959" w:themeColor="text1" w:themeTint="A6"/>
            <w:u w:val="none"/>
          </w:rPr>
          <w:t>Gillespie D</w:t>
        </w:r>
        <w:r w:rsidR="00BF0710">
          <w:rPr>
            <w:rStyle w:val="Hyperlink"/>
            <w:rFonts w:ascii="Arial" w:hAnsi="Arial" w:cs="Arial"/>
            <w:color w:val="595959" w:themeColor="text1" w:themeTint="A6"/>
            <w:u w:val="none"/>
          </w:rPr>
          <w:t>.</w:t>
        </w:r>
        <w:r w:rsidR="003518E1" w:rsidRPr="00A016EB">
          <w:rPr>
            <w:rStyle w:val="Hyperlink"/>
            <w:rFonts w:ascii="Arial" w:hAnsi="Arial" w:cs="Arial"/>
            <w:color w:val="595959" w:themeColor="text1" w:themeTint="A6"/>
            <w:u w:val="none"/>
          </w:rPr>
          <w:t>A</w:t>
        </w:r>
      </w:hyperlink>
      <w:r w:rsidR="00BF0710">
        <w:rPr>
          <w:rFonts w:ascii="Arial" w:hAnsi="Arial" w:cs="Arial"/>
          <w:color w:val="595959" w:themeColor="text1" w:themeTint="A6"/>
        </w:rPr>
        <w:t>.</w:t>
      </w:r>
      <w:r w:rsidR="003518E1" w:rsidRPr="00A016EB">
        <w:rPr>
          <w:rFonts w:ascii="Arial" w:hAnsi="Arial" w:cs="Arial"/>
          <w:color w:val="595959" w:themeColor="text1" w:themeTint="A6"/>
        </w:rPr>
        <w:t>, </w:t>
      </w:r>
      <w:hyperlink r:id="rId246" w:history="1">
        <w:r w:rsidR="003518E1" w:rsidRPr="00A016EB">
          <w:rPr>
            <w:rStyle w:val="Hyperlink"/>
            <w:rFonts w:ascii="Arial" w:hAnsi="Arial" w:cs="Arial"/>
            <w:color w:val="595959" w:themeColor="text1" w:themeTint="A6"/>
            <w:u w:val="none"/>
          </w:rPr>
          <w:t>Ludwig</w:t>
        </w:r>
        <w:r w:rsidR="00BF0710">
          <w:rPr>
            <w:rStyle w:val="Hyperlink"/>
            <w:rFonts w:ascii="Arial" w:hAnsi="Arial" w:cs="Arial"/>
            <w:color w:val="595959" w:themeColor="text1" w:themeTint="A6"/>
            <w:u w:val="none"/>
          </w:rPr>
          <w:t>,</w:t>
        </w:r>
        <w:r w:rsidR="003518E1" w:rsidRPr="00A016EB">
          <w:rPr>
            <w:rStyle w:val="Hyperlink"/>
            <w:rFonts w:ascii="Arial" w:hAnsi="Arial" w:cs="Arial"/>
            <w:color w:val="595959" w:themeColor="text1" w:themeTint="A6"/>
            <w:u w:val="none"/>
          </w:rPr>
          <w:t xml:space="preserve"> R</w:t>
        </w:r>
        <w:r w:rsidR="00BF0710">
          <w:rPr>
            <w:rStyle w:val="Hyperlink"/>
            <w:rFonts w:ascii="Arial" w:hAnsi="Arial" w:cs="Arial"/>
            <w:color w:val="595959" w:themeColor="text1" w:themeTint="A6"/>
            <w:u w:val="none"/>
          </w:rPr>
          <w:t>.</w:t>
        </w:r>
        <w:r w:rsidR="003518E1" w:rsidRPr="00A016EB">
          <w:rPr>
            <w:rStyle w:val="Hyperlink"/>
            <w:rFonts w:ascii="Arial" w:hAnsi="Arial" w:cs="Arial"/>
            <w:color w:val="595959" w:themeColor="text1" w:themeTint="A6"/>
            <w:u w:val="none"/>
          </w:rPr>
          <w:t>L</w:t>
        </w:r>
      </w:hyperlink>
      <w:r w:rsidR="00BF0710">
        <w:rPr>
          <w:rFonts w:ascii="Arial" w:hAnsi="Arial" w:cs="Arial"/>
          <w:color w:val="595959" w:themeColor="text1" w:themeTint="A6"/>
        </w:rPr>
        <w:t>.</w:t>
      </w:r>
      <w:r w:rsidR="003518E1" w:rsidRPr="00A016EB">
        <w:rPr>
          <w:rFonts w:ascii="Arial" w:hAnsi="Arial" w:cs="Arial"/>
          <w:color w:val="595959" w:themeColor="text1" w:themeTint="A6"/>
        </w:rPr>
        <w:t>, </w:t>
      </w:r>
      <w:hyperlink r:id="rId247" w:history="1">
        <w:r w:rsidR="003518E1" w:rsidRPr="00A016EB">
          <w:rPr>
            <w:rStyle w:val="Hyperlink"/>
            <w:rFonts w:ascii="Arial" w:hAnsi="Arial" w:cs="Arial"/>
            <w:color w:val="595959" w:themeColor="text1" w:themeTint="A6"/>
            <w:u w:val="none"/>
          </w:rPr>
          <w:t>Gosselin P</w:t>
        </w:r>
      </w:hyperlink>
      <w:r w:rsidR="003518E1" w:rsidRPr="00A016EB">
        <w:rPr>
          <w:rFonts w:ascii="Arial" w:hAnsi="Arial" w:cs="Arial"/>
          <w:color w:val="595959" w:themeColor="text1" w:themeTint="A6"/>
        </w:rPr>
        <w:t>, </w:t>
      </w:r>
      <w:hyperlink r:id="rId248" w:history="1">
        <w:r w:rsidR="003518E1" w:rsidRPr="00A016EB">
          <w:rPr>
            <w:rStyle w:val="Hyperlink"/>
            <w:rFonts w:ascii="Arial" w:hAnsi="Arial" w:cs="Arial"/>
            <w:color w:val="595959" w:themeColor="text1" w:themeTint="A6"/>
            <w:u w:val="none"/>
          </w:rPr>
          <w:t>Cromer A</w:t>
        </w:r>
      </w:hyperlink>
      <w:r w:rsidR="003518E1" w:rsidRPr="00A016EB">
        <w:rPr>
          <w:rFonts w:ascii="Arial" w:hAnsi="Arial" w:cs="Arial"/>
          <w:color w:val="595959" w:themeColor="text1" w:themeTint="A6"/>
        </w:rPr>
        <w:t>, </w:t>
      </w:r>
      <w:hyperlink r:id="rId249" w:history="1">
        <w:r w:rsidR="003518E1" w:rsidRPr="00A016EB">
          <w:rPr>
            <w:rStyle w:val="Hyperlink"/>
            <w:rFonts w:ascii="Arial" w:hAnsi="Arial" w:cs="Arial"/>
            <w:color w:val="595959" w:themeColor="text1" w:themeTint="A6"/>
            <w:u w:val="none"/>
          </w:rPr>
          <w:t>Brugge J</w:t>
        </w:r>
        <w:r w:rsidR="00BF0710">
          <w:rPr>
            <w:rStyle w:val="Hyperlink"/>
            <w:rFonts w:ascii="Arial" w:hAnsi="Arial" w:cs="Arial"/>
            <w:color w:val="595959" w:themeColor="text1" w:themeTint="A6"/>
            <w:u w:val="none"/>
          </w:rPr>
          <w:t>.</w:t>
        </w:r>
        <w:r w:rsidR="003518E1" w:rsidRPr="00A016EB">
          <w:rPr>
            <w:rStyle w:val="Hyperlink"/>
            <w:rFonts w:ascii="Arial" w:hAnsi="Arial" w:cs="Arial"/>
            <w:color w:val="595959" w:themeColor="text1" w:themeTint="A6"/>
            <w:u w:val="none"/>
          </w:rPr>
          <w:t>S</w:t>
        </w:r>
      </w:hyperlink>
      <w:r w:rsidR="00BF0710">
        <w:rPr>
          <w:rFonts w:ascii="Arial" w:hAnsi="Arial" w:cs="Arial"/>
          <w:color w:val="595959" w:themeColor="text1" w:themeTint="A6"/>
        </w:rPr>
        <w:t>.</w:t>
      </w:r>
      <w:r w:rsidR="003518E1" w:rsidRPr="00A016EB">
        <w:rPr>
          <w:rFonts w:ascii="Arial" w:hAnsi="Arial" w:cs="Arial"/>
          <w:color w:val="595959" w:themeColor="text1" w:themeTint="A6"/>
        </w:rPr>
        <w:t>, </w:t>
      </w:r>
      <w:hyperlink r:id="rId250" w:history="1">
        <w:r w:rsidR="003518E1" w:rsidRPr="00A016EB">
          <w:rPr>
            <w:rStyle w:val="Hyperlink"/>
            <w:rFonts w:ascii="Arial" w:hAnsi="Arial" w:cs="Arial"/>
            <w:color w:val="595959" w:themeColor="text1" w:themeTint="A6"/>
            <w:u w:val="none"/>
          </w:rPr>
          <w:t>Sansom O</w:t>
        </w:r>
        <w:r w:rsidR="00BF0710">
          <w:rPr>
            <w:rStyle w:val="Hyperlink"/>
            <w:rFonts w:ascii="Arial" w:hAnsi="Arial" w:cs="Arial"/>
            <w:color w:val="595959" w:themeColor="text1" w:themeTint="A6"/>
            <w:u w:val="none"/>
          </w:rPr>
          <w:t>.</w:t>
        </w:r>
        <w:r w:rsidR="003518E1" w:rsidRPr="00A016EB">
          <w:rPr>
            <w:rStyle w:val="Hyperlink"/>
            <w:rFonts w:ascii="Arial" w:hAnsi="Arial" w:cs="Arial"/>
            <w:color w:val="595959" w:themeColor="text1" w:themeTint="A6"/>
            <w:u w:val="none"/>
          </w:rPr>
          <w:t>J</w:t>
        </w:r>
      </w:hyperlink>
      <w:r w:rsidR="00BF0710">
        <w:rPr>
          <w:rFonts w:ascii="Arial" w:hAnsi="Arial" w:cs="Arial"/>
          <w:color w:val="595959" w:themeColor="text1" w:themeTint="A6"/>
        </w:rPr>
        <w:t>.</w:t>
      </w:r>
      <w:r w:rsidR="003518E1" w:rsidRPr="00A016EB">
        <w:rPr>
          <w:rFonts w:ascii="Arial" w:hAnsi="Arial" w:cs="Arial"/>
          <w:color w:val="595959" w:themeColor="text1" w:themeTint="A6"/>
        </w:rPr>
        <w:t>, </w:t>
      </w:r>
      <w:hyperlink r:id="rId251" w:history="1">
        <w:r w:rsidR="003518E1" w:rsidRPr="00A016EB">
          <w:rPr>
            <w:rStyle w:val="Hyperlink"/>
            <w:rFonts w:ascii="Arial" w:hAnsi="Arial" w:cs="Arial"/>
            <w:color w:val="595959" w:themeColor="text1" w:themeTint="A6"/>
            <w:u w:val="none"/>
          </w:rPr>
          <w:t>Norman J</w:t>
        </w:r>
        <w:r w:rsidR="00BF0710">
          <w:rPr>
            <w:rStyle w:val="Hyperlink"/>
            <w:rFonts w:ascii="Arial" w:hAnsi="Arial" w:cs="Arial"/>
            <w:color w:val="595959" w:themeColor="text1" w:themeTint="A6"/>
            <w:u w:val="none"/>
          </w:rPr>
          <w:t>.</w:t>
        </w:r>
        <w:r w:rsidR="003518E1" w:rsidRPr="00A016EB">
          <w:rPr>
            <w:rStyle w:val="Hyperlink"/>
            <w:rFonts w:ascii="Arial" w:hAnsi="Arial" w:cs="Arial"/>
            <w:color w:val="595959" w:themeColor="text1" w:themeTint="A6"/>
            <w:u w:val="none"/>
          </w:rPr>
          <w:t>C</w:t>
        </w:r>
      </w:hyperlink>
      <w:r w:rsidR="00BF0710">
        <w:rPr>
          <w:rFonts w:ascii="Arial" w:hAnsi="Arial" w:cs="Arial"/>
          <w:color w:val="595959" w:themeColor="text1" w:themeTint="A6"/>
        </w:rPr>
        <w:t>.</w:t>
      </w:r>
      <w:r w:rsidR="003518E1" w:rsidRPr="00A016EB">
        <w:rPr>
          <w:rFonts w:ascii="Arial" w:hAnsi="Arial" w:cs="Arial"/>
          <w:color w:val="595959" w:themeColor="text1" w:themeTint="A6"/>
        </w:rPr>
        <w:t>, </w:t>
      </w:r>
      <w:hyperlink r:id="rId252" w:history="1">
        <w:r w:rsidR="003518E1" w:rsidRPr="00A016EB">
          <w:rPr>
            <w:rStyle w:val="Hyperlink"/>
            <w:rFonts w:ascii="Arial" w:hAnsi="Arial" w:cs="Arial"/>
            <w:color w:val="595959" w:themeColor="text1" w:themeTint="A6"/>
            <w:u w:val="none"/>
          </w:rPr>
          <w:t>Vousden K</w:t>
        </w:r>
        <w:r w:rsidR="00BF0710">
          <w:rPr>
            <w:rStyle w:val="Hyperlink"/>
            <w:rFonts w:ascii="Arial" w:hAnsi="Arial" w:cs="Arial"/>
            <w:color w:val="595959" w:themeColor="text1" w:themeTint="A6"/>
            <w:u w:val="none"/>
          </w:rPr>
          <w:t>.</w:t>
        </w:r>
        <w:r w:rsidR="003518E1" w:rsidRPr="00A016EB">
          <w:rPr>
            <w:rStyle w:val="Hyperlink"/>
            <w:rFonts w:ascii="Arial" w:hAnsi="Arial" w:cs="Arial"/>
            <w:color w:val="595959" w:themeColor="text1" w:themeTint="A6"/>
            <w:u w:val="none"/>
          </w:rPr>
          <w:t>H</w:t>
        </w:r>
      </w:hyperlink>
      <w:r w:rsidR="003518E1" w:rsidRPr="00A016EB">
        <w:rPr>
          <w:rFonts w:ascii="Arial" w:hAnsi="Arial" w:cs="Arial"/>
          <w:color w:val="595959" w:themeColor="text1" w:themeTint="A6"/>
        </w:rPr>
        <w:t>.</w:t>
      </w:r>
      <w:r w:rsidRPr="00A016EB">
        <w:rPr>
          <w:rFonts w:ascii="Arial" w:hAnsi="Arial" w:cs="Arial"/>
          <w:color w:val="595959" w:themeColor="text1" w:themeTint="A6"/>
        </w:rPr>
        <w:t xml:space="preserve"> (2009) “Mutant p53 drives invasion by promoting integrin recycling”. </w:t>
      </w:r>
      <w:r w:rsidRPr="00A016EB">
        <w:rPr>
          <w:rFonts w:ascii="Arial" w:hAnsi="Arial" w:cs="Arial"/>
          <w:i/>
          <w:color w:val="595959" w:themeColor="text1" w:themeTint="A6"/>
        </w:rPr>
        <w:t>Cell,</w:t>
      </w:r>
      <w:r w:rsidRPr="00A016EB">
        <w:rPr>
          <w:rFonts w:ascii="Arial" w:hAnsi="Arial" w:cs="Arial"/>
          <w:color w:val="595959" w:themeColor="text1" w:themeTint="A6"/>
        </w:rPr>
        <w:t xml:space="preserve"> </w:t>
      </w:r>
      <w:r w:rsidRPr="00A016EB">
        <w:rPr>
          <w:rFonts w:ascii="Arial" w:hAnsi="Arial" w:cs="Arial"/>
          <w:b/>
          <w:color w:val="595959" w:themeColor="text1" w:themeTint="A6"/>
        </w:rPr>
        <w:t>139</w:t>
      </w:r>
      <w:r w:rsidRPr="00A016EB">
        <w:rPr>
          <w:rFonts w:ascii="Arial" w:hAnsi="Arial" w:cs="Arial"/>
          <w:color w:val="595959" w:themeColor="text1" w:themeTint="A6"/>
        </w:rPr>
        <w:t>, 1327–1341</w:t>
      </w:r>
      <w:r w:rsidRPr="00983687">
        <w:rPr>
          <w:rFonts w:ascii="Arial" w:hAnsi="Arial" w:cs="Arial"/>
          <w:color w:val="FF0000"/>
        </w:rPr>
        <w:t>.</w:t>
      </w:r>
    </w:p>
    <w:p w14:paraId="3F7272F6" w14:textId="18557A6E" w:rsidR="00AC4407" w:rsidRPr="001C27BF" w:rsidRDefault="00AC4407" w:rsidP="001C27BF">
      <w:pPr>
        <w:spacing w:line="360" w:lineRule="auto"/>
        <w:jc w:val="both"/>
        <w:rPr>
          <w:rFonts w:ascii="Arial" w:hAnsi="Arial" w:cs="Arial"/>
          <w:color w:val="595959" w:themeColor="text1" w:themeTint="A6"/>
        </w:rPr>
      </w:pPr>
      <w:r w:rsidRPr="001C27BF">
        <w:rPr>
          <w:rFonts w:ascii="Arial" w:hAnsi="Arial" w:cs="Arial"/>
          <w:color w:val="595959" w:themeColor="text1" w:themeTint="A6"/>
        </w:rPr>
        <w:t>MYERS</w:t>
      </w:r>
      <w:r w:rsidR="006F3A2E" w:rsidRPr="001C27BF">
        <w:rPr>
          <w:rFonts w:ascii="Arial" w:hAnsi="Arial" w:cs="Arial"/>
          <w:color w:val="595959" w:themeColor="text1" w:themeTint="A6"/>
        </w:rPr>
        <w:t>, J.N, Holsinger, FC, Jasse</w:t>
      </w:r>
      <w:r w:rsidR="00FA6945" w:rsidRPr="001C27BF">
        <w:rPr>
          <w:rFonts w:ascii="Arial" w:hAnsi="Arial" w:cs="Arial"/>
          <w:color w:val="595959" w:themeColor="text1" w:themeTint="A6"/>
        </w:rPr>
        <w:t>r, S.A, Bekele, B.N, Fidler, I.J. (2002). ‘</w:t>
      </w:r>
      <w:r w:rsidR="0031197B" w:rsidRPr="001C27BF">
        <w:rPr>
          <w:rFonts w:ascii="Arial" w:hAnsi="Arial" w:cs="Arial"/>
          <w:color w:val="595959" w:themeColor="text1" w:themeTint="A6"/>
        </w:rPr>
        <w:t xml:space="preserve">An orthotopic nude mouse model of oral tongue squamous cell carcinoma.’ </w:t>
      </w:r>
      <w:r w:rsidR="002708D2" w:rsidRPr="001C27BF">
        <w:rPr>
          <w:rFonts w:ascii="Arial" w:hAnsi="Arial" w:cs="Arial"/>
          <w:i/>
          <w:iCs/>
          <w:color w:val="595959" w:themeColor="text1" w:themeTint="A6"/>
        </w:rPr>
        <w:t>Clin Cancer Res</w:t>
      </w:r>
      <w:r w:rsidR="002708D2" w:rsidRPr="001C27BF">
        <w:rPr>
          <w:rFonts w:ascii="Arial" w:hAnsi="Arial" w:cs="Arial"/>
          <w:color w:val="595959" w:themeColor="text1" w:themeTint="A6"/>
        </w:rPr>
        <w:t>; 8, 293-8.</w:t>
      </w:r>
    </w:p>
    <w:p w14:paraId="101D1A4E" w14:textId="77777777" w:rsidR="00396EB2" w:rsidRPr="001C27BF" w:rsidRDefault="00396EB2" w:rsidP="001C27BF">
      <w:pPr>
        <w:spacing w:line="360" w:lineRule="auto"/>
        <w:jc w:val="both"/>
        <w:rPr>
          <w:rFonts w:ascii="Arial" w:hAnsi="Arial" w:cs="Arial"/>
          <w:color w:val="595959" w:themeColor="text1" w:themeTint="A6"/>
        </w:rPr>
      </w:pPr>
      <w:r w:rsidRPr="001C27BF">
        <w:rPr>
          <w:rFonts w:ascii="Arial" w:hAnsi="Arial" w:cs="Arial"/>
          <w:color w:val="595959" w:themeColor="text1" w:themeTint="A6"/>
        </w:rPr>
        <w:t xml:space="preserve">NABA, A., Clauser K.R., Lamar, J.M., Carr, S.A., and Hynes, R.O. (2014). ‘Extracellular matrix signatures of human mammary carcinoma identify novel metastasis promotors.’ </w:t>
      </w:r>
      <w:r w:rsidRPr="001C27BF">
        <w:rPr>
          <w:rFonts w:ascii="Arial" w:hAnsi="Arial" w:cs="Arial"/>
          <w:i/>
          <w:color w:val="595959" w:themeColor="text1" w:themeTint="A6"/>
        </w:rPr>
        <w:t>Elife</w:t>
      </w:r>
      <w:r w:rsidRPr="001C27BF">
        <w:rPr>
          <w:rFonts w:ascii="Arial" w:hAnsi="Arial" w:cs="Arial"/>
          <w:color w:val="595959" w:themeColor="text1" w:themeTint="A6"/>
        </w:rPr>
        <w:t xml:space="preserve"> </w:t>
      </w:r>
      <w:r w:rsidRPr="001C27BF">
        <w:rPr>
          <w:rFonts w:ascii="Arial" w:hAnsi="Arial" w:cs="Arial"/>
          <w:b/>
          <w:color w:val="595959" w:themeColor="text1" w:themeTint="A6"/>
        </w:rPr>
        <w:t>3</w:t>
      </w:r>
      <w:r w:rsidRPr="001C27BF">
        <w:rPr>
          <w:rFonts w:ascii="Arial" w:hAnsi="Arial" w:cs="Arial"/>
          <w:color w:val="595959" w:themeColor="text1" w:themeTint="A6"/>
        </w:rPr>
        <w:t>; e01308.</w:t>
      </w:r>
    </w:p>
    <w:p w14:paraId="4786E240" w14:textId="77777777" w:rsidR="00396EB2" w:rsidRPr="001C27BF" w:rsidRDefault="00396EB2" w:rsidP="001C27BF">
      <w:pPr>
        <w:spacing w:line="360" w:lineRule="auto"/>
        <w:jc w:val="both"/>
        <w:rPr>
          <w:rFonts w:ascii="Arial" w:hAnsi="Arial" w:cs="Arial"/>
          <w:color w:val="595959" w:themeColor="text1" w:themeTint="A6"/>
        </w:rPr>
      </w:pPr>
      <w:r w:rsidRPr="001C27BF">
        <w:rPr>
          <w:rFonts w:ascii="Arial" w:hAnsi="Arial" w:cs="Arial"/>
          <w:color w:val="595959" w:themeColor="text1" w:themeTint="A6"/>
        </w:rPr>
        <w:t xml:space="preserve">NAKAMURA, T., Matsumoto, K., Kiritoshi, A. &amp; Tano, Y. (1997) “Induction of hepatocyte growth factor in fibroblasts by tumour-derived factors affects invasive growth of tumour cells: </w:t>
      </w:r>
      <w:r w:rsidRPr="001C27BF">
        <w:rPr>
          <w:rFonts w:ascii="Arial" w:hAnsi="Arial" w:cs="Arial"/>
          <w:i/>
          <w:color w:val="595959" w:themeColor="text1" w:themeTint="A6"/>
        </w:rPr>
        <w:t>in vitro</w:t>
      </w:r>
      <w:r w:rsidRPr="001C27BF">
        <w:rPr>
          <w:rFonts w:ascii="Arial" w:hAnsi="Arial" w:cs="Arial"/>
          <w:color w:val="595959" w:themeColor="text1" w:themeTint="A6"/>
        </w:rPr>
        <w:t xml:space="preserve"> analysis of tumour–stromal interactions”. </w:t>
      </w:r>
      <w:r w:rsidRPr="001C27BF">
        <w:rPr>
          <w:rFonts w:ascii="Arial" w:hAnsi="Arial" w:cs="Arial"/>
          <w:i/>
          <w:color w:val="595959" w:themeColor="text1" w:themeTint="A6"/>
        </w:rPr>
        <w:t>Cancer Res</w:t>
      </w:r>
      <w:r w:rsidRPr="001C27BF">
        <w:rPr>
          <w:rFonts w:ascii="Arial" w:hAnsi="Arial" w:cs="Arial"/>
          <w:color w:val="595959" w:themeColor="text1" w:themeTint="A6"/>
        </w:rPr>
        <w:t xml:space="preserve">. </w:t>
      </w:r>
      <w:r w:rsidRPr="001C27BF">
        <w:rPr>
          <w:rFonts w:ascii="Arial" w:hAnsi="Arial" w:cs="Arial"/>
          <w:b/>
          <w:color w:val="595959" w:themeColor="text1" w:themeTint="A6"/>
        </w:rPr>
        <w:t>57</w:t>
      </w:r>
      <w:r w:rsidRPr="001C27BF">
        <w:rPr>
          <w:rFonts w:ascii="Arial" w:hAnsi="Arial" w:cs="Arial"/>
          <w:color w:val="595959" w:themeColor="text1" w:themeTint="A6"/>
        </w:rPr>
        <w:t>, 3305–3313.</w:t>
      </w:r>
    </w:p>
    <w:p w14:paraId="1CA288C5" w14:textId="77777777" w:rsidR="00396EB2" w:rsidRPr="001C27BF" w:rsidRDefault="00396EB2" w:rsidP="001C27BF">
      <w:pPr>
        <w:spacing w:line="360" w:lineRule="auto"/>
        <w:jc w:val="both"/>
        <w:rPr>
          <w:rFonts w:ascii="Arial" w:hAnsi="Arial" w:cs="Arial"/>
          <w:color w:val="595959" w:themeColor="text1" w:themeTint="A6"/>
        </w:rPr>
      </w:pPr>
      <w:r w:rsidRPr="001C27BF">
        <w:rPr>
          <w:rFonts w:ascii="Arial" w:hAnsi="Arial" w:cs="Arial"/>
          <w:color w:val="595959" w:themeColor="text1" w:themeTint="A6"/>
        </w:rPr>
        <w:t xml:space="preserve">NETTI, P.A. (2000). ‘Role of Extracellular Matrix Assembly in Interstitial Transport in Solid Tumours.’ </w:t>
      </w:r>
      <w:r w:rsidRPr="001C27BF">
        <w:rPr>
          <w:rFonts w:ascii="Arial" w:hAnsi="Arial" w:cs="Arial"/>
          <w:i/>
          <w:color w:val="595959" w:themeColor="text1" w:themeTint="A6"/>
        </w:rPr>
        <w:t>Cancer research</w:t>
      </w:r>
      <w:r w:rsidRPr="001C27BF">
        <w:rPr>
          <w:rFonts w:ascii="Arial" w:hAnsi="Arial" w:cs="Arial"/>
          <w:color w:val="595959" w:themeColor="text1" w:themeTint="A6"/>
        </w:rPr>
        <w:t xml:space="preserve"> </w:t>
      </w:r>
      <w:r w:rsidRPr="001C27BF">
        <w:rPr>
          <w:rFonts w:ascii="Arial" w:hAnsi="Arial" w:cs="Arial"/>
          <w:b/>
          <w:color w:val="595959" w:themeColor="text1" w:themeTint="A6"/>
        </w:rPr>
        <w:t>60</w:t>
      </w:r>
      <w:r w:rsidRPr="001C27BF">
        <w:rPr>
          <w:rFonts w:ascii="Arial" w:hAnsi="Arial" w:cs="Arial"/>
          <w:color w:val="595959" w:themeColor="text1" w:themeTint="A6"/>
        </w:rPr>
        <w:t>, 2497–2503.</w:t>
      </w:r>
    </w:p>
    <w:p w14:paraId="2265A70A" w14:textId="77777777" w:rsidR="00396EB2" w:rsidRPr="001C27BF" w:rsidRDefault="00396EB2" w:rsidP="001C27BF">
      <w:pPr>
        <w:spacing w:line="360" w:lineRule="auto"/>
        <w:jc w:val="both"/>
        <w:rPr>
          <w:rFonts w:ascii="Arial" w:hAnsi="Arial" w:cs="Arial"/>
          <w:iCs/>
          <w:color w:val="595959" w:themeColor="text1" w:themeTint="A6"/>
        </w:rPr>
      </w:pPr>
      <w:r w:rsidRPr="001C27BF">
        <w:rPr>
          <w:rFonts w:ascii="Arial" w:hAnsi="Arial" w:cs="Arial"/>
          <w:iCs/>
          <w:color w:val="595959" w:themeColor="text1" w:themeTint="A6"/>
        </w:rPr>
        <w:t xml:space="preserve">NITHIANANTHAN, S., Crawford, A., Cooper Knock, J., Lambert, D.W., and Whawell, S.A. (2016). ‘Physiological fluid flow moderates fibroblast responses to TGFβ-1.’ </w:t>
      </w:r>
      <w:r w:rsidRPr="001C27BF">
        <w:rPr>
          <w:rFonts w:ascii="Arial" w:hAnsi="Arial" w:cs="Arial"/>
          <w:i/>
          <w:iCs/>
          <w:color w:val="595959" w:themeColor="text1" w:themeTint="A6"/>
        </w:rPr>
        <w:t>Journal of Cellular Biochemistry</w:t>
      </w:r>
      <w:r w:rsidRPr="001C27BF">
        <w:rPr>
          <w:rFonts w:ascii="Arial" w:hAnsi="Arial" w:cs="Arial"/>
          <w:b/>
          <w:iCs/>
          <w:color w:val="595959" w:themeColor="text1" w:themeTint="A6"/>
        </w:rPr>
        <w:t xml:space="preserve"> 9999</w:t>
      </w:r>
      <w:r w:rsidRPr="001C27BF">
        <w:rPr>
          <w:rFonts w:ascii="Arial" w:hAnsi="Arial" w:cs="Arial"/>
          <w:iCs/>
          <w:color w:val="595959" w:themeColor="text1" w:themeTint="A6"/>
        </w:rPr>
        <w:t xml:space="preserve">:1–13. </w:t>
      </w:r>
    </w:p>
    <w:p w14:paraId="30C5EA53" w14:textId="77777777" w:rsidR="00396EB2" w:rsidRPr="001C27BF" w:rsidRDefault="00396EB2" w:rsidP="001C27BF">
      <w:pPr>
        <w:spacing w:line="360" w:lineRule="auto"/>
        <w:jc w:val="both"/>
        <w:rPr>
          <w:rFonts w:ascii="Arial" w:hAnsi="Arial" w:cs="Arial"/>
          <w:color w:val="595959" w:themeColor="text1" w:themeTint="A6"/>
        </w:rPr>
      </w:pPr>
      <w:r w:rsidRPr="001C27BF">
        <w:rPr>
          <w:rFonts w:ascii="Arial" w:hAnsi="Arial" w:cs="Arial"/>
          <w:color w:val="595959" w:themeColor="text1" w:themeTint="A6"/>
        </w:rPr>
        <w:t xml:space="preserve">NTGA, A. Chemma, U and Loizidou, M. (2011). ‘3D tumour models: novel in vitro approaches to cancer studies.’ </w:t>
      </w:r>
      <w:r w:rsidRPr="001C27BF">
        <w:rPr>
          <w:rFonts w:ascii="Arial" w:hAnsi="Arial" w:cs="Arial"/>
          <w:i/>
          <w:color w:val="595959" w:themeColor="text1" w:themeTint="A6"/>
        </w:rPr>
        <w:t>Journal of Cell Communication and Signalling</w:t>
      </w:r>
      <w:r w:rsidRPr="001C27BF">
        <w:rPr>
          <w:rFonts w:ascii="Arial" w:hAnsi="Arial" w:cs="Arial"/>
          <w:color w:val="595959" w:themeColor="text1" w:themeTint="A6"/>
        </w:rPr>
        <w:t>, (</w:t>
      </w:r>
      <w:r w:rsidRPr="001C27BF">
        <w:rPr>
          <w:rFonts w:ascii="Arial" w:hAnsi="Arial" w:cs="Arial"/>
          <w:b/>
          <w:color w:val="595959" w:themeColor="text1" w:themeTint="A6"/>
        </w:rPr>
        <w:t>5</w:t>
      </w:r>
      <w:r w:rsidRPr="001C27BF">
        <w:rPr>
          <w:rFonts w:ascii="Arial" w:hAnsi="Arial" w:cs="Arial"/>
          <w:color w:val="595959" w:themeColor="text1" w:themeTint="A6"/>
        </w:rPr>
        <w:t xml:space="preserve">) 239. </w:t>
      </w:r>
    </w:p>
    <w:p w14:paraId="33BB34C4" w14:textId="77777777" w:rsidR="00396EB2" w:rsidRPr="001C27BF" w:rsidRDefault="00396EB2" w:rsidP="001C27BF">
      <w:pPr>
        <w:spacing w:line="360" w:lineRule="auto"/>
        <w:jc w:val="both"/>
        <w:rPr>
          <w:rFonts w:ascii="Arial" w:hAnsi="Arial" w:cs="Arial"/>
          <w:color w:val="595959" w:themeColor="text1" w:themeTint="A6"/>
        </w:rPr>
      </w:pPr>
      <w:r w:rsidRPr="001C27BF">
        <w:rPr>
          <w:rFonts w:ascii="Arial" w:hAnsi="Arial" w:cs="Arial"/>
          <w:color w:val="595959" w:themeColor="text1" w:themeTint="A6"/>
        </w:rPr>
        <w:t xml:space="preserve">NUNES, Q.M, Yong L, Changye S, Tarja K.K and D.G. Fernig D.G. (2016). ‘Fibroblast growth factors as tissue repair and regeneration therapeutics.’ </w:t>
      </w:r>
      <w:r w:rsidRPr="001C27BF">
        <w:rPr>
          <w:rFonts w:ascii="Arial" w:hAnsi="Arial" w:cs="Arial"/>
          <w:i/>
          <w:color w:val="595959" w:themeColor="text1" w:themeTint="A6"/>
        </w:rPr>
        <w:t>PeerJ</w:t>
      </w:r>
      <w:r w:rsidRPr="001C27BF">
        <w:rPr>
          <w:rFonts w:ascii="Arial" w:hAnsi="Arial" w:cs="Arial"/>
          <w:color w:val="595959" w:themeColor="text1" w:themeTint="A6"/>
        </w:rPr>
        <w:t>, (</w:t>
      </w:r>
      <w:r w:rsidRPr="001C27BF">
        <w:rPr>
          <w:rFonts w:ascii="Arial" w:hAnsi="Arial" w:cs="Arial"/>
          <w:b/>
          <w:color w:val="595959" w:themeColor="text1" w:themeTint="A6"/>
        </w:rPr>
        <w:t>4</w:t>
      </w:r>
      <w:r w:rsidRPr="001C27BF">
        <w:rPr>
          <w:rFonts w:ascii="Arial" w:hAnsi="Arial" w:cs="Arial"/>
          <w:color w:val="595959" w:themeColor="text1" w:themeTint="A6"/>
        </w:rPr>
        <w:t>) 1535.</w:t>
      </w:r>
    </w:p>
    <w:p w14:paraId="2FE4090A" w14:textId="77777777" w:rsidR="00396EB2" w:rsidRPr="001C27BF" w:rsidRDefault="00396EB2" w:rsidP="001C27BF">
      <w:pPr>
        <w:spacing w:line="360" w:lineRule="auto"/>
        <w:jc w:val="both"/>
        <w:rPr>
          <w:rFonts w:ascii="Arial" w:hAnsi="Arial" w:cs="Arial"/>
          <w:color w:val="595959" w:themeColor="text1" w:themeTint="A6"/>
        </w:rPr>
      </w:pPr>
      <w:r w:rsidRPr="001C27BF">
        <w:rPr>
          <w:rFonts w:ascii="Arial" w:hAnsi="Arial" w:cs="Arial"/>
          <w:color w:val="595959" w:themeColor="text1" w:themeTint="A6"/>
        </w:rPr>
        <w:t xml:space="preserve">O ’CONNOR R.S., Hao X., Shen K., Bashour K., Akimova T., Hancock W.W., Kam L.C, Milone M.C. (2012). ‘Substrate rigidity regulates human T cell activation and proliferation’. </w:t>
      </w:r>
      <w:r w:rsidRPr="001C27BF">
        <w:rPr>
          <w:rFonts w:ascii="Arial" w:hAnsi="Arial" w:cs="Arial"/>
          <w:i/>
          <w:color w:val="595959" w:themeColor="text1" w:themeTint="A6"/>
        </w:rPr>
        <w:t>J Immunol</w:t>
      </w:r>
      <w:r w:rsidRPr="001C27BF">
        <w:rPr>
          <w:rFonts w:ascii="Arial" w:hAnsi="Arial" w:cs="Arial"/>
          <w:color w:val="595959" w:themeColor="text1" w:themeTint="A6"/>
        </w:rPr>
        <w:t xml:space="preserve"> </w:t>
      </w:r>
      <w:r w:rsidRPr="001C27BF">
        <w:rPr>
          <w:rFonts w:ascii="Arial" w:hAnsi="Arial" w:cs="Arial"/>
          <w:b/>
          <w:color w:val="595959" w:themeColor="text1" w:themeTint="A6"/>
        </w:rPr>
        <w:t>189</w:t>
      </w:r>
      <w:r w:rsidRPr="001C27BF">
        <w:rPr>
          <w:rFonts w:ascii="Arial" w:hAnsi="Arial" w:cs="Arial"/>
          <w:color w:val="595959" w:themeColor="text1" w:themeTint="A6"/>
        </w:rPr>
        <w:t>: 1330–1339.</w:t>
      </w:r>
    </w:p>
    <w:p w14:paraId="5A3B8332" w14:textId="50D8240B" w:rsidR="00396EB2" w:rsidRPr="001C27BF" w:rsidRDefault="00396EB2" w:rsidP="001C27BF">
      <w:pPr>
        <w:spacing w:line="360" w:lineRule="auto"/>
        <w:jc w:val="both"/>
        <w:rPr>
          <w:rFonts w:ascii="Arial" w:hAnsi="Arial" w:cs="Arial"/>
          <w:color w:val="595959" w:themeColor="text1" w:themeTint="A6"/>
        </w:rPr>
      </w:pPr>
      <w:r w:rsidRPr="001C27BF">
        <w:rPr>
          <w:rFonts w:ascii="Arial" w:hAnsi="Arial" w:cs="Arial"/>
          <w:color w:val="595959" w:themeColor="text1" w:themeTint="A6"/>
        </w:rPr>
        <w:t xml:space="preserve">O’CONNELL, F.C., and </w:t>
      </w:r>
      <w:r w:rsidR="00983687" w:rsidRPr="001C27BF">
        <w:rPr>
          <w:rFonts w:ascii="Arial" w:hAnsi="Arial" w:cs="Arial"/>
          <w:color w:val="595959" w:themeColor="text1" w:themeTint="A6"/>
        </w:rPr>
        <w:t>MARTIN</w:t>
      </w:r>
      <w:r w:rsidRPr="001C27BF">
        <w:rPr>
          <w:rFonts w:ascii="Arial" w:hAnsi="Arial" w:cs="Arial"/>
          <w:color w:val="595959" w:themeColor="text1" w:themeTint="A6"/>
        </w:rPr>
        <w:t xml:space="preserve">, F. (2000). ‘Laminin-rich ECM association with mammary epithelial cells suppresses BRCA1 expression.’ </w:t>
      </w:r>
      <w:r w:rsidRPr="001C27BF">
        <w:rPr>
          <w:rFonts w:ascii="Arial" w:hAnsi="Arial" w:cs="Arial"/>
          <w:i/>
          <w:color w:val="595959" w:themeColor="text1" w:themeTint="A6"/>
        </w:rPr>
        <w:t>Cell death differ</w:t>
      </w:r>
      <w:r w:rsidRPr="001C27BF">
        <w:rPr>
          <w:rFonts w:ascii="Arial" w:hAnsi="Arial" w:cs="Arial"/>
          <w:color w:val="595959" w:themeColor="text1" w:themeTint="A6"/>
        </w:rPr>
        <w:t xml:space="preserve">. 7;360-367. </w:t>
      </w:r>
    </w:p>
    <w:p w14:paraId="382508B4" w14:textId="77777777" w:rsidR="00396EB2" w:rsidRPr="001C27BF" w:rsidRDefault="00396EB2" w:rsidP="001C27BF">
      <w:pPr>
        <w:spacing w:line="360" w:lineRule="auto"/>
        <w:jc w:val="both"/>
        <w:rPr>
          <w:rFonts w:ascii="Arial" w:hAnsi="Arial" w:cs="Arial"/>
          <w:color w:val="595959" w:themeColor="text1" w:themeTint="A6"/>
        </w:rPr>
      </w:pPr>
      <w:r w:rsidRPr="001C27BF">
        <w:rPr>
          <w:rFonts w:ascii="Arial" w:hAnsi="Arial" w:cs="Arial"/>
          <w:color w:val="595959" w:themeColor="text1" w:themeTint="A6"/>
        </w:rPr>
        <w:t xml:space="preserve">OXLUND, H., Manschot, J and Vidik, A. (1998). ‘The role of elastin in the mechanical properties of skin’. 1. </w:t>
      </w:r>
      <w:r w:rsidRPr="001C27BF">
        <w:rPr>
          <w:rFonts w:ascii="Arial" w:hAnsi="Arial" w:cs="Arial"/>
          <w:i/>
          <w:color w:val="595959" w:themeColor="text1" w:themeTint="A6"/>
        </w:rPr>
        <w:t>Biomechmics</w:t>
      </w:r>
      <w:r w:rsidRPr="001C27BF">
        <w:rPr>
          <w:rFonts w:ascii="Arial" w:hAnsi="Arial" w:cs="Arial"/>
          <w:color w:val="595959" w:themeColor="text1" w:themeTint="A6"/>
        </w:rPr>
        <w:t xml:space="preserve">; </w:t>
      </w:r>
      <w:r w:rsidRPr="001C27BF">
        <w:rPr>
          <w:rFonts w:ascii="Arial" w:hAnsi="Arial" w:cs="Arial"/>
          <w:b/>
          <w:color w:val="595959" w:themeColor="text1" w:themeTint="A6"/>
        </w:rPr>
        <w:t>21</w:t>
      </w:r>
      <w:r w:rsidRPr="001C27BF">
        <w:rPr>
          <w:rFonts w:ascii="Arial" w:hAnsi="Arial" w:cs="Arial"/>
          <w:color w:val="595959" w:themeColor="text1" w:themeTint="A6"/>
        </w:rPr>
        <w:t>. (3,) pp 213-218.</w:t>
      </w:r>
    </w:p>
    <w:p w14:paraId="7FCBBEAC" w14:textId="77777777" w:rsidR="00396EB2" w:rsidRPr="001C27BF" w:rsidRDefault="00396EB2" w:rsidP="001C27BF">
      <w:pPr>
        <w:spacing w:line="360" w:lineRule="auto"/>
        <w:jc w:val="both"/>
        <w:rPr>
          <w:rFonts w:ascii="Arial" w:hAnsi="Arial" w:cs="Arial"/>
          <w:color w:val="595959" w:themeColor="text1" w:themeTint="A6"/>
        </w:rPr>
      </w:pPr>
      <w:r w:rsidRPr="001C27BF">
        <w:rPr>
          <w:rFonts w:ascii="Arial" w:hAnsi="Arial" w:cs="Arial"/>
          <w:color w:val="595959" w:themeColor="text1" w:themeTint="A6"/>
        </w:rPr>
        <w:t xml:space="preserve">PATTABIRAMAN, P.P and Rao, P.V. (2010). ‘Mechanistic basis of Rho GTPase-induced extracellular matrix synthesis in trabecular meshwork cells.’ </w:t>
      </w:r>
      <w:r w:rsidRPr="001C27BF">
        <w:rPr>
          <w:rFonts w:ascii="Arial" w:hAnsi="Arial" w:cs="Arial"/>
          <w:i/>
          <w:color w:val="595959" w:themeColor="text1" w:themeTint="A6"/>
        </w:rPr>
        <w:t>Am Journal Physiology and Cell Physiology</w:t>
      </w:r>
      <w:r w:rsidRPr="001C27BF">
        <w:rPr>
          <w:rFonts w:ascii="Arial" w:hAnsi="Arial" w:cs="Arial"/>
          <w:color w:val="595959" w:themeColor="text1" w:themeTint="A6"/>
        </w:rPr>
        <w:t xml:space="preserve">; </w:t>
      </w:r>
      <w:r w:rsidRPr="001C27BF">
        <w:rPr>
          <w:rFonts w:ascii="Arial" w:hAnsi="Arial" w:cs="Arial"/>
          <w:b/>
          <w:color w:val="595959" w:themeColor="text1" w:themeTint="A6"/>
        </w:rPr>
        <w:t>298</w:t>
      </w:r>
      <w:r w:rsidRPr="001C27BF">
        <w:rPr>
          <w:rFonts w:ascii="Arial" w:hAnsi="Arial" w:cs="Arial"/>
          <w:color w:val="595959" w:themeColor="text1" w:themeTint="A6"/>
        </w:rPr>
        <w:t xml:space="preserve">:749-763. </w:t>
      </w:r>
    </w:p>
    <w:p w14:paraId="465ED228" w14:textId="77777777" w:rsidR="00396EB2" w:rsidRPr="001C27BF" w:rsidRDefault="00396EB2" w:rsidP="001C27BF">
      <w:pPr>
        <w:spacing w:line="360" w:lineRule="auto"/>
        <w:jc w:val="both"/>
        <w:rPr>
          <w:rFonts w:ascii="Arial" w:hAnsi="Arial" w:cs="Arial"/>
          <w:color w:val="595959" w:themeColor="text1" w:themeTint="A6"/>
        </w:rPr>
      </w:pPr>
      <w:r w:rsidRPr="001C27BF">
        <w:rPr>
          <w:rFonts w:ascii="Arial" w:hAnsi="Arial" w:cs="Arial"/>
          <w:color w:val="595959" w:themeColor="text1" w:themeTint="A6"/>
        </w:rPr>
        <w:t xml:space="preserve">PICK-UP, M.W., Mouw, J.K., and Weaver, V.M. (2014). ‘The ECM modulates the hallmarks of cancer.’ </w:t>
      </w:r>
      <w:r w:rsidRPr="001C27BF">
        <w:rPr>
          <w:rFonts w:ascii="Arial" w:hAnsi="Arial" w:cs="Arial"/>
          <w:i/>
          <w:color w:val="595959" w:themeColor="text1" w:themeTint="A6"/>
        </w:rPr>
        <w:t>EMBO reports</w:t>
      </w:r>
      <w:r w:rsidRPr="001C27BF">
        <w:rPr>
          <w:rFonts w:ascii="Arial" w:hAnsi="Arial" w:cs="Arial"/>
          <w:color w:val="595959" w:themeColor="text1" w:themeTint="A6"/>
        </w:rPr>
        <w:t>, (</w:t>
      </w:r>
      <w:r w:rsidRPr="001C27BF">
        <w:rPr>
          <w:rFonts w:ascii="Arial" w:hAnsi="Arial" w:cs="Arial"/>
          <w:b/>
          <w:color w:val="595959" w:themeColor="text1" w:themeTint="A6"/>
        </w:rPr>
        <w:t>15</w:t>
      </w:r>
      <w:r w:rsidRPr="001C27BF">
        <w:rPr>
          <w:rFonts w:ascii="Arial" w:hAnsi="Arial" w:cs="Arial"/>
          <w:color w:val="595959" w:themeColor="text1" w:themeTint="A6"/>
        </w:rPr>
        <w:t xml:space="preserve">), 12; 1243-1253. </w:t>
      </w:r>
    </w:p>
    <w:p w14:paraId="3EB1242B" w14:textId="77777777" w:rsidR="00396EB2" w:rsidRPr="001C27BF" w:rsidRDefault="00396EB2" w:rsidP="001C27BF">
      <w:pPr>
        <w:spacing w:line="360" w:lineRule="auto"/>
        <w:jc w:val="both"/>
        <w:rPr>
          <w:rFonts w:ascii="Arial" w:hAnsi="Arial" w:cs="Arial"/>
          <w:color w:val="595959" w:themeColor="text1" w:themeTint="A6"/>
        </w:rPr>
      </w:pPr>
      <w:r w:rsidRPr="001C27BF">
        <w:rPr>
          <w:rFonts w:ascii="Arial" w:hAnsi="Arial" w:cs="Arial"/>
          <w:color w:val="595959" w:themeColor="text1" w:themeTint="A6"/>
        </w:rPr>
        <w:t xml:space="preserve">PIETRAS, K., and Östman, A. (2010). ‘Hallmarks of cancer: Interactions witht eh tumour stroma.’ </w:t>
      </w:r>
      <w:r w:rsidRPr="001C27BF">
        <w:rPr>
          <w:rFonts w:ascii="Arial" w:hAnsi="Arial" w:cs="Arial"/>
          <w:i/>
          <w:color w:val="595959" w:themeColor="text1" w:themeTint="A6"/>
        </w:rPr>
        <w:t>Experimental cell research</w:t>
      </w:r>
      <w:r w:rsidRPr="001C27BF">
        <w:rPr>
          <w:rFonts w:ascii="Arial" w:hAnsi="Arial" w:cs="Arial"/>
          <w:color w:val="595959" w:themeColor="text1" w:themeTint="A6"/>
        </w:rPr>
        <w:t xml:space="preserve">; </w:t>
      </w:r>
      <w:r w:rsidRPr="001C27BF">
        <w:rPr>
          <w:rFonts w:ascii="Arial" w:hAnsi="Arial" w:cs="Arial"/>
          <w:b/>
          <w:color w:val="595959" w:themeColor="text1" w:themeTint="A6"/>
        </w:rPr>
        <w:t>316</w:t>
      </w:r>
      <w:r w:rsidRPr="001C27BF">
        <w:rPr>
          <w:rFonts w:ascii="Arial" w:hAnsi="Arial" w:cs="Arial"/>
          <w:color w:val="595959" w:themeColor="text1" w:themeTint="A6"/>
        </w:rPr>
        <w:t xml:space="preserve">, 1324-1331. </w:t>
      </w:r>
    </w:p>
    <w:p w14:paraId="2CC56515" w14:textId="77777777" w:rsidR="00396EB2" w:rsidRPr="001C27BF" w:rsidRDefault="00396EB2" w:rsidP="001C27BF">
      <w:pPr>
        <w:spacing w:line="360" w:lineRule="auto"/>
        <w:jc w:val="both"/>
        <w:rPr>
          <w:rFonts w:ascii="Arial" w:hAnsi="Arial" w:cs="Arial"/>
          <w:color w:val="595959" w:themeColor="text1" w:themeTint="A6"/>
        </w:rPr>
      </w:pPr>
      <w:r w:rsidRPr="001C27BF">
        <w:rPr>
          <w:rFonts w:ascii="Arial" w:hAnsi="Arial" w:cs="Arial"/>
          <w:color w:val="595959" w:themeColor="text1" w:themeTint="A6"/>
        </w:rPr>
        <w:t xml:space="preserve">PINNELL, SR. (1985). ‘Regulation of Collagen Biosynthesis by Ascorbic Acid: A Review.’ </w:t>
      </w:r>
      <w:r w:rsidRPr="001C27BF">
        <w:rPr>
          <w:rFonts w:ascii="Arial" w:hAnsi="Arial" w:cs="Arial"/>
          <w:i/>
          <w:color w:val="595959" w:themeColor="text1" w:themeTint="A6"/>
        </w:rPr>
        <w:t>The Yale Journal of biology and medicine</w:t>
      </w:r>
      <w:r w:rsidRPr="001C27BF">
        <w:rPr>
          <w:rFonts w:ascii="Arial" w:hAnsi="Arial" w:cs="Arial"/>
          <w:color w:val="595959" w:themeColor="text1" w:themeTint="A6"/>
        </w:rPr>
        <w:t>, 58, 553-559.</w:t>
      </w:r>
    </w:p>
    <w:p w14:paraId="2BC399D7" w14:textId="77777777" w:rsidR="00396EB2" w:rsidRPr="001C27BF" w:rsidRDefault="00396EB2" w:rsidP="001C27BF">
      <w:pPr>
        <w:spacing w:line="360" w:lineRule="auto"/>
        <w:jc w:val="both"/>
        <w:rPr>
          <w:rFonts w:ascii="Arial" w:hAnsi="Arial" w:cs="Arial"/>
          <w:color w:val="595959" w:themeColor="text1" w:themeTint="A6"/>
        </w:rPr>
      </w:pPr>
      <w:r w:rsidRPr="001C27BF">
        <w:rPr>
          <w:rFonts w:ascii="Arial" w:hAnsi="Arial" w:cs="Arial"/>
          <w:color w:val="595959" w:themeColor="text1" w:themeTint="A6"/>
        </w:rPr>
        <w:t xml:space="preserve">PRIME, S.S. Cirillo, N. Hassona, Y. Lambert, D.W, Paterson, I.C. Mellone, M. Thomas, G.J. James, E.N.L. and Parkinson, E.K. (2016). ‘Fibroblast activation and senescence in oral cancer.’ </w:t>
      </w:r>
      <w:r w:rsidRPr="001C27BF">
        <w:rPr>
          <w:rFonts w:ascii="Arial" w:hAnsi="Arial" w:cs="Arial"/>
          <w:i/>
          <w:color w:val="595959" w:themeColor="text1" w:themeTint="A6"/>
        </w:rPr>
        <w:t>J Oral Pathol Med</w:t>
      </w:r>
      <w:r w:rsidRPr="001C27BF">
        <w:rPr>
          <w:rFonts w:ascii="Arial" w:hAnsi="Arial" w:cs="Arial"/>
          <w:color w:val="595959" w:themeColor="text1" w:themeTint="A6"/>
        </w:rPr>
        <w:t xml:space="preserve">. </w:t>
      </w:r>
    </w:p>
    <w:p w14:paraId="09F1A453" w14:textId="77777777" w:rsidR="00396EB2" w:rsidRPr="001C27BF" w:rsidRDefault="00396EB2" w:rsidP="001C27BF">
      <w:pPr>
        <w:spacing w:line="360" w:lineRule="auto"/>
        <w:jc w:val="both"/>
        <w:rPr>
          <w:rFonts w:ascii="Arial" w:hAnsi="Arial" w:cs="Arial"/>
          <w:color w:val="595959" w:themeColor="text1" w:themeTint="A6"/>
        </w:rPr>
      </w:pPr>
      <w:r w:rsidRPr="001C27BF">
        <w:rPr>
          <w:rFonts w:ascii="Arial" w:hAnsi="Arial" w:cs="Arial"/>
          <w:color w:val="595959" w:themeColor="text1" w:themeTint="A6"/>
        </w:rPr>
        <w:t xml:space="preserve">PROVENZANO P.P, Eliceiri K.W, Campbell J.M, Inman D.R, White J.G and Keely P.J. (2006). ‘Collagen reorganisation at the tumour-stromal interface facilitates local invasion’. BMC medicine; </w:t>
      </w:r>
      <w:r w:rsidRPr="001C27BF">
        <w:rPr>
          <w:rFonts w:ascii="Arial" w:hAnsi="Arial" w:cs="Arial"/>
          <w:b/>
          <w:color w:val="595959" w:themeColor="text1" w:themeTint="A6"/>
        </w:rPr>
        <w:t>4</w:t>
      </w:r>
      <w:r w:rsidRPr="001C27BF">
        <w:rPr>
          <w:rFonts w:ascii="Arial" w:hAnsi="Arial" w:cs="Arial"/>
          <w:color w:val="595959" w:themeColor="text1" w:themeTint="A6"/>
        </w:rPr>
        <w:t>:38.</w:t>
      </w:r>
    </w:p>
    <w:p w14:paraId="1639C81D" w14:textId="77777777" w:rsidR="00396EB2" w:rsidRPr="001C27BF" w:rsidRDefault="00396EB2" w:rsidP="001C27BF">
      <w:pPr>
        <w:spacing w:line="360" w:lineRule="auto"/>
        <w:jc w:val="both"/>
        <w:rPr>
          <w:rFonts w:ascii="Arial" w:hAnsi="Arial" w:cs="Arial"/>
          <w:color w:val="595959" w:themeColor="text1" w:themeTint="A6"/>
        </w:rPr>
      </w:pPr>
      <w:r w:rsidRPr="001C27BF">
        <w:rPr>
          <w:rFonts w:ascii="Arial" w:hAnsi="Arial" w:cs="Arial"/>
          <w:color w:val="595959" w:themeColor="text1" w:themeTint="A6"/>
        </w:rPr>
        <w:t xml:space="preserve">PROVENZANO, P.P and Hingorani, S.R. (2013). ‘Hyaluronan, fluid pressure, and stromal resistance in pancreas cancer’. </w:t>
      </w:r>
      <w:r w:rsidRPr="001C27BF">
        <w:rPr>
          <w:rFonts w:ascii="Arial" w:hAnsi="Arial" w:cs="Arial"/>
          <w:i/>
          <w:color w:val="595959" w:themeColor="text1" w:themeTint="A6"/>
        </w:rPr>
        <w:t>British Journal of Cancer</w:t>
      </w:r>
      <w:r w:rsidRPr="001C27BF">
        <w:rPr>
          <w:rFonts w:ascii="Arial" w:hAnsi="Arial" w:cs="Arial"/>
          <w:color w:val="595959" w:themeColor="text1" w:themeTint="A6"/>
        </w:rPr>
        <w:t xml:space="preserve">, </w:t>
      </w:r>
      <w:r w:rsidRPr="001C27BF">
        <w:rPr>
          <w:rFonts w:ascii="Arial" w:hAnsi="Arial" w:cs="Arial"/>
          <w:b/>
          <w:color w:val="595959" w:themeColor="text1" w:themeTint="A6"/>
        </w:rPr>
        <w:t>108</w:t>
      </w:r>
      <w:r w:rsidRPr="001C27BF">
        <w:rPr>
          <w:rFonts w:ascii="Arial" w:hAnsi="Arial" w:cs="Arial"/>
          <w:color w:val="595959" w:themeColor="text1" w:themeTint="A6"/>
        </w:rPr>
        <w:t>, 1–8.</w:t>
      </w:r>
    </w:p>
    <w:p w14:paraId="41BED0B5" w14:textId="77777777" w:rsidR="00396EB2" w:rsidRPr="001C27BF" w:rsidRDefault="00396EB2" w:rsidP="001C27BF">
      <w:pPr>
        <w:spacing w:line="360" w:lineRule="auto"/>
        <w:jc w:val="both"/>
        <w:rPr>
          <w:rFonts w:ascii="Arial" w:hAnsi="Arial" w:cs="Arial"/>
          <w:color w:val="595959" w:themeColor="text1" w:themeTint="A6"/>
        </w:rPr>
      </w:pPr>
      <w:r w:rsidRPr="001C27BF">
        <w:rPr>
          <w:rFonts w:ascii="Arial" w:hAnsi="Arial" w:cs="Arial"/>
          <w:color w:val="595959" w:themeColor="text1" w:themeTint="A6"/>
        </w:rPr>
        <w:t xml:space="preserve">PUKKILA, M. Kosunen, A. Ropponen, K. Virtaniemi, J. Kellokoski, J.  Kumpulainen, E. Pirinen, R. Nuutinen, J. Johansson, R. and Kosma, V-K (2007). ‘High stromal versican expression predicts unfavourable outcome in oral squamous cell carcinoma’. </w:t>
      </w:r>
      <w:r w:rsidRPr="001C27BF">
        <w:rPr>
          <w:rFonts w:ascii="Arial" w:hAnsi="Arial" w:cs="Arial"/>
          <w:i/>
          <w:color w:val="595959" w:themeColor="text1" w:themeTint="A6"/>
        </w:rPr>
        <w:t>J Clin Pathol</w:t>
      </w:r>
      <w:r w:rsidRPr="001C27BF">
        <w:rPr>
          <w:rFonts w:ascii="Arial" w:hAnsi="Arial" w:cs="Arial"/>
          <w:color w:val="595959" w:themeColor="text1" w:themeTint="A6"/>
        </w:rPr>
        <w:t xml:space="preserve">; </w:t>
      </w:r>
      <w:r w:rsidRPr="001C27BF">
        <w:rPr>
          <w:rFonts w:ascii="Arial" w:hAnsi="Arial" w:cs="Arial"/>
          <w:b/>
          <w:color w:val="595959" w:themeColor="text1" w:themeTint="A6"/>
        </w:rPr>
        <w:t>60</w:t>
      </w:r>
      <w:r w:rsidRPr="001C27BF">
        <w:rPr>
          <w:rFonts w:ascii="Arial" w:hAnsi="Arial" w:cs="Arial"/>
          <w:color w:val="595959" w:themeColor="text1" w:themeTint="A6"/>
        </w:rPr>
        <w:t>:267–272.</w:t>
      </w:r>
    </w:p>
    <w:p w14:paraId="5059973B" w14:textId="265C0F90" w:rsidR="00396EB2" w:rsidRPr="001C27BF" w:rsidRDefault="00396EB2" w:rsidP="001C27BF">
      <w:pPr>
        <w:spacing w:line="360" w:lineRule="auto"/>
        <w:jc w:val="both"/>
        <w:rPr>
          <w:rFonts w:ascii="Arial" w:hAnsi="Arial" w:cs="Arial"/>
          <w:color w:val="595959" w:themeColor="text1" w:themeTint="A6"/>
          <w:shd w:val="clear" w:color="auto" w:fill="FFFFFF"/>
        </w:rPr>
      </w:pPr>
      <w:r w:rsidRPr="001C27BF">
        <w:rPr>
          <w:rFonts w:ascii="Arial" w:hAnsi="Arial" w:cs="Arial"/>
          <w:color w:val="595959" w:themeColor="text1" w:themeTint="A6"/>
          <w:shd w:val="clear" w:color="auto" w:fill="FFFFFF"/>
        </w:rPr>
        <w:t>RADISKY D., Hagios C., and Bissell M.J. (2001).</w:t>
      </w:r>
      <w:r w:rsidRPr="001C27BF">
        <w:rPr>
          <w:rStyle w:val="apple-converted-space"/>
          <w:rFonts w:ascii="Arial" w:hAnsi="Arial" w:cs="Arial"/>
          <w:color w:val="595959" w:themeColor="text1" w:themeTint="A6"/>
          <w:shd w:val="clear" w:color="auto" w:fill="FFFFFF"/>
        </w:rPr>
        <w:t> ‘</w:t>
      </w:r>
      <w:r w:rsidRPr="001C27BF">
        <w:rPr>
          <w:rStyle w:val="ref-title"/>
          <w:rFonts w:ascii="Arial" w:hAnsi="Arial" w:cs="Arial"/>
          <w:color w:val="595959" w:themeColor="text1" w:themeTint="A6"/>
          <w:shd w:val="clear" w:color="auto" w:fill="FFFFFF"/>
        </w:rPr>
        <w:t>Tumours are unique organs defined by abnormal signalling and context</w:t>
      </w:r>
      <w:r w:rsidRPr="001C27BF">
        <w:rPr>
          <w:rFonts w:ascii="Arial" w:hAnsi="Arial" w:cs="Arial"/>
          <w:color w:val="595959" w:themeColor="text1" w:themeTint="A6"/>
          <w:shd w:val="clear" w:color="auto" w:fill="FFFFFF"/>
        </w:rPr>
        <w:t>.’</w:t>
      </w:r>
      <w:r w:rsidRPr="001C27BF">
        <w:rPr>
          <w:rStyle w:val="apple-converted-space"/>
          <w:rFonts w:ascii="Arial" w:hAnsi="Arial" w:cs="Arial"/>
          <w:color w:val="595959" w:themeColor="text1" w:themeTint="A6"/>
          <w:shd w:val="clear" w:color="auto" w:fill="FFFFFF"/>
        </w:rPr>
        <w:t> </w:t>
      </w:r>
      <w:r w:rsidRPr="001C27BF">
        <w:rPr>
          <w:rStyle w:val="ref-journal"/>
          <w:rFonts w:ascii="Arial" w:hAnsi="Arial" w:cs="Arial"/>
          <w:i/>
          <w:color w:val="595959" w:themeColor="text1" w:themeTint="A6"/>
          <w:shd w:val="clear" w:color="auto" w:fill="FFFFFF"/>
        </w:rPr>
        <w:t>Semin. Cancer Biol;</w:t>
      </w:r>
      <w:r w:rsidRPr="001C27BF">
        <w:rPr>
          <w:rStyle w:val="apple-converted-space"/>
          <w:rFonts w:ascii="Arial" w:hAnsi="Arial" w:cs="Arial"/>
          <w:color w:val="595959" w:themeColor="text1" w:themeTint="A6"/>
          <w:shd w:val="clear" w:color="auto" w:fill="FFFFFF"/>
        </w:rPr>
        <w:t> </w:t>
      </w:r>
      <w:r w:rsidRPr="001C27BF">
        <w:rPr>
          <w:rStyle w:val="ref-vol"/>
          <w:rFonts w:ascii="Arial" w:hAnsi="Arial" w:cs="Arial"/>
          <w:b/>
          <w:color w:val="595959" w:themeColor="text1" w:themeTint="A6"/>
          <w:shd w:val="clear" w:color="auto" w:fill="FFFFFF"/>
        </w:rPr>
        <w:t>11</w:t>
      </w:r>
      <w:r w:rsidRPr="001C27BF">
        <w:rPr>
          <w:rFonts w:ascii="Arial" w:hAnsi="Arial" w:cs="Arial"/>
          <w:color w:val="595959" w:themeColor="text1" w:themeTint="A6"/>
          <w:shd w:val="clear" w:color="auto" w:fill="FFFFFF"/>
        </w:rPr>
        <w:t>, 87–95.</w:t>
      </w:r>
    </w:p>
    <w:p w14:paraId="180B865B" w14:textId="0A9DC54B" w:rsidR="00396EB2" w:rsidRPr="001C27BF" w:rsidRDefault="00396EB2" w:rsidP="001C27BF">
      <w:pPr>
        <w:spacing w:line="360" w:lineRule="auto"/>
        <w:jc w:val="both"/>
        <w:rPr>
          <w:rFonts w:ascii="Arial" w:hAnsi="Arial" w:cs="Arial"/>
          <w:color w:val="595959" w:themeColor="text1" w:themeTint="A6"/>
        </w:rPr>
      </w:pPr>
      <w:r w:rsidRPr="001C27BF">
        <w:rPr>
          <w:rFonts w:ascii="Arial" w:hAnsi="Arial" w:cs="Arial"/>
          <w:color w:val="595959" w:themeColor="text1" w:themeTint="A6"/>
        </w:rPr>
        <w:t>RAEBER G</w:t>
      </w:r>
      <w:r w:rsidR="00753A09">
        <w:rPr>
          <w:rFonts w:ascii="Arial" w:hAnsi="Arial" w:cs="Arial"/>
          <w:color w:val="595959" w:themeColor="text1" w:themeTint="A6"/>
        </w:rPr>
        <w:t>.</w:t>
      </w:r>
      <w:r w:rsidRPr="001C27BF">
        <w:rPr>
          <w:rFonts w:ascii="Arial" w:hAnsi="Arial" w:cs="Arial"/>
          <w:color w:val="595959" w:themeColor="text1" w:themeTint="A6"/>
        </w:rPr>
        <w:t>P</w:t>
      </w:r>
      <w:r w:rsidR="00753A09">
        <w:rPr>
          <w:rFonts w:ascii="Arial" w:hAnsi="Arial" w:cs="Arial"/>
          <w:color w:val="595959" w:themeColor="text1" w:themeTint="A6"/>
        </w:rPr>
        <w:t>.</w:t>
      </w:r>
      <w:r w:rsidRPr="001C27BF">
        <w:rPr>
          <w:rFonts w:ascii="Arial" w:hAnsi="Arial" w:cs="Arial"/>
          <w:color w:val="595959" w:themeColor="text1" w:themeTint="A6"/>
        </w:rPr>
        <w:t>, Lutolf M</w:t>
      </w:r>
      <w:r w:rsidR="00753A09">
        <w:rPr>
          <w:rFonts w:ascii="Arial" w:hAnsi="Arial" w:cs="Arial"/>
          <w:color w:val="595959" w:themeColor="text1" w:themeTint="A6"/>
        </w:rPr>
        <w:t>.</w:t>
      </w:r>
      <w:r w:rsidRPr="001C27BF">
        <w:rPr>
          <w:rFonts w:ascii="Arial" w:hAnsi="Arial" w:cs="Arial"/>
          <w:color w:val="595959" w:themeColor="text1" w:themeTint="A6"/>
        </w:rPr>
        <w:t>P</w:t>
      </w:r>
      <w:r w:rsidR="00753A09">
        <w:rPr>
          <w:rFonts w:ascii="Arial" w:hAnsi="Arial" w:cs="Arial"/>
          <w:color w:val="595959" w:themeColor="text1" w:themeTint="A6"/>
        </w:rPr>
        <w:t>.</w:t>
      </w:r>
      <w:r w:rsidRPr="001C27BF">
        <w:rPr>
          <w:rFonts w:ascii="Arial" w:hAnsi="Arial" w:cs="Arial"/>
          <w:color w:val="595959" w:themeColor="text1" w:themeTint="A6"/>
        </w:rPr>
        <w:t>, Hubbell J</w:t>
      </w:r>
      <w:r w:rsidR="00753A09">
        <w:rPr>
          <w:rFonts w:ascii="Arial" w:hAnsi="Arial" w:cs="Arial"/>
          <w:color w:val="595959" w:themeColor="text1" w:themeTint="A6"/>
        </w:rPr>
        <w:t>.</w:t>
      </w:r>
      <w:r w:rsidRPr="001C27BF">
        <w:rPr>
          <w:rFonts w:ascii="Arial" w:hAnsi="Arial" w:cs="Arial"/>
          <w:color w:val="595959" w:themeColor="text1" w:themeTint="A6"/>
        </w:rPr>
        <w:t>A</w:t>
      </w:r>
      <w:r w:rsidR="00753A09">
        <w:rPr>
          <w:rFonts w:ascii="Arial" w:hAnsi="Arial" w:cs="Arial"/>
          <w:color w:val="595959" w:themeColor="text1" w:themeTint="A6"/>
        </w:rPr>
        <w:t>.</w:t>
      </w:r>
      <w:r w:rsidRPr="001C27BF">
        <w:rPr>
          <w:rFonts w:ascii="Arial" w:hAnsi="Arial" w:cs="Arial"/>
          <w:color w:val="595959" w:themeColor="text1" w:themeTint="A6"/>
        </w:rPr>
        <w:t xml:space="preserve"> (2005). ‘Molecularly engineered PEG hydrogels: a novel model system for proteolytically mediated cell migration’. </w:t>
      </w:r>
      <w:r w:rsidRPr="001C27BF">
        <w:rPr>
          <w:rFonts w:ascii="Arial" w:hAnsi="Arial" w:cs="Arial"/>
          <w:i/>
          <w:color w:val="595959" w:themeColor="text1" w:themeTint="A6"/>
        </w:rPr>
        <w:t>Biophys J</w:t>
      </w:r>
      <w:r w:rsidRPr="001C27BF">
        <w:rPr>
          <w:rFonts w:ascii="Arial" w:hAnsi="Arial" w:cs="Arial"/>
          <w:color w:val="595959" w:themeColor="text1" w:themeTint="A6"/>
        </w:rPr>
        <w:t xml:space="preserve"> 89:1374–138.</w:t>
      </w:r>
    </w:p>
    <w:p w14:paraId="0D2E1552" w14:textId="7A7161D1" w:rsidR="00396EB2" w:rsidRPr="001C27BF" w:rsidRDefault="00396EB2" w:rsidP="001C27BF">
      <w:pPr>
        <w:spacing w:line="360" w:lineRule="auto"/>
        <w:jc w:val="both"/>
        <w:rPr>
          <w:rFonts w:ascii="Arial" w:hAnsi="Arial" w:cs="Arial"/>
          <w:color w:val="595959" w:themeColor="text1" w:themeTint="A6"/>
        </w:rPr>
      </w:pPr>
      <w:r w:rsidRPr="001C27BF">
        <w:rPr>
          <w:rFonts w:ascii="Arial" w:hAnsi="Arial" w:cs="Arial"/>
          <w:color w:val="595959" w:themeColor="text1" w:themeTint="A6"/>
        </w:rPr>
        <w:t>RAHMAN A, Carey S</w:t>
      </w:r>
      <w:r w:rsidR="00753A09">
        <w:rPr>
          <w:rFonts w:ascii="Arial" w:hAnsi="Arial" w:cs="Arial"/>
          <w:color w:val="595959" w:themeColor="text1" w:themeTint="A6"/>
        </w:rPr>
        <w:t>.</w:t>
      </w:r>
      <w:r w:rsidRPr="001C27BF">
        <w:rPr>
          <w:rFonts w:ascii="Arial" w:hAnsi="Arial" w:cs="Arial"/>
          <w:color w:val="595959" w:themeColor="text1" w:themeTint="A6"/>
        </w:rPr>
        <w:t>P</w:t>
      </w:r>
      <w:r w:rsidR="00753A09">
        <w:rPr>
          <w:rFonts w:ascii="Arial" w:hAnsi="Arial" w:cs="Arial"/>
          <w:color w:val="595959" w:themeColor="text1" w:themeTint="A6"/>
        </w:rPr>
        <w:t>.</w:t>
      </w:r>
      <w:r w:rsidRPr="001C27BF">
        <w:rPr>
          <w:rFonts w:ascii="Arial" w:hAnsi="Arial" w:cs="Arial"/>
          <w:color w:val="595959" w:themeColor="text1" w:themeTint="A6"/>
        </w:rPr>
        <w:t>, K-Rush C</w:t>
      </w:r>
      <w:r w:rsidR="00753A09">
        <w:rPr>
          <w:rFonts w:ascii="Arial" w:hAnsi="Arial" w:cs="Arial"/>
          <w:color w:val="595959" w:themeColor="text1" w:themeTint="A6"/>
        </w:rPr>
        <w:t>.</w:t>
      </w:r>
      <w:r w:rsidRPr="001C27BF">
        <w:rPr>
          <w:rFonts w:ascii="Arial" w:hAnsi="Arial" w:cs="Arial"/>
          <w:color w:val="595959" w:themeColor="text1" w:themeTint="A6"/>
        </w:rPr>
        <w:t>M</w:t>
      </w:r>
      <w:r w:rsidR="00753A09">
        <w:rPr>
          <w:rFonts w:ascii="Arial" w:hAnsi="Arial" w:cs="Arial"/>
          <w:color w:val="595959" w:themeColor="text1" w:themeTint="A6"/>
        </w:rPr>
        <w:t>.</w:t>
      </w:r>
      <w:r w:rsidRPr="001C27BF">
        <w:rPr>
          <w:rFonts w:ascii="Arial" w:hAnsi="Arial" w:cs="Arial"/>
          <w:color w:val="595959" w:themeColor="text1" w:themeTint="A6"/>
        </w:rPr>
        <w:t>, Goldblatt Z</w:t>
      </w:r>
      <w:r w:rsidR="00753A09">
        <w:rPr>
          <w:rFonts w:ascii="Arial" w:hAnsi="Arial" w:cs="Arial"/>
          <w:color w:val="595959" w:themeColor="text1" w:themeTint="A6"/>
        </w:rPr>
        <w:t>.</w:t>
      </w:r>
      <w:r w:rsidRPr="001C27BF">
        <w:rPr>
          <w:rFonts w:ascii="Arial" w:hAnsi="Arial" w:cs="Arial"/>
          <w:color w:val="595959" w:themeColor="text1" w:themeTint="A6"/>
        </w:rPr>
        <w:t>E., Bordeleau F, Lampi M</w:t>
      </w:r>
      <w:r w:rsidR="00753A09">
        <w:rPr>
          <w:rFonts w:ascii="Arial" w:hAnsi="Arial" w:cs="Arial"/>
          <w:color w:val="595959" w:themeColor="text1" w:themeTint="A6"/>
        </w:rPr>
        <w:t>.</w:t>
      </w:r>
      <w:r w:rsidRPr="001C27BF">
        <w:rPr>
          <w:rFonts w:ascii="Arial" w:hAnsi="Arial" w:cs="Arial"/>
          <w:color w:val="595959" w:themeColor="text1" w:themeTint="A6"/>
        </w:rPr>
        <w:t>C</w:t>
      </w:r>
      <w:r w:rsidR="00753A09">
        <w:rPr>
          <w:rFonts w:ascii="Arial" w:hAnsi="Arial" w:cs="Arial"/>
          <w:color w:val="595959" w:themeColor="text1" w:themeTint="A6"/>
        </w:rPr>
        <w:t>.</w:t>
      </w:r>
      <w:r w:rsidRPr="001C27BF">
        <w:rPr>
          <w:rFonts w:ascii="Arial" w:hAnsi="Arial" w:cs="Arial"/>
          <w:color w:val="595959" w:themeColor="text1" w:themeTint="A6"/>
        </w:rPr>
        <w:t>, Lin D</w:t>
      </w:r>
      <w:r w:rsidR="00753A09">
        <w:rPr>
          <w:rFonts w:ascii="Arial" w:hAnsi="Arial" w:cs="Arial"/>
          <w:color w:val="595959" w:themeColor="text1" w:themeTint="A6"/>
        </w:rPr>
        <w:t>.</w:t>
      </w:r>
      <w:r w:rsidRPr="001C27BF">
        <w:rPr>
          <w:rFonts w:ascii="Arial" w:hAnsi="Arial" w:cs="Arial"/>
          <w:color w:val="595959" w:themeColor="text1" w:themeTint="A6"/>
        </w:rPr>
        <w:t>Y</w:t>
      </w:r>
      <w:r w:rsidR="00753A09">
        <w:rPr>
          <w:rFonts w:ascii="Arial" w:hAnsi="Arial" w:cs="Arial"/>
          <w:color w:val="595959" w:themeColor="text1" w:themeTint="A6"/>
        </w:rPr>
        <w:t>.</w:t>
      </w:r>
      <w:r w:rsidRPr="001C27BF">
        <w:rPr>
          <w:rFonts w:ascii="Arial" w:hAnsi="Arial" w:cs="Arial"/>
          <w:color w:val="595959" w:themeColor="text1" w:themeTint="A6"/>
        </w:rPr>
        <w:t>, García A</w:t>
      </w:r>
      <w:r w:rsidR="00753A09">
        <w:rPr>
          <w:rFonts w:ascii="Arial" w:hAnsi="Arial" w:cs="Arial"/>
          <w:color w:val="595959" w:themeColor="text1" w:themeTint="A6"/>
        </w:rPr>
        <w:t>.</w:t>
      </w:r>
      <w:r w:rsidRPr="001C27BF">
        <w:rPr>
          <w:rFonts w:ascii="Arial" w:hAnsi="Arial" w:cs="Arial"/>
          <w:color w:val="595959" w:themeColor="text1" w:themeTint="A6"/>
        </w:rPr>
        <w:t>J</w:t>
      </w:r>
      <w:r w:rsidR="00753A09">
        <w:rPr>
          <w:rFonts w:ascii="Arial" w:hAnsi="Arial" w:cs="Arial"/>
          <w:color w:val="595959" w:themeColor="text1" w:themeTint="A6"/>
        </w:rPr>
        <w:t>.</w:t>
      </w:r>
      <w:r w:rsidRPr="001C27BF">
        <w:rPr>
          <w:rFonts w:ascii="Arial" w:hAnsi="Arial" w:cs="Arial"/>
          <w:color w:val="595959" w:themeColor="text1" w:themeTint="A6"/>
        </w:rPr>
        <w:t xml:space="preserve"> and Reinhart-King C</w:t>
      </w:r>
      <w:r w:rsidR="00753A09">
        <w:rPr>
          <w:rFonts w:ascii="Arial" w:hAnsi="Arial" w:cs="Arial"/>
          <w:color w:val="595959" w:themeColor="text1" w:themeTint="A6"/>
        </w:rPr>
        <w:t>.</w:t>
      </w:r>
      <w:r w:rsidRPr="001C27BF">
        <w:rPr>
          <w:rFonts w:ascii="Arial" w:hAnsi="Arial" w:cs="Arial"/>
          <w:color w:val="595959" w:themeColor="text1" w:themeTint="A6"/>
        </w:rPr>
        <w:t>A</w:t>
      </w:r>
      <w:r w:rsidR="00753A09">
        <w:rPr>
          <w:rFonts w:ascii="Arial" w:hAnsi="Arial" w:cs="Arial"/>
          <w:color w:val="595959" w:themeColor="text1" w:themeTint="A6"/>
        </w:rPr>
        <w:t>.</w:t>
      </w:r>
      <w:r w:rsidRPr="001C27BF">
        <w:rPr>
          <w:rFonts w:ascii="Arial" w:hAnsi="Arial" w:cs="Arial"/>
          <w:color w:val="595959" w:themeColor="text1" w:themeTint="A6"/>
        </w:rPr>
        <w:t xml:space="preserve"> (2016). ‘Vinculin Regulates Directionality and Cell Polarity in 2D, 3D Matrix and 3D Microtrack Migration’. </w:t>
      </w:r>
      <w:r w:rsidRPr="001C27BF">
        <w:rPr>
          <w:rFonts w:ascii="Arial" w:hAnsi="Arial" w:cs="Arial"/>
          <w:i/>
          <w:color w:val="595959" w:themeColor="text1" w:themeTint="A6"/>
        </w:rPr>
        <w:t>Molecular biology of the cell.</w:t>
      </w:r>
      <w:r w:rsidRPr="001C27BF">
        <w:rPr>
          <w:rFonts w:ascii="Arial" w:hAnsi="Arial" w:cs="Arial"/>
          <w:color w:val="595959" w:themeColor="text1" w:themeTint="A6"/>
        </w:rPr>
        <w:t xml:space="preserve"> 27(</w:t>
      </w:r>
      <w:r w:rsidRPr="001C27BF">
        <w:rPr>
          <w:rFonts w:ascii="Arial" w:hAnsi="Arial" w:cs="Arial"/>
          <w:b/>
          <w:color w:val="595959" w:themeColor="text1" w:themeTint="A6"/>
        </w:rPr>
        <w:t>9</w:t>
      </w:r>
      <w:r w:rsidRPr="001C27BF">
        <w:rPr>
          <w:rFonts w:ascii="Arial" w:hAnsi="Arial" w:cs="Arial"/>
          <w:color w:val="595959" w:themeColor="text1" w:themeTint="A6"/>
        </w:rPr>
        <w:t>).</w:t>
      </w:r>
    </w:p>
    <w:p w14:paraId="3BF4B079" w14:textId="5D5DC529" w:rsidR="00396EB2" w:rsidRPr="001C27BF" w:rsidRDefault="00396EB2" w:rsidP="001C27BF">
      <w:pPr>
        <w:spacing w:line="360" w:lineRule="auto"/>
        <w:jc w:val="both"/>
        <w:rPr>
          <w:rFonts w:ascii="Arial" w:hAnsi="Arial" w:cs="Arial"/>
          <w:color w:val="595959" w:themeColor="text1" w:themeTint="A6"/>
        </w:rPr>
      </w:pPr>
      <w:r w:rsidRPr="001C27BF">
        <w:rPr>
          <w:rFonts w:ascii="Arial" w:hAnsi="Arial" w:cs="Arial"/>
          <w:color w:val="595959" w:themeColor="text1" w:themeTint="A6"/>
        </w:rPr>
        <w:t>RAITZ R, Martins M</w:t>
      </w:r>
      <w:r w:rsidR="000B6C34">
        <w:rPr>
          <w:rFonts w:ascii="Arial" w:hAnsi="Arial" w:cs="Arial"/>
          <w:color w:val="595959" w:themeColor="text1" w:themeTint="A6"/>
        </w:rPr>
        <w:t>.</w:t>
      </w:r>
      <w:r w:rsidRPr="001C27BF">
        <w:rPr>
          <w:rFonts w:ascii="Arial" w:hAnsi="Arial" w:cs="Arial"/>
          <w:color w:val="595959" w:themeColor="text1" w:themeTint="A6"/>
        </w:rPr>
        <w:t>D</w:t>
      </w:r>
      <w:r w:rsidR="000B6C34">
        <w:rPr>
          <w:rFonts w:ascii="Arial" w:hAnsi="Arial" w:cs="Arial"/>
          <w:color w:val="595959" w:themeColor="text1" w:themeTint="A6"/>
        </w:rPr>
        <w:t>.</w:t>
      </w:r>
      <w:r w:rsidRPr="001C27BF">
        <w:rPr>
          <w:rFonts w:ascii="Arial" w:hAnsi="Arial" w:cs="Arial"/>
          <w:color w:val="595959" w:themeColor="text1" w:themeTint="A6"/>
        </w:rPr>
        <w:t>, and Araujo V</w:t>
      </w:r>
      <w:r w:rsidR="000B6C34">
        <w:rPr>
          <w:rFonts w:ascii="Arial" w:hAnsi="Arial" w:cs="Arial"/>
          <w:color w:val="595959" w:themeColor="text1" w:themeTint="A6"/>
        </w:rPr>
        <w:t>.</w:t>
      </w:r>
      <w:r w:rsidRPr="001C27BF">
        <w:rPr>
          <w:rFonts w:ascii="Arial" w:hAnsi="Arial" w:cs="Arial"/>
          <w:color w:val="595959" w:themeColor="text1" w:themeTint="A6"/>
        </w:rPr>
        <w:t>C. (2003). ‘A study of the extracellular matrix in salivary gland tumors’</w:t>
      </w:r>
      <w:r w:rsidRPr="001C27BF">
        <w:rPr>
          <w:rFonts w:ascii="Arial" w:hAnsi="Arial" w:cs="Arial"/>
          <w:i/>
          <w:iCs/>
          <w:color w:val="595959" w:themeColor="text1" w:themeTint="A6"/>
        </w:rPr>
        <w:t>. J Oral Pathol Med</w:t>
      </w:r>
      <w:r w:rsidRPr="001C27BF">
        <w:rPr>
          <w:rFonts w:ascii="Arial" w:hAnsi="Arial" w:cs="Arial"/>
          <w:color w:val="595959" w:themeColor="text1" w:themeTint="A6"/>
        </w:rPr>
        <w:t>; 32:290-6.</w:t>
      </w:r>
    </w:p>
    <w:p w14:paraId="3522E8F3" w14:textId="77777777" w:rsidR="00396EB2" w:rsidRPr="001C27BF" w:rsidRDefault="00396EB2" w:rsidP="001C27BF">
      <w:pPr>
        <w:spacing w:line="360" w:lineRule="auto"/>
        <w:jc w:val="both"/>
        <w:rPr>
          <w:rFonts w:ascii="Arial" w:hAnsi="Arial" w:cs="Arial"/>
          <w:color w:val="595959" w:themeColor="text1" w:themeTint="A6"/>
        </w:rPr>
      </w:pPr>
      <w:r w:rsidRPr="001C27BF">
        <w:rPr>
          <w:rFonts w:ascii="Arial" w:hAnsi="Arial" w:cs="Arial"/>
          <w:color w:val="595959" w:themeColor="text1" w:themeTint="A6"/>
        </w:rPr>
        <w:t xml:space="preserve">RALSTON, D.R. Layton, C. Dallery, A.J. Boyce, S.G. Freedlander, E. and MacNeil, S. (1997). ‘Keratinocytes contract dermal extracellular and reduced soluble fibronectin by fibroblasts in a skin composite model.’ </w:t>
      </w:r>
      <w:r w:rsidRPr="001C27BF">
        <w:rPr>
          <w:rFonts w:ascii="Arial" w:hAnsi="Arial" w:cs="Arial"/>
          <w:i/>
          <w:color w:val="595959" w:themeColor="text1" w:themeTint="A6"/>
        </w:rPr>
        <w:t>British Journal of plastic Surgery</w:t>
      </w:r>
      <w:r w:rsidRPr="001C27BF">
        <w:rPr>
          <w:rFonts w:ascii="Arial" w:hAnsi="Arial" w:cs="Arial"/>
          <w:color w:val="595959" w:themeColor="text1" w:themeTint="A6"/>
        </w:rPr>
        <w:t>, (</w:t>
      </w:r>
      <w:r w:rsidRPr="001C27BF">
        <w:rPr>
          <w:rFonts w:ascii="Arial" w:hAnsi="Arial" w:cs="Arial"/>
          <w:b/>
          <w:color w:val="595959" w:themeColor="text1" w:themeTint="A6"/>
        </w:rPr>
        <w:t>50</w:t>
      </w:r>
      <w:r w:rsidRPr="001C27BF">
        <w:rPr>
          <w:rFonts w:ascii="Arial" w:hAnsi="Arial" w:cs="Arial"/>
          <w:color w:val="595959" w:themeColor="text1" w:themeTint="A6"/>
        </w:rPr>
        <w:t xml:space="preserve">): 408-415. </w:t>
      </w:r>
    </w:p>
    <w:p w14:paraId="174F87B3" w14:textId="77777777" w:rsidR="00396EB2" w:rsidRPr="001C27BF" w:rsidRDefault="00396EB2" w:rsidP="001C27BF">
      <w:pPr>
        <w:spacing w:line="360" w:lineRule="auto"/>
        <w:jc w:val="both"/>
        <w:rPr>
          <w:rFonts w:ascii="Arial" w:hAnsi="Arial" w:cs="Arial"/>
          <w:color w:val="595959" w:themeColor="text1" w:themeTint="A6"/>
        </w:rPr>
      </w:pPr>
      <w:r w:rsidRPr="001C27BF">
        <w:rPr>
          <w:rFonts w:ascii="Arial" w:hAnsi="Arial" w:cs="Arial"/>
          <w:color w:val="595959" w:themeColor="text1" w:themeTint="A6"/>
        </w:rPr>
        <w:t>RAMOS, D.M., Chen, B.L., Regezi, J., Zardi, L. and Pytela, R. (1998). ‘TN-C matrix assembly in oral squamous-cell carcinoma</w:t>
      </w:r>
      <w:r w:rsidRPr="001C27BF">
        <w:rPr>
          <w:rFonts w:ascii="Arial" w:hAnsi="Arial" w:cs="Arial"/>
          <w:i/>
          <w:color w:val="595959" w:themeColor="text1" w:themeTint="A6"/>
        </w:rPr>
        <w:t>. Int. J. Cancer,</w:t>
      </w:r>
      <w:r w:rsidRPr="001C27BF">
        <w:rPr>
          <w:rFonts w:ascii="Arial" w:hAnsi="Arial" w:cs="Arial"/>
          <w:color w:val="595959" w:themeColor="text1" w:themeTint="A6"/>
        </w:rPr>
        <w:t xml:space="preserve"> </w:t>
      </w:r>
      <w:r w:rsidRPr="001C27BF">
        <w:rPr>
          <w:rFonts w:ascii="Arial" w:hAnsi="Arial" w:cs="Arial"/>
          <w:b/>
          <w:color w:val="595959" w:themeColor="text1" w:themeTint="A6"/>
        </w:rPr>
        <w:t>75,</w:t>
      </w:r>
      <w:r w:rsidRPr="001C27BF">
        <w:rPr>
          <w:rFonts w:ascii="Arial" w:hAnsi="Arial" w:cs="Arial"/>
          <w:color w:val="595959" w:themeColor="text1" w:themeTint="A6"/>
        </w:rPr>
        <w:t xml:space="preserve"> 680–687. </w:t>
      </w:r>
    </w:p>
    <w:p w14:paraId="61159433" w14:textId="77777777" w:rsidR="00396EB2" w:rsidRPr="001C27BF" w:rsidRDefault="00396EB2" w:rsidP="001C27BF">
      <w:pPr>
        <w:spacing w:line="360" w:lineRule="auto"/>
        <w:jc w:val="both"/>
        <w:rPr>
          <w:rFonts w:ascii="Arial" w:hAnsi="Arial" w:cs="Arial"/>
          <w:color w:val="595959" w:themeColor="text1" w:themeTint="A6"/>
        </w:rPr>
      </w:pPr>
      <w:r w:rsidRPr="001C27BF">
        <w:rPr>
          <w:rFonts w:ascii="Arial" w:hAnsi="Arial" w:cs="Arial"/>
          <w:color w:val="595959" w:themeColor="text1" w:themeTint="A6"/>
        </w:rPr>
        <w:t xml:space="preserve">RAVI, M. Paramesh, V. Kaviya, S.R. Anuradha, E. and Solomon, F.D.P. (2015). ‘3D Cell Culture Systems: Advantages and Applications.’ </w:t>
      </w:r>
      <w:r w:rsidRPr="001C27BF">
        <w:rPr>
          <w:rFonts w:ascii="Arial" w:hAnsi="Arial" w:cs="Arial"/>
          <w:i/>
          <w:color w:val="595959" w:themeColor="text1" w:themeTint="A6"/>
        </w:rPr>
        <w:t>J.Cell Physiol.</w:t>
      </w:r>
      <w:r w:rsidRPr="001C27BF">
        <w:rPr>
          <w:rFonts w:ascii="Arial" w:hAnsi="Arial" w:cs="Arial"/>
          <w:color w:val="595959" w:themeColor="text1" w:themeTint="A6"/>
        </w:rPr>
        <w:t xml:space="preserve"> 230: 16-26.</w:t>
      </w:r>
    </w:p>
    <w:p w14:paraId="13E34EE2" w14:textId="77777777" w:rsidR="00396EB2" w:rsidRPr="001C27BF" w:rsidRDefault="00396EB2" w:rsidP="001C27BF">
      <w:pPr>
        <w:spacing w:line="360" w:lineRule="auto"/>
        <w:jc w:val="both"/>
        <w:rPr>
          <w:rFonts w:ascii="Arial" w:hAnsi="Arial" w:cs="Arial"/>
          <w:color w:val="595959" w:themeColor="text1" w:themeTint="A6"/>
        </w:rPr>
      </w:pPr>
      <w:r w:rsidRPr="001C27BF">
        <w:rPr>
          <w:rFonts w:ascii="Arial" w:hAnsi="Arial" w:cs="Arial"/>
          <w:color w:val="595959" w:themeColor="text1" w:themeTint="A6"/>
        </w:rPr>
        <w:t>RHIM, A.D, Mirek, E.T, Aiello N.M, Maitra A, Bailey J.M, McAllister F, Reichert M, Beatty G.L, Rustgi AK and Vonderheide R.H (2012). ‘EMT and dissemination precede pancreatic tumour formation’ Cell 148 349–61.</w:t>
      </w:r>
    </w:p>
    <w:p w14:paraId="1255EC3A" w14:textId="1C1428DE" w:rsidR="00396EB2" w:rsidRPr="001C27BF" w:rsidRDefault="00396EB2" w:rsidP="001C27BF">
      <w:pPr>
        <w:spacing w:line="360" w:lineRule="auto"/>
        <w:jc w:val="both"/>
        <w:rPr>
          <w:rFonts w:ascii="Arial" w:hAnsi="Arial" w:cs="Arial"/>
          <w:color w:val="595959" w:themeColor="text1" w:themeTint="A6"/>
        </w:rPr>
      </w:pPr>
      <w:r w:rsidRPr="001C27BF">
        <w:rPr>
          <w:rFonts w:ascii="Arial" w:hAnsi="Arial" w:cs="Arial"/>
          <w:color w:val="595959" w:themeColor="text1" w:themeTint="A6"/>
        </w:rPr>
        <w:t>ROBERTS, A</w:t>
      </w:r>
      <w:r w:rsidR="000B6C34">
        <w:rPr>
          <w:rFonts w:ascii="Arial" w:hAnsi="Arial" w:cs="Arial"/>
          <w:color w:val="595959" w:themeColor="text1" w:themeTint="A6"/>
        </w:rPr>
        <w:t>.</w:t>
      </w:r>
      <w:r w:rsidRPr="001C27BF">
        <w:rPr>
          <w:rFonts w:ascii="Arial" w:hAnsi="Arial" w:cs="Arial"/>
          <w:color w:val="595959" w:themeColor="text1" w:themeTint="A6"/>
        </w:rPr>
        <w:t>B</w:t>
      </w:r>
      <w:r w:rsidR="000B6C34">
        <w:rPr>
          <w:rFonts w:ascii="Arial" w:hAnsi="Arial" w:cs="Arial"/>
          <w:color w:val="595959" w:themeColor="text1" w:themeTint="A6"/>
        </w:rPr>
        <w:t>.</w:t>
      </w:r>
      <w:r w:rsidRPr="001C27BF">
        <w:rPr>
          <w:rFonts w:ascii="Arial" w:hAnsi="Arial" w:cs="Arial"/>
          <w:color w:val="595959" w:themeColor="text1" w:themeTint="A6"/>
        </w:rPr>
        <w:t>, McCune B</w:t>
      </w:r>
      <w:r w:rsidR="000B6C34">
        <w:rPr>
          <w:rFonts w:ascii="Arial" w:hAnsi="Arial" w:cs="Arial"/>
          <w:color w:val="595959" w:themeColor="text1" w:themeTint="A6"/>
        </w:rPr>
        <w:t>.</w:t>
      </w:r>
      <w:r w:rsidRPr="001C27BF">
        <w:rPr>
          <w:rFonts w:ascii="Arial" w:hAnsi="Arial" w:cs="Arial"/>
          <w:color w:val="595959" w:themeColor="text1" w:themeTint="A6"/>
        </w:rPr>
        <w:t>K</w:t>
      </w:r>
      <w:r w:rsidR="000B6C34">
        <w:rPr>
          <w:rFonts w:ascii="Arial" w:hAnsi="Arial" w:cs="Arial"/>
          <w:color w:val="595959" w:themeColor="text1" w:themeTint="A6"/>
        </w:rPr>
        <w:t>.</w:t>
      </w:r>
      <w:r w:rsidRPr="001C27BF">
        <w:rPr>
          <w:rFonts w:ascii="Arial" w:hAnsi="Arial" w:cs="Arial"/>
          <w:color w:val="595959" w:themeColor="text1" w:themeTint="A6"/>
        </w:rPr>
        <w:t>, Sporn M</w:t>
      </w:r>
      <w:r w:rsidR="000B6C34">
        <w:rPr>
          <w:rFonts w:ascii="Arial" w:hAnsi="Arial" w:cs="Arial"/>
          <w:color w:val="595959" w:themeColor="text1" w:themeTint="A6"/>
        </w:rPr>
        <w:t>.</w:t>
      </w:r>
      <w:r w:rsidRPr="001C27BF">
        <w:rPr>
          <w:rFonts w:ascii="Arial" w:hAnsi="Arial" w:cs="Arial"/>
          <w:color w:val="595959" w:themeColor="text1" w:themeTint="A6"/>
        </w:rPr>
        <w:t>B. (1992). ‘TGF-β: Regulation of extracellular matrix.’</w:t>
      </w:r>
      <w:r w:rsidRPr="001C27BF">
        <w:rPr>
          <w:rFonts w:ascii="Arial" w:hAnsi="Arial" w:cs="Arial"/>
        </w:rPr>
        <w:t xml:space="preserve"> </w:t>
      </w:r>
      <w:r w:rsidRPr="001C27BF">
        <w:rPr>
          <w:rFonts w:ascii="Arial" w:hAnsi="Arial" w:cs="Arial"/>
          <w:i/>
          <w:color w:val="595959" w:themeColor="text1" w:themeTint="A6"/>
        </w:rPr>
        <w:t>Kidney International</w:t>
      </w:r>
      <w:r w:rsidRPr="001C27BF">
        <w:rPr>
          <w:rFonts w:ascii="Arial" w:hAnsi="Arial" w:cs="Arial"/>
          <w:color w:val="595959" w:themeColor="text1" w:themeTint="A6"/>
        </w:rPr>
        <w:t>, (</w:t>
      </w:r>
      <w:r w:rsidRPr="001C27BF">
        <w:rPr>
          <w:rFonts w:ascii="Arial" w:hAnsi="Arial" w:cs="Arial"/>
          <w:b/>
          <w:color w:val="595959" w:themeColor="text1" w:themeTint="A6"/>
        </w:rPr>
        <w:t>41</w:t>
      </w:r>
      <w:r w:rsidRPr="001C27BF">
        <w:rPr>
          <w:rFonts w:ascii="Arial" w:hAnsi="Arial" w:cs="Arial"/>
          <w:color w:val="595959" w:themeColor="text1" w:themeTint="A6"/>
        </w:rPr>
        <w:t xml:space="preserve">), 557-559.  </w:t>
      </w:r>
    </w:p>
    <w:p w14:paraId="0554226C" w14:textId="77777777" w:rsidR="00396EB2" w:rsidRPr="001C27BF" w:rsidRDefault="00396EB2" w:rsidP="001C27BF">
      <w:pPr>
        <w:spacing w:line="360" w:lineRule="auto"/>
        <w:jc w:val="both"/>
        <w:rPr>
          <w:rFonts w:ascii="Arial" w:hAnsi="Arial" w:cs="Arial"/>
          <w:color w:val="595959" w:themeColor="text1" w:themeTint="A6"/>
        </w:rPr>
      </w:pPr>
      <w:r w:rsidRPr="001C27BF">
        <w:rPr>
          <w:rFonts w:ascii="Arial" w:hAnsi="Arial" w:cs="Arial"/>
          <w:color w:val="595959" w:themeColor="text1" w:themeTint="A6"/>
        </w:rPr>
        <w:t xml:space="preserve">ROTHENBERG, S.M. and Ellisen, L.W. (2012). ‘The Molecular pathogenesis of HNSCC.’  </w:t>
      </w:r>
      <w:r w:rsidRPr="001C27BF">
        <w:rPr>
          <w:rFonts w:ascii="Arial" w:hAnsi="Arial" w:cs="Arial"/>
          <w:i/>
          <w:color w:val="595959" w:themeColor="text1" w:themeTint="A6"/>
        </w:rPr>
        <w:t>J Clinical Invest</w:t>
      </w:r>
      <w:r w:rsidRPr="001C27BF">
        <w:rPr>
          <w:rFonts w:ascii="Arial" w:hAnsi="Arial" w:cs="Arial"/>
          <w:color w:val="595959" w:themeColor="text1" w:themeTint="A6"/>
        </w:rPr>
        <w:t>; 122(</w:t>
      </w:r>
      <w:r w:rsidRPr="001C27BF">
        <w:rPr>
          <w:rFonts w:ascii="Arial" w:hAnsi="Arial" w:cs="Arial"/>
          <w:b/>
          <w:color w:val="595959" w:themeColor="text1" w:themeTint="A6"/>
        </w:rPr>
        <w:t>6</w:t>
      </w:r>
      <w:r w:rsidRPr="001C27BF">
        <w:rPr>
          <w:rFonts w:ascii="Arial" w:hAnsi="Arial" w:cs="Arial"/>
          <w:color w:val="595959" w:themeColor="text1" w:themeTint="A6"/>
        </w:rPr>
        <w:t xml:space="preserve">); 1951-1957. </w:t>
      </w:r>
    </w:p>
    <w:p w14:paraId="07B9494D" w14:textId="77777777" w:rsidR="00396EB2" w:rsidRPr="001C27BF" w:rsidRDefault="00396EB2" w:rsidP="001C27BF">
      <w:pPr>
        <w:spacing w:line="360" w:lineRule="auto"/>
        <w:jc w:val="both"/>
        <w:rPr>
          <w:rFonts w:ascii="Arial" w:hAnsi="Arial" w:cs="Arial"/>
          <w:color w:val="595959" w:themeColor="text1" w:themeTint="A6"/>
        </w:rPr>
      </w:pPr>
      <w:r w:rsidRPr="001C27BF">
        <w:rPr>
          <w:rFonts w:ascii="Arial" w:hAnsi="Arial" w:cs="Arial"/>
          <w:color w:val="595959" w:themeColor="text1" w:themeTint="A6"/>
        </w:rPr>
        <w:t xml:space="preserve">ROUTRAY, S. Sunkavali, A, and Bari, K.A. (2014). ‘Carcinoma-associated fibroblasts, its implication in head and neck squamous cell carcinoma: a mini review. </w:t>
      </w:r>
      <w:r w:rsidRPr="001C27BF">
        <w:rPr>
          <w:rFonts w:ascii="Arial" w:hAnsi="Arial" w:cs="Arial"/>
          <w:i/>
          <w:color w:val="595959" w:themeColor="text1" w:themeTint="A6"/>
        </w:rPr>
        <w:t>Oral Diseases</w:t>
      </w:r>
      <w:r w:rsidRPr="001C27BF">
        <w:rPr>
          <w:rFonts w:ascii="Arial" w:hAnsi="Arial" w:cs="Arial"/>
          <w:color w:val="595959" w:themeColor="text1" w:themeTint="A6"/>
        </w:rPr>
        <w:t xml:space="preserve">, </w:t>
      </w:r>
      <w:r w:rsidRPr="001C27BF">
        <w:rPr>
          <w:rFonts w:ascii="Arial" w:hAnsi="Arial" w:cs="Arial"/>
          <w:b/>
          <w:color w:val="595959" w:themeColor="text1" w:themeTint="A6"/>
        </w:rPr>
        <w:t>20</w:t>
      </w:r>
      <w:r w:rsidRPr="001C27BF">
        <w:rPr>
          <w:rFonts w:ascii="Arial" w:hAnsi="Arial" w:cs="Arial"/>
          <w:color w:val="595959" w:themeColor="text1" w:themeTint="A6"/>
        </w:rPr>
        <w:t xml:space="preserve">, 546-253. </w:t>
      </w:r>
    </w:p>
    <w:p w14:paraId="6A3DCE0F" w14:textId="77777777" w:rsidR="00396EB2" w:rsidRPr="001C27BF" w:rsidRDefault="00396EB2" w:rsidP="001C27BF">
      <w:pPr>
        <w:spacing w:line="360" w:lineRule="auto"/>
        <w:jc w:val="both"/>
        <w:rPr>
          <w:rFonts w:ascii="Arial" w:hAnsi="Arial" w:cs="Arial"/>
          <w:color w:val="595959" w:themeColor="text1" w:themeTint="A6"/>
        </w:rPr>
      </w:pPr>
      <w:r w:rsidRPr="001C27BF">
        <w:rPr>
          <w:rFonts w:ascii="Arial" w:hAnsi="Arial" w:cs="Arial"/>
          <w:color w:val="595959" w:themeColor="text1" w:themeTint="A6"/>
        </w:rPr>
        <w:t xml:space="preserve">SCHENK, S., Hintermann E., Bilban M., Koshikawa N., Hojilla C., Khokha R., Quaranta V. (2003). ‘Binding to EGF receptor of a laminin-5 EGF-like fragment liberated during MMP-dependent mammary gland involution’. </w:t>
      </w:r>
      <w:r w:rsidRPr="001C27BF">
        <w:rPr>
          <w:rFonts w:ascii="Arial" w:hAnsi="Arial" w:cs="Arial"/>
          <w:i/>
          <w:color w:val="595959" w:themeColor="text1" w:themeTint="A6"/>
        </w:rPr>
        <w:t>J Cell Biol</w:t>
      </w:r>
      <w:r w:rsidRPr="001C27BF">
        <w:rPr>
          <w:rFonts w:ascii="Arial" w:hAnsi="Arial" w:cs="Arial"/>
          <w:color w:val="595959" w:themeColor="text1" w:themeTint="A6"/>
        </w:rPr>
        <w:t xml:space="preserve">; </w:t>
      </w:r>
      <w:r w:rsidRPr="001C27BF">
        <w:rPr>
          <w:rFonts w:ascii="Arial" w:hAnsi="Arial" w:cs="Arial"/>
          <w:b/>
          <w:color w:val="595959" w:themeColor="text1" w:themeTint="A6"/>
        </w:rPr>
        <w:t>161</w:t>
      </w:r>
      <w:r w:rsidRPr="001C27BF">
        <w:rPr>
          <w:rFonts w:ascii="Arial" w:hAnsi="Arial" w:cs="Arial"/>
          <w:color w:val="595959" w:themeColor="text1" w:themeTint="A6"/>
        </w:rPr>
        <w:t>:197–209.</w:t>
      </w:r>
    </w:p>
    <w:p w14:paraId="60171367" w14:textId="77777777" w:rsidR="00396EB2" w:rsidRPr="001C27BF" w:rsidRDefault="00396EB2" w:rsidP="001C27BF">
      <w:pPr>
        <w:spacing w:line="360" w:lineRule="auto"/>
        <w:jc w:val="both"/>
        <w:rPr>
          <w:rFonts w:ascii="Arial" w:hAnsi="Arial" w:cs="Arial"/>
          <w:color w:val="595959" w:themeColor="text1" w:themeTint="A6"/>
        </w:rPr>
      </w:pPr>
      <w:r w:rsidRPr="001C27BF">
        <w:rPr>
          <w:rFonts w:ascii="Arial" w:hAnsi="Arial" w:cs="Arial"/>
          <w:color w:val="595959" w:themeColor="text1" w:themeTint="A6"/>
        </w:rPr>
        <w:t xml:space="preserve">SCHOR, S. L., Schor, A. M. &amp; Rushton, G. (1988). ‘Fibroblasts from cancer patients display a mixture of both foetal and adult-like phenotypic characteristics’. </w:t>
      </w:r>
      <w:r w:rsidRPr="001C27BF">
        <w:rPr>
          <w:rFonts w:ascii="Arial" w:hAnsi="Arial" w:cs="Arial"/>
          <w:i/>
          <w:color w:val="595959" w:themeColor="text1" w:themeTint="A6"/>
        </w:rPr>
        <w:t>J. Cell Sci</w:t>
      </w:r>
      <w:r w:rsidRPr="001C27BF">
        <w:rPr>
          <w:rFonts w:ascii="Arial" w:hAnsi="Arial" w:cs="Arial"/>
          <w:color w:val="595959" w:themeColor="text1" w:themeTint="A6"/>
        </w:rPr>
        <w:t xml:space="preserve">. </w:t>
      </w:r>
      <w:r w:rsidRPr="001C27BF">
        <w:rPr>
          <w:rFonts w:ascii="Arial" w:hAnsi="Arial" w:cs="Arial"/>
          <w:b/>
          <w:color w:val="595959" w:themeColor="text1" w:themeTint="A6"/>
        </w:rPr>
        <w:t>90</w:t>
      </w:r>
      <w:r w:rsidRPr="001C27BF">
        <w:rPr>
          <w:rFonts w:ascii="Arial" w:hAnsi="Arial" w:cs="Arial"/>
          <w:color w:val="595959" w:themeColor="text1" w:themeTint="A6"/>
        </w:rPr>
        <w:t>, 401–407.</w:t>
      </w:r>
    </w:p>
    <w:p w14:paraId="70503D38" w14:textId="77777777" w:rsidR="00396EB2" w:rsidRPr="001C27BF" w:rsidRDefault="00396EB2" w:rsidP="001C27BF">
      <w:pPr>
        <w:spacing w:line="360" w:lineRule="auto"/>
        <w:jc w:val="both"/>
        <w:rPr>
          <w:rFonts w:ascii="Arial" w:eastAsia="Times New Roman" w:hAnsi="Arial" w:cs="Arial"/>
          <w:b/>
          <w:color w:val="595959" w:themeColor="text1" w:themeTint="A6"/>
          <w:kern w:val="36"/>
          <w:lang w:eastAsia="en-GB"/>
        </w:rPr>
      </w:pPr>
      <w:bookmarkStart w:id="526" w:name="_Toc20423977"/>
      <w:bookmarkStart w:id="527" w:name="_Toc20427596"/>
      <w:bookmarkStart w:id="528" w:name="_Toc20563915"/>
      <w:r w:rsidRPr="001C27BF">
        <w:rPr>
          <w:rFonts w:ascii="Arial" w:hAnsi="Arial" w:cs="Arial"/>
          <w:color w:val="595959" w:themeColor="text1" w:themeTint="A6"/>
        </w:rPr>
        <w:t>SEETHALAKSHMI, C. (2013). ‘</w:t>
      </w:r>
      <w:r w:rsidRPr="001C27BF">
        <w:rPr>
          <w:rFonts w:ascii="Arial" w:eastAsia="Times New Roman" w:hAnsi="Arial" w:cs="Arial"/>
          <w:color w:val="595959" w:themeColor="text1" w:themeTint="A6"/>
          <w:kern w:val="36"/>
          <w:lang w:eastAsia="en-GB"/>
        </w:rPr>
        <w:t xml:space="preserve">Early Detection of Oral Squamous Cell Carcinoma (OSCC) – Role of Genetics: A Literature Review.’ </w:t>
      </w:r>
      <w:r w:rsidRPr="001C27BF">
        <w:rPr>
          <w:rFonts w:ascii="Arial" w:eastAsia="Times New Roman" w:hAnsi="Arial" w:cs="Arial"/>
          <w:i/>
          <w:color w:val="595959" w:themeColor="text1" w:themeTint="A6"/>
          <w:kern w:val="36"/>
          <w:lang w:eastAsia="en-GB"/>
        </w:rPr>
        <w:t>J Clinical Diagnosis. Res</w:t>
      </w:r>
      <w:r w:rsidRPr="001C27BF">
        <w:rPr>
          <w:rFonts w:ascii="Arial" w:eastAsia="Times New Roman" w:hAnsi="Arial" w:cs="Arial"/>
          <w:color w:val="595959" w:themeColor="text1" w:themeTint="A6"/>
          <w:kern w:val="36"/>
          <w:lang w:eastAsia="en-GB"/>
        </w:rPr>
        <w:t xml:space="preserve">; </w:t>
      </w:r>
      <w:r w:rsidRPr="001C27BF">
        <w:rPr>
          <w:rFonts w:ascii="Arial" w:eastAsia="Times New Roman" w:hAnsi="Arial" w:cs="Arial"/>
          <w:b/>
          <w:bCs/>
          <w:color w:val="595959" w:themeColor="text1" w:themeTint="A6"/>
          <w:kern w:val="36"/>
          <w:lang w:eastAsia="en-GB"/>
        </w:rPr>
        <w:t>7</w:t>
      </w:r>
      <w:r w:rsidRPr="001C27BF">
        <w:rPr>
          <w:rFonts w:ascii="Arial" w:eastAsia="Times New Roman" w:hAnsi="Arial" w:cs="Arial"/>
          <w:color w:val="595959" w:themeColor="text1" w:themeTint="A6"/>
          <w:kern w:val="36"/>
          <w:lang w:eastAsia="en-GB"/>
        </w:rPr>
        <w:t>(8):1824-1826.</w:t>
      </w:r>
      <w:bookmarkEnd w:id="526"/>
      <w:bookmarkEnd w:id="527"/>
      <w:bookmarkEnd w:id="528"/>
    </w:p>
    <w:p w14:paraId="51496F46" w14:textId="77777777" w:rsidR="00396EB2" w:rsidRPr="001C27BF" w:rsidRDefault="00396EB2" w:rsidP="001C27BF">
      <w:pPr>
        <w:spacing w:line="360" w:lineRule="auto"/>
        <w:jc w:val="both"/>
        <w:rPr>
          <w:rFonts w:ascii="Arial" w:hAnsi="Arial" w:cs="Arial"/>
          <w:color w:val="595959" w:themeColor="text1" w:themeTint="A6"/>
        </w:rPr>
      </w:pPr>
      <w:r w:rsidRPr="001C27BF">
        <w:rPr>
          <w:rFonts w:ascii="Arial" w:hAnsi="Arial" w:cs="Arial"/>
          <w:color w:val="595959" w:themeColor="text1" w:themeTint="A6"/>
        </w:rPr>
        <w:t xml:space="preserve">SEEWALDT, V. (2014). ‘ECM Stiffness paves the way for tumour cells.’ </w:t>
      </w:r>
      <w:r w:rsidRPr="001C27BF">
        <w:rPr>
          <w:rFonts w:ascii="Arial" w:hAnsi="Arial" w:cs="Arial"/>
          <w:i/>
          <w:color w:val="595959" w:themeColor="text1" w:themeTint="A6"/>
        </w:rPr>
        <w:t>Nature medicine</w:t>
      </w:r>
      <w:r w:rsidRPr="001C27BF">
        <w:rPr>
          <w:rFonts w:ascii="Arial" w:hAnsi="Arial" w:cs="Arial"/>
          <w:color w:val="595959" w:themeColor="text1" w:themeTint="A6"/>
        </w:rPr>
        <w:t>, (</w:t>
      </w:r>
      <w:r w:rsidRPr="001C27BF">
        <w:rPr>
          <w:rFonts w:ascii="Arial" w:hAnsi="Arial" w:cs="Arial"/>
          <w:b/>
          <w:color w:val="595959" w:themeColor="text1" w:themeTint="A6"/>
        </w:rPr>
        <w:t>20</w:t>
      </w:r>
      <w:r w:rsidRPr="001C27BF">
        <w:rPr>
          <w:rFonts w:ascii="Arial" w:hAnsi="Arial" w:cs="Arial"/>
          <w:color w:val="595959" w:themeColor="text1" w:themeTint="A6"/>
        </w:rPr>
        <w:t>), 332-333.</w:t>
      </w:r>
    </w:p>
    <w:p w14:paraId="093EB9DC" w14:textId="77777777" w:rsidR="00396EB2" w:rsidRPr="001C27BF" w:rsidRDefault="00396EB2" w:rsidP="001C27BF">
      <w:pPr>
        <w:spacing w:line="360" w:lineRule="auto"/>
        <w:jc w:val="both"/>
        <w:rPr>
          <w:rFonts w:ascii="Arial" w:hAnsi="Arial" w:cs="Arial"/>
          <w:color w:val="595959" w:themeColor="text1" w:themeTint="A6"/>
        </w:rPr>
      </w:pPr>
      <w:r w:rsidRPr="001C27BF">
        <w:rPr>
          <w:rFonts w:ascii="Arial" w:hAnsi="Arial" w:cs="Arial"/>
          <w:color w:val="595959" w:themeColor="text1" w:themeTint="A6"/>
        </w:rPr>
        <w:t xml:space="preserve">SEREBRIISKII, I, Castello-Cros, R, Lamb, A, Goelmis, A.E, and Cukierman, E. (2008). ‘Fibroblast-derived 3D matrix differentially regulates the growth and drug-responsiveness of human cancer cells’. </w:t>
      </w:r>
      <w:hyperlink r:id="rId253" w:tgtFrame="pmc_ext" w:history="1">
        <w:r w:rsidRPr="001C27BF">
          <w:rPr>
            <w:rStyle w:val="Hyperlink"/>
            <w:rFonts w:ascii="Arial" w:hAnsi="Arial" w:cs="Arial"/>
            <w:i/>
            <w:iCs/>
            <w:color w:val="595959" w:themeColor="text1" w:themeTint="A6"/>
            <w:u w:val="none"/>
          </w:rPr>
          <w:t xml:space="preserve">Matrix Biol: </w:t>
        </w:r>
        <w:r w:rsidRPr="001C27BF">
          <w:rPr>
            <w:rStyle w:val="Hyperlink"/>
            <w:rFonts w:ascii="Arial" w:hAnsi="Arial" w:cs="Arial"/>
            <w:color w:val="595959" w:themeColor="text1" w:themeTint="A6"/>
            <w:u w:val="none"/>
          </w:rPr>
          <w:t>(</w:t>
        </w:r>
        <w:r w:rsidRPr="001C27BF">
          <w:rPr>
            <w:rStyle w:val="Hyperlink"/>
            <w:rFonts w:ascii="Arial" w:hAnsi="Arial" w:cs="Arial"/>
            <w:b/>
            <w:bCs/>
            <w:color w:val="595959" w:themeColor="text1" w:themeTint="A6"/>
            <w:u w:val="none"/>
          </w:rPr>
          <w:t>6</w:t>
        </w:r>
        <w:r w:rsidRPr="001C27BF">
          <w:rPr>
            <w:rStyle w:val="Hyperlink"/>
            <w:rFonts w:ascii="Arial" w:hAnsi="Arial" w:cs="Arial"/>
            <w:color w:val="595959" w:themeColor="text1" w:themeTint="A6"/>
            <w:u w:val="none"/>
          </w:rPr>
          <w:t>): 573–585.</w:t>
        </w:r>
      </w:hyperlink>
    </w:p>
    <w:p w14:paraId="466CCFD7" w14:textId="4C708D80" w:rsidR="00396EB2" w:rsidRDefault="007B378B" w:rsidP="001C27BF">
      <w:pPr>
        <w:spacing w:after="0" w:line="360" w:lineRule="auto"/>
        <w:jc w:val="both"/>
        <w:rPr>
          <w:rFonts w:ascii="Arial" w:eastAsia="Times New Roman" w:hAnsi="Arial" w:cs="Arial"/>
          <w:color w:val="595959" w:themeColor="text1" w:themeTint="A6"/>
          <w:kern w:val="36"/>
          <w:lang w:eastAsia="en-GB"/>
        </w:rPr>
      </w:pPr>
      <w:hyperlink r:id="rId254" w:history="1">
        <w:r w:rsidR="00396EB2" w:rsidRPr="001C27BF">
          <w:rPr>
            <w:rFonts w:ascii="Arial" w:eastAsia="Times New Roman" w:hAnsi="Arial" w:cs="Arial"/>
            <w:color w:val="595959" w:themeColor="text1" w:themeTint="A6"/>
            <w:bdr w:val="none" w:sz="0" w:space="0" w:color="auto" w:frame="1"/>
            <w:lang w:eastAsia="en-GB"/>
          </w:rPr>
          <w:t>SHERMAN-BAUST</w:t>
        </w:r>
      </w:hyperlink>
      <w:r w:rsidR="00396EB2" w:rsidRPr="001C27BF">
        <w:rPr>
          <w:rFonts w:ascii="Arial" w:eastAsia="Times New Roman" w:hAnsi="Arial" w:cs="Arial"/>
          <w:color w:val="595959" w:themeColor="text1" w:themeTint="A6"/>
          <w:lang w:eastAsia="en-GB"/>
        </w:rPr>
        <w:t xml:space="preserve">, C.A. </w:t>
      </w:r>
      <w:hyperlink r:id="rId255" w:history="1">
        <w:r w:rsidR="00396EB2" w:rsidRPr="001C27BF">
          <w:rPr>
            <w:rFonts w:ascii="Arial" w:eastAsia="Times New Roman" w:hAnsi="Arial" w:cs="Arial"/>
            <w:color w:val="595959" w:themeColor="text1" w:themeTint="A6"/>
            <w:bdr w:val="none" w:sz="0" w:space="0" w:color="auto" w:frame="1"/>
            <w:lang w:eastAsia="en-GB"/>
          </w:rPr>
          <w:t>Weeraratna</w:t>
        </w:r>
      </w:hyperlink>
      <w:r w:rsidR="00396EB2" w:rsidRPr="001C27BF">
        <w:rPr>
          <w:rFonts w:ascii="Arial" w:eastAsia="Times New Roman" w:hAnsi="Arial" w:cs="Arial"/>
          <w:color w:val="595959" w:themeColor="text1" w:themeTint="A6"/>
          <w:lang w:eastAsia="en-GB"/>
        </w:rPr>
        <w:t xml:space="preserve">, A.T. </w:t>
      </w:r>
      <w:hyperlink r:id="rId256" w:history="1">
        <w:r w:rsidR="00396EB2" w:rsidRPr="001C27BF">
          <w:rPr>
            <w:rFonts w:ascii="Arial" w:eastAsia="Times New Roman" w:hAnsi="Arial" w:cs="Arial"/>
            <w:color w:val="595959" w:themeColor="text1" w:themeTint="A6"/>
            <w:bdr w:val="none" w:sz="0" w:space="0" w:color="auto" w:frame="1"/>
            <w:lang w:eastAsia="en-GB"/>
          </w:rPr>
          <w:t>Rangel</w:t>
        </w:r>
      </w:hyperlink>
      <w:r w:rsidR="00396EB2" w:rsidRPr="001C27BF">
        <w:rPr>
          <w:rFonts w:ascii="Arial" w:eastAsia="Times New Roman" w:hAnsi="Arial" w:cs="Arial"/>
          <w:color w:val="595959" w:themeColor="text1" w:themeTint="A6"/>
          <w:lang w:eastAsia="en-GB"/>
        </w:rPr>
        <w:t xml:space="preserve">, L. B.A. </w:t>
      </w:r>
      <w:hyperlink r:id="rId257" w:history="1">
        <w:r w:rsidR="00396EB2" w:rsidRPr="001C27BF">
          <w:rPr>
            <w:rFonts w:ascii="Arial" w:eastAsia="Times New Roman" w:hAnsi="Arial" w:cs="Arial"/>
            <w:color w:val="595959" w:themeColor="text1" w:themeTint="A6"/>
            <w:bdr w:val="none" w:sz="0" w:space="0" w:color="auto" w:frame="1"/>
            <w:lang w:eastAsia="en-GB"/>
          </w:rPr>
          <w:t>Pizer</w:t>
        </w:r>
      </w:hyperlink>
      <w:r w:rsidR="00396EB2" w:rsidRPr="001C27BF">
        <w:rPr>
          <w:rFonts w:ascii="Arial" w:eastAsia="Times New Roman" w:hAnsi="Arial" w:cs="Arial"/>
          <w:color w:val="595959" w:themeColor="text1" w:themeTint="A6"/>
          <w:lang w:eastAsia="en-GB"/>
        </w:rPr>
        <w:t xml:space="preserve">, E.S. </w:t>
      </w:r>
      <w:hyperlink r:id="rId258" w:history="1">
        <w:r w:rsidR="00396EB2" w:rsidRPr="001C27BF">
          <w:rPr>
            <w:rFonts w:ascii="Arial" w:eastAsia="Times New Roman" w:hAnsi="Arial" w:cs="Arial"/>
            <w:color w:val="595959" w:themeColor="text1" w:themeTint="A6"/>
            <w:bdr w:val="none" w:sz="0" w:space="0" w:color="auto" w:frame="1"/>
            <w:lang w:eastAsia="en-GB"/>
          </w:rPr>
          <w:t>Cho</w:t>
        </w:r>
      </w:hyperlink>
      <w:r w:rsidR="00396EB2" w:rsidRPr="001C27BF">
        <w:rPr>
          <w:rFonts w:ascii="Arial" w:eastAsia="Times New Roman" w:hAnsi="Arial" w:cs="Arial"/>
          <w:color w:val="595959" w:themeColor="text1" w:themeTint="A6"/>
          <w:lang w:eastAsia="en-GB"/>
        </w:rPr>
        <w:t xml:space="preserve">, K. R. </w:t>
      </w:r>
      <w:hyperlink r:id="rId259" w:history="1">
        <w:r w:rsidR="00396EB2" w:rsidRPr="001C27BF">
          <w:rPr>
            <w:rFonts w:ascii="Arial" w:eastAsia="Times New Roman" w:hAnsi="Arial" w:cs="Arial"/>
            <w:color w:val="595959" w:themeColor="text1" w:themeTint="A6"/>
            <w:bdr w:val="none" w:sz="0" w:space="0" w:color="auto" w:frame="1"/>
            <w:lang w:eastAsia="en-GB"/>
          </w:rPr>
          <w:t>Schwartz</w:t>
        </w:r>
      </w:hyperlink>
      <w:r w:rsidR="00396EB2" w:rsidRPr="001C27BF">
        <w:rPr>
          <w:rFonts w:ascii="Arial" w:eastAsia="Times New Roman" w:hAnsi="Arial" w:cs="Arial"/>
          <w:color w:val="595959" w:themeColor="text1" w:themeTint="A6"/>
          <w:lang w:eastAsia="en-GB"/>
        </w:rPr>
        <w:t xml:space="preserve">, D. R. </w:t>
      </w:r>
      <w:hyperlink r:id="rId260" w:history="1">
        <w:r w:rsidR="00396EB2" w:rsidRPr="001C27BF">
          <w:rPr>
            <w:rFonts w:ascii="Arial" w:eastAsia="Times New Roman" w:hAnsi="Arial" w:cs="Arial"/>
            <w:color w:val="595959" w:themeColor="text1" w:themeTint="A6"/>
            <w:bdr w:val="none" w:sz="0" w:space="0" w:color="auto" w:frame="1"/>
            <w:lang w:eastAsia="en-GB"/>
          </w:rPr>
          <w:t>Shock</w:t>
        </w:r>
      </w:hyperlink>
      <w:r w:rsidR="00396EB2" w:rsidRPr="001C27BF">
        <w:rPr>
          <w:rFonts w:ascii="Arial" w:eastAsia="Times New Roman" w:hAnsi="Arial" w:cs="Arial"/>
          <w:color w:val="595959" w:themeColor="text1" w:themeTint="A6"/>
          <w:lang w:eastAsia="en-GB"/>
        </w:rPr>
        <w:t>, T. and Morin, P.J. (2003).’</w:t>
      </w:r>
      <w:r w:rsidR="00396EB2" w:rsidRPr="001C27BF">
        <w:rPr>
          <w:rFonts w:ascii="Arial" w:eastAsia="Times New Roman" w:hAnsi="Arial" w:cs="Arial"/>
          <w:color w:val="595959" w:themeColor="text1" w:themeTint="A6"/>
          <w:kern w:val="36"/>
          <w:lang w:eastAsia="en-GB"/>
        </w:rPr>
        <w:t xml:space="preserve">Remodelling of the extracellular matrix through overexpression of collagen VI contributes to cisplatin resistance in ovarian cancer cells’. </w:t>
      </w:r>
      <w:r w:rsidR="00396EB2" w:rsidRPr="001C27BF">
        <w:rPr>
          <w:rFonts w:ascii="Arial" w:eastAsia="Times New Roman" w:hAnsi="Arial" w:cs="Arial"/>
          <w:i/>
          <w:color w:val="595959" w:themeColor="text1" w:themeTint="A6"/>
          <w:kern w:val="36"/>
          <w:lang w:eastAsia="en-GB"/>
        </w:rPr>
        <w:t>Cancer Cell</w:t>
      </w:r>
      <w:r w:rsidR="00396EB2" w:rsidRPr="001C27BF">
        <w:rPr>
          <w:rFonts w:ascii="Arial" w:eastAsia="Times New Roman" w:hAnsi="Arial" w:cs="Arial"/>
          <w:color w:val="595959" w:themeColor="text1" w:themeTint="A6"/>
          <w:kern w:val="36"/>
          <w:lang w:eastAsia="en-GB"/>
        </w:rPr>
        <w:t xml:space="preserve">, </w:t>
      </w:r>
      <w:r w:rsidR="00396EB2" w:rsidRPr="001C27BF">
        <w:rPr>
          <w:rFonts w:ascii="Arial" w:eastAsia="Times New Roman" w:hAnsi="Arial" w:cs="Arial"/>
          <w:b/>
          <w:color w:val="595959" w:themeColor="text1" w:themeTint="A6"/>
          <w:kern w:val="36"/>
          <w:lang w:eastAsia="en-GB"/>
        </w:rPr>
        <w:t>4</w:t>
      </w:r>
      <w:r w:rsidR="00396EB2" w:rsidRPr="001C27BF">
        <w:rPr>
          <w:rFonts w:ascii="Arial" w:eastAsia="Times New Roman" w:hAnsi="Arial" w:cs="Arial"/>
          <w:color w:val="595959" w:themeColor="text1" w:themeTint="A6"/>
          <w:kern w:val="36"/>
          <w:lang w:eastAsia="en-GB"/>
        </w:rPr>
        <w:t>(3):377-386.</w:t>
      </w:r>
    </w:p>
    <w:p w14:paraId="14F13637" w14:textId="77777777" w:rsidR="000B6C34" w:rsidRPr="001C27BF" w:rsidRDefault="000B6C34" w:rsidP="001C27BF">
      <w:pPr>
        <w:spacing w:after="0" w:line="360" w:lineRule="auto"/>
        <w:jc w:val="both"/>
        <w:rPr>
          <w:rFonts w:ascii="Arial" w:eastAsia="Times New Roman" w:hAnsi="Arial" w:cs="Arial"/>
          <w:color w:val="595959" w:themeColor="text1" w:themeTint="A6"/>
          <w:kern w:val="36"/>
          <w:lang w:eastAsia="en-GB"/>
        </w:rPr>
      </w:pPr>
    </w:p>
    <w:p w14:paraId="2BB43264" w14:textId="776E373A" w:rsidR="00BC62CA" w:rsidRPr="001C27BF" w:rsidRDefault="00396EB2" w:rsidP="001C27BF">
      <w:pPr>
        <w:spacing w:after="0" w:line="360" w:lineRule="auto"/>
        <w:jc w:val="both"/>
        <w:rPr>
          <w:rFonts w:ascii="Arial" w:eastAsia="Times New Roman" w:hAnsi="Arial" w:cs="Arial"/>
          <w:color w:val="595959" w:themeColor="text1" w:themeTint="A6"/>
          <w:kern w:val="36"/>
          <w:lang w:eastAsia="en-GB"/>
        </w:rPr>
      </w:pPr>
      <w:r w:rsidRPr="001C27BF">
        <w:rPr>
          <w:rFonts w:ascii="Arial" w:eastAsia="Times New Roman" w:hAnsi="Arial" w:cs="Arial"/>
          <w:color w:val="595959" w:themeColor="text1" w:themeTint="A6"/>
          <w:kern w:val="36"/>
          <w:lang w:eastAsia="en-GB"/>
        </w:rPr>
        <w:t xml:space="preserve">SHU Q, Wong K.K., Su J.M., </w:t>
      </w:r>
      <w:hyperlink r:id="rId261" w:history="1">
        <w:r w:rsidRPr="001C27BF">
          <w:rPr>
            <w:rStyle w:val="Hyperlink"/>
            <w:rFonts w:ascii="Arial" w:eastAsia="Times New Roman" w:hAnsi="Arial" w:cs="Arial"/>
            <w:color w:val="595959" w:themeColor="text1" w:themeTint="A6"/>
            <w:kern w:val="36"/>
            <w:u w:val="none"/>
            <w:lang w:eastAsia="en-GB"/>
          </w:rPr>
          <w:t>Leung, H.C</w:t>
        </w:r>
      </w:hyperlink>
      <w:r w:rsidRPr="001C27BF">
        <w:rPr>
          <w:rFonts w:ascii="Arial" w:eastAsia="Times New Roman" w:hAnsi="Arial" w:cs="Arial"/>
          <w:color w:val="595959" w:themeColor="text1" w:themeTint="A6"/>
          <w:kern w:val="36"/>
          <w:lang w:eastAsia="en-GB"/>
        </w:rPr>
        <w:t>., </w:t>
      </w:r>
      <w:hyperlink r:id="rId262" w:history="1">
        <w:r w:rsidRPr="001C27BF">
          <w:rPr>
            <w:rStyle w:val="Hyperlink"/>
            <w:rFonts w:ascii="Arial" w:eastAsia="Times New Roman" w:hAnsi="Arial" w:cs="Arial"/>
            <w:color w:val="595959" w:themeColor="text1" w:themeTint="A6"/>
            <w:kern w:val="36"/>
            <w:u w:val="none"/>
            <w:lang w:eastAsia="en-GB"/>
          </w:rPr>
          <w:t>Li,  X.N</w:t>
        </w:r>
      </w:hyperlink>
      <w:r w:rsidRPr="001C27BF">
        <w:rPr>
          <w:rFonts w:ascii="Arial" w:eastAsia="Times New Roman" w:hAnsi="Arial" w:cs="Arial"/>
          <w:color w:val="595959" w:themeColor="text1" w:themeTint="A6"/>
          <w:kern w:val="36"/>
          <w:lang w:eastAsia="en-GB"/>
        </w:rPr>
        <w:t xml:space="preserve">. (2008). ‘Direct orthotopic transplantation of fresh surgical specimen preserves CD133+ tumor cells in clinically relevant mouse models of medulloblastoma and glioma’. </w:t>
      </w:r>
      <w:r w:rsidRPr="001C27BF">
        <w:rPr>
          <w:rFonts w:ascii="Arial" w:eastAsia="Times New Roman" w:hAnsi="Arial" w:cs="Arial"/>
          <w:i/>
          <w:iCs/>
          <w:color w:val="595959" w:themeColor="text1" w:themeTint="A6"/>
          <w:kern w:val="36"/>
          <w:lang w:eastAsia="en-GB"/>
        </w:rPr>
        <w:t>Stem Cells</w:t>
      </w:r>
      <w:r w:rsidRPr="001C27BF">
        <w:rPr>
          <w:rFonts w:ascii="Arial" w:eastAsia="Times New Roman" w:hAnsi="Arial" w:cs="Arial"/>
          <w:color w:val="595959" w:themeColor="text1" w:themeTint="A6"/>
          <w:kern w:val="36"/>
          <w:lang w:eastAsia="en-GB"/>
        </w:rPr>
        <w:t xml:space="preserve">; </w:t>
      </w:r>
      <w:r w:rsidRPr="001C27BF">
        <w:rPr>
          <w:rFonts w:ascii="Arial" w:eastAsia="Times New Roman" w:hAnsi="Arial" w:cs="Arial"/>
          <w:b/>
          <w:bCs/>
          <w:color w:val="595959" w:themeColor="text1" w:themeTint="A6"/>
          <w:kern w:val="36"/>
          <w:lang w:eastAsia="en-GB"/>
        </w:rPr>
        <w:t>26</w:t>
      </w:r>
      <w:r w:rsidRPr="001C27BF">
        <w:rPr>
          <w:rFonts w:ascii="Arial" w:eastAsia="Times New Roman" w:hAnsi="Arial" w:cs="Arial"/>
          <w:color w:val="595959" w:themeColor="text1" w:themeTint="A6"/>
          <w:kern w:val="36"/>
          <w:lang w:eastAsia="en-GB"/>
        </w:rPr>
        <w:t>:1414 –1424.</w:t>
      </w:r>
    </w:p>
    <w:p w14:paraId="3A4CA120" w14:textId="77777777" w:rsidR="00396EB2" w:rsidRPr="001C27BF" w:rsidRDefault="00396EB2" w:rsidP="001C27BF">
      <w:pPr>
        <w:spacing w:line="360" w:lineRule="auto"/>
        <w:jc w:val="both"/>
        <w:rPr>
          <w:rFonts w:ascii="Arial" w:hAnsi="Arial" w:cs="Arial"/>
          <w:b/>
          <w:color w:val="595959" w:themeColor="text1" w:themeTint="A6"/>
          <w:shd w:val="clear" w:color="auto" w:fill="FFFFFF"/>
        </w:rPr>
      </w:pPr>
      <w:bookmarkStart w:id="529" w:name="_Toc20423978"/>
      <w:bookmarkStart w:id="530" w:name="_Toc20427597"/>
      <w:bookmarkStart w:id="531" w:name="_Toc20563916"/>
      <w:r w:rsidRPr="001C27BF">
        <w:rPr>
          <w:rFonts w:ascii="Arial" w:hAnsi="Arial" w:cs="Arial"/>
          <w:color w:val="595959" w:themeColor="text1" w:themeTint="A6"/>
          <w:shd w:val="clear" w:color="auto" w:fill="FFFFFF"/>
        </w:rPr>
        <w:t>SINGER, I.L. (1979).</w:t>
      </w:r>
      <w:r w:rsidRPr="001C27BF">
        <w:rPr>
          <w:rFonts w:ascii="Arial" w:hAnsi="Arial" w:cs="Arial"/>
          <w:color w:val="595959" w:themeColor="text1" w:themeTint="A6"/>
        </w:rPr>
        <w:t xml:space="preserve"> “The fibronexus: a transmembrane association of fibronectin-containing fibres and bundles of 5 nm microfilaments in hamster and human fibroblasts”</w:t>
      </w:r>
      <w:r w:rsidRPr="001C27BF">
        <w:rPr>
          <w:rFonts w:ascii="Arial" w:hAnsi="Arial" w:cs="Arial"/>
          <w:color w:val="595959" w:themeColor="text1" w:themeTint="A6"/>
          <w:shd w:val="clear" w:color="auto" w:fill="FFFFFF"/>
        </w:rPr>
        <w:t xml:space="preserve">. </w:t>
      </w:r>
      <w:r w:rsidRPr="001C27BF">
        <w:rPr>
          <w:rFonts w:ascii="Arial" w:hAnsi="Arial" w:cs="Arial"/>
          <w:i/>
          <w:color w:val="595959" w:themeColor="text1" w:themeTint="A6"/>
          <w:shd w:val="clear" w:color="auto" w:fill="FFFFFF"/>
        </w:rPr>
        <w:t>Cell</w:t>
      </w:r>
      <w:r w:rsidRPr="001C27BF">
        <w:rPr>
          <w:rFonts w:ascii="Arial" w:hAnsi="Arial" w:cs="Arial"/>
          <w:color w:val="595959" w:themeColor="text1" w:themeTint="A6"/>
          <w:shd w:val="clear" w:color="auto" w:fill="FFFFFF"/>
        </w:rPr>
        <w:t>: (3); 675-85.</w:t>
      </w:r>
      <w:bookmarkEnd w:id="529"/>
      <w:bookmarkEnd w:id="530"/>
      <w:bookmarkEnd w:id="531"/>
      <w:r w:rsidRPr="001C27BF">
        <w:rPr>
          <w:rFonts w:ascii="Arial" w:hAnsi="Arial" w:cs="Arial"/>
          <w:color w:val="595959" w:themeColor="text1" w:themeTint="A6"/>
          <w:shd w:val="clear" w:color="auto" w:fill="FFFFFF"/>
        </w:rPr>
        <w:t xml:space="preserve"> </w:t>
      </w:r>
    </w:p>
    <w:p w14:paraId="28CE10C8" w14:textId="77777777" w:rsidR="00396EB2" w:rsidRPr="001C27BF" w:rsidRDefault="00396EB2" w:rsidP="001C27BF">
      <w:pPr>
        <w:spacing w:line="360" w:lineRule="auto"/>
        <w:jc w:val="both"/>
        <w:rPr>
          <w:rFonts w:ascii="Arial" w:hAnsi="Arial" w:cs="Arial"/>
          <w:b/>
          <w:color w:val="595959" w:themeColor="text1" w:themeTint="A6"/>
          <w:shd w:val="clear" w:color="auto" w:fill="FFFFFF"/>
        </w:rPr>
      </w:pPr>
      <w:bookmarkStart w:id="532" w:name="_Toc20423979"/>
      <w:bookmarkStart w:id="533" w:name="_Toc20427598"/>
      <w:bookmarkStart w:id="534" w:name="_Toc20563917"/>
      <w:r w:rsidRPr="001C27BF">
        <w:rPr>
          <w:rFonts w:ascii="Arial" w:hAnsi="Arial" w:cs="Arial"/>
          <w:color w:val="595959" w:themeColor="text1" w:themeTint="A6"/>
          <w:shd w:val="clear" w:color="auto" w:fill="FFFFFF"/>
        </w:rPr>
        <w:t xml:space="preserve">SLEDGE, G.W, Qulali, M, Goulet R, Bone, E.A, and Fife, R. (1995). ‘effect of matrix metalloproteinase inhibitor batimastat on breast cancer regrowth and metastasis.’ </w:t>
      </w:r>
      <w:r w:rsidRPr="001C27BF">
        <w:rPr>
          <w:rFonts w:ascii="Arial" w:hAnsi="Arial" w:cs="Arial"/>
          <w:i/>
          <w:color w:val="595959" w:themeColor="text1" w:themeTint="A6"/>
          <w:shd w:val="clear" w:color="auto" w:fill="FFFFFF"/>
        </w:rPr>
        <w:t>J natl cancer inst.,</w:t>
      </w:r>
      <w:r w:rsidRPr="001C27BF">
        <w:rPr>
          <w:rFonts w:ascii="Arial" w:hAnsi="Arial" w:cs="Arial"/>
          <w:color w:val="595959" w:themeColor="text1" w:themeTint="A6"/>
          <w:shd w:val="clear" w:color="auto" w:fill="FFFFFF"/>
        </w:rPr>
        <w:t xml:space="preserve"> 87 (20): 1546-50.</w:t>
      </w:r>
      <w:bookmarkEnd w:id="532"/>
      <w:bookmarkEnd w:id="533"/>
      <w:bookmarkEnd w:id="534"/>
      <w:r w:rsidRPr="001C27BF">
        <w:rPr>
          <w:rFonts w:ascii="Arial" w:hAnsi="Arial" w:cs="Arial"/>
          <w:color w:val="595959" w:themeColor="text1" w:themeTint="A6"/>
          <w:shd w:val="clear" w:color="auto" w:fill="FFFFFF"/>
        </w:rPr>
        <w:t xml:space="preserve"> </w:t>
      </w:r>
    </w:p>
    <w:p w14:paraId="04669F6D" w14:textId="4B084429" w:rsidR="00396EB2" w:rsidRDefault="00396EB2" w:rsidP="001C27BF">
      <w:pPr>
        <w:spacing w:after="0" w:line="360" w:lineRule="auto"/>
        <w:jc w:val="both"/>
        <w:rPr>
          <w:rFonts w:ascii="Arial" w:eastAsia="Times New Roman" w:hAnsi="Arial" w:cs="Arial"/>
          <w:color w:val="595959" w:themeColor="text1" w:themeTint="A6"/>
          <w:kern w:val="36"/>
          <w:lang w:eastAsia="en-GB"/>
        </w:rPr>
      </w:pPr>
      <w:r w:rsidRPr="001C27BF">
        <w:rPr>
          <w:rFonts w:ascii="Arial" w:eastAsia="Times New Roman" w:hAnsi="Arial" w:cs="Arial"/>
          <w:color w:val="595959" w:themeColor="text1" w:themeTint="A6"/>
          <w:kern w:val="36"/>
          <w:lang w:eastAsia="en-GB"/>
        </w:rPr>
        <w:t xml:space="preserve">SOBRAL, L.M., Bufalino, A., Lopes, M.A., Graner, E., Salo, T., &amp; Coletta, R.D. (2011). ‘Myofibroblasts in the stroma of oral cancer promote tumorigenesis via secretion of activin A’. </w:t>
      </w:r>
      <w:r w:rsidRPr="001C27BF">
        <w:rPr>
          <w:rFonts w:ascii="Arial" w:eastAsia="Times New Roman" w:hAnsi="Arial" w:cs="Arial"/>
          <w:i/>
          <w:color w:val="595959" w:themeColor="text1" w:themeTint="A6"/>
          <w:kern w:val="36"/>
          <w:lang w:eastAsia="en-GB"/>
        </w:rPr>
        <w:t>Journal of Oral Oncology</w:t>
      </w:r>
      <w:r w:rsidRPr="001C27BF">
        <w:rPr>
          <w:rFonts w:ascii="Arial" w:eastAsia="Times New Roman" w:hAnsi="Arial" w:cs="Arial"/>
          <w:color w:val="595959" w:themeColor="text1" w:themeTint="A6"/>
          <w:kern w:val="36"/>
          <w:lang w:eastAsia="en-GB"/>
        </w:rPr>
        <w:t>, 47</w:t>
      </w:r>
      <w:r w:rsidRPr="001C27BF">
        <w:rPr>
          <w:rFonts w:ascii="Arial" w:eastAsia="Times New Roman" w:hAnsi="Arial" w:cs="Arial"/>
          <w:b/>
          <w:color w:val="595959" w:themeColor="text1" w:themeTint="A6"/>
          <w:kern w:val="36"/>
          <w:lang w:eastAsia="en-GB"/>
        </w:rPr>
        <w:t>(9),</w:t>
      </w:r>
      <w:r w:rsidRPr="001C27BF">
        <w:rPr>
          <w:rFonts w:ascii="Arial" w:eastAsia="Times New Roman" w:hAnsi="Arial" w:cs="Arial"/>
          <w:color w:val="595959" w:themeColor="text1" w:themeTint="A6"/>
          <w:kern w:val="36"/>
          <w:lang w:eastAsia="en-GB"/>
        </w:rPr>
        <w:t xml:space="preserve"> 840–6. </w:t>
      </w:r>
    </w:p>
    <w:p w14:paraId="172BC5C5" w14:textId="77777777" w:rsidR="00C403DC" w:rsidRPr="001C27BF" w:rsidRDefault="00C403DC" w:rsidP="001C27BF">
      <w:pPr>
        <w:spacing w:after="0" w:line="360" w:lineRule="auto"/>
        <w:jc w:val="both"/>
        <w:rPr>
          <w:rFonts w:ascii="Arial" w:eastAsia="Times New Roman" w:hAnsi="Arial" w:cs="Arial"/>
          <w:color w:val="595959" w:themeColor="text1" w:themeTint="A6"/>
          <w:kern w:val="36"/>
          <w:lang w:eastAsia="en-GB"/>
        </w:rPr>
      </w:pPr>
    </w:p>
    <w:p w14:paraId="6FFED91C" w14:textId="77777777" w:rsidR="00396EB2" w:rsidRPr="001C27BF" w:rsidRDefault="00396EB2" w:rsidP="001C27BF">
      <w:pPr>
        <w:spacing w:line="360" w:lineRule="auto"/>
        <w:jc w:val="both"/>
        <w:rPr>
          <w:rFonts w:ascii="Arial" w:hAnsi="Arial" w:cs="Arial"/>
          <w:color w:val="595959" w:themeColor="text1" w:themeTint="A6"/>
          <w:lang w:val="it-IT"/>
        </w:rPr>
      </w:pPr>
      <w:r w:rsidRPr="001C27BF">
        <w:rPr>
          <w:rFonts w:ascii="Arial" w:hAnsi="Arial" w:cs="Arial"/>
          <w:color w:val="595959" w:themeColor="text1" w:themeTint="A6"/>
        </w:rPr>
        <w:t xml:space="preserve">SQUIER, C.A and KREMER, M.J. (2001). ‘Biology of oral mucosa and oesophagus.’  </w:t>
      </w:r>
      <w:r w:rsidRPr="001C27BF">
        <w:rPr>
          <w:rFonts w:ascii="Arial" w:hAnsi="Arial" w:cs="Arial"/>
          <w:i/>
          <w:color w:val="595959" w:themeColor="text1" w:themeTint="A6"/>
          <w:lang w:val="it-IT"/>
        </w:rPr>
        <w:t xml:space="preserve">JNCI monographs, </w:t>
      </w:r>
      <w:r w:rsidRPr="001C27BF">
        <w:rPr>
          <w:rFonts w:ascii="Arial" w:hAnsi="Arial" w:cs="Arial"/>
          <w:color w:val="595959" w:themeColor="text1" w:themeTint="A6"/>
          <w:lang w:val="it-IT"/>
        </w:rPr>
        <w:t xml:space="preserve">(29): 7-15. </w:t>
      </w:r>
    </w:p>
    <w:p w14:paraId="1EDBF013" w14:textId="054EC720" w:rsidR="00396EB2" w:rsidRPr="001C27BF" w:rsidRDefault="00396EB2" w:rsidP="001C27BF">
      <w:pPr>
        <w:spacing w:line="360" w:lineRule="auto"/>
        <w:jc w:val="both"/>
        <w:rPr>
          <w:rFonts w:ascii="Arial" w:hAnsi="Arial" w:cs="Arial"/>
          <w:color w:val="595959" w:themeColor="text1" w:themeTint="A6"/>
        </w:rPr>
      </w:pPr>
      <w:r w:rsidRPr="001C27BF">
        <w:rPr>
          <w:rFonts w:ascii="Arial" w:hAnsi="Arial" w:cs="Arial"/>
          <w:color w:val="595959" w:themeColor="text1" w:themeTint="A6"/>
          <w:lang w:val="it-IT"/>
        </w:rPr>
        <w:t xml:space="preserve">SRIRAM, G. Bigliardi, P.L. and Bigliardi-Qi, M. (2015). </w:t>
      </w:r>
      <w:r w:rsidRPr="001C27BF">
        <w:rPr>
          <w:rFonts w:ascii="Arial" w:hAnsi="Arial" w:cs="Arial"/>
          <w:color w:val="595959" w:themeColor="text1" w:themeTint="A6"/>
        </w:rPr>
        <w:t xml:space="preserve">‘Fibroblast heterogeneity and its implications for engineering organotypic skin models </w:t>
      </w:r>
      <w:r w:rsidRPr="001C27BF">
        <w:rPr>
          <w:rFonts w:ascii="Arial" w:hAnsi="Arial" w:cs="Arial"/>
          <w:i/>
          <w:color w:val="595959" w:themeColor="text1" w:themeTint="A6"/>
        </w:rPr>
        <w:t>in vitro</w:t>
      </w:r>
      <w:r w:rsidRPr="001C27BF">
        <w:rPr>
          <w:rFonts w:ascii="Arial" w:hAnsi="Arial" w:cs="Arial"/>
          <w:color w:val="595959" w:themeColor="text1" w:themeTint="A6"/>
        </w:rPr>
        <w:t xml:space="preserve">’. </w:t>
      </w:r>
      <w:r w:rsidRPr="001C27BF">
        <w:rPr>
          <w:rFonts w:ascii="Arial" w:hAnsi="Arial" w:cs="Arial"/>
          <w:i/>
          <w:color w:val="595959" w:themeColor="text1" w:themeTint="A6"/>
        </w:rPr>
        <w:t>European Journal of Cell Biology</w:t>
      </w:r>
      <w:r w:rsidRPr="001C27BF">
        <w:rPr>
          <w:rFonts w:ascii="Arial" w:hAnsi="Arial" w:cs="Arial"/>
          <w:color w:val="595959" w:themeColor="text1" w:themeTint="A6"/>
        </w:rPr>
        <w:t>, (</w:t>
      </w:r>
      <w:r w:rsidRPr="001C27BF">
        <w:rPr>
          <w:rFonts w:ascii="Arial" w:hAnsi="Arial" w:cs="Arial"/>
          <w:b/>
          <w:color w:val="595959" w:themeColor="text1" w:themeTint="A6"/>
        </w:rPr>
        <w:t>94</w:t>
      </w:r>
      <w:r w:rsidRPr="001C27BF">
        <w:rPr>
          <w:rFonts w:ascii="Arial" w:hAnsi="Arial" w:cs="Arial"/>
          <w:color w:val="595959" w:themeColor="text1" w:themeTint="A6"/>
        </w:rPr>
        <w:t xml:space="preserve">), 483-512.  </w:t>
      </w:r>
    </w:p>
    <w:p w14:paraId="7695C7C4" w14:textId="77777777" w:rsidR="00396EB2" w:rsidRPr="001C27BF" w:rsidRDefault="00396EB2" w:rsidP="001C27BF">
      <w:pPr>
        <w:spacing w:line="360" w:lineRule="auto"/>
        <w:jc w:val="both"/>
        <w:rPr>
          <w:rFonts w:ascii="Arial" w:hAnsi="Arial" w:cs="Arial"/>
          <w:color w:val="595959" w:themeColor="text1" w:themeTint="A6"/>
        </w:rPr>
      </w:pPr>
      <w:r w:rsidRPr="001C27BF">
        <w:rPr>
          <w:rFonts w:ascii="Arial" w:hAnsi="Arial" w:cs="Arial"/>
          <w:color w:val="595959" w:themeColor="text1" w:themeTint="A6"/>
        </w:rPr>
        <w:t xml:space="preserve">STAMOV, D.R., and Pompe, T. (2012). ‘Structure and function of ECM-inspired composite collagen type 1 scaffolds.’ </w:t>
      </w:r>
      <w:r w:rsidRPr="001C27BF">
        <w:rPr>
          <w:rFonts w:ascii="Arial" w:hAnsi="Arial" w:cs="Arial"/>
          <w:i/>
          <w:color w:val="595959" w:themeColor="text1" w:themeTint="A6"/>
        </w:rPr>
        <w:t>Soft Matter</w:t>
      </w:r>
      <w:r w:rsidRPr="001C27BF">
        <w:rPr>
          <w:rFonts w:ascii="Arial" w:hAnsi="Arial" w:cs="Arial"/>
          <w:color w:val="595959" w:themeColor="text1" w:themeTint="A6"/>
        </w:rPr>
        <w:t xml:space="preserve">; </w:t>
      </w:r>
      <w:r w:rsidRPr="001C27BF">
        <w:rPr>
          <w:rFonts w:ascii="Arial" w:hAnsi="Arial" w:cs="Arial"/>
          <w:b/>
          <w:color w:val="595959" w:themeColor="text1" w:themeTint="A6"/>
        </w:rPr>
        <w:t>8</w:t>
      </w:r>
      <w:r w:rsidRPr="001C27BF">
        <w:rPr>
          <w:rFonts w:ascii="Arial" w:hAnsi="Arial" w:cs="Arial"/>
          <w:color w:val="595959" w:themeColor="text1" w:themeTint="A6"/>
        </w:rPr>
        <w:t xml:space="preserve">, 10200-10212. </w:t>
      </w:r>
    </w:p>
    <w:p w14:paraId="6B1D9340" w14:textId="77777777" w:rsidR="00396EB2" w:rsidRPr="001C27BF" w:rsidRDefault="00396EB2" w:rsidP="001C27BF">
      <w:pPr>
        <w:spacing w:line="360" w:lineRule="auto"/>
        <w:jc w:val="both"/>
        <w:rPr>
          <w:rFonts w:ascii="Arial" w:hAnsi="Arial" w:cs="Arial"/>
          <w:color w:val="595959" w:themeColor="text1" w:themeTint="A6"/>
        </w:rPr>
      </w:pPr>
      <w:r w:rsidRPr="001C27BF">
        <w:rPr>
          <w:rFonts w:ascii="Arial" w:hAnsi="Arial" w:cs="Arial"/>
          <w:color w:val="595959" w:themeColor="text1" w:themeTint="A6"/>
        </w:rPr>
        <w:t xml:space="preserve">STEPHENS, P, Davies K.J, Occleston N, Pleass R.D, Kon C, Daniels J, Khaw P.T, Thomas D.W. (2001). ‘Skin and oral fibroblasts exhibit phenotypic differences in extracellular matrix reorganization and matrix metalloproteinase activity’. </w:t>
      </w:r>
      <w:r w:rsidRPr="001C27BF">
        <w:rPr>
          <w:rFonts w:ascii="Arial" w:hAnsi="Arial" w:cs="Arial"/>
          <w:i/>
          <w:iCs/>
          <w:color w:val="595959" w:themeColor="text1" w:themeTint="A6"/>
        </w:rPr>
        <w:t>Br J Dermatol.</w:t>
      </w:r>
      <w:r w:rsidRPr="001C27BF">
        <w:rPr>
          <w:rFonts w:ascii="Arial" w:hAnsi="Arial" w:cs="Arial"/>
          <w:color w:val="595959" w:themeColor="text1" w:themeTint="A6"/>
        </w:rPr>
        <w:t xml:space="preserve"> 144(</w:t>
      </w:r>
      <w:r w:rsidRPr="001C27BF">
        <w:rPr>
          <w:rFonts w:ascii="Arial" w:hAnsi="Arial" w:cs="Arial"/>
          <w:b/>
          <w:bCs/>
          <w:color w:val="595959" w:themeColor="text1" w:themeTint="A6"/>
        </w:rPr>
        <w:t>2</w:t>
      </w:r>
      <w:r w:rsidRPr="001C27BF">
        <w:rPr>
          <w:rFonts w:ascii="Arial" w:hAnsi="Arial" w:cs="Arial"/>
          <w:color w:val="595959" w:themeColor="text1" w:themeTint="A6"/>
        </w:rPr>
        <w:t>): 229-37.</w:t>
      </w:r>
    </w:p>
    <w:p w14:paraId="68A6F190" w14:textId="6A27F96D" w:rsidR="00396EB2" w:rsidRPr="001C27BF" w:rsidRDefault="00396EB2" w:rsidP="001C27BF">
      <w:pPr>
        <w:spacing w:line="360" w:lineRule="auto"/>
        <w:jc w:val="both"/>
        <w:rPr>
          <w:rFonts w:ascii="Arial" w:hAnsi="Arial" w:cs="Arial"/>
          <w:color w:val="595959" w:themeColor="text1" w:themeTint="A6"/>
        </w:rPr>
      </w:pPr>
      <w:r w:rsidRPr="001C27BF">
        <w:rPr>
          <w:rFonts w:ascii="Arial" w:hAnsi="Arial" w:cs="Arial"/>
          <w:color w:val="595959" w:themeColor="text1" w:themeTint="A6"/>
        </w:rPr>
        <w:t xml:space="preserve">STERNLICHT, M.D and </w:t>
      </w:r>
      <w:r w:rsidR="00C37B05" w:rsidRPr="001C27BF">
        <w:rPr>
          <w:rFonts w:ascii="Arial" w:hAnsi="Arial" w:cs="Arial"/>
          <w:color w:val="595959" w:themeColor="text1" w:themeTint="A6"/>
        </w:rPr>
        <w:t>WERB</w:t>
      </w:r>
      <w:r w:rsidRPr="001C27BF">
        <w:rPr>
          <w:rFonts w:ascii="Arial" w:hAnsi="Arial" w:cs="Arial"/>
          <w:color w:val="595959" w:themeColor="text1" w:themeTint="A6"/>
        </w:rPr>
        <w:t xml:space="preserve">, Z. (2001). ‘How matrix metalloproteinases regulate cell behaviour.’ </w:t>
      </w:r>
      <w:r w:rsidRPr="001C27BF">
        <w:rPr>
          <w:rFonts w:ascii="Arial" w:hAnsi="Arial" w:cs="Arial"/>
          <w:i/>
          <w:color w:val="595959" w:themeColor="text1" w:themeTint="A6"/>
        </w:rPr>
        <w:t>Annu Rev Cell Dev Biol</w:t>
      </w:r>
      <w:r w:rsidRPr="001C27BF">
        <w:rPr>
          <w:rFonts w:ascii="Arial" w:hAnsi="Arial" w:cs="Arial"/>
          <w:color w:val="595959" w:themeColor="text1" w:themeTint="A6"/>
        </w:rPr>
        <w:t xml:space="preserve">; </w:t>
      </w:r>
      <w:r w:rsidRPr="001C27BF">
        <w:rPr>
          <w:rFonts w:ascii="Arial" w:hAnsi="Arial" w:cs="Arial"/>
          <w:b/>
          <w:color w:val="595959" w:themeColor="text1" w:themeTint="A6"/>
        </w:rPr>
        <w:t>17</w:t>
      </w:r>
      <w:r w:rsidRPr="001C27BF">
        <w:rPr>
          <w:rFonts w:ascii="Arial" w:hAnsi="Arial" w:cs="Arial"/>
          <w:color w:val="595959" w:themeColor="text1" w:themeTint="A6"/>
        </w:rPr>
        <w:t>: 463–516.</w:t>
      </w:r>
    </w:p>
    <w:p w14:paraId="678E1021" w14:textId="77777777" w:rsidR="00396EB2" w:rsidRPr="001C27BF" w:rsidRDefault="00396EB2" w:rsidP="001C27BF">
      <w:pPr>
        <w:spacing w:line="360" w:lineRule="auto"/>
        <w:jc w:val="both"/>
        <w:rPr>
          <w:rFonts w:ascii="Arial" w:hAnsi="Arial" w:cs="Arial"/>
          <w:color w:val="595959" w:themeColor="text1" w:themeTint="A6"/>
        </w:rPr>
      </w:pPr>
      <w:r w:rsidRPr="001C27BF">
        <w:rPr>
          <w:rFonts w:ascii="Arial" w:hAnsi="Arial" w:cs="Arial"/>
          <w:color w:val="595959" w:themeColor="text1" w:themeTint="A6"/>
        </w:rPr>
        <w:t xml:space="preserve">STETLER-STEVENSON, W.G, Hewitt, R, and Corcoran, M. (1996). ‘matrix metalloproteinases and tumour invasion: from correlation and causality to the clinic.’ </w:t>
      </w:r>
      <w:r w:rsidRPr="001C27BF">
        <w:rPr>
          <w:rFonts w:ascii="Arial" w:hAnsi="Arial" w:cs="Arial"/>
          <w:i/>
          <w:color w:val="595959" w:themeColor="text1" w:themeTint="A6"/>
        </w:rPr>
        <w:t>Cancer biology</w:t>
      </w:r>
      <w:r w:rsidRPr="001C27BF">
        <w:rPr>
          <w:rFonts w:ascii="Arial" w:hAnsi="Arial" w:cs="Arial"/>
          <w:b/>
          <w:color w:val="595959" w:themeColor="text1" w:themeTint="A6"/>
        </w:rPr>
        <w:t>, 7,</w:t>
      </w:r>
      <w:r w:rsidRPr="001C27BF">
        <w:rPr>
          <w:rFonts w:ascii="Arial" w:hAnsi="Arial" w:cs="Arial"/>
          <w:color w:val="595959" w:themeColor="text1" w:themeTint="A6"/>
        </w:rPr>
        <w:t xml:space="preserve"> 147-154. </w:t>
      </w:r>
    </w:p>
    <w:p w14:paraId="500DB4A1" w14:textId="77777777" w:rsidR="00396EB2" w:rsidRPr="001C27BF" w:rsidRDefault="00396EB2" w:rsidP="001C27BF">
      <w:pPr>
        <w:spacing w:line="360" w:lineRule="auto"/>
        <w:jc w:val="both"/>
        <w:rPr>
          <w:rFonts w:ascii="Arial" w:hAnsi="Arial" w:cs="Arial"/>
          <w:color w:val="595959" w:themeColor="text1" w:themeTint="A6"/>
        </w:rPr>
      </w:pPr>
      <w:r w:rsidRPr="001C27BF">
        <w:rPr>
          <w:rFonts w:ascii="Arial" w:hAnsi="Arial" w:cs="Arial"/>
          <w:color w:val="595959" w:themeColor="text1" w:themeTint="A6"/>
        </w:rPr>
        <w:t>STEWART, R. L and O’Connor, K. L (2015). ‘Clinical significance of the integrin α6β4 in human malignancies’.</w:t>
      </w:r>
      <w:r w:rsidRPr="001C27BF">
        <w:rPr>
          <w:rFonts w:ascii="Arial" w:hAnsi="Arial" w:cs="Arial"/>
        </w:rPr>
        <w:t xml:space="preserve"> </w:t>
      </w:r>
      <w:r w:rsidRPr="001C27BF">
        <w:rPr>
          <w:rFonts w:ascii="Arial" w:hAnsi="Arial" w:cs="Arial"/>
          <w:i/>
          <w:color w:val="595959" w:themeColor="text1" w:themeTint="A6"/>
        </w:rPr>
        <w:t>Lab Invest.</w:t>
      </w:r>
      <w:r w:rsidRPr="001C27BF">
        <w:rPr>
          <w:rFonts w:ascii="Arial" w:hAnsi="Arial" w:cs="Arial"/>
          <w:color w:val="595959" w:themeColor="text1" w:themeTint="A6"/>
        </w:rPr>
        <w:t xml:space="preserve"> 95(</w:t>
      </w:r>
      <w:r w:rsidRPr="001C27BF">
        <w:rPr>
          <w:rFonts w:ascii="Arial" w:hAnsi="Arial" w:cs="Arial"/>
          <w:b/>
          <w:color w:val="595959" w:themeColor="text1" w:themeTint="A6"/>
        </w:rPr>
        <w:t>9</w:t>
      </w:r>
      <w:r w:rsidRPr="001C27BF">
        <w:rPr>
          <w:rFonts w:ascii="Arial" w:hAnsi="Arial" w:cs="Arial"/>
          <w:color w:val="595959" w:themeColor="text1" w:themeTint="A6"/>
        </w:rPr>
        <w:t xml:space="preserve">): 976–986. </w:t>
      </w:r>
    </w:p>
    <w:p w14:paraId="38D75AE2" w14:textId="77777777" w:rsidR="00396EB2" w:rsidRPr="001C27BF" w:rsidRDefault="00396EB2" w:rsidP="001C27BF">
      <w:pPr>
        <w:spacing w:line="360" w:lineRule="auto"/>
        <w:jc w:val="both"/>
        <w:rPr>
          <w:rFonts w:ascii="Arial" w:hAnsi="Arial" w:cs="Arial"/>
          <w:color w:val="595959" w:themeColor="text1" w:themeTint="A6"/>
        </w:rPr>
      </w:pPr>
      <w:r w:rsidRPr="001C27BF">
        <w:rPr>
          <w:rFonts w:ascii="Arial" w:hAnsi="Arial" w:cs="Arial"/>
          <w:color w:val="595959" w:themeColor="text1" w:themeTint="A6"/>
        </w:rPr>
        <w:t xml:space="preserve">STRUTZ, F, Okada, H, Lo, C.W., Danoff, T., Carone, R.L., Tomaszewski, J.E., Neilson, E.G. (1995). ‘Identification and characterization of a fibroblast marker: FSP1’. </w:t>
      </w:r>
      <w:r w:rsidRPr="001C27BF">
        <w:rPr>
          <w:rFonts w:ascii="Arial" w:hAnsi="Arial" w:cs="Arial"/>
          <w:i/>
          <w:color w:val="595959" w:themeColor="text1" w:themeTint="A6"/>
        </w:rPr>
        <w:t>J. Cell Biol.</w:t>
      </w:r>
      <w:r w:rsidRPr="001C27BF">
        <w:rPr>
          <w:rFonts w:ascii="Arial" w:hAnsi="Arial" w:cs="Arial"/>
          <w:color w:val="595959" w:themeColor="text1" w:themeTint="A6"/>
        </w:rPr>
        <w:t xml:space="preserve">, </w:t>
      </w:r>
      <w:r w:rsidRPr="001C27BF">
        <w:rPr>
          <w:rFonts w:ascii="Arial" w:hAnsi="Arial" w:cs="Arial"/>
          <w:b/>
          <w:color w:val="595959" w:themeColor="text1" w:themeTint="A6"/>
        </w:rPr>
        <w:t>130</w:t>
      </w:r>
      <w:r w:rsidRPr="001C27BF">
        <w:rPr>
          <w:rFonts w:ascii="Arial" w:hAnsi="Arial" w:cs="Arial"/>
          <w:color w:val="595959" w:themeColor="text1" w:themeTint="A6"/>
        </w:rPr>
        <w:t>, 393–405.</w:t>
      </w:r>
    </w:p>
    <w:p w14:paraId="38C65423" w14:textId="77777777" w:rsidR="00396EB2" w:rsidRPr="001C27BF" w:rsidRDefault="007B378B" w:rsidP="001C27BF">
      <w:pPr>
        <w:spacing w:line="360" w:lineRule="auto"/>
        <w:jc w:val="both"/>
        <w:rPr>
          <w:rFonts w:ascii="Arial" w:hAnsi="Arial" w:cs="Arial"/>
          <w:b/>
          <w:bCs/>
          <w:color w:val="595959" w:themeColor="text1" w:themeTint="A6"/>
          <w:shd w:val="clear" w:color="auto" w:fill="FFFFFF"/>
          <w:lang w:val="en-US"/>
        </w:rPr>
      </w:pPr>
      <w:hyperlink r:id="rId263" w:history="1">
        <w:r w:rsidR="00396EB2" w:rsidRPr="001C27BF">
          <w:rPr>
            <w:rStyle w:val="Hyperlink"/>
            <w:rFonts w:ascii="Arial" w:hAnsi="Arial" w:cs="Arial"/>
            <w:color w:val="595959" w:themeColor="text1" w:themeTint="A6"/>
            <w:u w:val="none"/>
            <w:shd w:val="clear" w:color="auto" w:fill="FFFFFF"/>
            <w:lang w:val="sv-SE"/>
          </w:rPr>
          <w:t>SUGIMOTO, H</w:t>
        </w:r>
      </w:hyperlink>
      <w:r w:rsidR="00396EB2" w:rsidRPr="001C27BF">
        <w:rPr>
          <w:rFonts w:ascii="Arial" w:hAnsi="Arial" w:cs="Arial"/>
          <w:color w:val="595959" w:themeColor="text1" w:themeTint="A6"/>
          <w:lang w:val="sv-SE"/>
        </w:rPr>
        <w:t>.</w:t>
      </w:r>
      <w:r w:rsidR="00396EB2" w:rsidRPr="001C27BF">
        <w:rPr>
          <w:rFonts w:ascii="Arial" w:hAnsi="Arial" w:cs="Arial"/>
          <w:color w:val="595959" w:themeColor="text1" w:themeTint="A6"/>
          <w:shd w:val="clear" w:color="auto" w:fill="FFFFFF"/>
          <w:lang w:val="sv-SE"/>
        </w:rPr>
        <w:t>,</w:t>
      </w:r>
      <w:r w:rsidR="00396EB2" w:rsidRPr="001C27BF">
        <w:rPr>
          <w:rStyle w:val="apple-converted-space"/>
          <w:rFonts w:ascii="Arial" w:hAnsi="Arial" w:cs="Arial"/>
          <w:color w:val="595959" w:themeColor="text1" w:themeTint="A6"/>
          <w:shd w:val="clear" w:color="auto" w:fill="FFFFFF"/>
          <w:lang w:val="sv-SE"/>
        </w:rPr>
        <w:t> </w:t>
      </w:r>
      <w:hyperlink r:id="rId264" w:history="1">
        <w:r w:rsidR="00396EB2" w:rsidRPr="001C27BF">
          <w:rPr>
            <w:rStyle w:val="Hyperlink"/>
            <w:rFonts w:ascii="Arial" w:hAnsi="Arial" w:cs="Arial"/>
            <w:color w:val="595959" w:themeColor="text1" w:themeTint="A6"/>
            <w:u w:val="none"/>
            <w:shd w:val="clear" w:color="auto" w:fill="FFFFFF"/>
            <w:lang w:val="sv-SE"/>
          </w:rPr>
          <w:t>Mundel, T.M</w:t>
        </w:r>
      </w:hyperlink>
      <w:r w:rsidR="00396EB2" w:rsidRPr="001C27BF">
        <w:rPr>
          <w:rFonts w:ascii="Arial" w:hAnsi="Arial" w:cs="Arial"/>
          <w:color w:val="595959" w:themeColor="text1" w:themeTint="A6"/>
          <w:shd w:val="clear" w:color="auto" w:fill="FFFFFF"/>
          <w:lang w:val="sv-SE"/>
        </w:rPr>
        <w:t>,</w:t>
      </w:r>
      <w:r w:rsidR="00396EB2" w:rsidRPr="001C27BF">
        <w:rPr>
          <w:rStyle w:val="apple-converted-space"/>
          <w:rFonts w:ascii="Arial" w:hAnsi="Arial" w:cs="Arial"/>
          <w:color w:val="595959" w:themeColor="text1" w:themeTint="A6"/>
          <w:shd w:val="clear" w:color="auto" w:fill="FFFFFF"/>
          <w:lang w:val="sv-SE"/>
        </w:rPr>
        <w:t> </w:t>
      </w:r>
      <w:hyperlink r:id="rId265" w:history="1">
        <w:r w:rsidR="00396EB2" w:rsidRPr="001C27BF">
          <w:rPr>
            <w:rStyle w:val="Hyperlink"/>
            <w:rFonts w:ascii="Arial" w:hAnsi="Arial" w:cs="Arial"/>
            <w:color w:val="595959" w:themeColor="text1" w:themeTint="A6"/>
            <w:u w:val="none"/>
            <w:shd w:val="clear" w:color="auto" w:fill="FFFFFF"/>
            <w:lang w:val="sv-SE"/>
          </w:rPr>
          <w:t>Kieran M.W</w:t>
        </w:r>
      </w:hyperlink>
      <w:r w:rsidR="00396EB2" w:rsidRPr="001C27BF">
        <w:rPr>
          <w:rFonts w:ascii="Arial" w:hAnsi="Arial" w:cs="Arial"/>
          <w:color w:val="595959" w:themeColor="text1" w:themeTint="A6"/>
          <w:lang w:val="sv-SE"/>
        </w:rPr>
        <w:t>.</w:t>
      </w:r>
      <w:r w:rsidR="00396EB2" w:rsidRPr="001C27BF">
        <w:rPr>
          <w:rFonts w:ascii="Arial" w:hAnsi="Arial" w:cs="Arial"/>
          <w:color w:val="595959" w:themeColor="text1" w:themeTint="A6"/>
          <w:shd w:val="clear" w:color="auto" w:fill="FFFFFF"/>
          <w:lang w:val="sv-SE"/>
        </w:rPr>
        <w:t>, and</w:t>
      </w:r>
      <w:r w:rsidR="00396EB2" w:rsidRPr="001C27BF">
        <w:rPr>
          <w:rStyle w:val="apple-converted-space"/>
          <w:rFonts w:ascii="Arial" w:hAnsi="Arial" w:cs="Arial"/>
          <w:color w:val="595959" w:themeColor="text1" w:themeTint="A6"/>
          <w:shd w:val="clear" w:color="auto" w:fill="FFFFFF"/>
          <w:lang w:val="sv-SE"/>
        </w:rPr>
        <w:t> </w:t>
      </w:r>
      <w:hyperlink r:id="rId266" w:history="1">
        <w:r w:rsidR="00396EB2" w:rsidRPr="001C27BF">
          <w:rPr>
            <w:rStyle w:val="Hyperlink"/>
            <w:rFonts w:ascii="Arial" w:hAnsi="Arial" w:cs="Arial"/>
            <w:color w:val="595959" w:themeColor="text1" w:themeTint="A6"/>
            <w:u w:val="none"/>
            <w:shd w:val="clear" w:color="auto" w:fill="FFFFFF"/>
            <w:lang w:val="sv-SE"/>
          </w:rPr>
          <w:t>Kalluri R</w:t>
        </w:r>
      </w:hyperlink>
      <w:r w:rsidR="00396EB2" w:rsidRPr="001C27BF">
        <w:rPr>
          <w:rFonts w:ascii="Arial" w:hAnsi="Arial" w:cs="Arial"/>
          <w:color w:val="595959" w:themeColor="text1" w:themeTint="A6"/>
          <w:shd w:val="clear" w:color="auto" w:fill="FFFFFF"/>
          <w:lang w:val="sv-SE"/>
        </w:rPr>
        <w:t xml:space="preserve">. (2006). </w:t>
      </w:r>
      <w:r w:rsidR="00396EB2" w:rsidRPr="001C27BF">
        <w:rPr>
          <w:rFonts w:ascii="Arial" w:hAnsi="Arial" w:cs="Arial"/>
          <w:color w:val="595959" w:themeColor="text1" w:themeTint="A6"/>
          <w:shd w:val="clear" w:color="auto" w:fill="FFFFFF"/>
        </w:rPr>
        <w:t>‘</w:t>
      </w:r>
      <w:r w:rsidR="00396EB2" w:rsidRPr="001C27BF">
        <w:rPr>
          <w:rFonts w:ascii="Arial" w:hAnsi="Arial" w:cs="Arial"/>
          <w:bCs/>
          <w:color w:val="595959" w:themeColor="text1" w:themeTint="A6"/>
          <w:shd w:val="clear" w:color="auto" w:fill="FFFFFF"/>
          <w:lang w:val="en-US"/>
        </w:rPr>
        <w:t xml:space="preserve">Identification of fibroblast heterogeneity in the tumor microenvironment.’ </w:t>
      </w:r>
      <w:hyperlink r:id="rId267" w:tooltip="Cancer biology &amp; therapy." w:history="1">
        <w:r w:rsidR="00396EB2" w:rsidRPr="001C27BF">
          <w:rPr>
            <w:rStyle w:val="Hyperlink"/>
            <w:rFonts w:ascii="Arial" w:hAnsi="Arial" w:cs="Arial"/>
            <w:i/>
            <w:color w:val="595959" w:themeColor="text1" w:themeTint="A6"/>
            <w:u w:val="none"/>
            <w:shd w:val="clear" w:color="auto" w:fill="FFFFFF"/>
          </w:rPr>
          <w:t>Cancer Biol Ther.</w:t>
        </w:r>
      </w:hyperlink>
      <w:r w:rsidR="00396EB2" w:rsidRPr="001C27BF">
        <w:rPr>
          <w:rFonts w:ascii="Arial" w:hAnsi="Arial" w:cs="Arial"/>
          <w:color w:val="595959" w:themeColor="text1" w:themeTint="A6"/>
          <w:shd w:val="clear" w:color="auto" w:fill="FFFFFF"/>
        </w:rPr>
        <w:t>;</w:t>
      </w:r>
      <w:r w:rsidR="00396EB2" w:rsidRPr="001C27BF">
        <w:rPr>
          <w:rFonts w:ascii="Arial" w:hAnsi="Arial" w:cs="Arial"/>
          <w:b/>
          <w:color w:val="595959" w:themeColor="text1" w:themeTint="A6"/>
          <w:shd w:val="clear" w:color="auto" w:fill="FFFFFF"/>
        </w:rPr>
        <w:t>5</w:t>
      </w:r>
      <w:r w:rsidR="00396EB2" w:rsidRPr="001C27BF">
        <w:rPr>
          <w:rFonts w:ascii="Arial" w:hAnsi="Arial" w:cs="Arial"/>
          <w:color w:val="595959" w:themeColor="text1" w:themeTint="A6"/>
          <w:shd w:val="clear" w:color="auto" w:fill="FFFFFF"/>
        </w:rPr>
        <w:t>(12):1640-6.</w:t>
      </w:r>
    </w:p>
    <w:p w14:paraId="2B9699DC" w14:textId="0B7DDA35" w:rsidR="00396EB2" w:rsidRPr="001C27BF" w:rsidRDefault="00396EB2" w:rsidP="001C27BF">
      <w:pPr>
        <w:spacing w:line="360" w:lineRule="auto"/>
        <w:jc w:val="both"/>
        <w:rPr>
          <w:rFonts w:ascii="Arial" w:hAnsi="Arial" w:cs="Arial"/>
          <w:color w:val="595959" w:themeColor="text1" w:themeTint="A6"/>
        </w:rPr>
      </w:pPr>
      <w:r w:rsidRPr="001C27BF">
        <w:rPr>
          <w:rFonts w:ascii="Arial" w:hAnsi="Arial" w:cs="Arial"/>
          <w:color w:val="595959" w:themeColor="text1" w:themeTint="A6"/>
        </w:rPr>
        <w:t xml:space="preserve">TALARI, A.C.S.,   Movasaghi, Z., Rehman, S., and Rehman, I.U. (2015). ‘Raman Spectroscopy of Biological Tissues’. </w:t>
      </w:r>
      <w:r w:rsidRPr="001C27BF">
        <w:rPr>
          <w:rFonts w:ascii="Arial" w:hAnsi="Arial" w:cs="Arial"/>
          <w:i/>
          <w:color w:val="595959" w:themeColor="text1" w:themeTint="A6"/>
        </w:rPr>
        <w:t>Applied Spectroscopy Reviews</w:t>
      </w:r>
      <w:r w:rsidRPr="001C27BF">
        <w:rPr>
          <w:rFonts w:ascii="Arial" w:hAnsi="Arial" w:cs="Arial"/>
          <w:color w:val="595959" w:themeColor="text1" w:themeTint="A6"/>
        </w:rPr>
        <w:t xml:space="preserve">; </w:t>
      </w:r>
      <w:r w:rsidRPr="001C27BF">
        <w:rPr>
          <w:rFonts w:ascii="Arial" w:hAnsi="Arial" w:cs="Arial"/>
          <w:b/>
          <w:color w:val="595959" w:themeColor="text1" w:themeTint="A6"/>
        </w:rPr>
        <w:t>50</w:t>
      </w:r>
      <w:r w:rsidRPr="001C27BF">
        <w:rPr>
          <w:rFonts w:ascii="Arial" w:hAnsi="Arial" w:cs="Arial"/>
          <w:color w:val="595959" w:themeColor="text1" w:themeTint="A6"/>
        </w:rPr>
        <w:t>:46–111.</w:t>
      </w:r>
    </w:p>
    <w:p w14:paraId="4B9949EA" w14:textId="77777777" w:rsidR="00396EB2" w:rsidRPr="001C27BF" w:rsidRDefault="00396EB2" w:rsidP="001C27BF">
      <w:pPr>
        <w:spacing w:line="360" w:lineRule="auto"/>
        <w:jc w:val="both"/>
        <w:rPr>
          <w:rFonts w:ascii="Arial" w:hAnsi="Arial" w:cs="Arial"/>
          <w:color w:val="595959" w:themeColor="text1" w:themeTint="A6"/>
        </w:rPr>
      </w:pPr>
      <w:r w:rsidRPr="001C27BF">
        <w:rPr>
          <w:rFonts w:ascii="Arial" w:hAnsi="Arial" w:cs="Arial"/>
          <w:color w:val="595959" w:themeColor="text1" w:themeTint="A6"/>
        </w:rPr>
        <w:t xml:space="preserve">TERAI S, Fushida S, Tsukada T, Kinoshita J, Oyama K, Okamoto K, Makino I, Tajima H, Ninomiya I, Fujimura T (2015). ‘Bone marrow derived ‘fibrocytes’ contribute to tumor proliferation and fibrosis in gastric cancer’. </w:t>
      </w:r>
      <w:r w:rsidRPr="001C27BF">
        <w:rPr>
          <w:rFonts w:ascii="Arial" w:hAnsi="Arial" w:cs="Arial"/>
          <w:i/>
          <w:iCs/>
          <w:color w:val="595959" w:themeColor="text1" w:themeTint="A6"/>
        </w:rPr>
        <w:t>Gastric Cancer</w:t>
      </w:r>
      <w:r w:rsidRPr="001C27BF">
        <w:rPr>
          <w:rFonts w:ascii="Arial" w:hAnsi="Arial" w:cs="Arial"/>
          <w:color w:val="595959" w:themeColor="text1" w:themeTint="A6"/>
        </w:rPr>
        <w:t xml:space="preserve"> </w:t>
      </w:r>
      <w:r w:rsidRPr="001C27BF">
        <w:rPr>
          <w:rFonts w:ascii="Arial" w:hAnsi="Arial" w:cs="Arial"/>
          <w:b/>
          <w:bCs/>
          <w:color w:val="595959" w:themeColor="text1" w:themeTint="A6"/>
        </w:rPr>
        <w:t>18</w:t>
      </w:r>
      <w:r w:rsidRPr="001C27BF">
        <w:rPr>
          <w:rFonts w:ascii="Arial" w:hAnsi="Arial" w:cs="Arial"/>
          <w:color w:val="595959" w:themeColor="text1" w:themeTint="A6"/>
        </w:rPr>
        <w:t>: 306-313.</w:t>
      </w:r>
    </w:p>
    <w:p w14:paraId="52B56A4D" w14:textId="77777777" w:rsidR="00396EB2" w:rsidRPr="001C27BF" w:rsidRDefault="00396EB2" w:rsidP="001C27BF">
      <w:pPr>
        <w:spacing w:line="360" w:lineRule="auto"/>
        <w:jc w:val="both"/>
        <w:rPr>
          <w:rFonts w:ascii="Arial" w:hAnsi="Arial" w:cs="Arial"/>
          <w:color w:val="595959" w:themeColor="text1" w:themeTint="A6"/>
        </w:rPr>
      </w:pPr>
      <w:r w:rsidRPr="001C27BF">
        <w:rPr>
          <w:rFonts w:ascii="Arial" w:hAnsi="Arial" w:cs="Arial"/>
          <w:color w:val="595959" w:themeColor="text1" w:themeTint="A6"/>
        </w:rPr>
        <w:t xml:space="preserve">THEOCHARIS, A.C. Skandalis, S.S. Gialeli, C. and Karamanos, N.K. (2016). ‘Extracellular matrix structure.’ Advanced drug delivery Reviews: </w:t>
      </w:r>
      <w:r w:rsidRPr="001C27BF">
        <w:rPr>
          <w:rFonts w:ascii="Arial" w:hAnsi="Arial" w:cs="Arial"/>
          <w:b/>
          <w:color w:val="595959" w:themeColor="text1" w:themeTint="A6"/>
        </w:rPr>
        <w:t>97</w:t>
      </w:r>
      <w:r w:rsidRPr="001C27BF">
        <w:rPr>
          <w:rFonts w:ascii="Arial" w:hAnsi="Arial" w:cs="Arial"/>
          <w:color w:val="595959" w:themeColor="text1" w:themeTint="A6"/>
        </w:rPr>
        <w:t xml:space="preserve">, 4-27. </w:t>
      </w:r>
    </w:p>
    <w:p w14:paraId="14BBF314" w14:textId="77777777" w:rsidR="00396EB2" w:rsidRPr="001C27BF" w:rsidRDefault="00396EB2" w:rsidP="001C27BF">
      <w:pPr>
        <w:spacing w:line="360" w:lineRule="auto"/>
        <w:jc w:val="both"/>
        <w:rPr>
          <w:rFonts w:ascii="Arial" w:hAnsi="Arial" w:cs="Arial"/>
          <w:color w:val="595959" w:themeColor="text1" w:themeTint="A6"/>
        </w:rPr>
      </w:pPr>
      <w:r w:rsidRPr="001C27BF">
        <w:rPr>
          <w:rFonts w:ascii="Arial" w:hAnsi="Arial" w:cs="Arial"/>
          <w:color w:val="595959" w:themeColor="text1" w:themeTint="A6"/>
        </w:rPr>
        <w:t xml:space="preserve">THROM, A.M., Lui, W-C., Lock, C-H., and Billar, K.L. (2010). ‘Development of a cell-derived matrix: effects of epidermal growth factor in chemically defined culture’. </w:t>
      </w:r>
      <w:r w:rsidRPr="001C27BF">
        <w:rPr>
          <w:rFonts w:ascii="Arial" w:hAnsi="Arial" w:cs="Arial"/>
          <w:i/>
          <w:iCs/>
          <w:color w:val="595959" w:themeColor="text1" w:themeTint="A6"/>
        </w:rPr>
        <w:t>J. Biomed. Mater.Res. A</w:t>
      </w:r>
      <w:r w:rsidRPr="001C27BF">
        <w:rPr>
          <w:rFonts w:ascii="Arial" w:hAnsi="Arial" w:cs="Arial"/>
          <w:color w:val="595959" w:themeColor="text1" w:themeTint="A6"/>
        </w:rPr>
        <w:t xml:space="preserve">, </w:t>
      </w:r>
      <w:r w:rsidRPr="001C27BF">
        <w:rPr>
          <w:rFonts w:ascii="Arial" w:hAnsi="Arial" w:cs="Arial"/>
          <w:b/>
          <w:bCs/>
          <w:color w:val="595959" w:themeColor="text1" w:themeTint="A6"/>
        </w:rPr>
        <w:t>92</w:t>
      </w:r>
      <w:r w:rsidRPr="001C27BF">
        <w:rPr>
          <w:rFonts w:ascii="Arial" w:hAnsi="Arial" w:cs="Arial"/>
          <w:color w:val="595959" w:themeColor="text1" w:themeTint="A6"/>
        </w:rPr>
        <w:t>, 533–541.</w:t>
      </w:r>
    </w:p>
    <w:p w14:paraId="0968F759" w14:textId="77777777" w:rsidR="00396EB2" w:rsidRPr="001C27BF" w:rsidRDefault="00396EB2" w:rsidP="001C27BF">
      <w:pPr>
        <w:spacing w:line="360" w:lineRule="auto"/>
        <w:jc w:val="both"/>
        <w:rPr>
          <w:rFonts w:ascii="Arial" w:hAnsi="Arial" w:cs="Arial"/>
          <w:color w:val="595959" w:themeColor="text1" w:themeTint="A6"/>
        </w:rPr>
      </w:pPr>
      <w:r w:rsidRPr="001C27BF">
        <w:rPr>
          <w:rFonts w:ascii="Arial" w:hAnsi="Arial" w:cs="Arial"/>
          <w:color w:val="595959" w:themeColor="text1" w:themeTint="A6"/>
        </w:rPr>
        <w:t xml:space="preserve"> TZU, J., and Marinkovich, M.P. (2008). ‘Bridging structure with function: structural, regulatory, and developmental role of laminins’.</w:t>
      </w:r>
      <w:r w:rsidRPr="001C27BF">
        <w:rPr>
          <w:rFonts w:ascii="Arial" w:hAnsi="Arial" w:cs="Arial"/>
        </w:rPr>
        <w:t xml:space="preserve"> </w:t>
      </w:r>
      <w:r w:rsidRPr="001C27BF">
        <w:rPr>
          <w:rFonts w:ascii="Arial" w:hAnsi="Arial" w:cs="Arial"/>
          <w:i/>
          <w:color w:val="595959" w:themeColor="text1" w:themeTint="A6"/>
        </w:rPr>
        <w:t>Int J Biochem Cell Biol</w:t>
      </w:r>
      <w:r w:rsidRPr="001C27BF">
        <w:rPr>
          <w:rFonts w:ascii="Arial" w:hAnsi="Arial" w:cs="Arial"/>
          <w:color w:val="595959" w:themeColor="text1" w:themeTint="A6"/>
        </w:rPr>
        <w:t xml:space="preserve">; </w:t>
      </w:r>
      <w:r w:rsidRPr="001C27BF">
        <w:rPr>
          <w:rFonts w:ascii="Arial" w:hAnsi="Arial" w:cs="Arial"/>
          <w:b/>
          <w:color w:val="595959" w:themeColor="text1" w:themeTint="A6"/>
        </w:rPr>
        <w:t>40</w:t>
      </w:r>
      <w:r w:rsidRPr="001C27BF">
        <w:rPr>
          <w:rFonts w:ascii="Arial" w:hAnsi="Arial" w:cs="Arial"/>
          <w:color w:val="595959" w:themeColor="text1" w:themeTint="A6"/>
        </w:rPr>
        <w:t>(2): 199–214.</w:t>
      </w:r>
    </w:p>
    <w:p w14:paraId="1AE5C3D6" w14:textId="77777777" w:rsidR="00396EB2" w:rsidRPr="001C27BF" w:rsidRDefault="00396EB2" w:rsidP="001C27BF">
      <w:pPr>
        <w:spacing w:line="360" w:lineRule="auto"/>
        <w:jc w:val="both"/>
        <w:rPr>
          <w:rFonts w:ascii="Arial" w:hAnsi="Arial" w:cs="Arial"/>
          <w:color w:val="595959" w:themeColor="text1" w:themeTint="A6"/>
        </w:rPr>
      </w:pPr>
      <w:r w:rsidRPr="001C27BF">
        <w:rPr>
          <w:rFonts w:ascii="Arial" w:hAnsi="Arial" w:cs="Arial"/>
          <w:color w:val="595959" w:themeColor="text1" w:themeTint="A6"/>
        </w:rPr>
        <w:t xml:space="preserve">VANDER HEIDEN M.G., Cantley L.C, Thompson C.B. (2009). ‘Understanding the Warburg effect: the metabolic requirements of cell proliferation’. </w:t>
      </w:r>
      <w:r w:rsidRPr="001C27BF">
        <w:rPr>
          <w:rFonts w:ascii="Arial" w:hAnsi="Arial" w:cs="Arial"/>
          <w:i/>
          <w:color w:val="595959" w:themeColor="text1" w:themeTint="A6"/>
        </w:rPr>
        <w:t>Science</w:t>
      </w:r>
      <w:r w:rsidRPr="001C27BF">
        <w:rPr>
          <w:rFonts w:ascii="Arial" w:hAnsi="Arial" w:cs="Arial"/>
          <w:color w:val="595959" w:themeColor="text1" w:themeTint="A6"/>
        </w:rPr>
        <w:t xml:space="preserve"> </w:t>
      </w:r>
      <w:r w:rsidRPr="001C27BF">
        <w:rPr>
          <w:rFonts w:ascii="Arial" w:hAnsi="Arial" w:cs="Arial"/>
          <w:b/>
          <w:color w:val="595959" w:themeColor="text1" w:themeTint="A6"/>
        </w:rPr>
        <w:t>324</w:t>
      </w:r>
      <w:r w:rsidRPr="001C27BF">
        <w:rPr>
          <w:rFonts w:ascii="Arial" w:hAnsi="Arial" w:cs="Arial"/>
          <w:color w:val="595959" w:themeColor="text1" w:themeTint="A6"/>
        </w:rPr>
        <w:t>: 1029–1033.</w:t>
      </w:r>
    </w:p>
    <w:p w14:paraId="7B96AC8D" w14:textId="77777777" w:rsidR="00396EB2" w:rsidRPr="001C27BF" w:rsidRDefault="00396EB2" w:rsidP="001C27BF">
      <w:pPr>
        <w:spacing w:line="360" w:lineRule="auto"/>
        <w:jc w:val="both"/>
        <w:rPr>
          <w:rFonts w:ascii="Arial" w:hAnsi="Arial" w:cs="Arial"/>
          <w:color w:val="595959" w:themeColor="text1" w:themeTint="A6"/>
        </w:rPr>
      </w:pPr>
      <w:r w:rsidRPr="001C27BF">
        <w:rPr>
          <w:rFonts w:ascii="Arial" w:hAnsi="Arial" w:cs="Arial"/>
          <w:color w:val="595959" w:themeColor="text1" w:themeTint="A6"/>
        </w:rPr>
        <w:t xml:space="preserve">VARKI R, Sadowski S, Pfendner E., and Uitto J. (2006). ‘Epidermolysis bullosa. I. Molecular genetics of the junctional and hemidesmosomal variants’. </w:t>
      </w:r>
      <w:r w:rsidRPr="001C27BF">
        <w:rPr>
          <w:rFonts w:ascii="Arial" w:hAnsi="Arial" w:cs="Arial"/>
          <w:i/>
          <w:color w:val="595959" w:themeColor="text1" w:themeTint="A6"/>
        </w:rPr>
        <w:t>J Med Genet</w:t>
      </w:r>
      <w:r w:rsidRPr="001C27BF">
        <w:rPr>
          <w:rFonts w:ascii="Arial" w:hAnsi="Arial" w:cs="Arial"/>
          <w:color w:val="595959" w:themeColor="text1" w:themeTint="A6"/>
        </w:rPr>
        <w:t xml:space="preserve">; </w:t>
      </w:r>
      <w:r w:rsidRPr="001C27BF">
        <w:rPr>
          <w:rFonts w:ascii="Arial" w:hAnsi="Arial" w:cs="Arial"/>
          <w:b/>
          <w:color w:val="595959" w:themeColor="text1" w:themeTint="A6"/>
        </w:rPr>
        <w:t>43</w:t>
      </w:r>
      <w:r w:rsidRPr="001C27BF">
        <w:rPr>
          <w:rFonts w:ascii="Arial" w:hAnsi="Arial" w:cs="Arial"/>
          <w:color w:val="595959" w:themeColor="text1" w:themeTint="A6"/>
        </w:rPr>
        <w:t>:641–652.</w:t>
      </w:r>
    </w:p>
    <w:p w14:paraId="5E6685D2" w14:textId="77777777" w:rsidR="00396EB2" w:rsidRPr="001C27BF" w:rsidRDefault="00396EB2" w:rsidP="001C27BF">
      <w:pPr>
        <w:spacing w:line="360" w:lineRule="auto"/>
        <w:jc w:val="both"/>
        <w:rPr>
          <w:rFonts w:ascii="Arial" w:hAnsi="Arial" w:cs="Arial"/>
          <w:color w:val="595959" w:themeColor="text1" w:themeTint="A6"/>
        </w:rPr>
      </w:pPr>
      <w:r w:rsidRPr="001C27BF">
        <w:rPr>
          <w:rFonts w:ascii="Arial" w:hAnsi="Arial" w:cs="Arial"/>
          <w:color w:val="595959" w:themeColor="text1" w:themeTint="A6"/>
        </w:rPr>
        <w:t xml:space="preserve">VERED, M. Allon, I. Buchner, A. Dayan, D. (2009). ‘Stromal Myofibroblasts accompany Modifications in the Epithelial Phenotype of Tongue Dysplastic and Malignant Lesions Cancer.’ </w:t>
      </w:r>
      <w:r w:rsidRPr="001C27BF">
        <w:rPr>
          <w:rFonts w:ascii="Arial" w:hAnsi="Arial" w:cs="Arial"/>
          <w:i/>
          <w:color w:val="595959" w:themeColor="text1" w:themeTint="A6"/>
        </w:rPr>
        <w:t>Microenvironment</w:t>
      </w:r>
      <w:r w:rsidRPr="001C27BF">
        <w:rPr>
          <w:rFonts w:ascii="Arial" w:hAnsi="Arial" w:cs="Arial"/>
          <w:color w:val="595959" w:themeColor="text1" w:themeTint="A6"/>
        </w:rPr>
        <w:t xml:space="preserve">; </w:t>
      </w:r>
      <w:r w:rsidRPr="001C27BF">
        <w:rPr>
          <w:rFonts w:ascii="Arial" w:hAnsi="Arial" w:cs="Arial"/>
          <w:b/>
          <w:color w:val="595959" w:themeColor="text1" w:themeTint="A6"/>
        </w:rPr>
        <w:t>2</w:t>
      </w:r>
      <w:r w:rsidRPr="001C27BF">
        <w:rPr>
          <w:rFonts w:ascii="Arial" w:hAnsi="Arial" w:cs="Arial"/>
          <w:color w:val="595959" w:themeColor="text1" w:themeTint="A6"/>
        </w:rPr>
        <w:t xml:space="preserve">:49-57. </w:t>
      </w:r>
    </w:p>
    <w:p w14:paraId="1E28B902" w14:textId="626FE03E" w:rsidR="00396EB2" w:rsidRPr="001C27BF" w:rsidRDefault="00396EB2" w:rsidP="001C27BF">
      <w:pPr>
        <w:spacing w:line="360" w:lineRule="auto"/>
        <w:jc w:val="both"/>
        <w:rPr>
          <w:rFonts w:ascii="Arial" w:hAnsi="Arial" w:cs="Arial"/>
          <w:color w:val="595959" w:themeColor="text1" w:themeTint="A6"/>
        </w:rPr>
      </w:pPr>
      <w:r w:rsidRPr="001C27BF">
        <w:rPr>
          <w:rFonts w:ascii="Arial" w:hAnsi="Arial" w:cs="Arial"/>
          <w:color w:val="595959" w:themeColor="text1" w:themeTint="A6"/>
        </w:rPr>
        <w:t>VILLANUEVA I, Weigel C</w:t>
      </w:r>
      <w:r w:rsidR="008D6CFD">
        <w:rPr>
          <w:rFonts w:ascii="Arial" w:hAnsi="Arial" w:cs="Arial"/>
          <w:color w:val="595959" w:themeColor="text1" w:themeTint="A6"/>
        </w:rPr>
        <w:t>.</w:t>
      </w:r>
      <w:r w:rsidRPr="001C27BF">
        <w:rPr>
          <w:rFonts w:ascii="Arial" w:hAnsi="Arial" w:cs="Arial"/>
          <w:color w:val="595959" w:themeColor="text1" w:themeTint="A6"/>
        </w:rPr>
        <w:t>A</w:t>
      </w:r>
      <w:r w:rsidR="008D6CFD">
        <w:rPr>
          <w:rFonts w:ascii="Arial" w:hAnsi="Arial" w:cs="Arial"/>
          <w:color w:val="595959" w:themeColor="text1" w:themeTint="A6"/>
        </w:rPr>
        <w:t>.</w:t>
      </w:r>
      <w:r w:rsidRPr="001C27BF">
        <w:rPr>
          <w:rFonts w:ascii="Arial" w:hAnsi="Arial" w:cs="Arial"/>
          <w:color w:val="595959" w:themeColor="text1" w:themeTint="A6"/>
        </w:rPr>
        <w:t>, Bryant S</w:t>
      </w:r>
      <w:r w:rsidR="008D6CFD">
        <w:rPr>
          <w:rFonts w:ascii="Arial" w:hAnsi="Arial" w:cs="Arial"/>
          <w:color w:val="595959" w:themeColor="text1" w:themeTint="A6"/>
        </w:rPr>
        <w:t>.</w:t>
      </w:r>
      <w:r w:rsidRPr="001C27BF">
        <w:rPr>
          <w:rFonts w:ascii="Arial" w:hAnsi="Arial" w:cs="Arial"/>
          <w:color w:val="595959" w:themeColor="text1" w:themeTint="A6"/>
        </w:rPr>
        <w:t>J</w:t>
      </w:r>
      <w:r w:rsidR="008D6CFD">
        <w:rPr>
          <w:rFonts w:ascii="Arial" w:hAnsi="Arial" w:cs="Arial"/>
          <w:color w:val="595959" w:themeColor="text1" w:themeTint="A6"/>
        </w:rPr>
        <w:t>.</w:t>
      </w:r>
      <w:r w:rsidRPr="001C27BF">
        <w:rPr>
          <w:rFonts w:ascii="Arial" w:hAnsi="Arial" w:cs="Arial"/>
          <w:color w:val="595959" w:themeColor="text1" w:themeTint="A6"/>
        </w:rPr>
        <w:t xml:space="preserve"> (2009). Cell-matrix interactions and dynamic mechanical loading influence chondrocyte gene expression and bioactivity in PEG-RGD hydrogels. </w:t>
      </w:r>
      <w:r w:rsidRPr="001C27BF">
        <w:rPr>
          <w:rFonts w:ascii="Arial" w:hAnsi="Arial" w:cs="Arial"/>
          <w:i/>
          <w:iCs/>
          <w:color w:val="595959" w:themeColor="text1" w:themeTint="A6"/>
        </w:rPr>
        <w:t>Acta Biomaterials</w:t>
      </w:r>
      <w:r w:rsidRPr="001C27BF">
        <w:rPr>
          <w:rFonts w:ascii="Arial" w:hAnsi="Arial" w:cs="Arial"/>
          <w:color w:val="595959" w:themeColor="text1" w:themeTint="A6"/>
        </w:rPr>
        <w:t xml:space="preserve"> </w:t>
      </w:r>
      <w:r w:rsidRPr="001C27BF">
        <w:rPr>
          <w:rFonts w:ascii="Arial" w:hAnsi="Arial" w:cs="Arial"/>
          <w:b/>
          <w:bCs/>
          <w:color w:val="595959" w:themeColor="text1" w:themeTint="A6"/>
        </w:rPr>
        <w:t>5</w:t>
      </w:r>
      <w:r w:rsidRPr="001C27BF">
        <w:rPr>
          <w:rFonts w:ascii="Arial" w:hAnsi="Arial" w:cs="Arial"/>
          <w:color w:val="595959" w:themeColor="text1" w:themeTint="A6"/>
        </w:rPr>
        <w:t>:2832–2846</w:t>
      </w:r>
    </w:p>
    <w:p w14:paraId="1B4E54E6" w14:textId="77777777" w:rsidR="00396EB2" w:rsidRPr="001C27BF" w:rsidRDefault="00396EB2" w:rsidP="001C27BF">
      <w:pPr>
        <w:spacing w:line="360" w:lineRule="auto"/>
        <w:jc w:val="both"/>
        <w:rPr>
          <w:rFonts w:ascii="Arial" w:hAnsi="Arial" w:cs="Arial"/>
          <w:color w:val="595959" w:themeColor="text1" w:themeTint="A6"/>
        </w:rPr>
      </w:pPr>
      <w:r w:rsidRPr="001C27BF">
        <w:rPr>
          <w:rFonts w:ascii="Arial" w:hAnsi="Arial" w:cs="Arial"/>
          <w:color w:val="595959" w:themeColor="text1" w:themeTint="A6"/>
        </w:rPr>
        <w:t xml:space="preserve">WANG C.C, Bajikar S.S, Jamal L, Atkins K.A, Janes K.A (2014). ‘A time- and matrix dependent TGFBR3-JUND-KRT5 regulatory circuit in single breast epithelial cells and basal-like premalignancies’. </w:t>
      </w:r>
      <w:r w:rsidRPr="001C27BF">
        <w:rPr>
          <w:rFonts w:ascii="Arial" w:hAnsi="Arial" w:cs="Arial"/>
          <w:i/>
          <w:iCs/>
          <w:color w:val="595959" w:themeColor="text1" w:themeTint="A6"/>
        </w:rPr>
        <w:t>Nat Cell Biol</w:t>
      </w:r>
      <w:r w:rsidRPr="001C27BF">
        <w:rPr>
          <w:rFonts w:ascii="Arial" w:hAnsi="Arial" w:cs="Arial"/>
          <w:color w:val="595959" w:themeColor="text1" w:themeTint="A6"/>
        </w:rPr>
        <w:t>; 1</w:t>
      </w:r>
      <w:r w:rsidRPr="001C27BF">
        <w:rPr>
          <w:rFonts w:ascii="Arial" w:hAnsi="Arial" w:cs="Arial"/>
          <w:b/>
          <w:bCs/>
          <w:color w:val="595959" w:themeColor="text1" w:themeTint="A6"/>
        </w:rPr>
        <w:t>6</w:t>
      </w:r>
      <w:r w:rsidRPr="001C27BF">
        <w:rPr>
          <w:rFonts w:ascii="Arial" w:hAnsi="Arial" w:cs="Arial"/>
          <w:color w:val="595959" w:themeColor="text1" w:themeTint="A6"/>
        </w:rPr>
        <w:t>:345–56.</w:t>
      </w:r>
    </w:p>
    <w:p w14:paraId="271BC6DC" w14:textId="78FA9FC8" w:rsidR="00396EB2" w:rsidRPr="001C27BF" w:rsidRDefault="00396EB2" w:rsidP="001C27BF">
      <w:pPr>
        <w:spacing w:line="360" w:lineRule="auto"/>
        <w:jc w:val="both"/>
        <w:rPr>
          <w:rFonts w:ascii="Arial" w:hAnsi="Arial" w:cs="Arial"/>
          <w:color w:val="595959" w:themeColor="text1" w:themeTint="A6"/>
        </w:rPr>
      </w:pPr>
      <w:r w:rsidRPr="001C27BF">
        <w:rPr>
          <w:rFonts w:ascii="Arial" w:hAnsi="Arial" w:cs="Arial"/>
          <w:color w:val="595959" w:themeColor="text1" w:themeTint="A6"/>
        </w:rPr>
        <w:t xml:space="preserve">WANG Y, and McNiven M.A. (2012). ‘Invasive matrix degradation at focal adhesions occurs via protease recruitment by a FAK-p130Cas complex’. </w:t>
      </w:r>
      <w:r w:rsidRPr="001C27BF">
        <w:rPr>
          <w:rFonts w:ascii="Arial" w:hAnsi="Arial" w:cs="Arial"/>
          <w:i/>
          <w:color w:val="595959" w:themeColor="text1" w:themeTint="A6"/>
        </w:rPr>
        <w:t>J Cell Biol</w:t>
      </w:r>
      <w:r w:rsidRPr="001C27BF">
        <w:rPr>
          <w:rFonts w:ascii="Arial" w:hAnsi="Arial" w:cs="Arial"/>
          <w:color w:val="595959" w:themeColor="text1" w:themeTint="A6"/>
        </w:rPr>
        <w:t xml:space="preserve"> </w:t>
      </w:r>
      <w:r w:rsidRPr="001C27BF">
        <w:rPr>
          <w:rFonts w:ascii="Arial" w:hAnsi="Arial" w:cs="Arial"/>
          <w:b/>
          <w:color w:val="595959" w:themeColor="text1" w:themeTint="A6"/>
        </w:rPr>
        <w:t>196</w:t>
      </w:r>
      <w:r w:rsidRPr="001C27BF">
        <w:rPr>
          <w:rFonts w:ascii="Arial" w:hAnsi="Arial" w:cs="Arial"/>
          <w:color w:val="595959" w:themeColor="text1" w:themeTint="A6"/>
        </w:rPr>
        <w:t>: 375–385</w:t>
      </w:r>
      <w:r w:rsidR="008D6CFD">
        <w:rPr>
          <w:rFonts w:ascii="Arial" w:hAnsi="Arial" w:cs="Arial"/>
          <w:color w:val="595959" w:themeColor="text1" w:themeTint="A6"/>
        </w:rPr>
        <w:t>.</w:t>
      </w:r>
    </w:p>
    <w:p w14:paraId="6FA8AE73" w14:textId="77777777" w:rsidR="00396EB2" w:rsidRPr="001C27BF" w:rsidRDefault="00396EB2" w:rsidP="001C27BF">
      <w:pPr>
        <w:spacing w:line="360" w:lineRule="auto"/>
        <w:jc w:val="both"/>
        <w:rPr>
          <w:rFonts w:ascii="Arial" w:hAnsi="Arial" w:cs="Arial"/>
          <w:color w:val="595959" w:themeColor="text1" w:themeTint="A6"/>
        </w:rPr>
      </w:pPr>
      <w:r w:rsidRPr="001C27BF">
        <w:rPr>
          <w:rFonts w:ascii="Arial" w:hAnsi="Arial" w:cs="Arial"/>
          <w:color w:val="595959" w:themeColor="text1" w:themeTint="A6"/>
        </w:rPr>
        <w:t xml:space="preserve">WANG, P. Ballestrem, C. and Streuli, C.H. (2011). ‘The C Terminus of talin links integrins to cell cycle progression.’ </w:t>
      </w:r>
      <w:r w:rsidRPr="001C27BF">
        <w:rPr>
          <w:rFonts w:ascii="Arial" w:hAnsi="Arial" w:cs="Arial"/>
          <w:i/>
          <w:color w:val="595959" w:themeColor="text1" w:themeTint="A6"/>
        </w:rPr>
        <w:t>J. Cell Biol</w:t>
      </w:r>
      <w:r w:rsidRPr="001C27BF">
        <w:rPr>
          <w:rFonts w:ascii="Arial" w:hAnsi="Arial" w:cs="Arial"/>
          <w:color w:val="595959" w:themeColor="text1" w:themeTint="A6"/>
        </w:rPr>
        <w:t xml:space="preserve">, </w:t>
      </w:r>
      <w:r w:rsidRPr="001C27BF">
        <w:rPr>
          <w:rFonts w:ascii="Arial" w:hAnsi="Arial" w:cs="Arial"/>
          <w:b/>
          <w:color w:val="595959" w:themeColor="text1" w:themeTint="A6"/>
        </w:rPr>
        <w:t>195</w:t>
      </w:r>
      <w:r w:rsidRPr="001C27BF">
        <w:rPr>
          <w:rFonts w:ascii="Arial" w:hAnsi="Arial" w:cs="Arial"/>
          <w:color w:val="595959" w:themeColor="text1" w:themeTint="A6"/>
        </w:rPr>
        <w:t>:499-513.</w:t>
      </w:r>
    </w:p>
    <w:p w14:paraId="35396B63" w14:textId="77777777" w:rsidR="00396EB2" w:rsidRPr="001C27BF" w:rsidRDefault="00396EB2" w:rsidP="001C27BF">
      <w:pPr>
        <w:spacing w:line="360" w:lineRule="auto"/>
        <w:jc w:val="both"/>
        <w:rPr>
          <w:rFonts w:ascii="Arial" w:hAnsi="Arial" w:cs="Arial"/>
          <w:color w:val="595959" w:themeColor="text1" w:themeTint="A6"/>
        </w:rPr>
      </w:pPr>
      <w:r w:rsidRPr="001C27BF">
        <w:rPr>
          <w:rFonts w:ascii="Arial" w:hAnsi="Arial" w:cs="Arial"/>
          <w:color w:val="595959" w:themeColor="text1" w:themeTint="A6"/>
        </w:rPr>
        <w:t xml:space="preserve">WEINBERG, R.A. and Orimo, A. (2006). ‘Heterogeneity of Stromal Fibroblast in Tumours.’ </w:t>
      </w:r>
      <w:r w:rsidRPr="001C27BF">
        <w:rPr>
          <w:rFonts w:ascii="Arial" w:hAnsi="Arial" w:cs="Arial"/>
          <w:i/>
          <w:color w:val="595959" w:themeColor="text1" w:themeTint="A6"/>
        </w:rPr>
        <w:t>Cancer Biol Ther</w:t>
      </w:r>
      <w:r w:rsidRPr="001C27BF">
        <w:rPr>
          <w:rFonts w:ascii="Arial" w:hAnsi="Arial" w:cs="Arial"/>
          <w:color w:val="595959" w:themeColor="text1" w:themeTint="A6"/>
        </w:rPr>
        <w:t>, 5 (</w:t>
      </w:r>
      <w:r w:rsidRPr="001C27BF">
        <w:rPr>
          <w:rFonts w:ascii="Arial" w:hAnsi="Arial" w:cs="Arial"/>
          <w:b/>
          <w:color w:val="595959" w:themeColor="text1" w:themeTint="A6"/>
        </w:rPr>
        <w:t>12</w:t>
      </w:r>
      <w:r w:rsidRPr="001C27BF">
        <w:rPr>
          <w:rFonts w:ascii="Arial" w:hAnsi="Arial" w:cs="Arial"/>
          <w:color w:val="595959" w:themeColor="text1" w:themeTint="A6"/>
        </w:rPr>
        <w:t xml:space="preserve">): 1640-6. </w:t>
      </w:r>
    </w:p>
    <w:p w14:paraId="76D9874F" w14:textId="77777777" w:rsidR="00396EB2" w:rsidRPr="001C27BF" w:rsidRDefault="00396EB2" w:rsidP="001C27BF">
      <w:pPr>
        <w:spacing w:line="360" w:lineRule="auto"/>
        <w:jc w:val="both"/>
        <w:rPr>
          <w:rFonts w:ascii="Arial" w:hAnsi="Arial" w:cs="Arial"/>
          <w:color w:val="595959" w:themeColor="text1" w:themeTint="A6"/>
        </w:rPr>
      </w:pPr>
      <w:r w:rsidRPr="001C27BF">
        <w:rPr>
          <w:rFonts w:ascii="Arial" w:hAnsi="Arial" w:cs="Arial"/>
          <w:color w:val="595959" w:themeColor="text1" w:themeTint="A6"/>
        </w:rPr>
        <w:t xml:space="preserve">WIGHT, T.N. (2002). ‘Versican: a versatile extracellular matrix proteoglycan in cell biology.’ </w:t>
      </w:r>
      <w:r w:rsidRPr="001C27BF">
        <w:rPr>
          <w:rFonts w:ascii="Arial" w:hAnsi="Arial" w:cs="Arial"/>
          <w:i/>
          <w:color w:val="595959" w:themeColor="text1" w:themeTint="A6"/>
        </w:rPr>
        <w:t>Current Opinion in Cell Biology</w:t>
      </w:r>
      <w:r w:rsidRPr="001C27BF">
        <w:rPr>
          <w:rFonts w:ascii="Arial" w:hAnsi="Arial" w:cs="Arial"/>
          <w:color w:val="595959" w:themeColor="text1" w:themeTint="A6"/>
        </w:rPr>
        <w:t xml:space="preserve">; </w:t>
      </w:r>
      <w:r w:rsidRPr="001C27BF">
        <w:rPr>
          <w:rFonts w:ascii="Arial" w:hAnsi="Arial" w:cs="Arial"/>
          <w:b/>
          <w:color w:val="595959" w:themeColor="text1" w:themeTint="A6"/>
        </w:rPr>
        <w:t>14</w:t>
      </w:r>
      <w:r w:rsidRPr="001C27BF">
        <w:rPr>
          <w:rFonts w:ascii="Arial" w:hAnsi="Arial" w:cs="Arial"/>
          <w:color w:val="595959" w:themeColor="text1" w:themeTint="A6"/>
        </w:rPr>
        <w:t>:617–623.</w:t>
      </w:r>
    </w:p>
    <w:p w14:paraId="1228D372" w14:textId="77777777" w:rsidR="00396EB2" w:rsidRPr="001C27BF" w:rsidRDefault="00396EB2" w:rsidP="001C27BF">
      <w:pPr>
        <w:spacing w:line="360" w:lineRule="auto"/>
        <w:jc w:val="both"/>
        <w:rPr>
          <w:rFonts w:ascii="Arial" w:hAnsi="Arial" w:cs="Arial"/>
          <w:color w:val="595959" w:themeColor="text1" w:themeTint="A6"/>
        </w:rPr>
      </w:pPr>
      <w:r w:rsidRPr="001C27BF">
        <w:rPr>
          <w:rFonts w:ascii="Arial" w:hAnsi="Arial" w:cs="Arial"/>
          <w:color w:val="595959" w:themeColor="text1" w:themeTint="A6"/>
        </w:rPr>
        <w:t xml:space="preserve">WOLF K., Alexander S., Schacht V., Coussens L.M, von Andrian U.H., van Rheenen J., Deryugina E., and Friedl P (2009) ‘Collagen-based cell migration models </w:t>
      </w:r>
      <w:r w:rsidRPr="001C27BF">
        <w:rPr>
          <w:rFonts w:ascii="Arial" w:hAnsi="Arial" w:cs="Arial"/>
          <w:i/>
          <w:color w:val="595959" w:themeColor="text1" w:themeTint="A6"/>
        </w:rPr>
        <w:t>in vitro</w:t>
      </w:r>
      <w:r w:rsidRPr="001C27BF">
        <w:rPr>
          <w:rFonts w:ascii="Arial" w:hAnsi="Arial" w:cs="Arial"/>
          <w:color w:val="595959" w:themeColor="text1" w:themeTint="A6"/>
        </w:rPr>
        <w:t xml:space="preserve"> and </w:t>
      </w:r>
      <w:r w:rsidRPr="001C27BF">
        <w:rPr>
          <w:rFonts w:ascii="Arial" w:hAnsi="Arial" w:cs="Arial"/>
          <w:i/>
          <w:color w:val="595959" w:themeColor="text1" w:themeTint="A6"/>
        </w:rPr>
        <w:t>in vivo’</w:t>
      </w:r>
      <w:r w:rsidRPr="001C27BF">
        <w:rPr>
          <w:rFonts w:ascii="Arial" w:hAnsi="Arial" w:cs="Arial"/>
          <w:color w:val="595959" w:themeColor="text1" w:themeTint="A6"/>
        </w:rPr>
        <w:t xml:space="preserve">. </w:t>
      </w:r>
      <w:r w:rsidRPr="001C27BF">
        <w:rPr>
          <w:rFonts w:ascii="Arial" w:hAnsi="Arial" w:cs="Arial"/>
          <w:i/>
          <w:color w:val="595959" w:themeColor="text1" w:themeTint="A6"/>
        </w:rPr>
        <w:t>Semin Cell Dev</w:t>
      </w:r>
      <w:r w:rsidRPr="001C27BF">
        <w:rPr>
          <w:rFonts w:ascii="Arial" w:hAnsi="Arial" w:cs="Arial"/>
          <w:color w:val="595959" w:themeColor="text1" w:themeTint="A6"/>
        </w:rPr>
        <w:t xml:space="preserve"> </w:t>
      </w:r>
      <w:r w:rsidRPr="001C27BF">
        <w:rPr>
          <w:rFonts w:ascii="Arial" w:hAnsi="Arial" w:cs="Arial"/>
          <w:i/>
          <w:color w:val="595959" w:themeColor="text1" w:themeTint="A6"/>
        </w:rPr>
        <w:t>Biol</w:t>
      </w:r>
      <w:r w:rsidRPr="001C27BF">
        <w:rPr>
          <w:rFonts w:ascii="Arial" w:hAnsi="Arial" w:cs="Arial"/>
          <w:color w:val="595959" w:themeColor="text1" w:themeTint="A6"/>
        </w:rPr>
        <w:t xml:space="preserve"> </w:t>
      </w:r>
      <w:r w:rsidRPr="001C27BF">
        <w:rPr>
          <w:rFonts w:ascii="Arial" w:hAnsi="Arial" w:cs="Arial"/>
          <w:b/>
          <w:color w:val="595959" w:themeColor="text1" w:themeTint="A6"/>
        </w:rPr>
        <w:t>20</w:t>
      </w:r>
      <w:r w:rsidRPr="001C27BF">
        <w:rPr>
          <w:rFonts w:ascii="Arial" w:hAnsi="Arial" w:cs="Arial"/>
          <w:color w:val="595959" w:themeColor="text1" w:themeTint="A6"/>
        </w:rPr>
        <w:t>: 931 – 941.</w:t>
      </w:r>
    </w:p>
    <w:p w14:paraId="434465B3" w14:textId="1CE3E6AC" w:rsidR="00396EB2" w:rsidRPr="001C27BF" w:rsidRDefault="00396EB2" w:rsidP="001C27BF">
      <w:pPr>
        <w:spacing w:line="360" w:lineRule="auto"/>
        <w:jc w:val="both"/>
        <w:rPr>
          <w:rFonts w:ascii="Arial" w:hAnsi="Arial" w:cs="Arial"/>
          <w:color w:val="595959" w:themeColor="text1" w:themeTint="A6"/>
        </w:rPr>
      </w:pPr>
      <w:r w:rsidRPr="001C27BF">
        <w:rPr>
          <w:rFonts w:ascii="Arial" w:hAnsi="Arial" w:cs="Arial"/>
          <w:color w:val="595959" w:themeColor="text1" w:themeTint="A6"/>
        </w:rPr>
        <w:t>WYLIE S, MacDonald I</w:t>
      </w:r>
      <w:r w:rsidR="008D6CFD">
        <w:rPr>
          <w:rFonts w:ascii="Arial" w:hAnsi="Arial" w:cs="Arial"/>
          <w:color w:val="595959" w:themeColor="text1" w:themeTint="A6"/>
        </w:rPr>
        <w:t>.</w:t>
      </w:r>
      <w:r w:rsidRPr="001C27BF">
        <w:rPr>
          <w:rFonts w:ascii="Arial" w:hAnsi="Arial" w:cs="Arial"/>
          <w:color w:val="595959" w:themeColor="text1" w:themeTint="A6"/>
        </w:rPr>
        <w:t>C</w:t>
      </w:r>
      <w:r w:rsidR="008D6CFD">
        <w:rPr>
          <w:rFonts w:ascii="Arial" w:hAnsi="Arial" w:cs="Arial"/>
          <w:color w:val="595959" w:themeColor="text1" w:themeTint="A6"/>
        </w:rPr>
        <w:t>.</w:t>
      </w:r>
      <w:r w:rsidRPr="001C27BF">
        <w:rPr>
          <w:rFonts w:ascii="Arial" w:hAnsi="Arial" w:cs="Arial"/>
          <w:color w:val="595959" w:themeColor="text1" w:themeTint="A6"/>
        </w:rPr>
        <w:t>, Varghese H</w:t>
      </w:r>
      <w:r w:rsidR="008D6CFD">
        <w:rPr>
          <w:rFonts w:ascii="Arial" w:hAnsi="Arial" w:cs="Arial"/>
          <w:color w:val="595959" w:themeColor="text1" w:themeTint="A6"/>
        </w:rPr>
        <w:t>.</w:t>
      </w:r>
      <w:r w:rsidRPr="001C27BF">
        <w:rPr>
          <w:rFonts w:ascii="Arial" w:hAnsi="Arial" w:cs="Arial"/>
          <w:color w:val="595959" w:themeColor="text1" w:themeTint="A6"/>
        </w:rPr>
        <w:t>J</w:t>
      </w:r>
      <w:r w:rsidR="008D6CFD">
        <w:rPr>
          <w:rFonts w:ascii="Arial" w:hAnsi="Arial" w:cs="Arial"/>
          <w:color w:val="595959" w:themeColor="text1" w:themeTint="A6"/>
        </w:rPr>
        <w:t>.</w:t>
      </w:r>
      <w:r w:rsidRPr="001C27BF">
        <w:rPr>
          <w:rFonts w:ascii="Arial" w:hAnsi="Arial" w:cs="Arial"/>
          <w:color w:val="595959" w:themeColor="text1" w:themeTint="A6"/>
        </w:rPr>
        <w:t>, Schmidt E</w:t>
      </w:r>
      <w:r w:rsidR="008D6CFD">
        <w:rPr>
          <w:rFonts w:ascii="Arial" w:hAnsi="Arial" w:cs="Arial"/>
          <w:color w:val="595959" w:themeColor="text1" w:themeTint="A6"/>
        </w:rPr>
        <w:t>.</w:t>
      </w:r>
      <w:r w:rsidRPr="001C27BF">
        <w:rPr>
          <w:rFonts w:ascii="Arial" w:hAnsi="Arial" w:cs="Arial"/>
          <w:color w:val="595959" w:themeColor="text1" w:themeTint="A6"/>
        </w:rPr>
        <w:t>E</w:t>
      </w:r>
      <w:r w:rsidR="008D6CFD">
        <w:rPr>
          <w:rFonts w:ascii="Arial" w:hAnsi="Arial" w:cs="Arial"/>
          <w:color w:val="595959" w:themeColor="text1" w:themeTint="A6"/>
        </w:rPr>
        <w:t>.</w:t>
      </w:r>
      <w:r w:rsidRPr="001C27BF">
        <w:rPr>
          <w:rFonts w:ascii="Arial" w:hAnsi="Arial" w:cs="Arial"/>
          <w:color w:val="595959" w:themeColor="text1" w:themeTint="A6"/>
        </w:rPr>
        <w:t>, Morris V</w:t>
      </w:r>
      <w:r w:rsidR="008D6CFD">
        <w:rPr>
          <w:rFonts w:ascii="Arial" w:hAnsi="Arial" w:cs="Arial"/>
          <w:color w:val="595959" w:themeColor="text1" w:themeTint="A6"/>
        </w:rPr>
        <w:t>.</w:t>
      </w:r>
      <w:r w:rsidRPr="001C27BF">
        <w:rPr>
          <w:rFonts w:ascii="Arial" w:hAnsi="Arial" w:cs="Arial"/>
          <w:color w:val="595959" w:themeColor="text1" w:themeTint="A6"/>
        </w:rPr>
        <w:t>L</w:t>
      </w:r>
      <w:r w:rsidR="008D6CFD">
        <w:rPr>
          <w:rFonts w:ascii="Arial" w:hAnsi="Arial" w:cs="Arial"/>
          <w:color w:val="595959" w:themeColor="text1" w:themeTint="A6"/>
        </w:rPr>
        <w:t>.</w:t>
      </w:r>
      <w:r w:rsidRPr="001C27BF">
        <w:rPr>
          <w:rFonts w:ascii="Arial" w:hAnsi="Arial" w:cs="Arial"/>
          <w:color w:val="595959" w:themeColor="text1" w:themeTint="A6"/>
        </w:rPr>
        <w:t>, Groom A</w:t>
      </w:r>
      <w:r w:rsidR="008D6CFD">
        <w:rPr>
          <w:rFonts w:ascii="Arial" w:hAnsi="Arial" w:cs="Arial"/>
          <w:color w:val="595959" w:themeColor="text1" w:themeTint="A6"/>
        </w:rPr>
        <w:t>.</w:t>
      </w:r>
      <w:r w:rsidRPr="001C27BF">
        <w:rPr>
          <w:rFonts w:ascii="Arial" w:hAnsi="Arial" w:cs="Arial"/>
          <w:color w:val="595959" w:themeColor="text1" w:themeTint="A6"/>
        </w:rPr>
        <w:t>C</w:t>
      </w:r>
      <w:r w:rsidR="008D6CFD">
        <w:rPr>
          <w:rFonts w:ascii="Arial" w:hAnsi="Arial" w:cs="Arial"/>
          <w:color w:val="595959" w:themeColor="text1" w:themeTint="A6"/>
        </w:rPr>
        <w:t>.</w:t>
      </w:r>
      <w:r w:rsidRPr="001C27BF">
        <w:rPr>
          <w:rFonts w:ascii="Arial" w:hAnsi="Arial" w:cs="Arial"/>
          <w:color w:val="595959" w:themeColor="text1" w:themeTint="A6"/>
        </w:rPr>
        <w:t xml:space="preserve"> and Chambers A. (1999). ‘The matrix metalloproteinase inhibitor Batimastat inhibits angiogenesis in liver metastases of B16F1 melanoma cells.’ </w:t>
      </w:r>
      <w:r w:rsidRPr="001C27BF">
        <w:rPr>
          <w:rFonts w:ascii="Arial" w:hAnsi="Arial" w:cs="Arial"/>
          <w:i/>
          <w:color w:val="595959" w:themeColor="text1" w:themeTint="A6"/>
        </w:rPr>
        <w:t>Clin Exp Metastasis.</w:t>
      </w:r>
      <w:r w:rsidRPr="001C27BF">
        <w:rPr>
          <w:rFonts w:ascii="Arial" w:hAnsi="Arial" w:cs="Arial"/>
          <w:b/>
          <w:color w:val="595959" w:themeColor="text1" w:themeTint="A6"/>
        </w:rPr>
        <w:t>17</w:t>
      </w:r>
      <w:r w:rsidRPr="001C27BF">
        <w:rPr>
          <w:rFonts w:ascii="Arial" w:hAnsi="Arial" w:cs="Arial"/>
          <w:color w:val="595959" w:themeColor="text1" w:themeTint="A6"/>
        </w:rPr>
        <w:t>(2):111-7.</w:t>
      </w:r>
    </w:p>
    <w:p w14:paraId="31FE6117" w14:textId="77777777" w:rsidR="00396EB2" w:rsidRPr="001C27BF" w:rsidRDefault="00396EB2" w:rsidP="001C27BF">
      <w:pPr>
        <w:spacing w:line="360" w:lineRule="auto"/>
        <w:jc w:val="both"/>
        <w:rPr>
          <w:rFonts w:ascii="Arial" w:hAnsi="Arial" w:cs="Arial"/>
          <w:color w:val="595959" w:themeColor="text1" w:themeTint="A6"/>
        </w:rPr>
      </w:pPr>
      <w:r w:rsidRPr="001C27BF">
        <w:rPr>
          <w:rFonts w:ascii="Arial" w:hAnsi="Arial" w:cs="Arial"/>
          <w:color w:val="595959" w:themeColor="text1" w:themeTint="A6"/>
        </w:rPr>
        <w:t xml:space="preserve">XING, F. Saidou, J. and Watabe, K. (2011). ‘Cancer associated fibroblasts (CAFs) in the tumour microenvironment.’ </w:t>
      </w:r>
      <w:r w:rsidRPr="001C27BF">
        <w:rPr>
          <w:rFonts w:ascii="Arial" w:hAnsi="Arial" w:cs="Arial"/>
          <w:i/>
          <w:color w:val="595959" w:themeColor="text1" w:themeTint="A6"/>
        </w:rPr>
        <w:t>Front Biosci</w:t>
      </w:r>
      <w:r w:rsidRPr="001C27BF">
        <w:rPr>
          <w:rFonts w:ascii="Arial" w:hAnsi="Arial" w:cs="Arial"/>
          <w:color w:val="595959" w:themeColor="text1" w:themeTint="A6"/>
        </w:rPr>
        <w:t xml:space="preserve">; </w:t>
      </w:r>
      <w:r w:rsidRPr="001C27BF">
        <w:rPr>
          <w:rFonts w:ascii="Arial" w:hAnsi="Arial" w:cs="Arial"/>
          <w:b/>
          <w:color w:val="595959" w:themeColor="text1" w:themeTint="A6"/>
        </w:rPr>
        <w:t>15</w:t>
      </w:r>
      <w:r w:rsidRPr="001C27BF">
        <w:rPr>
          <w:rFonts w:ascii="Arial" w:hAnsi="Arial" w:cs="Arial"/>
          <w:color w:val="595959" w:themeColor="text1" w:themeTint="A6"/>
        </w:rPr>
        <w:t xml:space="preserve">: 166-179. </w:t>
      </w:r>
    </w:p>
    <w:p w14:paraId="06DF79C3" w14:textId="77777777" w:rsidR="00396EB2" w:rsidRPr="001C27BF" w:rsidRDefault="00396EB2" w:rsidP="001C27BF">
      <w:pPr>
        <w:spacing w:line="360" w:lineRule="auto"/>
        <w:jc w:val="both"/>
        <w:rPr>
          <w:rFonts w:ascii="Arial" w:hAnsi="Arial" w:cs="Arial"/>
          <w:color w:val="595959" w:themeColor="text1" w:themeTint="A6"/>
        </w:rPr>
      </w:pPr>
      <w:r w:rsidRPr="001C27BF">
        <w:rPr>
          <w:rFonts w:ascii="Arial" w:hAnsi="Arial" w:cs="Arial"/>
          <w:color w:val="595959" w:themeColor="text1" w:themeTint="A6"/>
        </w:rPr>
        <w:t xml:space="preserve">XIONG, J., Balcioglu, H.E., and Danen, E.H (2013). ‘Integrin signalling in control of tumour growth and progression.’ </w:t>
      </w:r>
      <w:r w:rsidRPr="001C27BF">
        <w:rPr>
          <w:rFonts w:ascii="Arial" w:hAnsi="Arial" w:cs="Arial"/>
          <w:i/>
          <w:color w:val="595959" w:themeColor="text1" w:themeTint="A6"/>
        </w:rPr>
        <w:t>Int j biochem cell biol</w:t>
      </w:r>
      <w:r w:rsidRPr="001C27BF">
        <w:rPr>
          <w:rFonts w:ascii="Arial" w:hAnsi="Arial" w:cs="Arial"/>
          <w:color w:val="595959" w:themeColor="text1" w:themeTint="A6"/>
        </w:rPr>
        <w:t xml:space="preserve">, </w:t>
      </w:r>
      <w:r w:rsidRPr="001C27BF">
        <w:rPr>
          <w:rFonts w:ascii="Arial" w:hAnsi="Arial" w:cs="Arial"/>
          <w:b/>
          <w:color w:val="595959" w:themeColor="text1" w:themeTint="A6"/>
        </w:rPr>
        <w:t>45</w:t>
      </w:r>
      <w:r w:rsidRPr="001C27BF">
        <w:rPr>
          <w:rFonts w:ascii="Arial" w:hAnsi="Arial" w:cs="Arial"/>
          <w:color w:val="595959" w:themeColor="text1" w:themeTint="A6"/>
        </w:rPr>
        <w:t>: 1012-1015.</w:t>
      </w:r>
    </w:p>
    <w:p w14:paraId="464EEF7A" w14:textId="77777777" w:rsidR="00396EB2" w:rsidRPr="001C27BF" w:rsidRDefault="00396EB2" w:rsidP="001C27BF">
      <w:pPr>
        <w:spacing w:line="360" w:lineRule="auto"/>
        <w:jc w:val="both"/>
        <w:rPr>
          <w:rFonts w:ascii="Arial" w:hAnsi="Arial" w:cs="Arial"/>
          <w:color w:val="595959" w:themeColor="text1" w:themeTint="A6"/>
        </w:rPr>
      </w:pPr>
      <w:r w:rsidRPr="001C27BF">
        <w:rPr>
          <w:rFonts w:ascii="Arial" w:hAnsi="Arial" w:cs="Arial"/>
          <w:color w:val="595959" w:themeColor="text1" w:themeTint="A6"/>
        </w:rPr>
        <w:t xml:space="preserve">YU S.T., Chen L, Wang H.J, Tang X.D, Fang D.C, and Yang SM (2009). ‘hTERT promotes the invasion of telomerase-negative tumour cells </w:t>
      </w:r>
      <w:r w:rsidRPr="001C27BF">
        <w:rPr>
          <w:rFonts w:ascii="Arial" w:hAnsi="Arial" w:cs="Arial"/>
          <w:i/>
          <w:color w:val="595959" w:themeColor="text1" w:themeTint="A6"/>
        </w:rPr>
        <w:t>in vitro’</w:t>
      </w:r>
      <w:r w:rsidRPr="001C27BF">
        <w:rPr>
          <w:rFonts w:ascii="Arial" w:hAnsi="Arial" w:cs="Arial"/>
          <w:color w:val="595959" w:themeColor="text1" w:themeTint="A6"/>
        </w:rPr>
        <w:t xml:space="preserve">. </w:t>
      </w:r>
      <w:r w:rsidRPr="001C27BF">
        <w:rPr>
          <w:rFonts w:ascii="Arial" w:hAnsi="Arial" w:cs="Arial"/>
          <w:i/>
          <w:color w:val="595959" w:themeColor="text1" w:themeTint="A6"/>
        </w:rPr>
        <w:t>Int J Oncol</w:t>
      </w:r>
      <w:r w:rsidRPr="001C27BF">
        <w:rPr>
          <w:rFonts w:ascii="Arial" w:hAnsi="Arial" w:cs="Arial"/>
          <w:color w:val="595959" w:themeColor="text1" w:themeTint="A6"/>
        </w:rPr>
        <w:t xml:space="preserve"> </w:t>
      </w:r>
      <w:r w:rsidRPr="001C27BF">
        <w:rPr>
          <w:rFonts w:ascii="Arial" w:hAnsi="Arial" w:cs="Arial"/>
          <w:b/>
          <w:color w:val="595959" w:themeColor="text1" w:themeTint="A6"/>
        </w:rPr>
        <w:t>35</w:t>
      </w:r>
      <w:r w:rsidRPr="001C27BF">
        <w:rPr>
          <w:rFonts w:ascii="Arial" w:hAnsi="Arial" w:cs="Arial"/>
          <w:color w:val="595959" w:themeColor="text1" w:themeTint="A6"/>
        </w:rPr>
        <w:t>: 329–336</w:t>
      </w:r>
    </w:p>
    <w:p w14:paraId="5D45F9A7" w14:textId="77777777" w:rsidR="00396EB2" w:rsidRPr="001C27BF" w:rsidRDefault="00396EB2" w:rsidP="001C27BF">
      <w:pPr>
        <w:spacing w:line="360" w:lineRule="auto"/>
        <w:jc w:val="both"/>
        <w:rPr>
          <w:rFonts w:ascii="Arial" w:hAnsi="Arial" w:cs="Arial"/>
          <w:color w:val="595959" w:themeColor="text1" w:themeTint="A6"/>
        </w:rPr>
      </w:pPr>
      <w:r w:rsidRPr="001C27BF">
        <w:rPr>
          <w:rFonts w:ascii="Arial" w:hAnsi="Arial" w:cs="Arial"/>
          <w:color w:val="595959" w:themeColor="text1" w:themeTint="A6"/>
        </w:rPr>
        <w:t xml:space="preserve">YURCHENCO, P.D., and Wadsworth W.G. (2004). ‘Assembly and tissue functions of early embryonic laminins and netrins’. </w:t>
      </w:r>
      <w:r w:rsidRPr="001C27BF">
        <w:rPr>
          <w:rFonts w:ascii="Arial" w:hAnsi="Arial" w:cs="Arial"/>
          <w:i/>
          <w:color w:val="595959" w:themeColor="text1" w:themeTint="A6"/>
        </w:rPr>
        <w:t>Curr Opin Cell Biol</w:t>
      </w:r>
      <w:r w:rsidRPr="001C27BF">
        <w:rPr>
          <w:rFonts w:ascii="Arial" w:hAnsi="Arial" w:cs="Arial"/>
          <w:color w:val="595959" w:themeColor="text1" w:themeTint="A6"/>
        </w:rPr>
        <w:t>;</w:t>
      </w:r>
      <w:r w:rsidRPr="001C27BF">
        <w:rPr>
          <w:rFonts w:ascii="Arial" w:hAnsi="Arial" w:cs="Arial"/>
          <w:b/>
          <w:color w:val="595959" w:themeColor="text1" w:themeTint="A6"/>
        </w:rPr>
        <w:t>16</w:t>
      </w:r>
      <w:r w:rsidRPr="001C27BF">
        <w:rPr>
          <w:rFonts w:ascii="Arial" w:hAnsi="Arial" w:cs="Arial"/>
          <w:color w:val="595959" w:themeColor="text1" w:themeTint="A6"/>
        </w:rPr>
        <w:t>: 572–579.</w:t>
      </w:r>
    </w:p>
    <w:p w14:paraId="60876FCE" w14:textId="77777777" w:rsidR="00396EB2" w:rsidRPr="001C27BF" w:rsidRDefault="00396EB2" w:rsidP="001C27BF">
      <w:pPr>
        <w:spacing w:line="360" w:lineRule="auto"/>
        <w:jc w:val="both"/>
        <w:rPr>
          <w:rFonts w:ascii="Arial" w:hAnsi="Arial" w:cs="Arial"/>
          <w:color w:val="595959" w:themeColor="text1" w:themeTint="A6"/>
        </w:rPr>
      </w:pPr>
      <w:r w:rsidRPr="001C27BF">
        <w:rPr>
          <w:rFonts w:ascii="Arial" w:hAnsi="Arial" w:cs="Arial"/>
          <w:color w:val="595959" w:themeColor="text1" w:themeTint="A6"/>
        </w:rPr>
        <w:t xml:space="preserve">ZHOU, J. Tao, D. Xu, Q. Gao, Z. and Tang, P (2015). ‘Expression of E-cadherin and vimentin in oral squamous cell carcinoma.’ </w:t>
      </w:r>
      <w:r w:rsidRPr="001C27BF">
        <w:rPr>
          <w:rFonts w:ascii="Arial" w:hAnsi="Arial" w:cs="Arial"/>
          <w:i/>
          <w:color w:val="595959" w:themeColor="text1" w:themeTint="A6"/>
        </w:rPr>
        <w:t>Int J Clin Exp Pathol</w:t>
      </w:r>
      <w:r w:rsidRPr="001C27BF">
        <w:rPr>
          <w:rFonts w:ascii="Arial" w:hAnsi="Arial" w:cs="Arial"/>
          <w:color w:val="595959" w:themeColor="text1" w:themeTint="A6"/>
        </w:rPr>
        <w:t>;</w:t>
      </w:r>
      <w:r w:rsidRPr="001C27BF">
        <w:rPr>
          <w:rFonts w:ascii="Arial" w:hAnsi="Arial" w:cs="Arial"/>
          <w:b/>
          <w:color w:val="595959" w:themeColor="text1" w:themeTint="A6"/>
        </w:rPr>
        <w:t>8</w:t>
      </w:r>
      <w:r w:rsidRPr="001C27BF">
        <w:rPr>
          <w:rFonts w:ascii="Arial" w:hAnsi="Arial" w:cs="Arial"/>
          <w:color w:val="595959" w:themeColor="text1" w:themeTint="A6"/>
        </w:rPr>
        <w:t>(3):3150-3154.</w:t>
      </w:r>
    </w:p>
    <w:p w14:paraId="46D92081" w14:textId="77777777" w:rsidR="00396EB2" w:rsidRPr="001C27BF" w:rsidRDefault="00396EB2" w:rsidP="001C27BF">
      <w:pPr>
        <w:spacing w:after="0" w:line="360" w:lineRule="auto"/>
        <w:jc w:val="both"/>
        <w:rPr>
          <w:rFonts w:ascii="Arial" w:eastAsia="Times New Roman" w:hAnsi="Arial" w:cs="Arial"/>
          <w:color w:val="595959" w:themeColor="text1" w:themeTint="A6"/>
          <w:lang w:val="en-US"/>
        </w:rPr>
      </w:pPr>
      <w:r w:rsidRPr="001C27BF">
        <w:rPr>
          <w:rFonts w:ascii="Arial" w:eastAsia="Times New Roman" w:hAnsi="Arial" w:cs="Arial"/>
          <w:color w:val="595959" w:themeColor="text1" w:themeTint="A6"/>
          <w:lang w:val="en-US"/>
        </w:rPr>
        <w:t xml:space="preserve">ZIOBER B.L, Turner M.A, Palefsky JM, Banda, M.J and Kramer R.H. (2000). ‘Type 1 collagen degradation by invasive oral squamous cell carcinoma.’ </w:t>
      </w:r>
      <w:r w:rsidRPr="001C27BF">
        <w:rPr>
          <w:rFonts w:ascii="Arial" w:eastAsia="Times New Roman" w:hAnsi="Arial" w:cs="Arial"/>
          <w:i/>
          <w:color w:val="595959" w:themeColor="text1" w:themeTint="A6"/>
          <w:lang w:val="en-US"/>
        </w:rPr>
        <w:t>Oral oncology,</w:t>
      </w:r>
      <w:r w:rsidRPr="001C27BF">
        <w:rPr>
          <w:rFonts w:ascii="Arial" w:eastAsia="Times New Roman" w:hAnsi="Arial" w:cs="Arial"/>
          <w:color w:val="595959" w:themeColor="text1" w:themeTint="A6"/>
          <w:lang w:val="en-US"/>
        </w:rPr>
        <w:t xml:space="preserve"> </w:t>
      </w:r>
      <w:r w:rsidRPr="001C27BF">
        <w:rPr>
          <w:rFonts w:ascii="Arial" w:eastAsia="Times New Roman" w:hAnsi="Arial" w:cs="Arial"/>
          <w:b/>
          <w:color w:val="595959" w:themeColor="text1" w:themeTint="A6"/>
          <w:lang w:val="en-US"/>
        </w:rPr>
        <w:t>36,</w:t>
      </w:r>
      <w:r w:rsidRPr="001C27BF">
        <w:rPr>
          <w:rFonts w:ascii="Arial" w:eastAsia="Times New Roman" w:hAnsi="Arial" w:cs="Arial"/>
          <w:color w:val="595959" w:themeColor="text1" w:themeTint="A6"/>
          <w:lang w:val="en-US"/>
        </w:rPr>
        <w:t xml:space="preserve"> 365-372. </w:t>
      </w:r>
    </w:p>
    <w:p w14:paraId="1EC2185B" w14:textId="77777777" w:rsidR="00396EB2" w:rsidRDefault="00396EB2" w:rsidP="00396EB2">
      <w:pPr>
        <w:spacing w:line="480" w:lineRule="auto"/>
        <w:jc w:val="both"/>
        <w:rPr>
          <w:rFonts w:ascii="Arial" w:hAnsi="Arial" w:cs="Arial"/>
          <w:color w:val="595959" w:themeColor="text1" w:themeTint="A6"/>
          <w:szCs w:val="24"/>
        </w:rPr>
      </w:pPr>
    </w:p>
    <w:p w14:paraId="248B08E5" w14:textId="04E0FBCE" w:rsidR="001D7E29" w:rsidRDefault="001D7E29" w:rsidP="008C21BF">
      <w:pPr>
        <w:spacing w:line="480" w:lineRule="auto"/>
        <w:ind w:firstLine="720"/>
        <w:jc w:val="both"/>
        <w:rPr>
          <w:rFonts w:ascii="Arial" w:hAnsi="Arial" w:cs="Arial"/>
          <w:color w:val="595959" w:themeColor="text1" w:themeTint="A6"/>
          <w:szCs w:val="24"/>
        </w:rPr>
      </w:pPr>
    </w:p>
    <w:p w14:paraId="4628D3AB" w14:textId="274D2C0D" w:rsidR="001D7E29" w:rsidRDefault="001D7E29" w:rsidP="008C21BF">
      <w:pPr>
        <w:spacing w:line="480" w:lineRule="auto"/>
        <w:ind w:firstLine="720"/>
        <w:jc w:val="both"/>
        <w:rPr>
          <w:rFonts w:ascii="Arial" w:hAnsi="Arial" w:cs="Arial"/>
          <w:color w:val="595959" w:themeColor="text1" w:themeTint="A6"/>
          <w:szCs w:val="24"/>
        </w:rPr>
      </w:pPr>
    </w:p>
    <w:p w14:paraId="55216A64" w14:textId="61869F7E" w:rsidR="001D7E29" w:rsidRDefault="001D7E29" w:rsidP="00124205">
      <w:pPr>
        <w:spacing w:line="480" w:lineRule="auto"/>
        <w:jc w:val="both"/>
        <w:rPr>
          <w:rFonts w:ascii="Arial" w:hAnsi="Arial" w:cs="Arial"/>
          <w:color w:val="595959" w:themeColor="text1" w:themeTint="A6"/>
          <w:szCs w:val="24"/>
        </w:rPr>
      </w:pPr>
    </w:p>
    <w:sectPr w:rsidR="001D7E29" w:rsidSect="00DB4081">
      <w:footerReference w:type="default" r:id="rId268"/>
      <w:pgSz w:w="11906" w:h="16838"/>
      <w:pgMar w:top="1440" w:right="1440" w:bottom="1440" w:left="1440" w:header="708" w:footer="708" w:gutter="0"/>
      <w:pgNumType w:fmt="numberInDash"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4BF0C64" w14:textId="77777777" w:rsidR="007B378B" w:rsidRDefault="007B378B" w:rsidP="001F1C63">
      <w:pPr>
        <w:spacing w:after="0" w:line="240" w:lineRule="auto"/>
      </w:pPr>
      <w:r>
        <w:separator/>
      </w:r>
    </w:p>
  </w:endnote>
  <w:endnote w:type="continuationSeparator" w:id="0">
    <w:p w14:paraId="6D524A00" w14:textId="77777777" w:rsidR="007B378B" w:rsidRDefault="007B378B" w:rsidP="001F1C63">
      <w:pPr>
        <w:spacing w:after="0" w:line="240" w:lineRule="auto"/>
      </w:pPr>
      <w:r>
        <w:continuationSeparator/>
      </w:r>
    </w:p>
  </w:endnote>
  <w:endnote w:type="continuationNotice" w:id="1">
    <w:p w14:paraId="281A4181" w14:textId="77777777" w:rsidR="007B378B" w:rsidRDefault="007B378B">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DengXian Light">
    <w:charset w:val="86"/>
    <w:family w:val="auto"/>
    <w:pitch w:val="variable"/>
    <w:sig w:usb0="A00002BF" w:usb1="38CF7CFA" w:usb2="00000016" w:usb3="00000000" w:csb0="0004000F" w:csb1="00000000"/>
  </w:font>
  <w:font w:name="Segoe UI">
    <w:panose1 w:val="020B0502040204020203"/>
    <w:charset w:val="00"/>
    <w:family w:val="swiss"/>
    <w:pitch w:val="variable"/>
    <w:sig w:usb0="E4002EFF" w:usb1="C000E47F"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SimSun">
    <w:altName w:val="宋体"/>
    <w:panose1 w:val="02010600030101010101"/>
    <w:charset w:val="86"/>
    <w:family w:val="auto"/>
    <w:pitch w:val="variable"/>
    <w:sig w:usb0="00000003" w:usb1="288F0000" w:usb2="00000016" w:usb3="00000000" w:csb0="00040001" w:csb1="00000000"/>
  </w:font>
  <w:font w:name="Arial Narrow">
    <w:altName w:val="Arial Narrow"/>
    <w:charset w:val="00"/>
    <w:family w:val="swiss"/>
    <w:pitch w:val="variable"/>
    <w:sig w:usb0="00000287" w:usb1="00000800" w:usb2="00000000" w:usb3="00000000" w:csb0="0000009F" w:csb1="00000000"/>
  </w:font>
  <w:font w:name="Times">
    <w:panose1 w:val="02020603050405020304"/>
    <w:charset w:val="00"/>
    <w:family w:val="roman"/>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000799685"/>
      <w:docPartObj>
        <w:docPartGallery w:val="Page Numbers (Bottom of Page)"/>
        <w:docPartUnique/>
      </w:docPartObj>
    </w:sdtPr>
    <w:sdtEndPr>
      <w:rPr>
        <w:noProof/>
      </w:rPr>
    </w:sdtEndPr>
    <w:sdtContent>
      <w:p w14:paraId="4708A5C7" w14:textId="102B24BF" w:rsidR="008A47AC" w:rsidRDefault="008A47AC">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4AC9F99" w14:textId="77777777" w:rsidR="008A47AC" w:rsidRDefault="008A47A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4D5B5E1" w14:textId="5371E3F5" w:rsidR="008A47AC" w:rsidRDefault="008A47AC">
    <w:pPr>
      <w:pStyle w:val="Footer"/>
    </w:pPr>
    <w: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683559612"/>
      <w:docPartObj>
        <w:docPartGallery w:val="Page Numbers (Bottom of Page)"/>
        <w:docPartUnique/>
      </w:docPartObj>
    </w:sdtPr>
    <w:sdtEndPr>
      <w:rPr>
        <w:noProof/>
      </w:rPr>
    </w:sdtEndPr>
    <w:sdtContent>
      <w:p w14:paraId="39DBB9DD" w14:textId="77946E7A" w:rsidR="008A47AC" w:rsidRDefault="008A47AC">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756E5A84" w14:textId="33E02AEE" w:rsidR="008A47AC" w:rsidRDefault="008A47AC">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228963429"/>
      <w:docPartObj>
        <w:docPartGallery w:val="Page Numbers (Bottom of Page)"/>
        <w:docPartUnique/>
      </w:docPartObj>
    </w:sdtPr>
    <w:sdtEndPr>
      <w:rPr>
        <w:noProof/>
      </w:rPr>
    </w:sdtEndPr>
    <w:sdtContent>
      <w:p w14:paraId="5BB52FAB" w14:textId="08357B95" w:rsidR="008A47AC" w:rsidRDefault="008A47AC">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527ED59" w14:textId="77777777" w:rsidR="008A47AC" w:rsidRDefault="008A47A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CBF3121" w14:textId="77777777" w:rsidR="007B378B" w:rsidRDefault="007B378B" w:rsidP="001F1C63">
      <w:pPr>
        <w:spacing w:after="0" w:line="240" w:lineRule="auto"/>
      </w:pPr>
      <w:r>
        <w:separator/>
      </w:r>
    </w:p>
  </w:footnote>
  <w:footnote w:type="continuationSeparator" w:id="0">
    <w:p w14:paraId="59F39282" w14:textId="77777777" w:rsidR="007B378B" w:rsidRDefault="007B378B" w:rsidP="001F1C63">
      <w:pPr>
        <w:spacing w:after="0" w:line="240" w:lineRule="auto"/>
      </w:pPr>
      <w:r>
        <w:continuationSeparator/>
      </w:r>
    </w:p>
  </w:footnote>
  <w:footnote w:type="continuationNotice" w:id="1">
    <w:p w14:paraId="27BDEF72" w14:textId="77777777" w:rsidR="007B378B" w:rsidRDefault="007B378B">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F18590A" w14:textId="3D3A197B" w:rsidR="008A47AC" w:rsidRDefault="008A47AC">
    <w:pPr>
      <w:pStyle w:val="Header"/>
    </w:pPr>
  </w:p>
  <w:p w14:paraId="78F064A3" w14:textId="77777777" w:rsidR="008A47AC" w:rsidRDefault="008A47A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3" type="#_x0000_t75" style="width:25.55pt;height:30.05pt;visibility:visible;mso-wrap-style:square" o:bullet="t">
        <v:imagedata r:id="rId1" o:title=""/>
      </v:shape>
    </w:pict>
  </w:numPicBullet>
  <w:abstractNum w:abstractNumId="0" w15:restartNumberingAfterBreak="0">
    <w:nsid w:val="02971107"/>
    <w:multiLevelType w:val="multilevel"/>
    <w:tmpl w:val="C82E15AE"/>
    <w:lvl w:ilvl="0">
      <w:start w:val="1"/>
      <w:numFmt w:val="decimal"/>
      <w:lvlText w:val="%1"/>
      <w:lvlJc w:val="left"/>
      <w:pPr>
        <w:ind w:left="530" w:hanging="530"/>
      </w:pPr>
      <w:rPr>
        <w:rFonts w:hint="default"/>
      </w:rPr>
    </w:lvl>
    <w:lvl w:ilvl="1">
      <w:start w:val="5"/>
      <w:numFmt w:val="decimal"/>
      <w:lvlText w:val="%1.%2"/>
      <w:lvlJc w:val="left"/>
      <w:pPr>
        <w:ind w:left="530" w:hanging="53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 w15:restartNumberingAfterBreak="0">
    <w:nsid w:val="05FF425F"/>
    <w:multiLevelType w:val="hybridMultilevel"/>
    <w:tmpl w:val="E564D2AC"/>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91D4841"/>
    <w:multiLevelType w:val="hybridMultilevel"/>
    <w:tmpl w:val="6DE0B73C"/>
    <w:lvl w:ilvl="0" w:tplc="8482E428">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D3B42CD"/>
    <w:multiLevelType w:val="hybridMultilevel"/>
    <w:tmpl w:val="D820D1C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04F5F37"/>
    <w:multiLevelType w:val="multilevel"/>
    <w:tmpl w:val="285E232C"/>
    <w:lvl w:ilvl="0">
      <w:start w:val="1"/>
      <w:numFmt w:val="decimal"/>
      <w:lvlText w:val="%1."/>
      <w:lvlJc w:val="left"/>
      <w:pPr>
        <w:ind w:left="465" w:hanging="465"/>
      </w:pPr>
      <w:rPr>
        <w:rFonts w:hint="default"/>
      </w:rPr>
    </w:lvl>
    <w:lvl w:ilvl="1">
      <w:start w:val="1"/>
      <w:numFmt w:val="decimal"/>
      <w:lvlText w:val="%1.%2."/>
      <w:lvlJc w:val="left"/>
      <w:pPr>
        <w:ind w:left="465" w:hanging="46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11755D72"/>
    <w:multiLevelType w:val="multilevel"/>
    <w:tmpl w:val="489CF0B2"/>
    <w:lvl w:ilvl="0">
      <w:start w:val="1"/>
      <w:numFmt w:val="decimal"/>
      <w:lvlText w:val="%1"/>
      <w:lvlJc w:val="left"/>
      <w:pPr>
        <w:ind w:left="660" w:hanging="660"/>
      </w:pPr>
      <w:rPr>
        <w:rFonts w:hint="default"/>
      </w:rPr>
    </w:lvl>
    <w:lvl w:ilvl="1">
      <w:start w:val="6"/>
      <w:numFmt w:val="decimal"/>
      <w:lvlText w:val="%1.%2"/>
      <w:lvlJc w:val="left"/>
      <w:pPr>
        <w:ind w:left="1320" w:hanging="720"/>
      </w:pPr>
      <w:rPr>
        <w:rFonts w:hint="default"/>
      </w:rPr>
    </w:lvl>
    <w:lvl w:ilvl="2">
      <w:start w:val="1"/>
      <w:numFmt w:val="decimal"/>
      <w:lvlText w:val="%1.%2.%3"/>
      <w:lvlJc w:val="left"/>
      <w:pPr>
        <w:ind w:left="2280" w:hanging="1080"/>
      </w:pPr>
      <w:rPr>
        <w:rFonts w:hint="default"/>
      </w:rPr>
    </w:lvl>
    <w:lvl w:ilvl="3">
      <w:start w:val="1"/>
      <w:numFmt w:val="decimal"/>
      <w:lvlText w:val="%1.%2.%3.%4"/>
      <w:lvlJc w:val="left"/>
      <w:pPr>
        <w:ind w:left="3600" w:hanging="1800"/>
      </w:pPr>
      <w:rPr>
        <w:rFonts w:hint="default"/>
      </w:rPr>
    </w:lvl>
    <w:lvl w:ilvl="4">
      <w:start w:val="1"/>
      <w:numFmt w:val="decimal"/>
      <w:lvlText w:val="%1.%2.%3.%4.%5"/>
      <w:lvlJc w:val="left"/>
      <w:pPr>
        <w:ind w:left="4560" w:hanging="2160"/>
      </w:pPr>
      <w:rPr>
        <w:rFonts w:hint="default"/>
      </w:rPr>
    </w:lvl>
    <w:lvl w:ilvl="5">
      <w:start w:val="1"/>
      <w:numFmt w:val="decimal"/>
      <w:lvlText w:val="%1.%2.%3.%4.%5.%6"/>
      <w:lvlJc w:val="left"/>
      <w:pPr>
        <w:ind w:left="5520" w:hanging="2520"/>
      </w:pPr>
      <w:rPr>
        <w:rFonts w:hint="default"/>
      </w:rPr>
    </w:lvl>
    <w:lvl w:ilvl="6">
      <w:start w:val="1"/>
      <w:numFmt w:val="decimal"/>
      <w:lvlText w:val="%1.%2.%3.%4.%5.%6.%7"/>
      <w:lvlJc w:val="left"/>
      <w:pPr>
        <w:ind w:left="6480" w:hanging="2880"/>
      </w:pPr>
      <w:rPr>
        <w:rFonts w:hint="default"/>
      </w:rPr>
    </w:lvl>
    <w:lvl w:ilvl="7">
      <w:start w:val="1"/>
      <w:numFmt w:val="decimal"/>
      <w:lvlText w:val="%1.%2.%3.%4.%5.%6.%7.%8"/>
      <w:lvlJc w:val="left"/>
      <w:pPr>
        <w:ind w:left="7440" w:hanging="3240"/>
      </w:pPr>
      <w:rPr>
        <w:rFonts w:hint="default"/>
      </w:rPr>
    </w:lvl>
    <w:lvl w:ilvl="8">
      <w:start w:val="1"/>
      <w:numFmt w:val="decimal"/>
      <w:lvlText w:val="%1.%2.%3.%4.%5.%6.%7.%8.%9"/>
      <w:lvlJc w:val="left"/>
      <w:pPr>
        <w:ind w:left="8400" w:hanging="3600"/>
      </w:pPr>
      <w:rPr>
        <w:rFonts w:hint="default"/>
      </w:rPr>
    </w:lvl>
  </w:abstractNum>
  <w:abstractNum w:abstractNumId="6" w15:restartNumberingAfterBreak="0">
    <w:nsid w:val="158425CB"/>
    <w:multiLevelType w:val="multilevel"/>
    <w:tmpl w:val="61CC2324"/>
    <w:lvl w:ilvl="0">
      <w:start w:val="2"/>
      <w:numFmt w:val="decimal"/>
      <w:lvlText w:val="%1"/>
      <w:lvlJc w:val="left"/>
      <w:pPr>
        <w:ind w:left="480" w:hanging="480"/>
      </w:pPr>
      <w:rPr>
        <w:rFonts w:hint="default"/>
      </w:rPr>
    </w:lvl>
    <w:lvl w:ilvl="1">
      <w:start w:val="4"/>
      <w:numFmt w:val="decimal"/>
      <w:lvlText w:val="%1.%2"/>
      <w:lvlJc w:val="left"/>
      <w:pPr>
        <w:ind w:left="480" w:hanging="48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15:restartNumberingAfterBreak="0">
    <w:nsid w:val="168658E0"/>
    <w:multiLevelType w:val="hybridMultilevel"/>
    <w:tmpl w:val="9C725692"/>
    <w:lvl w:ilvl="0" w:tplc="8138DC08">
      <w:start w:val="1"/>
      <w:numFmt w:val="bullet"/>
      <w:lvlText w:val="•"/>
      <w:lvlJc w:val="left"/>
      <w:pPr>
        <w:tabs>
          <w:tab w:val="num" w:pos="720"/>
        </w:tabs>
        <w:ind w:left="720" w:hanging="360"/>
      </w:pPr>
      <w:rPr>
        <w:rFonts w:ascii="Arial" w:hAnsi="Arial" w:hint="default"/>
      </w:rPr>
    </w:lvl>
    <w:lvl w:ilvl="1" w:tplc="B78CEBBE" w:tentative="1">
      <w:start w:val="1"/>
      <w:numFmt w:val="bullet"/>
      <w:lvlText w:val="•"/>
      <w:lvlJc w:val="left"/>
      <w:pPr>
        <w:tabs>
          <w:tab w:val="num" w:pos="1440"/>
        </w:tabs>
        <w:ind w:left="1440" w:hanging="360"/>
      </w:pPr>
      <w:rPr>
        <w:rFonts w:ascii="Arial" w:hAnsi="Arial" w:hint="default"/>
      </w:rPr>
    </w:lvl>
    <w:lvl w:ilvl="2" w:tplc="56F460B4" w:tentative="1">
      <w:start w:val="1"/>
      <w:numFmt w:val="bullet"/>
      <w:lvlText w:val="•"/>
      <w:lvlJc w:val="left"/>
      <w:pPr>
        <w:tabs>
          <w:tab w:val="num" w:pos="2160"/>
        </w:tabs>
        <w:ind w:left="2160" w:hanging="360"/>
      </w:pPr>
      <w:rPr>
        <w:rFonts w:ascii="Arial" w:hAnsi="Arial" w:hint="default"/>
      </w:rPr>
    </w:lvl>
    <w:lvl w:ilvl="3" w:tplc="447CB722" w:tentative="1">
      <w:start w:val="1"/>
      <w:numFmt w:val="bullet"/>
      <w:lvlText w:val="•"/>
      <w:lvlJc w:val="left"/>
      <w:pPr>
        <w:tabs>
          <w:tab w:val="num" w:pos="2880"/>
        </w:tabs>
        <w:ind w:left="2880" w:hanging="360"/>
      </w:pPr>
      <w:rPr>
        <w:rFonts w:ascii="Arial" w:hAnsi="Arial" w:hint="default"/>
      </w:rPr>
    </w:lvl>
    <w:lvl w:ilvl="4" w:tplc="4086E6FA" w:tentative="1">
      <w:start w:val="1"/>
      <w:numFmt w:val="bullet"/>
      <w:lvlText w:val="•"/>
      <w:lvlJc w:val="left"/>
      <w:pPr>
        <w:tabs>
          <w:tab w:val="num" w:pos="3600"/>
        </w:tabs>
        <w:ind w:left="3600" w:hanging="360"/>
      </w:pPr>
      <w:rPr>
        <w:rFonts w:ascii="Arial" w:hAnsi="Arial" w:hint="default"/>
      </w:rPr>
    </w:lvl>
    <w:lvl w:ilvl="5" w:tplc="891C7108" w:tentative="1">
      <w:start w:val="1"/>
      <w:numFmt w:val="bullet"/>
      <w:lvlText w:val="•"/>
      <w:lvlJc w:val="left"/>
      <w:pPr>
        <w:tabs>
          <w:tab w:val="num" w:pos="4320"/>
        </w:tabs>
        <w:ind w:left="4320" w:hanging="360"/>
      </w:pPr>
      <w:rPr>
        <w:rFonts w:ascii="Arial" w:hAnsi="Arial" w:hint="default"/>
      </w:rPr>
    </w:lvl>
    <w:lvl w:ilvl="6" w:tplc="98C2E248" w:tentative="1">
      <w:start w:val="1"/>
      <w:numFmt w:val="bullet"/>
      <w:lvlText w:val="•"/>
      <w:lvlJc w:val="left"/>
      <w:pPr>
        <w:tabs>
          <w:tab w:val="num" w:pos="5040"/>
        </w:tabs>
        <w:ind w:left="5040" w:hanging="360"/>
      </w:pPr>
      <w:rPr>
        <w:rFonts w:ascii="Arial" w:hAnsi="Arial" w:hint="default"/>
      </w:rPr>
    </w:lvl>
    <w:lvl w:ilvl="7" w:tplc="A552B8C6" w:tentative="1">
      <w:start w:val="1"/>
      <w:numFmt w:val="bullet"/>
      <w:lvlText w:val="•"/>
      <w:lvlJc w:val="left"/>
      <w:pPr>
        <w:tabs>
          <w:tab w:val="num" w:pos="5760"/>
        </w:tabs>
        <w:ind w:left="5760" w:hanging="360"/>
      </w:pPr>
      <w:rPr>
        <w:rFonts w:ascii="Arial" w:hAnsi="Arial" w:hint="default"/>
      </w:rPr>
    </w:lvl>
    <w:lvl w:ilvl="8" w:tplc="38EE555A"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184D6C25"/>
    <w:multiLevelType w:val="multilevel"/>
    <w:tmpl w:val="200A67E2"/>
    <w:lvl w:ilvl="0">
      <w:start w:val="1"/>
      <w:numFmt w:val="decimal"/>
      <w:lvlText w:val="%1"/>
      <w:lvlJc w:val="left"/>
      <w:pPr>
        <w:ind w:left="660" w:hanging="660"/>
      </w:pPr>
      <w:rPr>
        <w:rFonts w:hint="default"/>
      </w:rPr>
    </w:lvl>
    <w:lvl w:ilvl="1">
      <w:start w:val="3"/>
      <w:numFmt w:val="decimal"/>
      <w:lvlText w:val="%1.%2"/>
      <w:lvlJc w:val="left"/>
      <w:pPr>
        <w:ind w:left="660" w:hanging="6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9" w15:restartNumberingAfterBreak="0">
    <w:nsid w:val="189A7C0F"/>
    <w:multiLevelType w:val="hybridMultilevel"/>
    <w:tmpl w:val="93D2876C"/>
    <w:lvl w:ilvl="0" w:tplc="4A76EB54">
      <w:start w:val="500"/>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19BD2ACE"/>
    <w:multiLevelType w:val="hybridMultilevel"/>
    <w:tmpl w:val="AADEADB6"/>
    <w:lvl w:ilvl="0" w:tplc="93886B6C">
      <w:start w:val="1"/>
      <w:numFmt w:val="bullet"/>
      <w:lvlText w:val="•"/>
      <w:lvlJc w:val="left"/>
      <w:pPr>
        <w:tabs>
          <w:tab w:val="num" w:pos="720"/>
        </w:tabs>
        <w:ind w:left="720" w:hanging="360"/>
      </w:pPr>
      <w:rPr>
        <w:rFonts w:ascii="Arial" w:hAnsi="Arial" w:hint="default"/>
      </w:rPr>
    </w:lvl>
    <w:lvl w:ilvl="1" w:tplc="9A923EA0" w:tentative="1">
      <w:start w:val="1"/>
      <w:numFmt w:val="bullet"/>
      <w:lvlText w:val="•"/>
      <w:lvlJc w:val="left"/>
      <w:pPr>
        <w:tabs>
          <w:tab w:val="num" w:pos="1440"/>
        </w:tabs>
        <w:ind w:left="1440" w:hanging="360"/>
      </w:pPr>
      <w:rPr>
        <w:rFonts w:ascii="Arial" w:hAnsi="Arial" w:hint="default"/>
      </w:rPr>
    </w:lvl>
    <w:lvl w:ilvl="2" w:tplc="0C684570" w:tentative="1">
      <w:start w:val="1"/>
      <w:numFmt w:val="bullet"/>
      <w:lvlText w:val="•"/>
      <w:lvlJc w:val="left"/>
      <w:pPr>
        <w:tabs>
          <w:tab w:val="num" w:pos="2160"/>
        </w:tabs>
        <w:ind w:left="2160" w:hanging="360"/>
      </w:pPr>
      <w:rPr>
        <w:rFonts w:ascii="Arial" w:hAnsi="Arial" w:hint="default"/>
      </w:rPr>
    </w:lvl>
    <w:lvl w:ilvl="3" w:tplc="35A8ECAC" w:tentative="1">
      <w:start w:val="1"/>
      <w:numFmt w:val="bullet"/>
      <w:lvlText w:val="•"/>
      <w:lvlJc w:val="left"/>
      <w:pPr>
        <w:tabs>
          <w:tab w:val="num" w:pos="2880"/>
        </w:tabs>
        <w:ind w:left="2880" w:hanging="360"/>
      </w:pPr>
      <w:rPr>
        <w:rFonts w:ascii="Arial" w:hAnsi="Arial" w:hint="default"/>
      </w:rPr>
    </w:lvl>
    <w:lvl w:ilvl="4" w:tplc="451A7638" w:tentative="1">
      <w:start w:val="1"/>
      <w:numFmt w:val="bullet"/>
      <w:lvlText w:val="•"/>
      <w:lvlJc w:val="left"/>
      <w:pPr>
        <w:tabs>
          <w:tab w:val="num" w:pos="3600"/>
        </w:tabs>
        <w:ind w:left="3600" w:hanging="360"/>
      </w:pPr>
      <w:rPr>
        <w:rFonts w:ascii="Arial" w:hAnsi="Arial" w:hint="default"/>
      </w:rPr>
    </w:lvl>
    <w:lvl w:ilvl="5" w:tplc="AE742F10" w:tentative="1">
      <w:start w:val="1"/>
      <w:numFmt w:val="bullet"/>
      <w:lvlText w:val="•"/>
      <w:lvlJc w:val="left"/>
      <w:pPr>
        <w:tabs>
          <w:tab w:val="num" w:pos="4320"/>
        </w:tabs>
        <w:ind w:left="4320" w:hanging="360"/>
      </w:pPr>
      <w:rPr>
        <w:rFonts w:ascii="Arial" w:hAnsi="Arial" w:hint="default"/>
      </w:rPr>
    </w:lvl>
    <w:lvl w:ilvl="6" w:tplc="C268C58E" w:tentative="1">
      <w:start w:val="1"/>
      <w:numFmt w:val="bullet"/>
      <w:lvlText w:val="•"/>
      <w:lvlJc w:val="left"/>
      <w:pPr>
        <w:tabs>
          <w:tab w:val="num" w:pos="5040"/>
        </w:tabs>
        <w:ind w:left="5040" w:hanging="360"/>
      </w:pPr>
      <w:rPr>
        <w:rFonts w:ascii="Arial" w:hAnsi="Arial" w:hint="default"/>
      </w:rPr>
    </w:lvl>
    <w:lvl w:ilvl="7" w:tplc="958214A6" w:tentative="1">
      <w:start w:val="1"/>
      <w:numFmt w:val="bullet"/>
      <w:lvlText w:val="•"/>
      <w:lvlJc w:val="left"/>
      <w:pPr>
        <w:tabs>
          <w:tab w:val="num" w:pos="5760"/>
        </w:tabs>
        <w:ind w:left="5760" w:hanging="360"/>
      </w:pPr>
      <w:rPr>
        <w:rFonts w:ascii="Arial" w:hAnsi="Arial" w:hint="default"/>
      </w:rPr>
    </w:lvl>
    <w:lvl w:ilvl="8" w:tplc="938A7984"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213D5B1F"/>
    <w:multiLevelType w:val="hybridMultilevel"/>
    <w:tmpl w:val="C4D6F150"/>
    <w:lvl w:ilvl="0" w:tplc="75B054CE">
      <w:start w:val="1"/>
      <w:numFmt w:val="bullet"/>
      <w:lvlText w:val="-"/>
      <w:lvlJc w:val="left"/>
      <w:pPr>
        <w:ind w:left="720" w:hanging="360"/>
      </w:pPr>
      <w:rPr>
        <w:rFonts w:ascii="Arial" w:eastAsiaTheme="minorHAnsi" w:hAnsi="Arial" w:cs="Aria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A4D09EB"/>
    <w:multiLevelType w:val="hybridMultilevel"/>
    <w:tmpl w:val="9BAEF526"/>
    <w:lvl w:ilvl="0" w:tplc="D20CD53A">
      <w:start w:val="2013"/>
      <w:numFmt w:val="bullet"/>
      <w:lvlText w:val="-"/>
      <w:lvlJc w:val="left"/>
      <w:pPr>
        <w:ind w:left="1080" w:hanging="360"/>
      </w:pPr>
      <w:rPr>
        <w:rFonts w:ascii="Arial" w:eastAsiaTheme="minorHAnsi" w:hAnsi="Arial"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3" w15:restartNumberingAfterBreak="0">
    <w:nsid w:val="2BED6E1D"/>
    <w:multiLevelType w:val="hybridMultilevel"/>
    <w:tmpl w:val="3496BEC8"/>
    <w:lvl w:ilvl="0" w:tplc="7FD20EBA">
      <w:start w:val="1"/>
      <w:numFmt w:val="bullet"/>
      <w:lvlText w:val="•"/>
      <w:lvlJc w:val="left"/>
      <w:pPr>
        <w:tabs>
          <w:tab w:val="num" w:pos="720"/>
        </w:tabs>
        <w:ind w:left="720" w:hanging="360"/>
      </w:pPr>
      <w:rPr>
        <w:rFonts w:ascii="Arial" w:hAnsi="Arial" w:hint="default"/>
      </w:rPr>
    </w:lvl>
    <w:lvl w:ilvl="1" w:tplc="64D47860" w:tentative="1">
      <w:start w:val="1"/>
      <w:numFmt w:val="bullet"/>
      <w:lvlText w:val="•"/>
      <w:lvlJc w:val="left"/>
      <w:pPr>
        <w:tabs>
          <w:tab w:val="num" w:pos="1440"/>
        </w:tabs>
        <w:ind w:left="1440" w:hanging="360"/>
      </w:pPr>
      <w:rPr>
        <w:rFonts w:ascii="Arial" w:hAnsi="Arial" w:hint="default"/>
      </w:rPr>
    </w:lvl>
    <w:lvl w:ilvl="2" w:tplc="782A5536" w:tentative="1">
      <w:start w:val="1"/>
      <w:numFmt w:val="bullet"/>
      <w:lvlText w:val="•"/>
      <w:lvlJc w:val="left"/>
      <w:pPr>
        <w:tabs>
          <w:tab w:val="num" w:pos="2160"/>
        </w:tabs>
        <w:ind w:left="2160" w:hanging="360"/>
      </w:pPr>
      <w:rPr>
        <w:rFonts w:ascii="Arial" w:hAnsi="Arial" w:hint="default"/>
      </w:rPr>
    </w:lvl>
    <w:lvl w:ilvl="3" w:tplc="4B44D568" w:tentative="1">
      <w:start w:val="1"/>
      <w:numFmt w:val="bullet"/>
      <w:lvlText w:val="•"/>
      <w:lvlJc w:val="left"/>
      <w:pPr>
        <w:tabs>
          <w:tab w:val="num" w:pos="2880"/>
        </w:tabs>
        <w:ind w:left="2880" w:hanging="360"/>
      </w:pPr>
      <w:rPr>
        <w:rFonts w:ascii="Arial" w:hAnsi="Arial" w:hint="default"/>
      </w:rPr>
    </w:lvl>
    <w:lvl w:ilvl="4" w:tplc="706670B6" w:tentative="1">
      <w:start w:val="1"/>
      <w:numFmt w:val="bullet"/>
      <w:lvlText w:val="•"/>
      <w:lvlJc w:val="left"/>
      <w:pPr>
        <w:tabs>
          <w:tab w:val="num" w:pos="3600"/>
        </w:tabs>
        <w:ind w:left="3600" w:hanging="360"/>
      </w:pPr>
      <w:rPr>
        <w:rFonts w:ascii="Arial" w:hAnsi="Arial" w:hint="default"/>
      </w:rPr>
    </w:lvl>
    <w:lvl w:ilvl="5" w:tplc="75FCD114" w:tentative="1">
      <w:start w:val="1"/>
      <w:numFmt w:val="bullet"/>
      <w:lvlText w:val="•"/>
      <w:lvlJc w:val="left"/>
      <w:pPr>
        <w:tabs>
          <w:tab w:val="num" w:pos="4320"/>
        </w:tabs>
        <w:ind w:left="4320" w:hanging="360"/>
      </w:pPr>
      <w:rPr>
        <w:rFonts w:ascii="Arial" w:hAnsi="Arial" w:hint="default"/>
      </w:rPr>
    </w:lvl>
    <w:lvl w:ilvl="6" w:tplc="9146BB2E" w:tentative="1">
      <w:start w:val="1"/>
      <w:numFmt w:val="bullet"/>
      <w:lvlText w:val="•"/>
      <w:lvlJc w:val="left"/>
      <w:pPr>
        <w:tabs>
          <w:tab w:val="num" w:pos="5040"/>
        </w:tabs>
        <w:ind w:left="5040" w:hanging="360"/>
      </w:pPr>
      <w:rPr>
        <w:rFonts w:ascii="Arial" w:hAnsi="Arial" w:hint="default"/>
      </w:rPr>
    </w:lvl>
    <w:lvl w:ilvl="7" w:tplc="8DB03C2C" w:tentative="1">
      <w:start w:val="1"/>
      <w:numFmt w:val="bullet"/>
      <w:lvlText w:val="•"/>
      <w:lvlJc w:val="left"/>
      <w:pPr>
        <w:tabs>
          <w:tab w:val="num" w:pos="5760"/>
        </w:tabs>
        <w:ind w:left="5760" w:hanging="360"/>
      </w:pPr>
      <w:rPr>
        <w:rFonts w:ascii="Arial" w:hAnsi="Arial" w:hint="default"/>
      </w:rPr>
    </w:lvl>
    <w:lvl w:ilvl="8" w:tplc="BF0CE06A"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2C0B4FB4"/>
    <w:multiLevelType w:val="hybridMultilevel"/>
    <w:tmpl w:val="E5E28C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2C6D202A"/>
    <w:multiLevelType w:val="hybridMultilevel"/>
    <w:tmpl w:val="30266C06"/>
    <w:lvl w:ilvl="0" w:tplc="08090015">
      <w:start w:val="1"/>
      <w:numFmt w:val="upp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2EEC4F9E"/>
    <w:multiLevelType w:val="multilevel"/>
    <w:tmpl w:val="6C9AED90"/>
    <w:lvl w:ilvl="0">
      <w:start w:val="2"/>
      <w:numFmt w:val="decimal"/>
      <w:lvlText w:val="%1"/>
      <w:lvlJc w:val="left"/>
      <w:pPr>
        <w:ind w:left="660" w:hanging="660"/>
      </w:pPr>
      <w:rPr>
        <w:rFonts w:hint="default"/>
      </w:rPr>
    </w:lvl>
    <w:lvl w:ilvl="1">
      <w:start w:val="2"/>
      <w:numFmt w:val="decimal"/>
      <w:lvlText w:val="%1.%2"/>
      <w:lvlJc w:val="left"/>
      <w:pPr>
        <w:ind w:left="660" w:hanging="660"/>
      </w:pPr>
      <w:rPr>
        <w:rFonts w:hint="default"/>
      </w:rPr>
    </w:lvl>
    <w:lvl w:ilvl="2">
      <w:start w:val="4"/>
      <w:numFmt w:val="decimal"/>
      <w:lvlText w:val="%1.%2.%3"/>
      <w:lvlJc w:val="left"/>
      <w:pPr>
        <w:ind w:left="720" w:hanging="720"/>
      </w:pPr>
      <w:rPr>
        <w:rFonts w:hint="default"/>
      </w:rPr>
    </w:lvl>
    <w:lvl w:ilvl="3">
      <w:start w:val="2"/>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 w15:restartNumberingAfterBreak="0">
    <w:nsid w:val="2F0D51C3"/>
    <w:multiLevelType w:val="hybridMultilevel"/>
    <w:tmpl w:val="F570840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2FAA4FAA"/>
    <w:multiLevelType w:val="hybridMultilevel"/>
    <w:tmpl w:val="F2DEF99A"/>
    <w:lvl w:ilvl="0" w:tplc="A094F7C6">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C960C22"/>
    <w:multiLevelType w:val="multilevel"/>
    <w:tmpl w:val="70062CDA"/>
    <w:lvl w:ilvl="0">
      <w:start w:val="2"/>
      <w:numFmt w:val="decimal"/>
      <w:lvlText w:val="%1"/>
      <w:lvlJc w:val="left"/>
      <w:pPr>
        <w:ind w:left="525" w:hanging="525"/>
      </w:pPr>
      <w:rPr>
        <w:rFonts w:hint="default"/>
      </w:rPr>
    </w:lvl>
    <w:lvl w:ilvl="1">
      <w:start w:val="2"/>
      <w:numFmt w:val="decimal"/>
      <w:lvlText w:val="%1.%2"/>
      <w:lvlJc w:val="left"/>
      <w:pPr>
        <w:ind w:left="525" w:hanging="525"/>
      </w:pPr>
      <w:rPr>
        <w:rFonts w:hint="default"/>
      </w:rPr>
    </w:lvl>
    <w:lvl w:ilvl="2">
      <w:start w:val="9"/>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0" w15:restartNumberingAfterBreak="0">
    <w:nsid w:val="3D2D36F6"/>
    <w:multiLevelType w:val="hybridMultilevel"/>
    <w:tmpl w:val="0B6A6188"/>
    <w:lvl w:ilvl="0" w:tplc="EC225FF8">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3D7863F0"/>
    <w:multiLevelType w:val="hybridMultilevel"/>
    <w:tmpl w:val="F10C1D56"/>
    <w:lvl w:ilvl="0" w:tplc="50D443A8">
      <w:start w:val="1"/>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3F753E81"/>
    <w:multiLevelType w:val="hybridMultilevel"/>
    <w:tmpl w:val="FC423C56"/>
    <w:lvl w:ilvl="0" w:tplc="AD9CA6F2">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3FFB5122"/>
    <w:multiLevelType w:val="hybridMultilevel"/>
    <w:tmpl w:val="0252869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0CD28CF"/>
    <w:multiLevelType w:val="hybridMultilevel"/>
    <w:tmpl w:val="C8506156"/>
    <w:lvl w:ilvl="0" w:tplc="0518BFAC">
      <w:numFmt w:val="bullet"/>
      <w:lvlText w:val="-"/>
      <w:lvlJc w:val="left"/>
      <w:pPr>
        <w:ind w:left="1800" w:hanging="360"/>
      </w:pPr>
      <w:rPr>
        <w:rFonts w:ascii="Arial" w:eastAsiaTheme="minorHAnsi" w:hAnsi="Arial" w:cs="Arial"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25" w15:restartNumberingAfterBreak="0">
    <w:nsid w:val="410A67E4"/>
    <w:multiLevelType w:val="multilevel"/>
    <w:tmpl w:val="DADA86CA"/>
    <w:lvl w:ilvl="0">
      <w:start w:val="1"/>
      <w:numFmt w:val="decimal"/>
      <w:lvlText w:val="%1"/>
      <w:lvlJc w:val="left"/>
      <w:pPr>
        <w:ind w:left="600" w:hanging="600"/>
      </w:pPr>
      <w:rPr>
        <w:rFonts w:hint="default"/>
      </w:rPr>
    </w:lvl>
    <w:lvl w:ilvl="1">
      <w:start w:val="1"/>
      <w:numFmt w:val="decimal"/>
      <w:lvlText w:val="%1.%2"/>
      <w:lvlJc w:val="left"/>
      <w:pPr>
        <w:ind w:left="600" w:hanging="60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6" w15:restartNumberingAfterBreak="0">
    <w:nsid w:val="41552CF2"/>
    <w:multiLevelType w:val="hybridMultilevel"/>
    <w:tmpl w:val="0D7A709E"/>
    <w:lvl w:ilvl="0" w:tplc="D29A1EA4">
      <w:start w:val="1"/>
      <w:numFmt w:val="bullet"/>
      <w:lvlText w:val=""/>
      <w:lvlJc w:val="left"/>
      <w:pPr>
        <w:tabs>
          <w:tab w:val="num" w:pos="720"/>
        </w:tabs>
        <w:ind w:left="720" w:hanging="360"/>
      </w:pPr>
      <w:rPr>
        <w:rFonts w:ascii="Wingdings" w:hAnsi="Wingdings" w:hint="default"/>
      </w:rPr>
    </w:lvl>
    <w:lvl w:ilvl="1" w:tplc="CCE623B0">
      <w:start w:val="1"/>
      <w:numFmt w:val="bullet"/>
      <w:lvlText w:val=""/>
      <w:lvlJc w:val="left"/>
      <w:pPr>
        <w:tabs>
          <w:tab w:val="num" w:pos="1440"/>
        </w:tabs>
        <w:ind w:left="1440" w:hanging="360"/>
      </w:pPr>
      <w:rPr>
        <w:rFonts w:ascii="Wingdings" w:hAnsi="Wingdings" w:hint="default"/>
      </w:rPr>
    </w:lvl>
    <w:lvl w:ilvl="2" w:tplc="8F66B548" w:tentative="1">
      <w:start w:val="1"/>
      <w:numFmt w:val="bullet"/>
      <w:lvlText w:val=""/>
      <w:lvlJc w:val="left"/>
      <w:pPr>
        <w:tabs>
          <w:tab w:val="num" w:pos="2160"/>
        </w:tabs>
        <w:ind w:left="2160" w:hanging="360"/>
      </w:pPr>
      <w:rPr>
        <w:rFonts w:ascii="Wingdings" w:hAnsi="Wingdings" w:hint="default"/>
      </w:rPr>
    </w:lvl>
    <w:lvl w:ilvl="3" w:tplc="FAAE8A1C" w:tentative="1">
      <w:start w:val="1"/>
      <w:numFmt w:val="bullet"/>
      <w:lvlText w:val=""/>
      <w:lvlJc w:val="left"/>
      <w:pPr>
        <w:tabs>
          <w:tab w:val="num" w:pos="2880"/>
        </w:tabs>
        <w:ind w:left="2880" w:hanging="360"/>
      </w:pPr>
      <w:rPr>
        <w:rFonts w:ascii="Wingdings" w:hAnsi="Wingdings" w:hint="default"/>
      </w:rPr>
    </w:lvl>
    <w:lvl w:ilvl="4" w:tplc="DB305E4E" w:tentative="1">
      <w:start w:val="1"/>
      <w:numFmt w:val="bullet"/>
      <w:lvlText w:val=""/>
      <w:lvlJc w:val="left"/>
      <w:pPr>
        <w:tabs>
          <w:tab w:val="num" w:pos="3600"/>
        </w:tabs>
        <w:ind w:left="3600" w:hanging="360"/>
      </w:pPr>
      <w:rPr>
        <w:rFonts w:ascii="Wingdings" w:hAnsi="Wingdings" w:hint="default"/>
      </w:rPr>
    </w:lvl>
    <w:lvl w:ilvl="5" w:tplc="3DEC0622" w:tentative="1">
      <w:start w:val="1"/>
      <w:numFmt w:val="bullet"/>
      <w:lvlText w:val=""/>
      <w:lvlJc w:val="left"/>
      <w:pPr>
        <w:tabs>
          <w:tab w:val="num" w:pos="4320"/>
        </w:tabs>
        <w:ind w:left="4320" w:hanging="360"/>
      </w:pPr>
      <w:rPr>
        <w:rFonts w:ascii="Wingdings" w:hAnsi="Wingdings" w:hint="default"/>
      </w:rPr>
    </w:lvl>
    <w:lvl w:ilvl="6" w:tplc="A38CBA10" w:tentative="1">
      <w:start w:val="1"/>
      <w:numFmt w:val="bullet"/>
      <w:lvlText w:val=""/>
      <w:lvlJc w:val="left"/>
      <w:pPr>
        <w:tabs>
          <w:tab w:val="num" w:pos="5040"/>
        </w:tabs>
        <w:ind w:left="5040" w:hanging="360"/>
      </w:pPr>
      <w:rPr>
        <w:rFonts w:ascii="Wingdings" w:hAnsi="Wingdings" w:hint="default"/>
      </w:rPr>
    </w:lvl>
    <w:lvl w:ilvl="7" w:tplc="AB5EA660" w:tentative="1">
      <w:start w:val="1"/>
      <w:numFmt w:val="bullet"/>
      <w:lvlText w:val=""/>
      <w:lvlJc w:val="left"/>
      <w:pPr>
        <w:tabs>
          <w:tab w:val="num" w:pos="5760"/>
        </w:tabs>
        <w:ind w:left="5760" w:hanging="360"/>
      </w:pPr>
      <w:rPr>
        <w:rFonts w:ascii="Wingdings" w:hAnsi="Wingdings" w:hint="default"/>
      </w:rPr>
    </w:lvl>
    <w:lvl w:ilvl="8" w:tplc="5074010A"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461F580B"/>
    <w:multiLevelType w:val="hybridMultilevel"/>
    <w:tmpl w:val="F630577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50551E75"/>
    <w:multiLevelType w:val="hybridMultilevel"/>
    <w:tmpl w:val="B97A2E50"/>
    <w:lvl w:ilvl="0" w:tplc="BB207152">
      <w:start w:val="4"/>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06E4FEB"/>
    <w:multiLevelType w:val="hybridMultilevel"/>
    <w:tmpl w:val="8A24264C"/>
    <w:lvl w:ilvl="0" w:tplc="A09C1AE0">
      <w:start w:val="1"/>
      <w:numFmt w:val="decimal"/>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50C852EF"/>
    <w:multiLevelType w:val="hybridMultilevel"/>
    <w:tmpl w:val="B95CAE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585D20CE"/>
    <w:multiLevelType w:val="hybridMultilevel"/>
    <w:tmpl w:val="EAA2CAC4"/>
    <w:lvl w:ilvl="0" w:tplc="CA28FB08">
      <w:start w:val="1"/>
      <w:numFmt w:val="bullet"/>
      <w:lvlText w:val="-"/>
      <w:lvlJc w:val="left"/>
      <w:pPr>
        <w:ind w:left="1080" w:hanging="360"/>
      </w:pPr>
      <w:rPr>
        <w:rFonts w:ascii="Arial" w:eastAsiaTheme="minorHAnsi" w:hAnsi="Arial" w:cs="Arial" w:hint="default"/>
      </w:rPr>
    </w:lvl>
    <w:lvl w:ilvl="1" w:tplc="08090003">
      <w:start w:val="1"/>
      <w:numFmt w:val="bullet"/>
      <w:lvlText w:val="o"/>
      <w:lvlJc w:val="left"/>
      <w:pPr>
        <w:ind w:left="1800" w:hanging="360"/>
      </w:pPr>
      <w:rPr>
        <w:rFonts w:ascii="Courier New" w:hAnsi="Courier New" w:cs="Courier New" w:hint="default"/>
      </w:rPr>
    </w:lvl>
    <w:lvl w:ilvl="2" w:tplc="08090005">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2" w15:restartNumberingAfterBreak="0">
    <w:nsid w:val="59A2630D"/>
    <w:multiLevelType w:val="hybridMultilevel"/>
    <w:tmpl w:val="7AB623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683F1654"/>
    <w:multiLevelType w:val="multilevel"/>
    <w:tmpl w:val="97CA9588"/>
    <w:lvl w:ilvl="0">
      <w:start w:val="2"/>
      <w:numFmt w:val="decimal"/>
      <w:lvlText w:val="%1"/>
      <w:lvlJc w:val="left"/>
      <w:pPr>
        <w:ind w:left="660" w:hanging="660"/>
      </w:pPr>
      <w:rPr>
        <w:rFonts w:hint="default"/>
      </w:rPr>
    </w:lvl>
    <w:lvl w:ilvl="1">
      <w:start w:val="2"/>
      <w:numFmt w:val="decimal"/>
      <w:lvlText w:val="%1.%2"/>
      <w:lvlJc w:val="left"/>
      <w:pPr>
        <w:ind w:left="660" w:hanging="660"/>
      </w:pPr>
      <w:rPr>
        <w:rFonts w:hint="default"/>
      </w:rPr>
    </w:lvl>
    <w:lvl w:ilvl="2">
      <w:start w:val="6"/>
      <w:numFmt w:val="decimal"/>
      <w:lvlText w:val="%1.%2.%3"/>
      <w:lvlJc w:val="left"/>
      <w:pPr>
        <w:ind w:left="720" w:hanging="720"/>
      </w:pPr>
      <w:rPr>
        <w:rFonts w:hint="default"/>
      </w:rPr>
    </w:lvl>
    <w:lvl w:ilvl="3">
      <w:start w:val="2"/>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4" w15:restartNumberingAfterBreak="0">
    <w:nsid w:val="6AAC15C4"/>
    <w:multiLevelType w:val="hybridMultilevel"/>
    <w:tmpl w:val="06AA1DA8"/>
    <w:lvl w:ilvl="0" w:tplc="4EB044D4">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6CCD3962"/>
    <w:multiLevelType w:val="multilevel"/>
    <w:tmpl w:val="45D8DF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15:restartNumberingAfterBreak="0">
    <w:nsid w:val="78925B89"/>
    <w:multiLevelType w:val="multilevel"/>
    <w:tmpl w:val="D20A865E"/>
    <w:lvl w:ilvl="0">
      <w:start w:val="1"/>
      <w:numFmt w:val="decimal"/>
      <w:lvlText w:val="%1."/>
      <w:lvlJc w:val="left"/>
      <w:pPr>
        <w:ind w:left="720" w:hanging="360"/>
      </w:pPr>
      <w:rPr>
        <w:rFonts w:hint="default"/>
      </w:rPr>
    </w:lvl>
    <w:lvl w:ilvl="1">
      <w:start w:val="3"/>
      <w:numFmt w:val="decimal"/>
      <w:isLgl/>
      <w:lvlText w:val="%1.%2"/>
      <w:lvlJc w:val="left"/>
      <w:pPr>
        <w:ind w:left="1155" w:hanging="795"/>
      </w:pPr>
      <w:rPr>
        <w:rFonts w:hint="default"/>
      </w:rPr>
    </w:lvl>
    <w:lvl w:ilvl="2">
      <w:start w:val="1"/>
      <w:numFmt w:val="decimal"/>
      <w:isLgl/>
      <w:lvlText w:val="%1.%2.%3"/>
      <w:lvlJc w:val="left"/>
      <w:pPr>
        <w:ind w:left="1155" w:hanging="795"/>
      </w:pPr>
      <w:rPr>
        <w:rFonts w:hint="default"/>
      </w:rPr>
    </w:lvl>
    <w:lvl w:ilvl="3">
      <w:start w:val="1"/>
      <w:numFmt w:val="decimal"/>
      <w:isLgl/>
      <w:lvlText w:val="%1.%2.%3.%4"/>
      <w:lvlJc w:val="left"/>
      <w:pPr>
        <w:ind w:left="1155" w:hanging="795"/>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37" w15:restartNumberingAfterBreak="0">
    <w:nsid w:val="791453D8"/>
    <w:multiLevelType w:val="hybridMultilevel"/>
    <w:tmpl w:val="6ED423EC"/>
    <w:lvl w:ilvl="0" w:tplc="654C8D74">
      <w:start w:val="1"/>
      <w:numFmt w:val="bullet"/>
      <w:lvlText w:val=""/>
      <w:lvlPicBulletId w:val="0"/>
      <w:lvlJc w:val="left"/>
      <w:pPr>
        <w:tabs>
          <w:tab w:val="num" w:pos="720"/>
        </w:tabs>
        <w:ind w:left="720" w:hanging="360"/>
      </w:pPr>
      <w:rPr>
        <w:rFonts w:ascii="Symbol" w:hAnsi="Symbol" w:hint="default"/>
      </w:rPr>
    </w:lvl>
    <w:lvl w:ilvl="1" w:tplc="8138B2C4" w:tentative="1">
      <w:start w:val="1"/>
      <w:numFmt w:val="bullet"/>
      <w:lvlText w:val=""/>
      <w:lvlJc w:val="left"/>
      <w:pPr>
        <w:tabs>
          <w:tab w:val="num" w:pos="1440"/>
        </w:tabs>
        <w:ind w:left="1440" w:hanging="360"/>
      </w:pPr>
      <w:rPr>
        <w:rFonts w:ascii="Symbol" w:hAnsi="Symbol" w:hint="default"/>
      </w:rPr>
    </w:lvl>
    <w:lvl w:ilvl="2" w:tplc="BAF8633C" w:tentative="1">
      <w:start w:val="1"/>
      <w:numFmt w:val="bullet"/>
      <w:lvlText w:val=""/>
      <w:lvlJc w:val="left"/>
      <w:pPr>
        <w:tabs>
          <w:tab w:val="num" w:pos="2160"/>
        </w:tabs>
        <w:ind w:left="2160" w:hanging="360"/>
      </w:pPr>
      <w:rPr>
        <w:rFonts w:ascii="Symbol" w:hAnsi="Symbol" w:hint="default"/>
      </w:rPr>
    </w:lvl>
    <w:lvl w:ilvl="3" w:tplc="5454A746" w:tentative="1">
      <w:start w:val="1"/>
      <w:numFmt w:val="bullet"/>
      <w:lvlText w:val=""/>
      <w:lvlJc w:val="left"/>
      <w:pPr>
        <w:tabs>
          <w:tab w:val="num" w:pos="2880"/>
        </w:tabs>
        <w:ind w:left="2880" w:hanging="360"/>
      </w:pPr>
      <w:rPr>
        <w:rFonts w:ascii="Symbol" w:hAnsi="Symbol" w:hint="default"/>
      </w:rPr>
    </w:lvl>
    <w:lvl w:ilvl="4" w:tplc="95045224" w:tentative="1">
      <w:start w:val="1"/>
      <w:numFmt w:val="bullet"/>
      <w:lvlText w:val=""/>
      <w:lvlJc w:val="left"/>
      <w:pPr>
        <w:tabs>
          <w:tab w:val="num" w:pos="3600"/>
        </w:tabs>
        <w:ind w:left="3600" w:hanging="360"/>
      </w:pPr>
      <w:rPr>
        <w:rFonts w:ascii="Symbol" w:hAnsi="Symbol" w:hint="default"/>
      </w:rPr>
    </w:lvl>
    <w:lvl w:ilvl="5" w:tplc="B7BE6198" w:tentative="1">
      <w:start w:val="1"/>
      <w:numFmt w:val="bullet"/>
      <w:lvlText w:val=""/>
      <w:lvlJc w:val="left"/>
      <w:pPr>
        <w:tabs>
          <w:tab w:val="num" w:pos="4320"/>
        </w:tabs>
        <w:ind w:left="4320" w:hanging="360"/>
      </w:pPr>
      <w:rPr>
        <w:rFonts w:ascii="Symbol" w:hAnsi="Symbol" w:hint="default"/>
      </w:rPr>
    </w:lvl>
    <w:lvl w:ilvl="6" w:tplc="643E32D4" w:tentative="1">
      <w:start w:val="1"/>
      <w:numFmt w:val="bullet"/>
      <w:lvlText w:val=""/>
      <w:lvlJc w:val="left"/>
      <w:pPr>
        <w:tabs>
          <w:tab w:val="num" w:pos="5040"/>
        </w:tabs>
        <w:ind w:left="5040" w:hanging="360"/>
      </w:pPr>
      <w:rPr>
        <w:rFonts w:ascii="Symbol" w:hAnsi="Symbol" w:hint="default"/>
      </w:rPr>
    </w:lvl>
    <w:lvl w:ilvl="7" w:tplc="75E2C4B8" w:tentative="1">
      <w:start w:val="1"/>
      <w:numFmt w:val="bullet"/>
      <w:lvlText w:val=""/>
      <w:lvlJc w:val="left"/>
      <w:pPr>
        <w:tabs>
          <w:tab w:val="num" w:pos="5760"/>
        </w:tabs>
        <w:ind w:left="5760" w:hanging="360"/>
      </w:pPr>
      <w:rPr>
        <w:rFonts w:ascii="Symbol" w:hAnsi="Symbol" w:hint="default"/>
      </w:rPr>
    </w:lvl>
    <w:lvl w:ilvl="8" w:tplc="5956A0A8" w:tentative="1">
      <w:start w:val="1"/>
      <w:numFmt w:val="bullet"/>
      <w:lvlText w:val=""/>
      <w:lvlJc w:val="left"/>
      <w:pPr>
        <w:tabs>
          <w:tab w:val="num" w:pos="6480"/>
        </w:tabs>
        <w:ind w:left="6480" w:hanging="360"/>
      </w:pPr>
      <w:rPr>
        <w:rFonts w:ascii="Symbol" w:hAnsi="Symbol" w:hint="default"/>
      </w:rPr>
    </w:lvl>
  </w:abstractNum>
  <w:abstractNum w:abstractNumId="38" w15:restartNumberingAfterBreak="0">
    <w:nsid w:val="7A7533B8"/>
    <w:multiLevelType w:val="hybridMultilevel"/>
    <w:tmpl w:val="459E28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7F90000F"/>
    <w:multiLevelType w:val="hybridMultilevel"/>
    <w:tmpl w:val="82381272"/>
    <w:lvl w:ilvl="0" w:tplc="08090001">
      <w:start w:val="1"/>
      <w:numFmt w:val="bullet"/>
      <w:lvlText w:val=""/>
      <w:lvlJc w:val="left"/>
      <w:pPr>
        <w:ind w:left="720" w:hanging="360"/>
      </w:pPr>
      <w:rPr>
        <w:rFonts w:ascii="Symbol" w:hAnsi="Symbol"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15:restartNumberingAfterBreak="0">
    <w:nsid w:val="7FAD61EE"/>
    <w:multiLevelType w:val="hybridMultilevel"/>
    <w:tmpl w:val="D884D77E"/>
    <w:lvl w:ilvl="0" w:tplc="F6662842">
      <w:start w:val="2"/>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6"/>
  </w:num>
  <w:num w:numId="2">
    <w:abstractNumId w:val="8"/>
  </w:num>
  <w:num w:numId="3">
    <w:abstractNumId w:val="4"/>
  </w:num>
  <w:num w:numId="4">
    <w:abstractNumId w:val="25"/>
  </w:num>
  <w:num w:numId="5">
    <w:abstractNumId w:val="5"/>
  </w:num>
  <w:num w:numId="6">
    <w:abstractNumId w:val="21"/>
  </w:num>
  <w:num w:numId="7">
    <w:abstractNumId w:val="1"/>
  </w:num>
  <w:num w:numId="8">
    <w:abstractNumId w:val="31"/>
  </w:num>
  <w:num w:numId="9">
    <w:abstractNumId w:val="30"/>
  </w:num>
  <w:num w:numId="10">
    <w:abstractNumId w:val="6"/>
  </w:num>
  <w:num w:numId="11">
    <w:abstractNumId w:val="9"/>
  </w:num>
  <w:num w:numId="12">
    <w:abstractNumId w:val="16"/>
  </w:num>
  <w:num w:numId="13">
    <w:abstractNumId w:val="33"/>
  </w:num>
  <w:num w:numId="14">
    <w:abstractNumId w:val="19"/>
  </w:num>
  <w:num w:numId="15">
    <w:abstractNumId w:val="40"/>
  </w:num>
  <w:num w:numId="16">
    <w:abstractNumId w:val="37"/>
  </w:num>
  <w:num w:numId="17">
    <w:abstractNumId w:val="7"/>
  </w:num>
  <w:num w:numId="18">
    <w:abstractNumId w:val="13"/>
  </w:num>
  <w:num w:numId="19">
    <w:abstractNumId w:val="28"/>
  </w:num>
  <w:num w:numId="20">
    <w:abstractNumId w:val="27"/>
  </w:num>
  <w:num w:numId="21">
    <w:abstractNumId w:val="14"/>
  </w:num>
  <w:num w:numId="22">
    <w:abstractNumId w:val="35"/>
  </w:num>
  <w:num w:numId="23">
    <w:abstractNumId w:val="11"/>
  </w:num>
  <w:num w:numId="24">
    <w:abstractNumId w:val="39"/>
  </w:num>
  <w:num w:numId="25">
    <w:abstractNumId w:val="24"/>
  </w:num>
  <w:num w:numId="26">
    <w:abstractNumId w:val="26"/>
  </w:num>
  <w:num w:numId="27">
    <w:abstractNumId w:val="3"/>
  </w:num>
  <w:num w:numId="28">
    <w:abstractNumId w:val="17"/>
  </w:num>
  <w:num w:numId="29">
    <w:abstractNumId w:val="38"/>
  </w:num>
  <w:num w:numId="30">
    <w:abstractNumId w:val="23"/>
  </w:num>
  <w:num w:numId="31">
    <w:abstractNumId w:val="12"/>
  </w:num>
  <w:num w:numId="32">
    <w:abstractNumId w:val="2"/>
  </w:num>
  <w:num w:numId="33">
    <w:abstractNumId w:val="18"/>
  </w:num>
  <w:num w:numId="34">
    <w:abstractNumId w:val="34"/>
  </w:num>
  <w:num w:numId="35">
    <w:abstractNumId w:val="32"/>
  </w:num>
  <w:num w:numId="36">
    <w:abstractNumId w:val="15"/>
  </w:num>
  <w:num w:numId="37">
    <w:abstractNumId w:val="20"/>
  </w:num>
  <w:num w:numId="38">
    <w:abstractNumId w:val="22"/>
  </w:num>
  <w:num w:numId="39">
    <w:abstractNumId w:val="29"/>
  </w:num>
  <w:num w:numId="40">
    <w:abstractNumId w:val="10"/>
  </w:num>
  <w:num w:numId="4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66"/>
  <w:activeWritingStyle w:appName="MSWord" w:lang="es-ES_tradnl" w:vendorID="64" w:dllVersion="6" w:nlCheck="1" w:checkStyle="0"/>
  <w:activeWritingStyle w:appName="MSWord" w:lang="en-US" w:vendorID="64" w:dllVersion="6" w:nlCheck="1" w:checkStyle="1"/>
  <w:activeWritingStyle w:appName="MSWord" w:lang="en-GB" w:vendorID="64" w:dllVersion="6" w:nlCheck="1" w:checkStyle="1"/>
  <w:activeWritingStyle w:appName="MSWord" w:lang="en-GB" w:vendorID="64" w:dllVersion="0" w:nlCheck="1" w:checkStyle="0"/>
  <w:activeWritingStyle w:appName="MSWord" w:lang="en-US" w:vendorID="64" w:dllVersion="0" w:nlCheck="1" w:checkStyle="0"/>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A1EE8"/>
    <w:rsid w:val="00000272"/>
    <w:rsid w:val="00000A6A"/>
    <w:rsid w:val="000037D1"/>
    <w:rsid w:val="00004849"/>
    <w:rsid w:val="00004A1A"/>
    <w:rsid w:val="0000574E"/>
    <w:rsid w:val="000059BE"/>
    <w:rsid w:val="00006F5F"/>
    <w:rsid w:val="000076AE"/>
    <w:rsid w:val="00007BCD"/>
    <w:rsid w:val="00007D26"/>
    <w:rsid w:val="00010015"/>
    <w:rsid w:val="00010496"/>
    <w:rsid w:val="00010835"/>
    <w:rsid w:val="00010CCC"/>
    <w:rsid w:val="00010D5B"/>
    <w:rsid w:val="0001354F"/>
    <w:rsid w:val="00014187"/>
    <w:rsid w:val="000147D8"/>
    <w:rsid w:val="0001497A"/>
    <w:rsid w:val="00014CA2"/>
    <w:rsid w:val="00017116"/>
    <w:rsid w:val="0001761D"/>
    <w:rsid w:val="00020571"/>
    <w:rsid w:val="000206CA"/>
    <w:rsid w:val="00020D98"/>
    <w:rsid w:val="00021B95"/>
    <w:rsid w:val="00023270"/>
    <w:rsid w:val="00023FAC"/>
    <w:rsid w:val="00024426"/>
    <w:rsid w:val="000247AC"/>
    <w:rsid w:val="00024952"/>
    <w:rsid w:val="00025577"/>
    <w:rsid w:val="00026826"/>
    <w:rsid w:val="00026F64"/>
    <w:rsid w:val="0002750F"/>
    <w:rsid w:val="00030428"/>
    <w:rsid w:val="00030650"/>
    <w:rsid w:val="0003091D"/>
    <w:rsid w:val="00031721"/>
    <w:rsid w:val="0003195B"/>
    <w:rsid w:val="00031DE7"/>
    <w:rsid w:val="00032C21"/>
    <w:rsid w:val="00033A83"/>
    <w:rsid w:val="00034631"/>
    <w:rsid w:val="00035576"/>
    <w:rsid w:val="00035B9A"/>
    <w:rsid w:val="00035EFC"/>
    <w:rsid w:val="00035F5A"/>
    <w:rsid w:val="000362E5"/>
    <w:rsid w:val="0003723F"/>
    <w:rsid w:val="0004082F"/>
    <w:rsid w:val="00040ECF"/>
    <w:rsid w:val="000412C5"/>
    <w:rsid w:val="00041F1F"/>
    <w:rsid w:val="00042731"/>
    <w:rsid w:val="0004448F"/>
    <w:rsid w:val="00044D52"/>
    <w:rsid w:val="000452B9"/>
    <w:rsid w:val="00045447"/>
    <w:rsid w:val="000457F3"/>
    <w:rsid w:val="00045F34"/>
    <w:rsid w:val="0004600D"/>
    <w:rsid w:val="00046663"/>
    <w:rsid w:val="000467DE"/>
    <w:rsid w:val="00047F59"/>
    <w:rsid w:val="00050660"/>
    <w:rsid w:val="00051B84"/>
    <w:rsid w:val="00051BFD"/>
    <w:rsid w:val="00052732"/>
    <w:rsid w:val="0005322B"/>
    <w:rsid w:val="000532B0"/>
    <w:rsid w:val="00053807"/>
    <w:rsid w:val="00053FE3"/>
    <w:rsid w:val="0005455C"/>
    <w:rsid w:val="00054A25"/>
    <w:rsid w:val="00054CBC"/>
    <w:rsid w:val="00054EC8"/>
    <w:rsid w:val="000551DA"/>
    <w:rsid w:val="00055C4E"/>
    <w:rsid w:val="0005691B"/>
    <w:rsid w:val="00056ADD"/>
    <w:rsid w:val="00056F94"/>
    <w:rsid w:val="00057309"/>
    <w:rsid w:val="00060414"/>
    <w:rsid w:val="00060DEB"/>
    <w:rsid w:val="000611FF"/>
    <w:rsid w:val="00061B71"/>
    <w:rsid w:val="00061D5E"/>
    <w:rsid w:val="00061FFB"/>
    <w:rsid w:val="0006224D"/>
    <w:rsid w:val="000628D7"/>
    <w:rsid w:val="0006295B"/>
    <w:rsid w:val="000632A8"/>
    <w:rsid w:val="00063331"/>
    <w:rsid w:val="00063772"/>
    <w:rsid w:val="000645C1"/>
    <w:rsid w:val="00064864"/>
    <w:rsid w:val="00064C21"/>
    <w:rsid w:val="00065445"/>
    <w:rsid w:val="00065565"/>
    <w:rsid w:val="00066B6A"/>
    <w:rsid w:val="00066C62"/>
    <w:rsid w:val="00067F59"/>
    <w:rsid w:val="000701CA"/>
    <w:rsid w:val="000705A7"/>
    <w:rsid w:val="00070EE5"/>
    <w:rsid w:val="00071176"/>
    <w:rsid w:val="00071AA9"/>
    <w:rsid w:val="00071D99"/>
    <w:rsid w:val="00071DCD"/>
    <w:rsid w:val="00072740"/>
    <w:rsid w:val="00072A9B"/>
    <w:rsid w:val="00073295"/>
    <w:rsid w:val="000732DC"/>
    <w:rsid w:val="000739AE"/>
    <w:rsid w:val="00073A4C"/>
    <w:rsid w:val="00074598"/>
    <w:rsid w:val="00075F94"/>
    <w:rsid w:val="00076007"/>
    <w:rsid w:val="0007636D"/>
    <w:rsid w:val="00076654"/>
    <w:rsid w:val="000766E0"/>
    <w:rsid w:val="0007681C"/>
    <w:rsid w:val="00076879"/>
    <w:rsid w:val="00080714"/>
    <w:rsid w:val="00080B5F"/>
    <w:rsid w:val="00080DDB"/>
    <w:rsid w:val="00081704"/>
    <w:rsid w:val="0008202A"/>
    <w:rsid w:val="00082B04"/>
    <w:rsid w:val="000830F6"/>
    <w:rsid w:val="0008420D"/>
    <w:rsid w:val="0008448F"/>
    <w:rsid w:val="0008467D"/>
    <w:rsid w:val="00084A3F"/>
    <w:rsid w:val="00085104"/>
    <w:rsid w:val="00086C45"/>
    <w:rsid w:val="00087190"/>
    <w:rsid w:val="00087BCF"/>
    <w:rsid w:val="00087F77"/>
    <w:rsid w:val="00090287"/>
    <w:rsid w:val="0009052D"/>
    <w:rsid w:val="00091410"/>
    <w:rsid w:val="00091C09"/>
    <w:rsid w:val="00091DA5"/>
    <w:rsid w:val="0009298A"/>
    <w:rsid w:val="0009309A"/>
    <w:rsid w:val="000935D1"/>
    <w:rsid w:val="0009368E"/>
    <w:rsid w:val="000939B9"/>
    <w:rsid w:val="00093CAC"/>
    <w:rsid w:val="00093F2D"/>
    <w:rsid w:val="00094BC7"/>
    <w:rsid w:val="00095833"/>
    <w:rsid w:val="00096500"/>
    <w:rsid w:val="000968BB"/>
    <w:rsid w:val="000A0AD0"/>
    <w:rsid w:val="000A0CD5"/>
    <w:rsid w:val="000A0E97"/>
    <w:rsid w:val="000A1794"/>
    <w:rsid w:val="000A1A3B"/>
    <w:rsid w:val="000A24B0"/>
    <w:rsid w:val="000A43B0"/>
    <w:rsid w:val="000A4555"/>
    <w:rsid w:val="000A4B34"/>
    <w:rsid w:val="000A62C1"/>
    <w:rsid w:val="000A68AE"/>
    <w:rsid w:val="000A6DB4"/>
    <w:rsid w:val="000A7095"/>
    <w:rsid w:val="000B0CE1"/>
    <w:rsid w:val="000B0D86"/>
    <w:rsid w:val="000B2AD1"/>
    <w:rsid w:val="000B2B89"/>
    <w:rsid w:val="000B2C8A"/>
    <w:rsid w:val="000B401E"/>
    <w:rsid w:val="000B402A"/>
    <w:rsid w:val="000B41F0"/>
    <w:rsid w:val="000B4694"/>
    <w:rsid w:val="000B46C2"/>
    <w:rsid w:val="000B4A6D"/>
    <w:rsid w:val="000B56A3"/>
    <w:rsid w:val="000B58CD"/>
    <w:rsid w:val="000B6033"/>
    <w:rsid w:val="000B6708"/>
    <w:rsid w:val="000B6C34"/>
    <w:rsid w:val="000C0495"/>
    <w:rsid w:val="000C1206"/>
    <w:rsid w:val="000C23FD"/>
    <w:rsid w:val="000C258E"/>
    <w:rsid w:val="000C2C96"/>
    <w:rsid w:val="000C2DF7"/>
    <w:rsid w:val="000C332A"/>
    <w:rsid w:val="000C3995"/>
    <w:rsid w:val="000C3D79"/>
    <w:rsid w:val="000C406E"/>
    <w:rsid w:val="000C4B9A"/>
    <w:rsid w:val="000C590C"/>
    <w:rsid w:val="000C5C54"/>
    <w:rsid w:val="000C5F10"/>
    <w:rsid w:val="000C6EC3"/>
    <w:rsid w:val="000C7BC7"/>
    <w:rsid w:val="000C7EBB"/>
    <w:rsid w:val="000D0349"/>
    <w:rsid w:val="000D0588"/>
    <w:rsid w:val="000D069E"/>
    <w:rsid w:val="000D0E8D"/>
    <w:rsid w:val="000D1D05"/>
    <w:rsid w:val="000D3206"/>
    <w:rsid w:val="000D33A7"/>
    <w:rsid w:val="000D3669"/>
    <w:rsid w:val="000D36DE"/>
    <w:rsid w:val="000D3B4F"/>
    <w:rsid w:val="000D415A"/>
    <w:rsid w:val="000D4174"/>
    <w:rsid w:val="000D4A53"/>
    <w:rsid w:val="000D5296"/>
    <w:rsid w:val="000D5359"/>
    <w:rsid w:val="000D5FEB"/>
    <w:rsid w:val="000D62A0"/>
    <w:rsid w:val="000D782D"/>
    <w:rsid w:val="000E00F4"/>
    <w:rsid w:val="000E025D"/>
    <w:rsid w:val="000E0B23"/>
    <w:rsid w:val="000E0C42"/>
    <w:rsid w:val="000E3039"/>
    <w:rsid w:val="000E35F8"/>
    <w:rsid w:val="000E375B"/>
    <w:rsid w:val="000E39FA"/>
    <w:rsid w:val="000E3F67"/>
    <w:rsid w:val="000E502B"/>
    <w:rsid w:val="000E74C4"/>
    <w:rsid w:val="000F14E1"/>
    <w:rsid w:val="000F164A"/>
    <w:rsid w:val="000F1AEB"/>
    <w:rsid w:val="000F1E3E"/>
    <w:rsid w:val="000F2870"/>
    <w:rsid w:val="000F35E1"/>
    <w:rsid w:val="000F4910"/>
    <w:rsid w:val="000F4EB8"/>
    <w:rsid w:val="000F580A"/>
    <w:rsid w:val="000F5945"/>
    <w:rsid w:val="000F5A62"/>
    <w:rsid w:val="000F776B"/>
    <w:rsid w:val="00100996"/>
    <w:rsid w:val="00100DF9"/>
    <w:rsid w:val="00100EE9"/>
    <w:rsid w:val="00101043"/>
    <w:rsid w:val="0010146A"/>
    <w:rsid w:val="00101473"/>
    <w:rsid w:val="00101532"/>
    <w:rsid w:val="00101804"/>
    <w:rsid w:val="0010217A"/>
    <w:rsid w:val="00103876"/>
    <w:rsid w:val="00103D81"/>
    <w:rsid w:val="001044C6"/>
    <w:rsid w:val="00104F45"/>
    <w:rsid w:val="001053D1"/>
    <w:rsid w:val="00105D13"/>
    <w:rsid w:val="001060ED"/>
    <w:rsid w:val="00106958"/>
    <w:rsid w:val="00107557"/>
    <w:rsid w:val="0010779C"/>
    <w:rsid w:val="001107AC"/>
    <w:rsid w:val="00110E2D"/>
    <w:rsid w:val="001121D0"/>
    <w:rsid w:val="001126E4"/>
    <w:rsid w:val="001132C8"/>
    <w:rsid w:val="0011350D"/>
    <w:rsid w:val="00113B45"/>
    <w:rsid w:val="00114476"/>
    <w:rsid w:val="00114E12"/>
    <w:rsid w:val="001159F7"/>
    <w:rsid w:val="0011668F"/>
    <w:rsid w:val="00116E02"/>
    <w:rsid w:val="001179E0"/>
    <w:rsid w:val="00117AA6"/>
    <w:rsid w:val="001201D3"/>
    <w:rsid w:val="00120795"/>
    <w:rsid w:val="00121A90"/>
    <w:rsid w:val="00121D1C"/>
    <w:rsid w:val="00121ED8"/>
    <w:rsid w:val="00122993"/>
    <w:rsid w:val="00123190"/>
    <w:rsid w:val="00123E99"/>
    <w:rsid w:val="00124205"/>
    <w:rsid w:val="00124A56"/>
    <w:rsid w:val="0012507F"/>
    <w:rsid w:val="00125C36"/>
    <w:rsid w:val="00126AA8"/>
    <w:rsid w:val="0012750D"/>
    <w:rsid w:val="00127609"/>
    <w:rsid w:val="0012785B"/>
    <w:rsid w:val="0012785C"/>
    <w:rsid w:val="00127968"/>
    <w:rsid w:val="001279D7"/>
    <w:rsid w:val="001308B5"/>
    <w:rsid w:val="00130E6A"/>
    <w:rsid w:val="00131754"/>
    <w:rsid w:val="00131A48"/>
    <w:rsid w:val="00131A77"/>
    <w:rsid w:val="00133518"/>
    <w:rsid w:val="00133937"/>
    <w:rsid w:val="00133C78"/>
    <w:rsid w:val="001351E8"/>
    <w:rsid w:val="00135DED"/>
    <w:rsid w:val="00136047"/>
    <w:rsid w:val="001364A8"/>
    <w:rsid w:val="00136CFE"/>
    <w:rsid w:val="001370CD"/>
    <w:rsid w:val="00137301"/>
    <w:rsid w:val="00137367"/>
    <w:rsid w:val="00137C4D"/>
    <w:rsid w:val="00140069"/>
    <w:rsid w:val="001400CA"/>
    <w:rsid w:val="001403A9"/>
    <w:rsid w:val="0014166E"/>
    <w:rsid w:val="00142D74"/>
    <w:rsid w:val="0014339C"/>
    <w:rsid w:val="0014403F"/>
    <w:rsid w:val="00145112"/>
    <w:rsid w:val="001457CC"/>
    <w:rsid w:val="00145D60"/>
    <w:rsid w:val="00146E6F"/>
    <w:rsid w:val="001509A2"/>
    <w:rsid w:val="00150CAB"/>
    <w:rsid w:val="001525D7"/>
    <w:rsid w:val="00152904"/>
    <w:rsid w:val="00153438"/>
    <w:rsid w:val="00153624"/>
    <w:rsid w:val="00153763"/>
    <w:rsid w:val="00153794"/>
    <w:rsid w:val="001537FA"/>
    <w:rsid w:val="00153EC5"/>
    <w:rsid w:val="00154AA8"/>
    <w:rsid w:val="001564A5"/>
    <w:rsid w:val="00157206"/>
    <w:rsid w:val="00157479"/>
    <w:rsid w:val="00157511"/>
    <w:rsid w:val="001575CB"/>
    <w:rsid w:val="001579F6"/>
    <w:rsid w:val="00157CA6"/>
    <w:rsid w:val="001600FD"/>
    <w:rsid w:val="001602C8"/>
    <w:rsid w:val="0016030F"/>
    <w:rsid w:val="001605E2"/>
    <w:rsid w:val="0016260C"/>
    <w:rsid w:val="00162E3C"/>
    <w:rsid w:val="001632A6"/>
    <w:rsid w:val="001638E5"/>
    <w:rsid w:val="00164092"/>
    <w:rsid w:val="00165095"/>
    <w:rsid w:val="001653ED"/>
    <w:rsid w:val="00165715"/>
    <w:rsid w:val="00165C23"/>
    <w:rsid w:val="001669AC"/>
    <w:rsid w:val="00166B37"/>
    <w:rsid w:val="0017140D"/>
    <w:rsid w:val="00171733"/>
    <w:rsid w:val="00171A51"/>
    <w:rsid w:val="0017242B"/>
    <w:rsid w:val="00172645"/>
    <w:rsid w:val="00172D78"/>
    <w:rsid w:val="00174372"/>
    <w:rsid w:val="001746FF"/>
    <w:rsid w:val="00175AC6"/>
    <w:rsid w:val="00175AFD"/>
    <w:rsid w:val="001760F9"/>
    <w:rsid w:val="00176253"/>
    <w:rsid w:val="00176D21"/>
    <w:rsid w:val="001777F0"/>
    <w:rsid w:val="00177E91"/>
    <w:rsid w:val="00180A0A"/>
    <w:rsid w:val="00180E16"/>
    <w:rsid w:val="00181643"/>
    <w:rsid w:val="00181EE2"/>
    <w:rsid w:val="00181F29"/>
    <w:rsid w:val="00182255"/>
    <w:rsid w:val="00182507"/>
    <w:rsid w:val="00182613"/>
    <w:rsid w:val="00182D31"/>
    <w:rsid w:val="00183B6F"/>
    <w:rsid w:val="00183BDB"/>
    <w:rsid w:val="001844EF"/>
    <w:rsid w:val="00184A0F"/>
    <w:rsid w:val="001866BF"/>
    <w:rsid w:val="00186BAA"/>
    <w:rsid w:val="00187011"/>
    <w:rsid w:val="00190D06"/>
    <w:rsid w:val="00191432"/>
    <w:rsid w:val="0019170C"/>
    <w:rsid w:val="00191B51"/>
    <w:rsid w:val="00192439"/>
    <w:rsid w:val="00192BA6"/>
    <w:rsid w:val="00193B17"/>
    <w:rsid w:val="001943C1"/>
    <w:rsid w:val="0019510B"/>
    <w:rsid w:val="00195891"/>
    <w:rsid w:val="00195A6B"/>
    <w:rsid w:val="00196BB2"/>
    <w:rsid w:val="001A050E"/>
    <w:rsid w:val="001A0AEF"/>
    <w:rsid w:val="001A197A"/>
    <w:rsid w:val="001A2449"/>
    <w:rsid w:val="001A2450"/>
    <w:rsid w:val="001A2801"/>
    <w:rsid w:val="001A2B8E"/>
    <w:rsid w:val="001A2FDF"/>
    <w:rsid w:val="001A386E"/>
    <w:rsid w:val="001A4145"/>
    <w:rsid w:val="001A4456"/>
    <w:rsid w:val="001A4525"/>
    <w:rsid w:val="001A4818"/>
    <w:rsid w:val="001A5707"/>
    <w:rsid w:val="001A67BA"/>
    <w:rsid w:val="001A74E3"/>
    <w:rsid w:val="001B0458"/>
    <w:rsid w:val="001B0CEA"/>
    <w:rsid w:val="001B1111"/>
    <w:rsid w:val="001B151E"/>
    <w:rsid w:val="001B1530"/>
    <w:rsid w:val="001B26C4"/>
    <w:rsid w:val="001B2B28"/>
    <w:rsid w:val="001B2B75"/>
    <w:rsid w:val="001B2D1A"/>
    <w:rsid w:val="001B2D51"/>
    <w:rsid w:val="001B46B9"/>
    <w:rsid w:val="001B4EB5"/>
    <w:rsid w:val="001B51A4"/>
    <w:rsid w:val="001B556B"/>
    <w:rsid w:val="001B55A3"/>
    <w:rsid w:val="001B56D9"/>
    <w:rsid w:val="001B6D30"/>
    <w:rsid w:val="001B70CB"/>
    <w:rsid w:val="001B71CB"/>
    <w:rsid w:val="001B7793"/>
    <w:rsid w:val="001B7B82"/>
    <w:rsid w:val="001B7E82"/>
    <w:rsid w:val="001C0465"/>
    <w:rsid w:val="001C04F1"/>
    <w:rsid w:val="001C0F99"/>
    <w:rsid w:val="001C1D08"/>
    <w:rsid w:val="001C2548"/>
    <w:rsid w:val="001C27BF"/>
    <w:rsid w:val="001C36A5"/>
    <w:rsid w:val="001C3877"/>
    <w:rsid w:val="001C397E"/>
    <w:rsid w:val="001C3BFB"/>
    <w:rsid w:val="001C437D"/>
    <w:rsid w:val="001C43CF"/>
    <w:rsid w:val="001C462B"/>
    <w:rsid w:val="001C47F7"/>
    <w:rsid w:val="001C482A"/>
    <w:rsid w:val="001C4C59"/>
    <w:rsid w:val="001C5448"/>
    <w:rsid w:val="001C5D8A"/>
    <w:rsid w:val="001C6671"/>
    <w:rsid w:val="001C6D8A"/>
    <w:rsid w:val="001C7D6F"/>
    <w:rsid w:val="001D0E1D"/>
    <w:rsid w:val="001D0E7D"/>
    <w:rsid w:val="001D1ED8"/>
    <w:rsid w:val="001D2111"/>
    <w:rsid w:val="001D2711"/>
    <w:rsid w:val="001D2FAF"/>
    <w:rsid w:val="001D3112"/>
    <w:rsid w:val="001D447E"/>
    <w:rsid w:val="001D4A84"/>
    <w:rsid w:val="001D4D86"/>
    <w:rsid w:val="001D4DC9"/>
    <w:rsid w:val="001D5C38"/>
    <w:rsid w:val="001D627A"/>
    <w:rsid w:val="001D678D"/>
    <w:rsid w:val="001D7486"/>
    <w:rsid w:val="001D7BBA"/>
    <w:rsid w:val="001D7E29"/>
    <w:rsid w:val="001E0EA5"/>
    <w:rsid w:val="001E32F2"/>
    <w:rsid w:val="001E4C77"/>
    <w:rsid w:val="001E7CFC"/>
    <w:rsid w:val="001F001A"/>
    <w:rsid w:val="001F0077"/>
    <w:rsid w:val="001F025E"/>
    <w:rsid w:val="001F08DF"/>
    <w:rsid w:val="001F0DCC"/>
    <w:rsid w:val="001F1B79"/>
    <w:rsid w:val="001F1C63"/>
    <w:rsid w:val="001F30C0"/>
    <w:rsid w:val="001F35C3"/>
    <w:rsid w:val="001F38B5"/>
    <w:rsid w:val="001F4A55"/>
    <w:rsid w:val="001F4C35"/>
    <w:rsid w:val="001F55B3"/>
    <w:rsid w:val="001F5714"/>
    <w:rsid w:val="001F6055"/>
    <w:rsid w:val="001F67C9"/>
    <w:rsid w:val="001F6CBE"/>
    <w:rsid w:val="001F7ACC"/>
    <w:rsid w:val="002000EC"/>
    <w:rsid w:val="00201F2C"/>
    <w:rsid w:val="002023D1"/>
    <w:rsid w:val="00202979"/>
    <w:rsid w:val="002034E9"/>
    <w:rsid w:val="00203C39"/>
    <w:rsid w:val="002040E7"/>
    <w:rsid w:val="0020483A"/>
    <w:rsid w:val="00204CEE"/>
    <w:rsid w:val="00205547"/>
    <w:rsid w:val="00205FAB"/>
    <w:rsid w:val="002060C6"/>
    <w:rsid w:val="002064F9"/>
    <w:rsid w:val="00206501"/>
    <w:rsid w:val="002079B2"/>
    <w:rsid w:val="00207D90"/>
    <w:rsid w:val="0021090C"/>
    <w:rsid w:val="0021133E"/>
    <w:rsid w:val="00211635"/>
    <w:rsid w:val="0021233E"/>
    <w:rsid w:val="0021332A"/>
    <w:rsid w:val="00213649"/>
    <w:rsid w:val="002150DD"/>
    <w:rsid w:val="00215536"/>
    <w:rsid w:val="00217488"/>
    <w:rsid w:val="00220314"/>
    <w:rsid w:val="00220DA1"/>
    <w:rsid w:val="002212BE"/>
    <w:rsid w:val="00221C7F"/>
    <w:rsid w:val="002224FE"/>
    <w:rsid w:val="002230B4"/>
    <w:rsid w:val="00223467"/>
    <w:rsid w:val="002236AB"/>
    <w:rsid w:val="00223D56"/>
    <w:rsid w:val="00224289"/>
    <w:rsid w:val="00224367"/>
    <w:rsid w:val="002246DA"/>
    <w:rsid w:val="00227B11"/>
    <w:rsid w:val="00230665"/>
    <w:rsid w:val="002307AA"/>
    <w:rsid w:val="002308AD"/>
    <w:rsid w:val="002316C5"/>
    <w:rsid w:val="00231F03"/>
    <w:rsid w:val="00232742"/>
    <w:rsid w:val="0023314F"/>
    <w:rsid w:val="002333EC"/>
    <w:rsid w:val="00233503"/>
    <w:rsid w:val="0023364E"/>
    <w:rsid w:val="00233FE5"/>
    <w:rsid w:val="00234B0B"/>
    <w:rsid w:val="00235FC0"/>
    <w:rsid w:val="0023689F"/>
    <w:rsid w:val="002374BE"/>
    <w:rsid w:val="00237E21"/>
    <w:rsid w:val="00240109"/>
    <w:rsid w:val="00240138"/>
    <w:rsid w:val="00240855"/>
    <w:rsid w:val="00240C11"/>
    <w:rsid w:val="00240D84"/>
    <w:rsid w:val="00240EBA"/>
    <w:rsid w:val="002412D6"/>
    <w:rsid w:val="00241F54"/>
    <w:rsid w:val="0024255D"/>
    <w:rsid w:val="00242646"/>
    <w:rsid w:val="0024270B"/>
    <w:rsid w:val="00242885"/>
    <w:rsid w:val="0024390E"/>
    <w:rsid w:val="00243DA5"/>
    <w:rsid w:val="002442DA"/>
    <w:rsid w:val="00246EB3"/>
    <w:rsid w:val="00246FAA"/>
    <w:rsid w:val="00246FDB"/>
    <w:rsid w:val="0024718F"/>
    <w:rsid w:val="002478F8"/>
    <w:rsid w:val="00250152"/>
    <w:rsid w:val="00250A64"/>
    <w:rsid w:val="00250C35"/>
    <w:rsid w:val="00250F74"/>
    <w:rsid w:val="002510FA"/>
    <w:rsid w:val="0025137D"/>
    <w:rsid w:val="00251E22"/>
    <w:rsid w:val="00252317"/>
    <w:rsid w:val="00252614"/>
    <w:rsid w:val="00252835"/>
    <w:rsid w:val="00252B35"/>
    <w:rsid w:val="0025352C"/>
    <w:rsid w:val="00253A92"/>
    <w:rsid w:val="00253AF3"/>
    <w:rsid w:val="00253E7E"/>
    <w:rsid w:val="00253FB7"/>
    <w:rsid w:val="002540C0"/>
    <w:rsid w:val="002542F0"/>
    <w:rsid w:val="00254BCE"/>
    <w:rsid w:val="00254D1D"/>
    <w:rsid w:val="00255D4F"/>
    <w:rsid w:val="00255EA2"/>
    <w:rsid w:val="00256C33"/>
    <w:rsid w:val="00256E32"/>
    <w:rsid w:val="00260854"/>
    <w:rsid w:val="00260CCF"/>
    <w:rsid w:val="002610E5"/>
    <w:rsid w:val="0026163B"/>
    <w:rsid w:val="00262FD0"/>
    <w:rsid w:val="00263151"/>
    <w:rsid w:val="00264325"/>
    <w:rsid w:val="0026494E"/>
    <w:rsid w:val="00264E77"/>
    <w:rsid w:val="00264F46"/>
    <w:rsid w:val="00265461"/>
    <w:rsid w:val="002656CD"/>
    <w:rsid w:val="00265A61"/>
    <w:rsid w:val="00265D2E"/>
    <w:rsid w:val="0026737B"/>
    <w:rsid w:val="00270433"/>
    <w:rsid w:val="002708D2"/>
    <w:rsid w:val="00271273"/>
    <w:rsid w:val="00271443"/>
    <w:rsid w:val="00271AC6"/>
    <w:rsid w:val="00271BE0"/>
    <w:rsid w:val="00272770"/>
    <w:rsid w:val="00272961"/>
    <w:rsid w:val="002736A9"/>
    <w:rsid w:val="00273932"/>
    <w:rsid w:val="0027438D"/>
    <w:rsid w:val="00275070"/>
    <w:rsid w:val="00275122"/>
    <w:rsid w:val="00275182"/>
    <w:rsid w:val="0027545B"/>
    <w:rsid w:val="002754BF"/>
    <w:rsid w:val="002759A5"/>
    <w:rsid w:val="00276815"/>
    <w:rsid w:val="002769E1"/>
    <w:rsid w:val="00276B21"/>
    <w:rsid w:val="00276ED9"/>
    <w:rsid w:val="002776F1"/>
    <w:rsid w:val="002778F2"/>
    <w:rsid w:val="00277BA4"/>
    <w:rsid w:val="00281367"/>
    <w:rsid w:val="00281605"/>
    <w:rsid w:val="0028169B"/>
    <w:rsid w:val="00282CAE"/>
    <w:rsid w:val="00283ED4"/>
    <w:rsid w:val="0028504E"/>
    <w:rsid w:val="0028535A"/>
    <w:rsid w:val="0028643D"/>
    <w:rsid w:val="00286993"/>
    <w:rsid w:val="00286C1F"/>
    <w:rsid w:val="00286D35"/>
    <w:rsid w:val="00286E75"/>
    <w:rsid w:val="002870F0"/>
    <w:rsid w:val="00287138"/>
    <w:rsid w:val="00287CE3"/>
    <w:rsid w:val="00287F5E"/>
    <w:rsid w:val="00290574"/>
    <w:rsid w:val="00291D9B"/>
    <w:rsid w:val="00293C80"/>
    <w:rsid w:val="002942B6"/>
    <w:rsid w:val="002945CE"/>
    <w:rsid w:val="0029553B"/>
    <w:rsid w:val="0029668F"/>
    <w:rsid w:val="00297663"/>
    <w:rsid w:val="002A06E4"/>
    <w:rsid w:val="002A07FD"/>
    <w:rsid w:val="002A0DD7"/>
    <w:rsid w:val="002A1276"/>
    <w:rsid w:val="002A18E0"/>
    <w:rsid w:val="002A1B0A"/>
    <w:rsid w:val="002A2522"/>
    <w:rsid w:val="002A25F5"/>
    <w:rsid w:val="002A2664"/>
    <w:rsid w:val="002A3260"/>
    <w:rsid w:val="002A3D2A"/>
    <w:rsid w:val="002A4BA0"/>
    <w:rsid w:val="002A4F52"/>
    <w:rsid w:val="002A6879"/>
    <w:rsid w:val="002B0258"/>
    <w:rsid w:val="002B0296"/>
    <w:rsid w:val="002B0435"/>
    <w:rsid w:val="002B0634"/>
    <w:rsid w:val="002B1D7B"/>
    <w:rsid w:val="002B1F48"/>
    <w:rsid w:val="002B1F80"/>
    <w:rsid w:val="002B200E"/>
    <w:rsid w:val="002B2052"/>
    <w:rsid w:val="002B2D8C"/>
    <w:rsid w:val="002B3D4E"/>
    <w:rsid w:val="002B4304"/>
    <w:rsid w:val="002B55B0"/>
    <w:rsid w:val="002B5F9E"/>
    <w:rsid w:val="002B616B"/>
    <w:rsid w:val="002B686A"/>
    <w:rsid w:val="002C1A67"/>
    <w:rsid w:val="002C3416"/>
    <w:rsid w:val="002C3EFA"/>
    <w:rsid w:val="002C4AA5"/>
    <w:rsid w:val="002C7A6B"/>
    <w:rsid w:val="002D0166"/>
    <w:rsid w:val="002D13B9"/>
    <w:rsid w:val="002D1F21"/>
    <w:rsid w:val="002D26DC"/>
    <w:rsid w:val="002D2DB4"/>
    <w:rsid w:val="002D3A98"/>
    <w:rsid w:val="002D3E55"/>
    <w:rsid w:val="002D3F39"/>
    <w:rsid w:val="002D4501"/>
    <w:rsid w:val="002D4BDF"/>
    <w:rsid w:val="002D5355"/>
    <w:rsid w:val="002D537B"/>
    <w:rsid w:val="002D57C6"/>
    <w:rsid w:val="002D5F98"/>
    <w:rsid w:val="002D6275"/>
    <w:rsid w:val="002D7FC1"/>
    <w:rsid w:val="002E01E8"/>
    <w:rsid w:val="002E072D"/>
    <w:rsid w:val="002E0831"/>
    <w:rsid w:val="002E1076"/>
    <w:rsid w:val="002E17EF"/>
    <w:rsid w:val="002E188E"/>
    <w:rsid w:val="002E1EF3"/>
    <w:rsid w:val="002E21FB"/>
    <w:rsid w:val="002E2D1C"/>
    <w:rsid w:val="002E3006"/>
    <w:rsid w:val="002E44F7"/>
    <w:rsid w:val="002E467B"/>
    <w:rsid w:val="002E46D3"/>
    <w:rsid w:val="002E5497"/>
    <w:rsid w:val="002E76C0"/>
    <w:rsid w:val="002E77BB"/>
    <w:rsid w:val="002F12FE"/>
    <w:rsid w:val="002F1F89"/>
    <w:rsid w:val="002F20F3"/>
    <w:rsid w:val="002F3387"/>
    <w:rsid w:val="002F3BF3"/>
    <w:rsid w:val="002F4592"/>
    <w:rsid w:val="002F45B9"/>
    <w:rsid w:val="002F4792"/>
    <w:rsid w:val="002F49D8"/>
    <w:rsid w:val="002F49F9"/>
    <w:rsid w:val="002F5D01"/>
    <w:rsid w:val="002F5D33"/>
    <w:rsid w:val="002F6533"/>
    <w:rsid w:val="002F677A"/>
    <w:rsid w:val="002F7485"/>
    <w:rsid w:val="002F78EF"/>
    <w:rsid w:val="0030027F"/>
    <w:rsid w:val="00302FB3"/>
    <w:rsid w:val="003030CE"/>
    <w:rsid w:val="0030324A"/>
    <w:rsid w:val="00303B7F"/>
    <w:rsid w:val="00306022"/>
    <w:rsid w:val="003061B7"/>
    <w:rsid w:val="00306259"/>
    <w:rsid w:val="00306835"/>
    <w:rsid w:val="00306DFA"/>
    <w:rsid w:val="00307408"/>
    <w:rsid w:val="00307506"/>
    <w:rsid w:val="0031028C"/>
    <w:rsid w:val="003105FA"/>
    <w:rsid w:val="00310F38"/>
    <w:rsid w:val="00310FFC"/>
    <w:rsid w:val="00311666"/>
    <w:rsid w:val="0031197B"/>
    <w:rsid w:val="00311A24"/>
    <w:rsid w:val="003126C7"/>
    <w:rsid w:val="00312F13"/>
    <w:rsid w:val="00314657"/>
    <w:rsid w:val="00315DEA"/>
    <w:rsid w:val="003168A5"/>
    <w:rsid w:val="00316E5D"/>
    <w:rsid w:val="003177BC"/>
    <w:rsid w:val="00317A81"/>
    <w:rsid w:val="00317BFB"/>
    <w:rsid w:val="003200F3"/>
    <w:rsid w:val="00321121"/>
    <w:rsid w:val="0032127B"/>
    <w:rsid w:val="00321726"/>
    <w:rsid w:val="0032210E"/>
    <w:rsid w:val="003223BC"/>
    <w:rsid w:val="0032270B"/>
    <w:rsid w:val="0032293C"/>
    <w:rsid w:val="003229A5"/>
    <w:rsid w:val="00322BDC"/>
    <w:rsid w:val="00323917"/>
    <w:rsid w:val="00323B58"/>
    <w:rsid w:val="00324ECB"/>
    <w:rsid w:val="00325F09"/>
    <w:rsid w:val="0032629C"/>
    <w:rsid w:val="00326D5F"/>
    <w:rsid w:val="00326E9B"/>
    <w:rsid w:val="00327453"/>
    <w:rsid w:val="00327809"/>
    <w:rsid w:val="00327D9B"/>
    <w:rsid w:val="00330E5F"/>
    <w:rsid w:val="003314D1"/>
    <w:rsid w:val="003314E3"/>
    <w:rsid w:val="003315D0"/>
    <w:rsid w:val="003323DF"/>
    <w:rsid w:val="00332893"/>
    <w:rsid w:val="00333E6B"/>
    <w:rsid w:val="0033468A"/>
    <w:rsid w:val="00334765"/>
    <w:rsid w:val="0033541F"/>
    <w:rsid w:val="0033668B"/>
    <w:rsid w:val="00336773"/>
    <w:rsid w:val="00336E63"/>
    <w:rsid w:val="003371CD"/>
    <w:rsid w:val="00337467"/>
    <w:rsid w:val="00337A94"/>
    <w:rsid w:val="00337BA9"/>
    <w:rsid w:val="00337D5B"/>
    <w:rsid w:val="003401B1"/>
    <w:rsid w:val="0034076C"/>
    <w:rsid w:val="003413C5"/>
    <w:rsid w:val="00343FD1"/>
    <w:rsid w:val="003443CA"/>
    <w:rsid w:val="0034518D"/>
    <w:rsid w:val="003455A6"/>
    <w:rsid w:val="00345962"/>
    <w:rsid w:val="00346539"/>
    <w:rsid w:val="00347020"/>
    <w:rsid w:val="003471EE"/>
    <w:rsid w:val="003474A8"/>
    <w:rsid w:val="00347D3E"/>
    <w:rsid w:val="00350CC0"/>
    <w:rsid w:val="003518E1"/>
    <w:rsid w:val="003525EE"/>
    <w:rsid w:val="00353FB7"/>
    <w:rsid w:val="003543CB"/>
    <w:rsid w:val="003546DB"/>
    <w:rsid w:val="0035478E"/>
    <w:rsid w:val="003548A0"/>
    <w:rsid w:val="003552ED"/>
    <w:rsid w:val="0035537E"/>
    <w:rsid w:val="00355D12"/>
    <w:rsid w:val="003569A2"/>
    <w:rsid w:val="00356A42"/>
    <w:rsid w:val="00356BCF"/>
    <w:rsid w:val="00356CB6"/>
    <w:rsid w:val="00356D8E"/>
    <w:rsid w:val="00356E93"/>
    <w:rsid w:val="0035737B"/>
    <w:rsid w:val="00360232"/>
    <w:rsid w:val="003609B1"/>
    <w:rsid w:val="00360CD4"/>
    <w:rsid w:val="00361052"/>
    <w:rsid w:val="00362C62"/>
    <w:rsid w:val="003646A2"/>
    <w:rsid w:val="00365E9A"/>
    <w:rsid w:val="00365F94"/>
    <w:rsid w:val="00367A20"/>
    <w:rsid w:val="003703D7"/>
    <w:rsid w:val="003728CD"/>
    <w:rsid w:val="00372DA2"/>
    <w:rsid w:val="003730FB"/>
    <w:rsid w:val="003759EE"/>
    <w:rsid w:val="00375A46"/>
    <w:rsid w:val="00375EC6"/>
    <w:rsid w:val="003800FE"/>
    <w:rsid w:val="003801F5"/>
    <w:rsid w:val="0038057F"/>
    <w:rsid w:val="00381872"/>
    <w:rsid w:val="00382A17"/>
    <w:rsid w:val="00384625"/>
    <w:rsid w:val="00384956"/>
    <w:rsid w:val="00385A1B"/>
    <w:rsid w:val="0038609B"/>
    <w:rsid w:val="003861BC"/>
    <w:rsid w:val="0038668D"/>
    <w:rsid w:val="00387030"/>
    <w:rsid w:val="00387620"/>
    <w:rsid w:val="00390484"/>
    <w:rsid w:val="00390D0F"/>
    <w:rsid w:val="0039237C"/>
    <w:rsid w:val="003924DA"/>
    <w:rsid w:val="003929C3"/>
    <w:rsid w:val="003932AF"/>
    <w:rsid w:val="003932D1"/>
    <w:rsid w:val="00393756"/>
    <w:rsid w:val="0039384F"/>
    <w:rsid w:val="0039472A"/>
    <w:rsid w:val="00394F3D"/>
    <w:rsid w:val="003951A6"/>
    <w:rsid w:val="00395C10"/>
    <w:rsid w:val="00395CB5"/>
    <w:rsid w:val="00395CCE"/>
    <w:rsid w:val="003963FA"/>
    <w:rsid w:val="003964E2"/>
    <w:rsid w:val="00396EB2"/>
    <w:rsid w:val="00397D1E"/>
    <w:rsid w:val="003A0701"/>
    <w:rsid w:val="003A0C22"/>
    <w:rsid w:val="003A1B7E"/>
    <w:rsid w:val="003A1DFA"/>
    <w:rsid w:val="003A27AF"/>
    <w:rsid w:val="003A2BA2"/>
    <w:rsid w:val="003A359F"/>
    <w:rsid w:val="003A382F"/>
    <w:rsid w:val="003A3888"/>
    <w:rsid w:val="003A39BD"/>
    <w:rsid w:val="003A39D6"/>
    <w:rsid w:val="003A4693"/>
    <w:rsid w:val="003A4CE0"/>
    <w:rsid w:val="003A535A"/>
    <w:rsid w:val="003A5FBB"/>
    <w:rsid w:val="003A6026"/>
    <w:rsid w:val="003A6C0E"/>
    <w:rsid w:val="003A76E4"/>
    <w:rsid w:val="003A781D"/>
    <w:rsid w:val="003B1553"/>
    <w:rsid w:val="003B1983"/>
    <w:rsid w:val="003B1D54"/>
    <w:rsid w:val="003B275B"/>
    <w:rsid w:val="003B4246"/>
    <w:rsid w:val="003B43E0"/>
    <w:rsid w:val="003B4486"/>
    <w:rsid w:val="003B4694"/>
    <w:rsid w:val="003B492C"/>
    <w:rsid w:val="003B5B90"/>
    <w:rsid w:val="003B6287"/>
    <w:rsid w:val="003B63FD"/>
    <w:rsid w:val="003B6CD7"/>
    <w:rsid w:val="003B7090"/>
    <w:rsid w:val="003B747B"/>
    <w:rsid w:val="003B7D99"/>
    <w:rsid w:val="003C1DBA"/>
    <w:rsid w:val="003C2059"/>
    <w:rsid w:val="003C26B5"/>
    <w:rsid w:val="003C2C4B"/>
    <w:rsid w:val="003C2E8B"/>
    <w:rsid w:val="003C2FCD"/>
    <w:rsid w:val="003C36F9"/>
    <w:rsid w:val="003C37CC"/>
    <w:rsid w:val="003C43E4"/>
    <w:rsid w:val="003C4AA6"/>
    <w:rsid w:val="003C6ABC"/>
    <w:rsid w:val="003C6EF3"/>
    <w:rsid w:val="003C7467"/>
    <w:rsid w:val="003C77B9"/>
    <w:rsid w:val="003C7A50"/>
    <w:rsid w:val="003C7E6F"/>
    <w:rsid w:val="003D0A6E"/>
    <w:rsid w:val="003D0B01"/>
    <w:rsid w:val="003D0FC9"/>
    <w:rsid w:val="003D146F"/>
    <w:rsid w:val="003D32DB"/>
    <w:rsid w:val="003D32E8"/>
    <w:rsid w:val="003D43B4"/>
    <w:rsid w:val="003D456C"/>
    <w:rsid w:val="003D519D"/>
    <w:rsid w:val="003D5E91"/>
    <w:rsid w:val="003D5F4F"/>
    <w:rsid w:val="003D6287"/>
    <w:rsid w:val="003D6598"/>
    <w:rsid w:val="003D6CCC"/>
    <w:rsid w:val="003D7AB0"/>
    <w:rsid w:val="003D7AE8"/>
    <w:rsid w:val="003D7FB1"/>
    <w:rsid w:val="003E00EC"/>
    <w:rsid w:val="003E0305"/>
    <w:rsid w:val="003E0695"/>
    <w:rsid w:val="003E0F58"/>
    <w:rsid w:val="003E120C"/>
    <w:rsid w:val="003E153C"/>
    <w:rsid w:val="003E18D8"/>
    <w:rsid w:val="003E262D"/>
    <w:rsid w:val="003E2669"/>
    <w:rsid w:val="003E2D64"/>
    <w:rsid w:val="003E2DD6"/>
    <w:rsid w:val="003E32BD"/>
    <w:rsid w:val="003E493F"/>
    <w:rsid w:val="003E5164"/>
    <w:rsid w:val="003E57D9"/>
    <w:rsid w:val="003E5B19"/>
    <w:rsid w:val="003E608C"/>
    <w:rsid w:val="003E6176"/>
    <w:rsid w:val="003E6B4F"/>
    <w:rsid w:val="003E72BE"/>
    <w:rsid w:val="003E740F"/>
    <w:rsid w:val="003E7880"/>
    <w:rsid w:val="003F04B7"/>
    <w:rsid w:val="003F0B47"/>
    <w:rsid w:val="003F0C98"/>
    <w:rsid w:val="003F0F67"/>
    <w:rsid w:val="003F10F6"/>
    <w:rsid w:val="003F13C8"/>
    <w:rsid w:val="003F1583"/>
    <w:rsid w:val="003F188C"/>
    <w:rsid w:val="003F2974"/>
    <w:rsid w:val="003F2B71"/>
    <w:rsid w:val="003F2CCB"/>
    <w:rsid w:val="003F2DBB"/>
    <w:rsid w:val="003F5B3B"/>
    <w:rsid w:val="003F5CA6"/>
    <w:rsid w:val="003F5F43"/>
    <w:rsid w:val="003F6028"/>
    <w:rsid w:val="003F67C8"/>
    <w:rsid w:val="003F7FC0"/>
    <w:rsid w:val="004028EA"/>
    <w:rsid w:val="00403F6C"/>
    <w:rsid w:val="004040E5"/>
    <w:rsid w:val="00404121"/>
    <w:rsid w:val="00404352"/>
    <w:rsid w:val="0040456C"/>
    <w:rsid w:val="00404EAF"/>
    <w:rsid w:val="00406DBC"/>
    <w:rsid w:val="00407A7C"/>
    <w:rsid w:val="00407E3F"/>
    <w:rsid w:val="004100C9"/>
    <w:rsid w:val="00410273"/>
    <w:rsid w:val="00410812"/>
    <w:rsid w:val="004112CF"/>
    <w:rsid w:val="004115F5"/>
    <w:rsid w:val="004122F0"/>
    <w:rsid w:val="00412338"/>
    <w:rsid w:val="00412B0D"/>
    <w:rsid w:val="00412F9A"/>
    <w:rsid w:val="00413117"/>
    <w:rsid w:val="0041390F"/>
    <w:rsid w:val="00413BA5"/>
    <w:rsid w:val="00413E4B"/>
    <w:rsid w:val="00413F8E"/>
    <w:rsid w:val="00414F19"/>
    <w:rsid w:val="00415F11"/>
    <w:rsid w:val="004178F7"/>
    <w:rsid w:val="00417A58"/>
    <w:rsid w:val="00417ECF"/>
    <w:rsid w:val="00420C8F"/>
    <w:rsid w:val="004210EC"/>
    <w:rsid w:val="004214B5"/>
    <w:rsid w:val="004215F3"/>
    <w:rsid w:val="00421D3B"/>
    <w:rsid w:val="004222B9"/>
    <w:rsid w:val="004229F6"/>
    <w:rsid w:val="004243EC"/>
    <w:rsid w:val="00425073"/>
    <w:rsid w:val="004260C5"/>
    <w:rsid w:val="00426BBC"/>
    <w:rsid w:val="00427AA4"/>
    <w:rsid w:val="0043058B"/>
    <w:rsid w:val="00430C05"/>
    <w:rsid w:val="0043158A"/>
    <w:rsid w:val="00431F93"/>
    <w:rsid w:val="004327E7"/>
    <w:rsid w:val="00432ABF"/>
    <w:rsid w:val="00432CC1"/>
    <w:rsid w:val="004336DB"/>
    <w:rsid w:val="00433D68"/>
    <w:rsid w:val="004340E5"/>
    <w:rsid w:val="004344C8"/>
    <w:rsid w:val="0043481D"/>
    <w:rsid w:val="0043532F"/>
    <w:rsid w:val="00435605"/>
    <w:rsid w:val="00436252"/>
    <w:rsid w:val="00436359"/>
    <w:rsid w:val="00436FB3"/>
    <w:rsid w:val="00437524"/>
    <w:rsid w:val="0043789E"/>
    <w:rsid w:val="00440C34"/>
    <w:rsid w:val="0044290D"/>
    <w:rsid w:val="0044306A"/>
    <w:rsid w:val="004442F9"/>
    <w:rsid w:val="0044442D"/>
    <w:rsid w:val="0044452D"/>
    <w:rsid w:val="004449D9"/>
    <w:rsid w:val="004456F9"/>
    <w:rsid w:val="00446D9F"/>
    <w:rsid w:val="00447034"/>
    <w:rsid w:val="004470B9"/>
    <w:rsid w:val="00447BF9"/>
    <w:rsid w:val="00451010"/>
    <w:rsid w:val="004515AC"/>
    <w:rsid w:val="0045190B"/>
    <w:rsid w:val="00452333"/>
    <w:rsid w:val="004525B7"/>
    <w:rsid w:val="00452AC0"/>
    <w:rsid w:val="00454000"/>
    <w:rsid w:val="004541E8"/>
    <w:rsid w:val="004543D8"/>
    <w:rsid w:val="0045447D"/>
    <w:rsid w:val="0045471A"/>
    <w:rsid w:val="004547EB"/>
    <w:rsid w:val="00454E4F"/>
    <w:rsid w:val="00455C50"/>
    <w:rsid w:val="00455E63"/>
    <w:rsid w:val="004569D3"/>
    <w:rsid w:val="00457CBC"/>
    <w:rsid w:val="00457F25"/>
    <w:rsid w:val="004604A3"/>
    <w:rsid w:val="00460AD3"/>
    <w:rsid w:val="00460F63"/>
    <w:rsid w:val="004616F3"/>
    <w:rsid w:val="004617DE"/>
    <w:rsid w:val="0046223B"/>
    <w:rsid w:val="00462353"/>
    <w:rsid w:val="004636C6"/>
    <w:rsid w:val="00463D06"/>
    <w:rsid w:val="00464022"/>
    <w:rsid w:val="00464573"/>
    <w:rsid w:val="00464728"/>
    <w:rsid w:val="00464E56"/>
    <w:rsid w:val="0046510A"/>
    <w:rsid w:val="004664E0"/>
    <w:rsid w:val="00466AB4"/>
    <w:rsid w:val="00470187"/>
    <w:rsid w:val="00470829"/>
    <w:rsid w:val="00470DBC"/>
    <w:rsid w:val="00472626"/>
    <w:rsid w:val="00472C69"/>
    <w:rsid w:val="00472D37"/>
    <w:rsid w:val="00472F33"/>
    <w:rsid w:val="004731A3"/>
    <w:rsid w:val="004764AA"/>
    <w:rsid w:val="004772E2"/>
    <w:rsid w:val="0047791B"/>
    <w:rsid w:val="0048019F"/>
    <w:rsid w:val="004802CB"/>
    <w:rsid w:val="00480EFF"/>
    <w:rsid w:val="00481186"/>
    <w:rsid w:val="00481235"/>
    <w:rsid w:val="0048210B"/>
    <w:rsid w:val="00483E5D"/>
    <w:rsid w:val="004843E9"/>
    <w:rsid w:val="004844CC"/>
    <w:rsid w:val="004845CF"/>
    <w:rsid w:val="004851FB"/>
    <w:rsid w:val="0048576A"/>
    <w:rsid w:val="00485D0E"/>
    <w:rsid w:val="00485FC4"/>
    <w:rsid w:val="00486445"/>
    <w:rsid w:val="00486F97"/>
    <w:rsid w:val="00490978"/>
    <w:rsid w:val="00490B6E"/>
    <w:rsid w:val="00491616"/>
    <w:rsid w:val="00491D32"/>
    <w:rsid w:val="00491F6D"/>
    <w:rsid w:val="00493F3E"/>
    <w:rsid w:val="004942F8"/>
    <w:rsid w:val="00494872"/>
    <w:rsid w:val="00494F8D"/>
    <w:rsid w:val="00495551"/>
    <w:rsid w:val="00495710"/>
    <w:rsid w:val="00495977"/>
    <w:rsid w:val="00496A7D"/>
    <w:rsid w:val="004975A8"/>
    <w:rsid w:val="00497D70"/>
    <w:rsid w:val="004A0ADB"/>
    <w:rsid w:val="004A2194"/>
    <w:rsid w:val="004A27D1"/>
    <w:rsid w:val="004A2A39"/>
    <w:rsid w:val="004A2A98"/>
    <w:rsid w:val="004A3264"/>
    <w:rsid w:val="004A32E2"/>
    <w:rsid w:val="004A3436"/>
    <w:rsid w:val="004A3D17"/>
    <w:rsid w:val="004A4300"/>
    <w:rsid w:val="004A4F25"/>
    <w:rsid w:val="004A52F6"/>
    <w:rsid w:val="004A6465"/>
    <w:rsid w:val="004A6565"/>
    <w:rsid w:val="004B08E4"/>
    <w:rsid w:val="004B0A93"/>
    <w:rsid w:val="004B0D88"/>
    <w:rsid w:val="004B127D"/>
    <w:rsid w:val="004B2130"/>
    <w:rsid w:val="004B254A"/>
    <w:rsid w:val="004B27FB"/>
    <w:rsid w:val="004B2EFC"/>
    <w:rsid w:val="004B32B1"/>
    <w:rsid w:val="004B4577"/>
    <w:rsid w:val="004B47E2"/>
    <w:rsid w:val="004B5330"/>
    <w:rsid w:val="004B55C4"/>
    <w:rsid w:val="004B5B1B"/>
    <w:rsid w:val="004B5C62"/>
    <w:rsid w:val="004B612F"/>
    <w:rsid w:val="004B7004"/>
    <w:rsid w:val="004B7716"/>
    <w:rsid w:val="004C017B"/>
    <w:rsid w:val="004C02EE"/>
    <w:rsid w:val="004C053F"/>
    <w:rsid w:val="004C0A91"/>
    <w:rsid w:val="004C1281"/>
    <w:rsid w:val="004C13FA"/>
    <w:rsid w:val="004C1478"/>
    <w:rsid w:val="004C150E"/>
    <w:rsid w:val="004C18B0"/>
    <w:rsid w:val="004C26B3"/>
    <w:rsid w:val="004C2A6E"/>
    <w:rsid w:val="004C2C90"/>
    <w:rsid w:val="004C38DC"/>
    <w:rsid w:val="004C3B23"/>
    <w:rsid w:val="004C40E1"/>
    <w:rsid w:val="004C43B4"/>
    <w:rsid w:val="004C4CB4"/>
    <w:rsid w:val="004C5BEC"/>
    <w:rsid w:val="004C5E33"/>
    <w:rsid w:val="004C6269"/>
    <w:rsid w:val="004C7376"/>
    <w:rsid w:val="004D00E7"/>
    <w:rsid w:val="004D030F"/>
    <w:rsid w:val="004D04C8"/>
    <w:rsid w:val="004D1280"/>
    <w:rsid w:val="004D1433"/>
    <w:rsid w:val="004D1AD8"/>
    <w:rsid w:val="004D1CFD"/>
    <w:rsid w:val="004D2EB8"/>
    <w:rsid w:val="004D541E"/>
    <w:rsid w:val="004D5CB9"/>
    <w:rsid w:val="004D607C"/>
    <w:rsid w:val="004D6214"/>
    <w:rsid w:val="004D6A75"/>
    <w:rsid w:val="004D6E67"/>
    <w:rsid w:val="004E06B5"/>
    <w:rsid w:val="004E07EF"/>
    <w:rsid w:val="004E0B32"/>
    <w:rsid w:val="004E1119"/>
    <w:rsid w:val="004E14BF"/>
    <w:rsid w:val="004E1A0A"/>
    <w:rsid w:val="004E1BF6"/>
    <w:rsid w:val="004E2318"/>
    <w:rsid w:val="004E25C2"/>
    <w:rsid w:val="004E26DE"/>
    <w:rsid w:val="004E26E0"/>
    <w:rsid w:val="004E2800"/>
    <w:rsid w:val="004E38F3"/>
    <w:rsid w:val="004E4907"/>
    <w:rsid w:val="004E4CF5"/>
    <w:rsid w:val="004E676A"/>
    <w:rsid w:val="004E6A2E"/>
    <w:rsid w:val="004E6C51"/>
    <w:rsid w:val="004E746D"/>
    <w:rsid w:val="004E7E13"/>
    <w:rsid w:val="004F020F"/>
    <w:rsid w:val="004F1050"/>
    <w:rsid w:val="004F132E"/>
    <w:rsid w:val="004F19ED"/>
    <w:rsid w:val="004F1A1D"/>
    <w:rsid w:val="004F2307"/>
    <w:rsid w:val="004F27D2"/>
    <w:rsid w:val="004F2D0B"/>
    <w:rsid w:val="004F4970"/>
    <w:rsid w:val="004F509C"/>
    <w:rsid w:val="004F5965"/>
    <w:rsid w:val="004F5A0D"/>
    <w:rsid w:val="004F5A99"/>
    <w:rsid w:val="004F6344"/>
    <w:rsid w:val="004F6CA0"/>
    <w:rsid w:val="004F6E67"/>
    <w:rsid w:val="004F6EDB"/>
    <w:rsid w:val="004F780F"/>
    <w:rsid w:val="004F7DF4"/>
    <w:rsid w:val="00500CAB"/>
    <w:rsid w:val="00500E84"/>
    <w:rsid w:val="005015AC"/>
    <w:rsid w:val="00502935"/>
    <w:rsid w:val="00502B34"/>
    <w:rsid w:val="005033DA"/>
    <w:rsid w:val="00503FC3"/>
    <w:rsid w:val="00504192"/>
    <w:rsid w:val="00504347"/>
    <w:rsid w:val="00504A81"/>
    <w:rsid w:val="00505916"/>
    <w:rsid w:val="005065CE"/>
    <w:rsid w:val="00506BB1"/>
    <w:rsid w:val="00506BC7"/>
    <w:rsid w:val="0050745F"/>
    <w:rsid w:val="00507CE7"/>
    <w:rsid w:val="00510385"/>
    <w:rsid w:val="005115B1"/>
    <w:rsid w:val="00511693"/>
    <w:rsid w:val="005116F7"/>
    <w:rsid w:val="00511853"/>
    <w:rsid w:val="00511A89"/>
    <w:rsid w:val="00511B3B"/>
    <w:rsid w:val="00511DBD"/>
    <w:rsid w:val="005121FA"/>
    <w:rsid w:val="0051279A"/>
    <w:rsid w:val="00512EE9"/>
    <w:rsid w:val="00513860"/>
    <w:rsid w:val="005141FC"/>
    <w:rsid w:val="00514803"/>
    <w:rsid w:val="00514836"/>
    <w:rsid w:val="00514A5A"/>
    <w:rsid w:val="0051563E"/>
    <w:rsid w:val="005156E6"/>
    <w:rsid w:val="0051582A"/>
    <w:rsid w:val="00516412"/>
    <w:rsid w:val="0051776F"/>
    <w:rsid w:val="00517772"/>
    <w:rsid w:val="00520E56"/>
    <w:rsid w:val="005210F1"/>
    <w:rsid w:val="00521F5E"/>
    <w:rsid w:val="00523358"/>
    <w:rsid w:val="005240F4"/>
    <w:rsid w:val="005242D5"/>
    <w:rsid w:val="00524997"/>
    <w:rsid w:val="005249A1"/>
    <w:rsid w:val="005249AB"/>
    <w:rsid w:val="00527B10"/>
    <w:rsid w:val="00527D35"/>
    <w:rsid w:val="00527F33"/>
    <w:rsid w:val="0053127C"/>
    <w:rsid w:val="00532082"/>
    <w:rsid w:val="005328CC"/>
    <w:rsid w:val="00532BB5"/>
    <w:rsid w:val="00532C76"/>
    <w:rsid w:val="00533009"/>
    <w:rsid w:val="00533491"/>
    <w:rsid w:val="0053380F"/>
    <w:rsid w:val="005343B1"/>
    <w:rsid w:val="0053451E"/>
    <w:rsid w:val="00534B3A"/>
    <w:rsid w:val="0053526E"/>
    <w:rsid w:val="00536545"/>
    <w:rsid w:val="00536F03"/>
    <w:rsid w:val="00537566"/>
    <w:rsid w:val="00537931"/>
    <w:rsid w:val="0054039C"/>
    <w:rsid w:val="00541107"/>
    <w:rsid w:val="00542D78"/>
    <w:rsid w:val="005430B7"/>
    <w:rsid w:val="005433DE"/>
    <w:rsid w:val="005433EA"/>
    <w:rsid w:val="00543D5E"/>
    <w:rsid w:val="00544009"/>
    <w:rsid w:val="005456FB"/>
    <w:rsid w:val="00545CCE"/>
    <w:rsid w:val="0054602B"/>
    <w:rsid w:val="005462D5"/>
    <w:rsid w:val="0054630B"/>
    <w:rsid w:val="005468B8"/>
    <w:rsid w:val="005468F8"/>
    <w:rsid w:val="0054759A"/>
    <w:rsid w:val="00547BBC"/>
    <w:rsid w:val="00547FE7"/>
    <w:rsid w:val="00550130"/>
    <w:rsid w:val="005504BD"/>
    <w:rsid w:val="00551AEA"/>
    <w:rsid w:val="00553388"/>
    <w:rsid w:val="005536C3"/>
    <w:rsid w:val="00553852"/>
    <w:rsid w:val="0055432A"/>
    <w:rsid w:val="00554978"/>
    <w:rsid w:val="00554C4D"/>
    <w:rsid w:val="005554C8"/>
    <w:rsid w:val="0055639C"/>
    <w:rsid w:val="005571E5"/>
    <w:rsid w:val="00560689"/>
    <w:rsid w:val="00560ADF"/>
    <w:rsid w:val="0056102D"/>
    <w:rsid w:val="00561B0A"/>
    <w:rsid w:val="00561F63"/>
    <w:rsid w:val="00562188"/>
    <w:rsid w:val="00562B31"/>
    <w:rsid w:val="005631BA"/>
    <w:rsid w:val="00563BED"/>
    <w:rsid w:val="00564B71"/>
    <w:rsid w:val="00564BEE"/>
    <w:rsid w:val="005652EF"/>
    <w:rsid w:val="00566E4D"/>
    <w:rsid w:val="00566ED7"/>
    <w:rsid w:val="0056728B"/>
    <w:rsid w:val="005676CD"/>
    <w:rsid w:val="005678B6"/>
    <w:rsid w:val="00570BA9"/>
    <w:rsid w:val="00570E0C"/>
    <w:rsid w:val="00570F90"/>
    <w:rsid w:val="00570FB4"/>
    <w:rsid w:val="005716F5"/>
    <w:rsid w:val="00572771"/>
    <w:rsid w:val="005732C1"/>
    <w:rsid w:val="00573C58"/>
    <w:rsid w:val="00573CFD"/>
    <w:rsid w:val="00573ECA"/>
    <w:rsid w:val="00573EE3"/>
    <w:rsid w:val="00574010"/>
    <w:rsid w:val="00574622"/>
    <w:rsid w:val="00574946"/>
    <w:rsid w:val="005757C7"/>
    <w:rsid w:val="005758B2"/>
    <w:rsid w:val="00575A5B"/>
    <w:rsid w:val="005767E8"/>
    <w:rsid w:val="005769F5"/>
    <w:rsid w:val="0057793F"/>
    <w:rsid w:val="00580526"/>
    <w:rsid w:val="005811D9"/>
    <w:rsid w:val="00581821"/>
    <w:rsid w:val="00581CAC"/>
    <w:rsid w:val="00581E34"/>
    <w:rsid w:val="00581E5C"/>
    <w:rsid w:val="00583689"/>
    <w:rsid w:val="005837B2"/>
    <w:rsid w:val="00583875"/>
    <w:rsid w:val="00583977"/>
    <w:rsid w:val="00583E5B"/>
    <w:rsid w:val="00584854"/>
    <w:rsid w:val="0058588B"/>
    <w:rsid w:val="00585DBC"/>
    <w:rsid w:val="00586B24"/>
    <w:rsid w:val="00586B53"/>
    <w:rsid w:val="00586EE7"/>
    <w:rsid w:val="00587565"/>
    <w:rsid w:val="00587E10"/>
    <w:rsid w:val="005919E9"/>
    <w:rsid w:val="00592C20"/>
    <w:rsid w:val="00596477"/>
    <w:rsid w:val="00596551"/>
    <w:rsid w:val="00597587"/>
    <w:rsid w:val="005A0068"/>
    <w:rsid w:val="005A2C91"/>
    <w:rsid w:val="005A32C0"/>
    <w:rsid w:val="005A3593"/>
    <w:rsid w:val="005A35AC"/>
    <w:rsid w:val="005A43A4"/>
    <w:rsid w:val="005A4FE1"/>
    <w:rsid w:val="005A53CF"/>
    <w:rsid w:val="005A63BE"/>
    <w:rsid w:val="005A641C"/>
    <w:rsid w:val="005A6437"/>
    <w:rsid w:val="005A7974"/>
    <w:rsid w:val="005A79A9"/>
    <w:rsid w:val="005B0579"/>
    <w:rsid w:val="005B0910"/>
    <w:rsid w:val="005B248F"/>
    <w:rsid w:val="005B3ED8"/>
    <w:rsid w:val="005B4196"/>
    <w:rsid w:val="005B479A"/>
    <w:rsid w:val="005B4801"/>
    <w:rsid w:val="005B59A6"/>
    <w:rsid w:val="005B5C9E"/>
    <w:rsid w:val="005B5CEC"/>
    <w:rsid w:val="005B5E6B"/>
    <w:rsid w:val="005B6822"/>
    <w:rsid w:val="005B6B57"/>
    <w:rsid w:val="005B6DCF"/>
    <w:rsid w:val="005B7816"/>
    <w:rsid w:val="005C00A3"/>
    <w:rsid w:val="005C072E"/>
    <w:rsid w:val="005C09E4"/>
    <w:rsid w:val="005C0BF8"/>
    <w:rsid w:val="005C0FD7"/>
    <w:rsid w:val="005C1288"/>
    <w:rsid w:val="005C2850"/>
    <w:rsid w:val="005C3D42"/>
    <w:rsid w:val="005C3DCC"/>
    <w:rsid w:val="005C462D"/>
    <w:rsid w:val="005C52A1"/>
    <w:rsid w:val="005C684D"/>
    <w:rsid w:val="005C6A4E"/>
    <w:rsid w:val="005C7306"/>
    <w:rsid w:val="005D194D"/>
    <w:rsid w:val="005D1C14"/>
    <w:rsid w:val="005D32A5"/>
    <w:rsid w:val="005D40F4"/>
    <w:rsid w:val="005D419B"/>
    <w:rsid w:val="005D4714"/>
    <w:rsid w:val="005D5025"/>
    <w:rsid w:val="005D5943"/>
    <w:rsid w:val="005D5A06"/>
    <w:rsid w:val="005D65EE"/>
    <w:rsid w:val="005D6C36"/>
    <w:rsid w:val="005D7683"/>
    <w:rsid w:val="005D7947"/>
    <w:rsid w:val="005D7EF4"/>
    <w:rsid w:val="005D7FD6"/>
    <w:rsid w:val="005E07E1"/>
    <w:rsid w:val="005E0A72"/>
    <w:rsid w:val="005E1068"/>
    <w:rsid w:val="005E1901"/>
    <w:rsid w:val="005E1EDF"/>
    <w:rsid w:val="005E25D3"/>
    <w:rsid w:val="005E26F2"/>
    <w:rsid w:val="005E48A8"/>
    <w:rsid w:val="005E4AE2"/>
    <w:rsid w:val="005E61CE"/>
    <w:rsid w:val="005E70EF"/>
    <w:rsid w:val="005E710C"/>
    <w:rsid w:val="005E74CA"/>
    <w:rsid w:val="005F02E7"/>
    <w:rsid w:val="005F1D63"/>
    <w:rsid w:val="005F1DBA"/>
    <w:rsid w:val="005F2A32"/>
    <w:rsid w:val="005F3665"/>
    <w:rsid w:val="005F3E92"/>
    <w:rsid w:val="005F41C8"/>
    <w:rsid w:val="005F41FB"/>
    <w:rsid w:val="005F4987"/>
    <w:rsid w:val="005F5AB4"/>
    <w:rsid w:val="005F643C"/>
    <w:rsid w:val="005F6748"/>
    <w:rsid w:val="005F72FC"/>
    <w:rsid w:val="005F7792"/>
    <w:rsid w:val="005F7E8A"/>
    <w:rsid w:val="00600600"/>
    <w:rsid w:val="006008A3"/>
    <w:rsid w:val="006017A8"/>
    <w:rsid w:val="00601C49"/>
    <w:rsid w:val="00601F79"/>
    <w:rsid w:val="00602734"/>
    <w:rsid w:val="006033F8"/>
    <w:rsid w:val="006039E8"/>
    <w:rsid w:val="006055AF"/>
    <w:rsid w:val="00606143"/>
    <w:rsid w:val="006069FA"/>
    <w:rsid w:val="00606BBD"/>
    <w:rsid w:val="006108D9"/>
    <w:rsid w:val="006115B7"/>
    <w:rsid w:val="00613285"/>
    <w:rsid w:val="00613A17"/>
    <w:rsid w:val="00614EA2"/>
    <w:rsid w:val="00615031"/>
    <w:rsid w:val="00615733"/>
    <w:rsid w:val="00615AA9"/>
    <w:rsid w:val="006163A1"/>
    <w:rsid w:val="00620236"/>
    <w:rsid w:val="0062070B"/>
    <w:rsid w:val="00620A9B"/>
    <w:rsid w:val="00622534"/>
    <w:rsid w:val="00624857"/>
    <w:rsid w:val="00625031"/>
    <w:rsid w:val="00625A75"/>
    <w:rsid w:val="00625BD2"/>
    <w:rsid w:val="00626685"/>
    <w:rsid w:val="0062685E"/>
    <w:rsid w:val="00626979"/>
    <w:rsid w:val="0062723F"/>
    <w:rsid w:val="006302F3"/>
    <w:rsid w:val="00630389"/>
    <w:rsid w:val="006305B0"/>
    <w:rsid w:val="00630D54"/>
    <w:rsid w:val="00631600"/>
    <w:rsid w:val="00631F08"/>
    <w:rsid w:val="00632130"/>
    <w:rsid w:val="00632D92"/>
    <w:rsid w:val="00633A80"/>
    <w:rsid w:val="00633AB1"/>
    <w:rsid w:val="00634426"/>
    <w:rsid w:val="00634761"/>
    <w:rsid w:val="00635343"/>
    <w:rsid w:val="006358CF"/>
    <w:rsid w:val="00635C6C"/>
    <w:rsid w:val="006361B1"/>
    <w:rsid w:val="0063646F"/>
    <w:rsid w:val="0063678B"/>
    <w:rsid w:val="00636B0A"/>
    <w:rsid w:val="00636B80"/>
    <w:rsid w:val="00636DAB"/>
    <w:rsid w:val="00636E6F"/>
    <w:rsid w:val="006373D4"/>
    <w:rsid w:val="00637454"/>
    <w:rsid w:val="006404EE"/>
    <w:rsid w:val="0064167D"/>
    <w:rsid w:val="00641949"/>
    <w:rsid w:val="00641DAD"/>
    <w:rsid w:val="00641E35"/>
    <w:rsid w:val="006427B5"/>
    <w:rsid w:val="00642DDA"/>
    <w:rsid w:val="0064371D"/>
    <w:rsid w:val="00643E73"/>
    <w:rsid w:val="006443B9"/>
    <w:rsid w:val="0064464D"/>
    <w:rsid w:val="00644ABE"/>
    <w:rsid w:val="00644C26"/>
    <w:rsid w:val="006457AC"/>
    <w:rsid w:val="0064589A"/>
    <w:rsid w:val="00645975"/>
    <w:rsid w:val="00645E23"/>
    <w:rsid w:val="006466F7"/>
    <w:rsid w:val="00647DA3"/>
    <w:rsid w:val="0065026F"/>
    <w:rsid w:val="006505AA"/>
    <w:rsid w:val="006509C2"/>
    <w:rsid w:val="00650B8A"/>
    <w:rsid w:val="006519A9"/>
    <w:rsid w:val="00652AC8"/>
    <w:rsid w:val="006532B7"/>
    <w:rsid w:val="00653504"/>
    <w:rsid w:val="00653949"/>
    <w:rsid w:val="00653AA0"/>
    <w:rsid w:val="00653D8D"/>
    <w:rsid w:val="00654277"/>
    <w:rsid w:val="00654280"/>
    <w:rsid w:val="00654415"/>
    <w:rsid w:val="00654952"/>
    <w:rsid w:val="00654B30"/>
    <w:rsid w:val="00654E67"/>
    <w:rsid w:val="00654F64"/>
    <w:rsid w:val="00654FCC"/>
    <w:rsid w:val="00655F24"/>
    <w:rsid w:val="00657687"/>
    <w:rsid w:val="006578D3"/>
    <w:rsid w:val="0066004C"/>
    <w:rsid w:val="00660255"/>
    <w:rsid w:val="006604C1"/>
    <w:rsid w:val="0066084A"/>
    <w:rsid w:val="00660953"/>
    <w:rsid w:val="00661045"/>
    <w:rsid w:val="00661C4F"/>
    <w:rsid w:val="00661D47"/>
    <w:rsid w:val="00662D74"/>
    <w:rsid w:val="00663DE9"/>
    <w:rsid w:val="00664469"/>
    <w:rsid w:val="00664522"/>
    <w:rsid w:val="006646EF"/>
    <w:rsid w:val="00664A86"/>
    <w:rsid w:val="00665341"/>
    <w:rsid w:val="006655CD"/>
    <w:rsid w:val="00665F07"/>
    <w:rsid w:val="006669A8"/>
    <w:rsid w:val="00666CCE"/>
    <w:rsid w:val="006706E6"/>
    <w:rsid w:val="00670923"/>
    <w:rsid w:val="00670A18"/>
    <w:rsid w:val="00670B7F"/>
    <w:rsid w:val="00670D18"/>
    <w:rsid w:val="00670E3B"/>
    <w:rsid w:val="00671718"/>
    <w:rsid w:val="00671A65"/>
    <w:rsid w:val="00672424"/>
    <w:rsid w:val="00672BB6"/>
    <w:rsid w:val="00673221"/>
    <w:rsid w:val="0067369A"/>
    <w:rsid w:val="00673737"/>
    <w:rsid w:val="00673976"/>
    <w:rsid w:val="00673F9C"/>
    <w:rsid w:val="00674047"/>
    <w:rsid w:val="00674515"/>
    <w:rsid w:val="006747ED"/>
    <w:rsid w:val="006756A8"/>
    <w:rsid w:val="00675BC8"/>
    <w:rsid w:val="00676A73"/>
    <w:rsid w:val="00676DA3"/>
    <w:rsid w:val="00677011"/>
    <w:rsid w:val="006771AF"/>
    <w:rsid w:val="0067754D"/>
    <w:rsid w:val="006777EB"/>
    <w:rsid w:val="00680B7A"/>
    <w:rsid w:val="0068176E"/>
    <w:rsid w:val="0068189F"/>
    <w:rsid w:val="00681B07"/>
    <w:rsid w:val="00681DD7"/>
    <w:rsid w:val="00683630"/>
    <w:rsid w:val="006839D6"/>
    <w:rsid w:val="00683C3D"/>
    <w:rsid w:val="006841FE"/>
    <w:rsid w:val="0068476B"/>
    <w:rsid w:val="0068501A"/>
    <w:rsid w:val="00685B34"/>
    <w:rsid w:val="00686029"/>
    <w:rsid w:val="006860E8"/>
    <w:rsid w:val="00687DB6"/>
    <w:rsid w:val="00690631"/>
    <w:rsid w:val="006908C5"/>
    <w:rsid w:val="00690A9D"/>
    <w:rsid w:val="00690CC1"/>
    <w:rsid w:val="0069175E"/>
    <w:rsid w:val="006920EF"/>
    <w:rsid w:val="00692182"/>
    <w:rsid w:val="006922A2"/>
    <w:rsid w:val="00692479"/>
    <w:rsid w:val="00692B62"/>
    <w:rsid w:val="00693EB8"/>
    <w:rsid w:val="00694588"/>
    <w:rsid w:val="00694EC4"/>
    <w:rsid w:val="0069622B"/>
    <w:rsid w:val="006968FD"/>
    <w:rsid w:val="006969B6"/>
    <w:rsid w:val="006972A6"/>
    <w:rsid w:val="00697BF7"/>
    <w:rsid w:val="006A0526"/>
    <w:rsid w:val="006A0A6D"/>
    <w:rsid w:val="006A0ADB"/>
    <w:rsid w:val="006A0DE6"/>
    <w:rsid w:val="006A1353"/>
    <w:rsid w:val="006A16F4"/>
    <w:rsid w:val="006A1857"/>
    <w:rsid w:val="006A1B52"/>
    <w:rsid w:val="006A3076"/>
    <w:rsid w:val="006A337B"/>
    <w:rsid w:val="006A34DC"/>
    <w:rsid w:val="006A3EFE"/>
    <w:rsid w:val="006A40A9"/>
    <w:rsid w:val="006A4362"/>
    <w:rsid w:val="006A4C8C"/>
    <w:rsid w:val="006A7039"/>
    <w:rsid w:val="006A7412"/>
    <w:rsid w:val="006A7813"/>
    <w:rsid w:val="006A7882"/>
    <w:rsid w:val="006B10C0"/>
    <w:rsid w:val="006B3D16"/>
    <w:rsid w:val="006B3E56"/>
    <w:rsid w:val="006B3F31"/>
    <w:rsid w:val="006B459F"/>
    <w:rsid w:val="006B493D"/>
    <w:rsid w:val="006B4AC8"/>
    <w:rsid w:val="006B4E1A"/>
    <w:rsid w:val="006B5957"/>
    <w:rsid w:val="006B5A45"/>
    <w:rsid w:val="006B6102"/>
    <w:rsid w:val="006B7591"/>
    <w:rsid w:val="006B7D97"/>
    <w:rsid w:val="006C0864"/>
    <w:rsid w:val="006C104F"/>
    <w:rsid w:val="006C1150"/>
    <w:rsid w:val="006C1FA1"/>
    <w:rsid w:val="006C25A1"/>
    <w:rsid w:val="006C28C8"/>
    <w:rsid w:val="006C35C0"/>
    <w:rsid w:val="006C35C7"/>
    <w:rsid w:val="006C38B4"/>
    <w:rsid w:val="006C3B76"/>
    <w:rsid w:val="006C3E60"/>
    <w:rsid w:val="006C44D0"/>
    <w:rsid w:val="006C44D9"/>
    <w:rsid w:val="006C6179"/>
    <w:rsid w:val="006C66D1"/>
    <w:rsid w:val="006C6D60"/>
    <w:rsid w:val="006C77F4"/>
    <w:rsid w:val="006C7972"/>
    <w:rsid w:val="006C7D01"/>
    <w:rsid w:val="006D022E"/>
    <w:rsid w:val="006D03F9"/>
    <w:rsid w:val="006D0581"/>
    <w:rsid w:val="006D1277"/>
    <w:rsid w:val="006D16FC"/>
    <w:rsid w:val="006D17C5"/>
    <w:rsid w:val="006D1861"/>
    <w:rsid w:val="006D1890"/>
    <w:rsid w:val="006D1B88"/>
    <w:rsid w:val="006D23D2"/>
    <w:rsid w:val="006D2B42"/>
    <w:rsid w:val="006D3B19"/>
    <w:rsid w:val="006D3D5D"/>
    <w:rsid w:val="006D42CE"/>
    <w:rsid w:val="006D442B"/>
    <w:rsid w:val="006D46C6"/>
    <w:rsid w:val="006D575D"/>
    <w:rsid w:val="006D592E"/>
    <w:rsid w:val="006D59F7"/>
    <w:rsid w:val="006D5A97"/>
    <w:rsid w:val="006D5EF8"/>
    <w:rsid w:val="006D6C28"/>
    <w:rsid w:val="006D721C"/>
    <w:rsid w:val="006D75E9"/>
    <w:rsid w:val="006D79EA"/>
    <w:rsid w:val="006D7B72"/>
    <w:rsid w:val="006E009C"/>
    <w:rsid w:val="006E018D"/>
    <w:rsid w:val="006E0E02"/>
    <w:rsid w:val="006E13E7"/>
    <w:rsid w:val="006E242B"/>
    <w:rsid w:val="006E444C"/>
    <w:rsid w:val="006E460C"/>
    <w:rsid w:val="006E5182"/>
    <w:rsid w:val="006E54EE"/>
    <w:rsid w:val="006E5DE7"/>
    <w:rsid w:val="006E6139"/>
    <w:rsid w:val="006E6AD2"/>
    <w:rsid w:val="006E719C"/>
    <w:rsid w:val="006E73EF"/>
    <w:rsid w:val="006E7654"/>
    <w:rsid w:val="006E76AF"/>
    <w:rsid w:val="006E7887"/>
    <w:rsid w:val="006E7E9D"/>
    <w:rsid w:val="006F12AB"/>
    <w:rsid w:val="006F2641"/>
    <w:rsid w:val="006F29E7"/>
    <w:rsid w:val="006F3A2E"/>
    <w:rsid w:val="006F3DC2"/>
    <w:rsid w:val="006F587D"/>
    <w:rsid w:val="006F5D31"/>
    <w:rsid w:val="006F6449"/>
    <w:rsid w:val="006F6F28"/>
    <w:rsid w:val="006F73C5"/>
    <w:rsid w:val="006F7A98"/>
    <w:rsid w:val="006F7B13"/>
    <w:rsid w:val="006F7C8B"/>
    <w:rsid w:val="007000C8"/>
    <w:rsid w:val="00700BA9"/>
    <w:rsid w:val="00700D27"/>
    <w:rsid w:val="00700E31"/>
    <w:rsid w:val="00700EB4"/>
    <w:rsid w:val="007015F0"/>
    <w:rsid w:val="00701F10"/>
    <w:rsid w:val="007020D0"/>
    <w:rsid w:val="007026FC"/>
    <w:rsid w:val="00702832"/>
    <w:rsid w:val="00702C2D"/>
    <w:rsid w:val="007031F9"/>
    <w:rsid w:val="007035AA"/>
    <w:rsid w:val="00703E52"/>
    <w:rsid w:val="007046FB"/>
    <w:rsid w:val="00704D85"/>
    <w:rsid w:val="00704EC1"/>
    <w:rsid w:val="007051D9"/>
    <w:rsid w:val="00705EB3"/>
    <w:rsid w:val="007068BB"/>
    <w:rsid w:val="00706AC9"/>
    <w:rsid w:val="00707BD3"/>
    <w:rsid w:val="007102CE"/>
    <w:rsid w:val="00711214"/>
    <w:rsid w:val="00712629"/>
    <w:rsid w:val="00713054"/>
    <w:rsid w:val="0071352E"/>
    <w:rsid w:val="007148BB"/>
    <w:rsid w:val="00714A41"/>
    <w:rsid w:val="00714DB0"/>
    <w:rsid w:val="00715429"/>
    <w:rsid w:val="00715516"/>
    <w:rsid w:val="00715735"/>
    <w:rsid w:val="007157A3"/>
    <w:rsid w:val="00715C6C"/>
    <w:rsid w:val="00716147"/>
    <w:rsid w:val="00716293"/>
    <w:rsid w:val="007167E4"/>
    <w:rsid w:val="00716FE6"/>
    <w:rsid w:val="007204C7"/>
    <w:rsid w:val="007207D5"/>
    <w:rsid w:val="00721014"/>
    <w:rsid w:val="00721037"/>
    <w:rsid w:val="007218EE"/>
    <w:rsid w:val="007237E8"/>
    <w:rsid w:val="007248B9"/>
    <w:rsid w:val="00724EB5"/>
    <w:rsid w:val="0072527B"/>
    <w:rsid w:val="00727B7D"/>
    <w:rsid w:val="00730376"/>
    <w:rsid w:val="007310F6"/>
    <w:rsid w:val="0073151D"/>
    <w:rsid w:val="00731A49"/>
    <w:rsid w:val="00731C16"/>
    <w:rsid w:val="007325CD"/>
    <w:rsid w:val="0073293E"/>
    <w:rsid w:val="007329E1"/>
    <w:rsid w:val="00732AE2"/>
    <w:rsid w:val="00732BE6"/>
    <w:rsid w:val="00732C0D"/>
    <w:rsid w:val="007332C8"/>
    <w:rsid w:val="007336FD"/>
    <w:rsid w:val="00733D2C"/>
    <w:rsid w:val="007341F4"/>
    <w:rsid w:val="0073457F"/>
    <w:rsid w:val="007349AC"/>
    <w:rsid w:val="00736332"/>
    <w:rsid w:val="007364F4"/>
    <w:rsid w:val="007364F9"/>
    <w:rsid w:val="0073694B"/>
    <w:rsid w:val="00736BC3"/>
    <w:rsid w:val="00736CA9"/>
    <w:rsid w:val="00740259"/>
    <w:rsid w:val="00740587"/>
    <w:rsid w:val="00740DFA"/>
    <w:rsid w:val="007412A1"/>
    <w:rsid w:val="00741469"/>
    <w:rsid w:val="00741889"/>
    <w:rsid w:val="00741BC3"/>
    <w:rsid w:val="0074253D"/>
    <w:rsid w:val="00744A8B"/>
    <w:rsid w:val="00744BFD"/>
    <w:rsid w:val="00745F8B"/>
    <w:rsid w:val="007465DD"/>
    <w:rsid w:val="00747A78"/>
    <w:rsid w:val="007502C5"/>
    <w:rsid w:val="00750773"/>
    <w:rsid w:val="00750996"/>
    <w:rsid w:val="00750CAA"/>
    <w:rsid w:val="007510F0"/>
    <w:rsid w:val="00751350"/>
    <w:rsid w:val="0075148D"/>
    <w:rsid w:val="00751708"/>
    <w:rsid w:val="00751AAB"/>
    <w:rsid w:val="007523D6"/>
    <w:rsid w:val="00752970"/>
    <w:rsid w:val="00752EB1"/>
    <w:rsid w:val="00753A09"/>
    <w:rsid w:val="00754E82"/>
    <w:rsid w:val="00755253"/>
    <w:rsid w:val="00755331"/>
    <w:rsid w:val="00755BDD"/>
    <w:rsid w:val="00755F17"/>
    <w:rsid w:val="00757685"/>
    <w:rsid w:val="0075785E"/>
    <w:rsid w:val="00760421"/>
    <w:rsid w:val="00760A28"/>
    <w:rsid w:val="00760EE9"/>
    <w:rsid w:val="00761B53"/>
    <w:rsid w:val="00761CBB"/>
    <w:rsid w:val="00762196"/>
    <w:rsid w:val="007626AF"/>
    <w:rsid w:val="00762791"/>
    <w:rsid w:val="00763659"/>
    <w:rsid w:val="007636C1"/>
    <w:rsid w:val="00764903"/>
    <w:rsid w:val="00764E33"/>
    <w:rsid w:val="007657B0"/>
    <w:rsid w:val="007663D2"/>
    <w:rsid w:val="007676D6"/>
    <w:rsid w:val="00770012"/>
    <w:rsid w:val="007704E8"/>
    <w:rsid w:val="00770A36"/>
    <w:rsid w:val="007720FB"/>
    <w:rsid w:val="0077264B"/>
    <w:rsid w:val="007743C3"/>
    <w:rsid w:val="00774C7E"/>
    <w:rsid w:val="0077560B"/>
    <w:rsid w:val="00775ACF"/>
    <w:rsid w:val="00775BCB"/>
    <w:rsid w:val="00777243"/>
    <w:rsid w:val="00780DBF"/>
    <w:rsid w:val="0078281C"/>
    <w:rsid w:val="00782B47"/>
    <w:rsid w:val="007842E7"/>
    <w:rsid w:val="00784503"/>
    <w:rsid w:val="007848E6"/>
    <w:rsid w:val="0078522C"/>
    <w:rsid w:val="00785329"/>
    <w:rsid w:val="007855FB"/>
    <w:rsid w:val="00785F84"/>
    <w:rsid w:val="007866B0"/>
    <w:rsid w:val="0078759E"/>
    <w:rsid w:val="00787A26"/>
    <w:rsid w:val="00787A83"/>
    <w:rsid w:val="00787B21"/>
    <w:rsid w:val="00787EC6"/>
    <w:rsid w:val="007909AD"/>
    <w:rsid w:val="00790A5B"/>
    <w:rsid w:val="007914B2"/>
    <w:rsid w:val="007925E8"/>
    <w:rsid w:val="00792678"/>
    <w:rsid w:val="007928D1"/>
    <w:rsid w:val="00792C7C"/>
    <w:rsid w:val="00792F76"/>
    <w:rsid w:val="00793682"/>
    <w:rsid w:val="00793836"/>
    <w:rsid w:val="007940CA"/>
    <w:rsid w:val="00794585"/>
    <w:rsid w:val="00794CB1"/>
    <w:rsid w:val="007950F2"/>
    <w:rsid w:val="00795930"/>
    <w:rsid w:val="007959C6"/>
    <w:rsid w:val="00795C19"/>
    <w:rsid w:val="00795E34"/>
    <w:rsid w:val="00795F53"/>
    <w:rsid w:val="0079646D"/>
    <w:rsid w:val="00796509"/>
    <w:rsid w:val="0079704D"/>
    <w:rsid w:val="00797408"/>
    <w:rsid w:val="007A0C52"/>
    <w:rsid w:val="007A1E43"/>
    <w:rsid w:val="007A2621"/>
    <w:rsid w:val="007A449B"/>
    <w:rsid w:val="007A49E8"/>
    <w:rsid w:val="007A4B3B"/>
    <w:rsid w:val="007A51F3"/>
    <w:rsid w:val="007A738E"/>
    <w:rsid w:val="007A77E4"/>
    <w:rsid w:val="007A7C33"/>
    <w:rsid w:val="007B0008"/>
    <w:rsid w:val="007B0653"/>
    <w:rsid w:val="007B0D96"/>
    <w:rsid w:val="007B1083"/>
    <w:rsid w:val="007B1ADF"/>
    <w:rsid w:val="007B35CF"/>
    <w:rsid w:val="007B3638"/>
    <w:rsid w:val="007B378B"/>
    <w:rsid w:val="007B3AF7"/>
    <w:rsid w:val="007B4A4B"/>
    <w:rsid w:val="007B510E"/>
    <w:rsid w:val="007B5519"/>
    <w:rsid w:val="007B5909"/>
    <w:rsid w:val="007B63A0"/>
    <w:rsid w:val="007B64B9"/>
    <w:rsid w:val="007B6C9E"/>
    <w:rsid w:val="007B75CA"/>
    <w:rsid w:val="007B78AE"/>
    <w:rsid w:val="007B7D00"/>
    <w:rsid w:val="007C0076"/>
    <w:rsid w:val="007C0589"/>
    <w:rsid w:val="007C0E1E"/>
    <w:rsid w:val="007C118C"/>
    <w:rsid w:val="007C1AE9"/>
    <w:rsid w:val="007C1DC3"/>
    <w:rsid w:val="007C27F8"/>
    <w:rsid w:val="007C2B4B"/>
    <w:rsid w:val="007C2D20"/>
    <w:rsid w:val="007C2F1D"/>
    <w:rsid w:val="007C57A4"/>
    <w:rsid w:val="007C5D0B"/>
    <w:rsid w:val="007C6BFA"/>
    <w:rsid w:val="007C752E"/>
    <w:rsid w:val="007C7EB1"/>
    <w:rsid w:val="007C7FEB"/>
    <w:rsid w:val="007D0141"/>
    <w:rsid w:val="007D0B69"/>
    <w:rsid w:val="007D19C8"/>
    <w:rsid w:val="007D2430"/>
    <w:rsid w:val="007D266C"/>
    <w:rsid w:val="007D27E6"/>
    <w:rsid w:val="007D2996"/>
    <w:rsid w:val="007D40F5"/>
    <w:rsid w:val="007D4B32"/>
    <w:rsid w:val="007D5827"/>
    <w:rsid w:val="007D6AE3"/>
    <w:rsid w:val="007D6C77"/>
    <w:rsid w:val="007D79BF"/>
    <w:rsid w:val="007D7DC8"/>
    <w:rsid w:val="007E02E5"/>
    <w:rsid w:val="007E12F2"/>
    <w:rsid w:val="007E142F"/>
    <w:rsid w:val="007E1FDC"/>
    <w:rsid w:val="007E1FDE"/>
    <w:rsid w:val="007E2A1A"/>
    <w:rsid w:val="007E45F0"/>
    <w:rsid w:val="007E4A64"/>
    <w:rsid w:val="007E4EF2"/>
    <w:rsid w:val="007E5B1C"/>
    <w:rsid w:val="007E6EFC"/>
    <w:rsid w:val="007E755E"/>
    <w:rsid w:val="007E75E7"/>
    <w:rsid w:val="007E7975"/>
    <w:rsid w:val="007F0CEF"/>
    <w:rsid w:val="007F0D6A"/>
    <w:rsid w:val="007F2F4B"/>
    <w:rsid w:val="007F317F"/>
    <w:rsid w:val="007F3E53"/>
    <w:rsid w:val="007F4C09"/>
    <w:rsid w:val="007F54D7"/>
    <w:rsid w:val="007F5AF6"/>
    <w:rsid w:val="007F5C11"/>
    <w:rsid w:val="007F6312"/>
    <w:rsid w:val="007F6448"/>
    <w:rsid w:val="007F6968"/>
    <w:rsid w:val="007F6DE5"/>
    <w:rsid w:val="007F7A48"/>
    <w:rsid w:val="007F7B4D"/>
    <w:rsid w:val="008000C1"/>
    <w:rsid w:val="00800B24"/>
    <w:rsid w:val="00800F09"/>
    <w:rsid w:val="00802572"/>
    <w:rsid w:val="008030D5"/>
    <w:rsid w:val="00806287"/>
    <w:rsid w:val="00807053"/>
    <w:rsid w:val="008078BD"/>
    <w:rsid w:val="00807AB1"/>
    <w:rsid w:val="008103C5"/>
    <w:rsid w:val="00810BD3"/>
    <w:rsid w:val="0081247C"/>
    <w:rsid w:val="0081332E"/>
    <w:rsid w:val="008134CD"/>
    <w:rsid w:val="00813FF0"/>
    <w:rsid w:val="008151C3"/>
    <w:rsid w:val="0081538A"/>
    <w:rsid w:val="0081623A"/>
    <w:rsid w:val="008165CD"/>
    <w:rsid w:val="008166DA"/>
    <w:rsid w:val="0081701A"/>
    <w:rsid w:val="00817668"/>
    <w:rsid w:val="00817DF4"/>
    <w:rsid w:val="008200AE"/>
    <w:rsid w:val="008231E9"/>
    <w:rsid w:val="00823D2B"/>
    <w:rsid w:val="00823F34"/>
    <w:rsid w:val="00824695"/>
    <w:rsid w:val="008252F0"/>
    <w:rsid w:val="00825AB0"/>
    <w:rsid w:val="00825FC9"/>
    <w:rsid w:val="008262E6"/>
    <w:rsid w:val="00826CCE"/>
    <w:rsid w:val="008270EE"/>
    <w:rsid w:val="00827BB5"/>
    <w:rsid w:val="00830266"/>
    <w:rsid w:val="008302A8"/>
    <w:rsid w:val="00831111"/>
    <w:rsid w:val="008312B2"/>
    <w:rsid w:val="0083138B"/>
    <w:rsid w:val="00831444"/>
    <w:rsid w:val="00831F2C"/>
    <w:rsid w:val="008329A5"/>
    <w:rsid w:val="00832C88"/>
    <w:rsid w:val="008346CB"/>
    <w:rsid w:val="00834AE6"/>
    <w:rsid w:val="0083516D"/>
    <w:rsid w:val="008355A8"/>
    <w:rsid w:val="008360A6"/>
    <w:rsid w:val="008360AE"/>
    <w:rsid w:val="008361EB"/>
    <w:rsid w:val="00836761"/>
    <w:rsid w:val="00836D91"/>
    <w:rsid w:val="0083779F"/>
    <w:rsid w:val="00837C3E"/>
    <w:rsid w:val="00837ECD"/>
    <w:rsid w:val="00837F17"/>
    <w:rsid w:val="0084001C"/>
    <w:rsid w:val="008407CC"/>
    <w:rsid w:val="00840B0D"/>
    <w:rsid w:val="00840C6D"/>
    <w:rsid w:val="00840EEB"/>
    <w:rsid w:val="00841257"/>
    <w:rsid w:val="00841475"/>
    <w:rsid w:val="008417FB"/>
    <w:rsid w:val="00842D87"/>
    <w:rsid w:val="00842F82"/>
    <w:rsid w:val="0084313A"/>
    <w:rsid w:val="0084334C"/>
    <w:rsid w:val="00843851"/>
    <w:rsid w:val="008438D2"/>
    <w:rsid w:val="00843E85"/>
    <w:rsid w:val="00844C2E"/>
    <w:rsid w:val="00844DB4"/>
    <w:rsid w:val="00844EDA"/>
    <w:rsid w:val="00844FDB"/>
    <w:rsid w:val="00845BE7"/>
    <w:rsid w:val="008464BB"/>
    <w:rsid w:val="0084704B"/>
    <w:rsid w:val="0084774C"/>
    <w:rsid w:val="00847896"/>
    <w:rsid w:val="00847BA3"/>
    <w:rsid w:val="00850C23"/>
    <w:rsid w:val="0085189A"/>
    <w:rsid w:val="0085348C"/>
    <w:rsid w:val="008541C2"/>
    <w:rsid w:val="008542B5"/>
    <w:rsid w:val="0085451B"/>
    <w:rsid w:val="00854889"/>
    <w:rsid w:val="0085495C"/>
    <w:rsid w:val="00854B43"/>
    <w:rsid w:val="00855249"/>
    <w:rsid w:val="00855DB1"/>
    <w:rsid w:val="00856103"/>
    <w:rsid w:val="00856CE9"/>
    <w:rsid w:val="00856CEC"/>
    <w:rsid w:val="0085701A"/>
    <w:rsid w:val="00857071"/>
    <w:rsid w:val="008570AD"/>
    <w:rsid w:val="00857180"/>
    <w:rsid w:val="008576AD"/>
    <w:rsid w:val="008609E7"/>
    <w:rsid w:val="00860B3E"/>
    <w:rsid w:val="008614B7"/>
    <w:rsid w:val="008614E3"/>
    <w:rsid w:val="00861A32"/>
    <w:rsid w:val="00861EEC"/>
    <w:rsid w:val="0086311F"/>
    <w:rsid w:val="00863E2B"/>
    <w:rsid w:val="00863FC8"/>
    <w:rsid w:val="0086471B"/>
    <w:rsid w:val="00864D1F"/>
    <w:rsid w:val="0086639E"/>
    <w:rsid w:val="008675FC"/>
    <w:rsid w:val="00867B8A"/>
    <w:rsid w:val="00867CE6"/>
    <w:rsid w:val="00870227"/>
    <w:rsid w:val="0087123A"/>
    <w:rsid w:val="008713AC"/>
    <w:rsid w:val="00871A2C"/>
    <w:rsid w:val="00871CB6"/>
    <w:rsid w:val="008725D7"/>
    <w:rsid w:val="008726D3"/>
    <w:rsid w:val="0087407F"/>
    <w:rsid w:val="00874318"/>
    <w:rsid w:val="00874532"/>
    <w:rsid w:val="00875D2C"/>
    <w:rsid w:val="00876130"/>
    <w:rsid w:val="00876FFE"/>
    <w:rsid w:val="008771FE"/>
    <w:rsid w:val="008773DF"/>
    <w:rsid w:val="00877523"/>
    <w:rsid w:val="00877B3D"/>
    <w:rsid w:val="008802BD"/>
    <w:rsid w:val="0088036D"/>
    <w:rsid w:val="00880DDD"/>
    <w:rsid w:val="00880FEE"/>
    <w:rsid w:val="008810FE"/>
    <w:rsid w:val="00881A6E"/>
    <w:rsid w:val="008828E2"/>
    <w:rsid w:val="008829B0"/>
    <w:rsid w:val="00882A30"/>
    <w:rsid w:val="00883C0C"/>
    <w:rsid w:val="008841E2"/>
    <w:rsid w:val="00884CCA"/>
    <w:rsid w:val="00885015"/>
    <w:rsid w:val="00885266"/>
    <w:rsid w:val="0088686F"/>
    <w:rsid w:val="00886E2B"/>
    <w:rsid w:val="00886FE8"/>
    <w:rsid w:val="0088763C"/>
    <w:rsid w:val="008901A0"/>
    <w:rsid w:val="00892792"/>
    <w:rsid w:val="0089306B"/>
    <w:rsid w:val="0089335D"/>
    <w:rsid w:val="008936C3"/>
    <w:rsid w:val="008940DA"/>
    <w:rsid w:val="00894D91"/>
    <w:rsid w:val="0089500E"/>
    <w:rsid w:val="008A00F8"/>
    <w:rsid w:val="008A0161"/>
    <w:rsid w:val="008A12D3"/>
    <w:rsid w:val="008A13A0"/>
    <w:rsid w:val="008A1599"/>
    <w:rsid w:val="008A19E1"/>
    <w:rsid w:val="008A1C6E"/>
    <w:rsid w:val="008A1C73"/>
    <w:rsid w:val="008A4276"/>
    <w:rsid w:val="008A47AC"/>
    <w:rsid w:val="008A5271"/>
    <w:rsid w:val="008A59D4"/>
    <w:rsid w:val="008A6F5B"/>
    <w:rsid w:val="008A7E4B"/>
    <w:rsid w:val="008B0637"/>
    <w:rsid w:val="008B1A8D"/>
    <w:rsid w:val="008B288F"/>
    <w:rsid w:val="008B39B6"/>
    <w:rsid w:val="008B3C44"/>
    <w:rsid w:val="008B3F0D"/>
    <w:rsid w:val="008B4009"/>
    <w:rsid w:val="008B40AF"/>
    <w:rsid w:val="008B4D8E"/>
    <w:rsid w:val="008B4E61"/>
    <w:rsid w:val="008B5099"/>
    <w:rsid w:val="008B54CB"/>
    <w:rsid w:val="008B6922"/>
    <w:rsid w:val="008B6D91"/>
    <w:rsid w:val="008B7144"/>
    <w:rsid w:val="008B73A2"/>
    <w:rsid w:val="008B74A0"/>
    <w:rsid w:val="008C0042"/>
    <w:rsid w:val="008C087C"/>
    <w:rsid w:val="008C0D91"/>
    <w:rsid w:val="008C0E85"/>
    <w:rsid w:val="008C1D4A"/>
    <w:rsid w:val="008C1FD5"/>
    <w:rsid w:val="008C21BF"/>
    <w:rsid w:val="008C3715"/>
    <w:rsid w:val="008C4250"/>
    <w:rsid w:val="008C5708"/>
    <w:rsid w:val="008C6131"/>
    <w:rsid w:val="008C6A66"/>
    <w:rsid w:val="008C77F6"/>
    <w:rsid w:val="008D0911"/>
    <w:rsid w:val="008D0E0F"/>
    <w:rsid w:val="008D0E45"/>
    <w:rsid w:val="008D10B9"/>
    <w:rsid w:val="008D190F"/>
    <w:rsid w:val="008D2DA5"/>
    <w:rsid w:val="008D2E69"/>
    <w:rsid w:val="008D36EC"/>
    <w:rsid w:val="008D3A29"/>
    <w:rsid w:val="008D3D89"/>
    <w:rsid w:val="008D3E36"/>
    <w:rsid w:val="008D3E7A"/>
    <w:rsid w:val="008D47F3"/>
    <w:rsid w:val="008D49E0"/>
    <w:rsid w:val="008D4DC9"/>
    <w:rsid w:val="008D5DCE"/>
    <w:rsid w:val="008D67E1"/>
    <w:rsid w:val="008D686E"/>
    <w:rsid w:val="008D6921"/>
    <w:rsid w:val="008D6C4C"/>
    <w:rsid w:val="008D6CFD"/>
    <w:rsid w:val="008D7114"/>
    <w:rsid w:val="008D79BB"/>
    <w:rsid w:val="008D7CFD"/>
    <w:rsid w:val="008E07E1"/>
    <w:rsid w:val="008E0DEA"/>
    <w:rsid w:val="008E15FE"/>
    <w:rsid w:val="008E2435"/>
    <w:rsid w:val="008E2E25"/>
    <w:rsid w:val="008E2F0E"/>
    <w:rsid w:val="008E328D"/>
    <w:rsid w:val="008E33B9"/>
    <w:rsid w:val="008E3EBA"/>
    <w:rsid w:val="008E4087"/>
    <w:rsid w:val="008E4E5F"/>
    <w:rsid w:val="008E5098"/>
    <w:rsid w:val="008E5C48"/>
    <w:rsid w:val="008E60E5"/>
    <w:rsid w:val="008E64EA"/>
    <w:rsid w:val="008E6FD9"/>
    <w:rsid w:val="008E7327"/>
    <w:rsid w:val="008F0213"/>
    <w:rsid w:val="008F038E"/>
    <w:rsid w:val="008F101D"/>
    <w:rsid w:val="008F1C98"/>
    <w:rsid w:val="008F2A2A"/>
    <w:rsid w:val="008F2FAC"/>
    <w:rsid w:val="008F3528"/>
    <w:rsid w:val="008F3604"/>
    <w:rsid w:val="008F3CC4"/>
    <w:rsid w:val="008F3D93"/>
    <w:rsid w:val="008F5291"/>
    <w:rsid w:val="008F5744"/>
    <w:rsid w:val="008F57C9"/>
    <w:rsid w:val="008F5909"/>
    <w:rsid w:val="008F6955"/>
    <w:rsid w:val="008F7363"/>
    <w:rsid w:val="009005ED"/>
    <w:rsid w:val="00900EC8"/>
    <w:rsid w:val="00901D33"/>
    <w:rsid w:val="0090364B"/>
    <w:rsid w:val="009036B2"/>
    <w:rsid w:val="00904420"/>
    <w:rsid w:val="00904A3E"/>
    <w:rsid w:val="00905918"/>
    <w:rsid w:val="0090601D"/>
    <w:rsid w:val="00906466"/>
    <w:rsid w:val="00906DDD"/>
    <w:rsid w:val="00910192"/>
    <w:rsid w:val="00910C2C"/>
    <w:rsid w:val="00912070"/>
    <w:rsid w:val="00912E3E"/>
    <w:rsid w:val="009133B4"/>
    <w:rsid w:val="009134A9"/>
    <w:rsid w:val="00913971"/>
    <w:rsid w:val="0091534A"/>
    <w:rsid w:val="00916152"/>
    <w:rsid w:val="00916324"/>
    <w:rsid w:val="0091755E"/>
    <w:rsid w:val="009177A0"/>
    <w:rsid w:val="0092119A"/>
    <w:rsid w:val="00921445"/>
    <w:rsid w:val="00921CDB"/>
    <w:rsid w:val="00922513"/>
    <w:rsid w:val="009225A9"/>
    <w:rsid w:val="00922EF5"/>
    <w:rsid w:val="009234EB"/>
    <w:rsid w:val="00923D85"/>
    <w:rsid w:val="00924B48"/>
    <w:rsid w:val="00925959"/>
    <w:rsid w:val="00925D24"/>
    <w:rsid w:val="00926555"/>
    <w:rsid w:val="00927315"/>
    <w:rsid w:val="00927EB9"/>
    <w:rsid w:val="009304D7"/>
    <w:rsid w:val="0093094E"/>
    <w:rsid w:val="00930B1E"/>
    <w:rsid w:val="009310BF"/>
    <w:rsid w:val="0093171B"/>
    <w:rsid w:val="00931F4D"/>
    <w:rsid w:val="0093392B"/>
    <w:rsid w:val="00934414"/>
    <w:rsid w:val="0093456D"/>
    <w:rsid w:val="009348D4"/>
    <w:rsid w:val="00934DA2"/>
    <w:rsid w:val="0093500D"/>
    <w:rsid w:val="009351B9"/>
    <w:rsid w:val="0093620C"/>
    <w:rsid w:val="0093708B"/>
    <w:rsid w:val="0093733B"/>
    <w:rsid w:val="0093753B"/>
    <w:rsid w:val="00937552"/>
    <w:rsid w:val="0093790D"/>
    <w:rsid w:val="00937A47"/>
    <w:rsid w:val="00937D48"/>
    <w:rsid w:val="00937D5C"/>
    <w:rsid w:val="009400C5"/>
    <w:rsid w:val="009404A5"/>
    <w:rsid w:val="009405B9"/>
    <w:rsid w:val="00941912"/>
    <w:rsid w:val="00941B45"/>
    <w:rsid w:val="009427D1"/>
    <w:rsid w:val="00942A8E"/>
    <w:rsid w:val="00943983"/>
    <w:rsid w:val="00944BAB"/>
    <w:rsid w:val="00945C03"/>
    <w:rsid w:val="00946060"/>
    <w:rsid w:val="0094703F"/>
    <w:rsid w:val="00947757"/>
    <w:rsid w:val="00947937"/>
    <w:rsid w:val="00947ED2"/>
    <w:rsid w:val="00947EFB"/>
    <w:rsid w:val="00950334"/>
    <w:rsid w:val="00950B8B"/>
    <w:rsid w:val="00951C24"/>
    <w:rsid w:val="00951DDD"/>
    <w:rsid w:val="00952AFC"/>
    <w:rsid w:val="009530A6"/>
    <w:rsid w:val="0095352B"/>
    <w:rsid w:val="0095592C"/>
    <w:rsid w:val="00956769"/>
    <w:rsid w:val="00957259"/>
    <w:rsid w:val="00960F49"/>
    <w:rsid w:val="0096156D"/>
    <w:rsid w:val="009618C1"/>
    <w:rsid w:val="00961F9A"/>
    <w:rsid w:val="00963479"/>
    <w:rsid w:val="009635FE"/>
    <w:rsid w:val="009639AF"/>
    <w:rsid w:val="00963A05"/>
    <w:rsid w:val="00963C6B"/>
    <w:rsid w:val="00963D08"/>
    <w:rsid w:val="00964215"/>
    <w:rsid w:val="009649C7"/>
    <w:rsid w:val="00964EA5"/>
    <w:rsid w:val="0096508E"/>
    <w:rsid w:val="00966591"/>
    <w:rsid w:val="009667DD"/>
    <w:rsid w:val="00966BCB"/>
    <w:rsid w:val="0096705C"/>
    <w:rsid w:val="009674A2"/>
    <w:rsid w:val="009678D6"/>
    <w:rsid w:val="009712A2"/>
    <w:rsid w:val="0097130E"/>
    <w:rsid w:val="0097146B"/>
    <w:rsid w:val="0097223D"/>
    <w:rsid w:val="009727E7"/>
    <w:rsid w:val="00972BE6"/>
    <w:rsid w:val="00972FF9"/>
    <w:rsid w:val="00973035"/>
    <w:rsid w:val="0097447B"/>
    <w:rsid w:val="009747C5"/>
    <w:rsid w:val="00974842"/>
    <w:rsid w:val="00974A06"/>
    <w:rsid w:val="00974CAF"/>
    <w:rsid w:val="0097522E"/>
    <w:rsid w:val="0097536E"/>
    <w:rsid w:val="00975696"/>
    <w:rsid w:val="00975E4C"/>
    <w:rsid w:val="00976257"/>
    <w:rsid w:val="00977344"/>
    <w:rsid w:val="0097738B"/>
    <w:rsid w:val="009779B9"/>
    <w:rsid w:val="00980650"/>
    <w:rsid w:val="009817ED"/>
    <w:rsid w:val="00982EED"/>
    <w:rsid w:val="00983687"/>
    <w:rsid w:val="00983A64"/>
    <w:rsid w:val="00984BE5"/>
    <w:rsid w:val="00985666"/>
    <w:rsid w:val="00986438"/>
    <w:rsid w:val="009879FA"/>
    <w:rsid w:val="00987F5B"/>
    <w:rsid w:val="009911B3"/>
    <w:rsid w:val="00991B2E"/>
    <w:rsid w:val="00992FDC"/>
    <w:rsid w:val="00993017"/>
    <w:rsid w:val="009933BB"/>
    <w:rsid w:val="00995032"/>
    <w:rsid w:val="00996451"/>
    <w:rsid w:val="00996648"/>
    <w:rsid w:val="009975A9"/>
    <w:rsid w:val="009A17E0"/>
    <w:rsid w:val="009A37CA"/>
    <w:rsid w:val="009A37E4"/>
    <w:rsid w:val="009A56FA"/>
    <w:rsid w:val="009A57B0"/>
    <w:rsid w:val="009A592E"/>
    <w:rsid w:val="009A645D"/>
    <w:rsid w:val="009A6A9D"/>
    <w:rsid w:val="009A7116"/>
    <w:rsid w:val="009A72D5"/>
    <w:rsid w:val="009A734C"/>
    <w:rsid w:val="009A7614"/>
    <w:rsid w:val="009A79F5"/>
    <w:rsid w:val="009B024D"/>
    <w:rsid w:val="009B0752"/>
    <w:rsid w:val="009B13D2"/>
    <w:rsid w:val="009B1787"/>
    <w:rsid w:val="009B215C"/>
    <w:rsid w:val="009B31C0"/>
    <w:rsid w:val="009B3AA9"/>
    <w:rsid w:val="009B4B6A"/>
    <w:rsid w:val="009B4DDD"/>
    <w:rsid w:val="009B59FA"/>
    <w:rsid w:val="009B5DB1"/>
    <w:rsid w:val="009B5FC4"/>
    <w:rsid w:val="009B6AE7"/>
    <w:rsid w:val="009B7472"/>
    <w:rsid w:val="009C0559"/>
    <w:rsid w:val="009C1A85"/>
    <w:rsid w:val="009C1DA1"/>
    <w:rsid w:val="009C2004"/>
    <w:rsid w:val="009C20F2"/>
    <w:rsid w:val="009C21FA"/>
    <w:rsid w:val="009C305E"/>
    <w:rsid w:val="009C3640"/>
    <w:rsid w:val="009C3646"/>
    <w:rsid w:val="009C37D3"/>
    <w:rsid w:val="009C4620"/>
    <w:rsid w:val="009C48AD"/>
    <w:rsid w:val="009C4CE1"/>
    <w:rsid w:val="009C53B0"/>
    <w:rsid w:val="009C5487"/>
    <w:rsid w:val="009C5767"/>
    <w:rsid w:val="009C5DBF"/>
    <w:rsid w:val="009C6B83"/>
    <w:rsid w:val="009C6ED4"/>
    <w:rsid w:val="009C7735"/>
    <w:rsid w:val="009D003D"/>
    <w:rsid w:val="009D02AC"/>
    <w:rsid w:val="009D06E4"/>
    <w:rsid w:val="009D0EB6"/>
    <w:rsid w:val="009D1CF2"/>
    <w:rsid w:val="009D2A55"/>
    <w:rsid w:val="009D31E8"/>
    <w:rsid w:val="009D38EA"/>
    <w:rsid w:val="009D3D1D"/>
    <w:rsid w:val="009D4753"/>
    <w:rsid w:val="009D4B5A"/>
    <w:rsid w:val="009D58D7"/>
    <w:rsid w:val="009D5B21"/>
    <w:rsid w:val="009D5F6D"/>
    <w:rsid w:val="009D610C"/>
    <w:rsid w:val="009D6217"/>
    <w:rsid w:val="009D6BCA"/>
    <w:rsid w:val="009D7458"/>
    <w:rsid w:val="009D79A7"/>
    <w:rsid w:val="009D7B0B"/>
    <w:rsid w:val="009D7BAA"/>
    <w:rsid w:val="009D7E1A"/>
    <w:rsid w:val="009E0A85"/>
    <w:rsid w:val="009E1079"/>
    <w:rsid w:val="009E1DC4"/>
    <w:rsid w:val="009E2771"/>
    <w:rsid w:val="009E2E56"/>
    <w:rsid w:val="009E2F5E"/>
    <w:rsid w:val="009E5839"/>
    <w:rsid w:val="009E5F80"/>
    <w:rsid w:val="009E6E02"/>
    <w:rsid w:val="009E72EA"/>
    <w:rsid w:val="009E76F0"/>
    <w:rsid w:val="009F1A09"/>
    <w:rsid w:val="009F1D21"/>
    <w:rsid w:val="009F28FE"/>
    <w:rsid w:val="009F303B"/>
    <w:rsid w:val="009F306D"/>
    <w:rsid w:val="009F41B6"/>
    <w:rsid w:val="009F4EC9"/>
    <w:rsid w:val="009F5158"/>
    <w:rsid w:val="009F7470"/>
    <w:rsid w:val="009F7FD0"/>
    <w:rsid w:val="00A0047F"/>
    <w:rsid w:val="00A016EB"/>
    <w:rsid w:val="00A018B9"/>
    <w:rsid w:val="00A02DB3"/>
    <w:rsid w:val="00A03706"/>
    <w:rsid w:val="00A03A43"/>
    <w:rsid w:val="00A03ABC"/>
    <w:rsid w:val="00A040BC"/>
    <w:rsid w:val="00A04B77"/>
    <w:rsid w:val="00A05336"/>
    <w:rsid w:val="00A05690"/>
    <w:rsid w:val="00A05C9D"/>
    <w:rsid w:val="00A0652C"/>
    <w:rsid w:val="00A066AC"/>
    <w:rsid w:val="00A07B08"/>
    <w:rsid w:val="00A07B62"/>
    <w:rsid w:val="00A10C7B"/>
    <w:rsid w:val="00A10E36"/>
    <w:rsid w:val="00A1116E"/>
    <w:rsid w:val="00A112CE"/>
    <w:rsid w:val="00A11522"/>
    <w:rsid w:val="00A1156B"/>
    <w:rsid w:val="00A1208A"/>
    <w:rsid w:val="00A13E52"/>
    <w:rsid w:val="00A14141"/>
    <w:rsid w:val="00A14B0C"/>
    <w:rsid w:val="00A15ADD"/>
    <w:rsid w:val="00A161FD"/>
    <w:rsid w:val="00A16737"/>
    <w:rsid w:val="00A167FC"/>
    <w:rsid w:val="00A172DA"/>
    <w:rsid w:val="00A17D99"/>
    <w:rsid w:val="00A202C9"/>
    <w:rsid w:val="00A203AC"/>
    <w:rsid w:val="00A20CF1"/>
    <w:rsid w:val="00A2149A"/>
    <w:rsid w:val="00A21A4D"/>
    <w:rsid w:val="00A227DD"/>
    <w:rsid w:val="00A22D53"/>
    <w:rsid w:val="00A22D5F"/>
    <w:rsid w:val="00A23E4A"/>
    <w:rsid w:val="00A23F81"/>
    <w:rsid w:val="00A24293"/>
    <w:rsid w:val="00A245B6"/>
    <w:rsid w:val="00A2483B"/>
    <w:rsid w:val="00A249B5"/>
    <w:rsid w:val="00A25578"/>
    <w:rsid w:val="00A25886"/>
    <w:rsid w:val="00A26432"/>
    <w:rsid w:val="00A27078"/>
    <w:rsid w:val="00A27EB3"/>
    <w:rsid w:val="00A30684"/>
    <w:rsid w:val="00A31047"/>
    <w:rsid w:val="00A321B1"/>
    <w:rsid w:val="00A32EF8"/>
    <w:rsid w:val="00A331F7"/>
    <w:rsid w:val="00A33452"/>
    <w:rsid w:val="00A33895"/>
    <w:rsid w:val="00A33CE2"/>
    <w:rsid w:val="00A34FD9"/>
    <w:rsid w:val="00A36A3E"/>
    <w:rsid w:val="00A36B23"/>
    <w:rsid w:val="00A36CAC"/>
    <w:rsid w:val="00A37075"/>
    <w:rsid w:val="00A377B1"/>
    <w:rsid w:val="00A378ED"/>
    <w:rsid w:val="00A37A62"/>
    <w:rsid w:val="00A40497"/>
    <w:rsid w:val="00A409DF"/>
    <w:rsid w:val="00A40B58"/>
    <w:rsid w:val="00A40C8A"/>
    <w:rsid w:val="00A416E1"/>
    <w:rsid w:val="00A41B32"/>
    <w:rsid w:val="00A42A46"/>
    <w:rsid w:val="00A42A85"/>
    <w:rsid w:val="00A42C3E"/>
    <w:rsid w:val="00A43838"/>
    <w:rsid w:val="00A43B01"/>
    <w:rsid w:val="00A446BD"/>
    <w:rsid w:val="00A44884"/>
    <w:rsid w:val="00A4538B"/>
    <w:rsid w:val="00A45918"/>
    <w:rsid w:val="00A459F5"/>
    <w:rsid w:val="00A45B98"/>
    <w:rsid w:val="00A45F5A"/>
    <w:rsid w:val="00A474FB"/>
    <w:rsid w:val="00A47658"/>
    <w:rsid w:val="00A47968"/>
    <w:rsid w:val="00A50474"/>
    <w:rsid w:val="00A507FF"/>
    <w:rsid w:val="00A50888"/>
    <w:rsid w:val="00A50AB5"/>
    <w:rsid w:val="00A5264A"/>
    <w:rsid w:val="00A526FE"/>
    <w:rsid w:val="00A52BC5"/>
    <w:rsid w:val="00A5320E"/>
    <w:rsid w:val="00A538DB"/>
    <w:rsid w:val="00A54400"/>
    <w:rsid w:val="00A54AEB"/>
    <w:rsid w:val="00A54C5D"/>
    <w:rsid w:val="00A556E8"/>
    <w:rsid w:val="00A562D8"/>
    <w:rsid w:val="00A5702D"/>
    <w:rsid w:val="00A57ADB"/>
    <w:rsid w:val="00A60AA6"/>
    <w:rsid w:val="00A6104F"/>
    <w:rsid w:val="00A61879"/>
    <w:rsid w:val="00A61DB7"/>
    <w:rsid w:val="00A61FBB"/>
    <w:rsid w:val="00A62777"/>
    <w:rsid w:val="00A62E16"/>
    <w:rsid w:val="00A63042"/>
    <w:rsid w:val="00A63251"/>
    <w:rsid w:val="00A63942"/>
    <w:rsid w:val="00A639A0"/>
    <w:rsid w:val="00A64020"/>
    <w:rsid w:val="00A64589"/>
    <w:rsid w:val="00A64D85"/>
    <w:rsid w:val="00A6588F"/>
    <w:rsid w:val="00A65909"/>
    <w:rsid w:val="00A65EA8"/>
    <w:rsid w:val="00A665DF"/>
    <w:rsid w:val="00A668B6"/>
    <w:rsid w:val="00A67098"/>
    <w:rsid w:val="00A67977"/>
    <w:rsid w:val="00A70855"/>
    <w:rsid w:val="00A71097"/>
    <w:rsid w:val="00A7230D"/>
    <w:rsid w:val="00A728E4"/>
    <w:rsid w:val="00A72C44"/>
    <w:rsid w:val="00A72FAE"/>
    <w:rsid w:val="00A73324"/>
    <w:rsid w:val="00A73389"/>
    <w:rsid w:val="00A74637"/>
    <w:rsid w:val="00A74C44"/>
    <w:rsid w:val="00A7502B"/>
    <w:rsid w:val="00A75C41"/>
    <w:rsid w:val="00A75C63"/>
    <w:rsid w:val="00A75CF7"/>
    <w:rsid w:val="00A761B9"/>
    <w:rsid w:val="00A76871"/>
    <w:rsid w:val="00A77F07"/>
    <w:rsid w:val="00A77F70"/>
    <w:rsid w:val="00A813E7"/>
    <w:rsid w:val="00A81C53"/>
    <w:rsid w:val="00A826E8"/>
    <w:rsid w:val="00A82C85"/>
    <w:rsid w:val="00A83411"/>
    <w:rsid w:val="00A835B8"/>
    <w:rsid w:val="00A835EF"/>
    <w:rsid w:val="00A83E50"/>
    <w:rsid w:val="00A8522E"/>
    <w:rsid w:val="00A85BCC"/>
    <w:rsid w:val="00A8610C"/>
    <w:rsid w:val="00A86C40"/>
    <w:rsid w:val="00A87132"/>
    <w:rsid w:val="00A87404"/>
    <w:rsid w:val="00A879A1"/>
    <w:rsid w:val="00A91493"/>
    <w:rsid w:val="00A916CA"/>
    <w:rsid w:val="00A919CD"/>
    <w:rsid w:val="00A91B9F"/>
    <w:rsid w:val="00A91D4B"/>
    <w:rsid w:val="00A92C6D"/>
    <w:rsid w:val="00A92F30"/>
    <w:rsid w:val="00A93BD7"/>
    <w:rsid w:val="00A95295"/>
    <w:rsid w:val="00A95FC6"/>
    <w:rsid w:val="00A97D7B"/>
    <w:rsid w:val="00A97DBB"/>
    <w:rsid w:val="00A97E65"/>
    <w:rsid w:val="00A97F51"/>
    <w:rsid w:val="00AA084B"/>
    <w:rsid w:val="00AA0B31"/>
    <w:rsid w:val="00AA216E"/>
    <w:rsid w:val="00AA2313"/>
    <w:rsid w:val="00AA2C87"/>
    <w:rsid w:val="00AA35A8"/>
    <w:rsid w:val="00AA42FB"/>
    <w:rsid w:val="00AA432E"/>
    <w:rsid w:val="00AA47CD"/>
    <w:rsid w:val="00AA4954"/>
    <w:rsid w:val="00AA541D"/>
    <w:rsid w:val="00AA54C1"/>
    <w:rsid w:val="00AA6585"/>
    <w:rsid w:val="00AB024A"/>
    <w:rsid w:val="00AB072A"/>
    <w:rsid w:val="00AB0753"/>
    <w:rsid w:val="00AB07CC"/>
    <w:rsid w:val="00AB3153"/>
    <w:rsid w:val="00AB38F6"/>
    <w:rsid w:val="00AB3D99"/>
    <w:rsid w:val="00AB4BAC"/>
    <w:rsid w:val="00AB51A1"/>
    <w:rsid w:val="00AB5220"/>
    <w:rsid w:val="00AB5F53"/>
    <w:rsid w:val="00AB6328"/>
    <w:rsid w:val="00AB66FD"/>
    <w:rsid w:val="00AB6D2A"/>
    <w:rsid w:val="00AB6F9E"/>
    <w:rsid w:val="00AB7A63"/>
    <w:rsid w:val="00AC0A3D"/>
    <w:rsid w:val="00AC1005"/>
    <w:rsid w:val="00AC1D51"/>
    <w:rsid w:val="00AC21F9"/>
    <w:rsid w:val="00AC3937"/>
    <w:rsid w:val="00AC4407"/>
    <w:rsid w:val="00AC45CE"/>
    <w:rsid w:val="00AC4898"/>
    <w:rsid w:val="00AC4EC7"/>
    <w:rsid w:val="00AC4F4D"/>
    <w:rsid w:val="00AC51A1"/>
    <w:rsid w:val="00AC550A"/>
    <w:rsid w:val="00AC59C0"/>
    <w:rsid w:val="00AC709F"/>
    <w:rsid w:val="00AC7383"/>
    <w:rsid w:val="00AC79F8"/>
    <w:rsid w:val="00AC7ABD"/>
    <w:rsid w:val="00AD081A"/>
    <w:rsid w:val="00AD1F2F"/>
    <w:rsid w:val="00AD218B"/>
    <w:rsid w:val="00AD2659"/>
    <w:rsid w:val="00AD2EBE"/>
    <w:rsid w:val="00AD4019"/>
    <w:rsid w:val="00AD40D2"/>
    <w:rsid w:val="00AD4AD5"/>
    <w:rsid w:val="00AD58ED"/>
    <w:rsid w:val="00AD6E08"/>
    <w:rsid w:val="00AD7746"/>
    <w:rsid w:val="00AD7BA1"/>
    <w:rsid w:val="00AE172F"/>
    <w:rsid w:val="00AE1765"/>
    <w:rsid w:val="00AE1BD4"/>
    <w:rsid w:val="00AE1FC7"/>
    <w:rsid w:val="00AE42BD"/>
    <w:rsid w:val="00AE49C8"/>
    <w:rsid w:val="00AE5307"/>
    <w:rsid w:val="00AE54EE"/>
    <w:rsid w:val="00AE708D"/>
    <w:rsid w:val="00AE7206"/>
    <w:rsid w:val="00AE7969"/>
    <w:rsid w:val="00AF0236"/>
    <w:rsid w:val="00AF0261"/>
    <w:rsid w:val="00AF029E"/>
    <w:rsid w:val="00AF0943"/>
    <w:rsid w:val="00AF0B31"/>
    <w:rsid w:val="00AF0BB0"/>
    <w:rsid w:val="00AF1911"/>
    <w:rsid w:val="00AF3980"/>
    <w:rsid w:val="00AF3B73"/>
    <w:rsid w:val="00AF4AA2"/>
    <w:rsid w:val="00AF58A4"/>
    <w:rsid w:val="00AF5D5A"/>
    <w:rsid w:val="00AF72CB"/>
    <w:rsid w:val="00AF7E53"/>
    <w:rsid w:val="00B00184"/>
    <w:rsid w:val="00B00B69"/>
    <w:rsid w:val="00B01DDC"/>
    <w:rsid w:val="00B020D4"/>
    <w:rsid w:val="00B02B5E"/>
    <w:rsid w:val="00B034D9"/>
    <w:rsid w:val="00B037C5"/>
    <w:rsid w:val="00B0502E"/>
    <w:rsid w:val="00B10103"/>
    <w:rsid w:val="00B12965"/>
    <w:rsid w:val="00B13F8F"/>
    <w:rsid w:val="00B1488B"/>
    <w:rsid w:val="00B15E60"/>
    <w:rsid w:val="00B16134"/>
    <w:rsid w:val="00B16482"/>
    <w:rsid w:val="00B16682"/>
    <w:rsid w:val="00B17C71"/>
    <w:rsid w:val="00B17DA0"/>
    <w:rsid w:val="00B2022F"/>
    <w:rsid w:val="00B202EB"/>
    <w:rsid w:val="00B20985"/>
    <w:rsid w:val="00B221F6"/>
    <w:rsid w:val="00B233D9"/>
    <w:rsid w:val="00B23995"/>
    <w:rsid w:val="00B246CD"/>
    <w:rsid w:val="00B249B6"/>
    <w:rsid w:val="00B249FF"/>
    <w:rsid w:val="00B24B3F"/>
    <w:rsid w:val="00B2547F"/>
    <w:rsid w:val="00B25838"/>
    <w:rsid w:val="00B26B13"/>
    <w:rsid w:val="00B2751F"/>
    <w:rsid w:val="00B313DC"/>
    <w:rsid w:val="00B314A0"/>
    <w:rsid w:val="00B31F98"/>
    <w:rsid w:val="00B322B5"/>
    <w:rsid w:val="00B32D63"/>
    <w:rsid w:val="00B339CF"/>
    <w:rsid w:val="00B3444A"/>
    <w:rsid w:val="00B347BF"/>
    <w:rsid w:val="00B34929"/>
    <w:rsid w:val="00B3512B"/>
    <w:rsid w:val="00B35851"/>
    <w:rsid w:val="00B35F0F"/>
    <w:rsid w:val="00B36673"/>
    <w:rsid w:val="00B36CC3"/>
    <w:rsid w:val="00B40654"/>
    <w:rsid w:val="00B407E5"/>
    <w:rsid w:val="00B417D9"/>
    <w:rsid w:val="00B41927"/>
    <w:rsid w:val="00B4205F"/>
    <w:rsid w:val="00B423C4"/>
    <w:rsid w:val="00B42441"/>
    <w:rsid w:val="00B4300C"/>
    <w:rsid w:val="00B43990"/>
    <w:rsid w:val="00B43D11"/>
    <w:rsid w:val="00B43DFB"/>
    <w:rsid w:val="00B44B67"/>
    <w:rsid w:val="00B44C94"/>
    <w:rsid w:val="00B453DA"/>
    <w:rsid w:val="00B45CF1"/>
    <w:rsid w:val="00B45EA9"/>
    <w:rsid w:val="00B4633F"/>
    <w:rsid w:val="00B464D2"/>
    <w:rsid w:val="00B475E1"/>
    <w:rsid w:val="00B475FA"/>
    <w:rsid w:val="00B47AD3"/>
    <w:rsid w:val="00B501E0"/>
    <w:rsid w:val="00B50409"/>
    <w:rsid w:val="00B507B8"/>
    <w:rsid w:val="00B50B7E"/>
    <w:rsid w:val="00B51893"/>
    <w:rsid w:val="00B522E4"/>
    <w:rsid w:val="00B52A29"/>
    <w:rsid w:val="00B532F5"/>
    <w:rsid w:val="00B5577A"/>
    <w:rsid w:val="00B56107"/>
    <w:rsid w:val="00B564E7"/>
    <w:rsid w:val="00B5755B"/>
    <w:rsid w:val="00B5756D"/>
    <w:rsid w:val="00B57955"/>
    <w:rsid w:val="00B579AD"/>
    <w:rsid w:val="00B60235"/>
    <w:rsid w:val="00B603EF"/>
    <w:rsid w:val="00B60CC5"/>
    <w:rsid w:val="00B611AB"/>
    <w:rsid w:val="00B626A8"/>
    <w:rsid w:val="00B62A36"/>
    <w:rsid w:val="00B62A44"/>
    <w:rsid w:val="00B630B0"/>
    <w:rsid w:val="00B64178"/>
    <w:rsid w:val="00B650E3"/>
    <w:rsid w:val="00B65331"/>
    <w:rsid w:val="00B65834"/>
    <w:rsid w:val="00B65CAF"/>
    <w:rsid w:val="00B65D14"/>
    <w:rsid w:val="00B668F8"/>
    <w:rsid w:val="00B67674"/>
    <w:rsid w:val="00B67A70"/>
    <w:rsid w:val="00B67AAE"/>
    <w:rsid w:val="00B67B9A"/>
    <w:rsid w:val="00B70AE0"/>
    <w:rsid w:val="00B70AFF"/>
    <w:rsid w:val="00B7269F"/>
    <w:rsid w:val="00B728E4"/>
    <w:rsid w:val="00B72A9D"/>
    <w:rsid w:val="00B72CD3"/>
    <w:rsid w:val="00B730B1"/>
    <w:rsid w:val="00B73E9E"/>
    <w:rsid w:val="00B754FC"/>
    <w:rsid w:val="00B75CF8"/>
    <w:rsid w:val="00B762E8"/>
    <w:rsid w:val="00B763DC"/>
    <w:rsid w:val="00B76624"/>
    <w:rsid w:val="00B76E52"/>
    <w:rsid w:val="00B7714E"/>
    <w:rsid w:val="00B80F74"/>
    <w:rsid w:val="00B82E79"/>
    <w:rsid w:val="00B83225"/>
    <w:rsid w:val="00B83839"/>
    <w:rsid w:val="00B841E6"/>
    <w:rsid w:val="00B84CE2"/>
    <w:rsid w:val="00B84DCA"/>
    <w:rsid w:val="00B85763"/>
    <w:rsid w:val="00B85961"/>
    <w:rsid w:val="00B86980"/>
    <w:rsid w:val="00B87941"/>
    <w:rsid w:val="00B90822"/>
    <w:rsid w:val="00B90B84"/>
    <w:rsid w:val="00B918F3"/>
    <w:rsid w:val="00B91C8D"/>
    <w:rsid w:val="00B92392"/>
    <w:rsid w:val="00B92575"/>
    <w:rsid w:val="00B93546"/>
    <w:rsid w:val="00B93F6E"/>
    <w:rsid w:val="00B94551"/>
    <w:rsid w:val="00B94D0B"/>
    <w:rsid w:val="00B94E86"/>
    <w:rsid w:val="00B971E5"/>
    <w:rsid w:val="00B97895"/>
    <w:rsid w:val="00B97B7F"/>
    <w:rsid w:val="00BA036D"/>
    <w:rsid w:val="00BA11D3"/>
    <w:rsid w:val="00BA1E6C"/>
    <w:rsid w:val="00BA1FCC"/>
    <w:rsid w:val="00BA253D"/>
    <w:rsid w:val="00BA2CF7"/>
    <w:rsid w:val="00BA2E0F"/>
    <w:rsid w:val="00BA3027"/>
    <w:rsid w:val="00BA3CC4"/>
    <w:rsid w:val="00BA4732"/>
    <w:rsid w:val="00BA507E"/>
    <w:rsid w:val="00BA5EB2"/>
    <w:rsid w:val="00BA6053"/>
    <w:rsid w:val="00BA63CC"/>
    <w:rsid w:val="00BA76DC"/>
    <w:rsid w:val="00BA7DE1"/>
    <w:rsid w:val="00BB164B"/>
    <w:rsid w:val="00BB19E2"/>
    <w:rsid w:val="00BB3467"/>
    <w:rsid w:val="00BB3A64"/>
    <w:rsid w:val="00BB4286"/>
    <w:rsid w:val="00BB5F9C"/>
    <w:rsid w:val="00BB6E68"/>
    <w:rsid w:val="00BB6EA4"/>
    <w:rsid w:val="00BB76E9"/>
    <w:rsid w:val="00BB7FB4"/>
    <w:rsid w:val="00BC0D31"/>
    <w:rsid w:val="00BC1258"/>
    <w:rsid w:val="00BC12B6"/>
    <w:rsid w:val="00BC1692"/>
    <w:rsid w:val="00BC18EB"/>
    <w:rsid w:val="00BC197C"/>
    <w:rsid w:val="00BC1E64"/>
    <w:rsid w:val="00BC2010"/>
    <w:rsid w:val="00BC2A67"/>
    <w:rsid w:val="00BC2D84"/>
    <w:rsid w:val="00BC2FAE"/>
    <w:rsid w:val="00BC3995"/>
    <w:rsid w:val="00BC3C78"/>
    <w:rsid w:val="00BC49EA"/>
    <w:rsid w:val="00BC4C2B"/>
    <w:rsid w:val="00BC4FC6"/>
    <w:rsid w:val="00BC5694"/>
    <w:rsid w:val="00BC571E"/>
    <w:rsid w:val="00BC5F38"/>
    <w:rsid w:val="00BC62CA"/>
    <w:rsid w:val="00BC69CF"/>
    <w:rsid w:val="00BC7089"/>
    <w:rsid w:val="00BC75BC"/>
    <w:rsid w:val="00BC7F6D"/>
    <w:rsid w:val="00BD03AD"/>
    <w:rsid w:val="00BD0658"/>
    <w:rsid w:val="00BD0886"/>
    <w:rsid w:val="00BD0A06"/>
    <w:rsid w:val="00BD2F22"/>
    <w:rsid w:val="00BD35D8"/>
    <w:rsid w:val="00BD4990"/>
    <w:rsid w:val="00BD4C90"/>
    <w:rsid w:val="00BD4CB5"/>
    <w:rsid w:val="00BD551C"/>
    <w:rsid w:val="00BD5AD1"/>
    <w:rsid w:val="00BD6F48"/>
    <w:rsid w:val="00BD762E"/>
    <w:rsid w:val="00BD7BC2"/>
    <w:rsid w:val="00BE028E"/>
    <w:rsid w:val="00BE081B"/>
    <w:rsid w:val="00BE1D04"/>
    <w:rsid w:val="00BE254F"/>
    <w:rsid w:val="00BE2D22"/>
    <w:rsid w:val="00BE3D9F"/>
    <w:rsid w:val="00BE4D60"/>
    <w:rsid w:val="00BE4FC1"/>
    <w:rsid w:val="00BE56CD"/>
    <w:rsid w:val="00BE5D9B"/>
    <w:rsid w:val="00BE5FCD"/>
    <w:rsid w:val="00BE643E"/>
    <w:rsid w:val="00BE6564"/>
    <w:rsid w:val="00BE6A7C"/>
    <w:rsid w:val="00BE6AE2"/>
    <w:rsid w:val="00BE6DF7"/>
    <w:rsid w:val="00BE72AA"/>
    <w:rsid w:val="00BE7474"/>
    <w:rsid w:val="00BE7C54"/>
    <w:rsid w:val="00BE7E36"/>
    <w:rsid w:val="00BF0710"/>
    <w:rsid w:val="00BF0FE9"/>
    <w:rsid w:val="00BF14F3"/>
    <w:rsid w:val="00BF1B3C"/>
    <w:rsid w:val="00BF1DB3"/>
    <w:rsid w:val="00BF2CA5"/>
    <w:rsid w:val="00BF3635"/>
    <w:rsid w:val="00BF3841"/>
    <w:rsid w:val="00BF3922"/>
    <w:rsid w:val="00BF4388"/>
    <w:rsid w:val="00BF43B1"/>
    <w:rsid w:val="00BF4FD9"/>
    <w:rsid w:val="00BF5135"/>
    <w:rsid w:val="00BF55EF"/>
    <w:rsid w:val="00BF66FC"/>
    <w:rsid w:val="00BF6EC5"/>
    <w:rsid w:val="00BF7550"/>
    <w:rsid w:val="00BF7E4E"/>
    <w:rsid w:val="00C00083"/>
    <w:rsid w:val="00C005F7"/>
    <w:rsid w:val="00C01036"/>
    <w:rsid w:val="00C01D73"/>
    <w:rsid w:val="00C02173"/>
    <w:rsid w:val="00C02604"/>
    <w:rsid w:val="00C02790"/>
    <w:rsid w:val="00C0301B"/>
    <w:rsid w:val="00C03328"/>
    <w:rsid w:val="00C0335A"/>
    <w:rsid w:val="00C03ACF"/>
    <w:rsid w:val="00C04A89"/>
    <w:rsid w:val="00C05154"/>
    <w:rsid w:val="00C06037"/>
    <w:rsid w:val="00C062AD"/>
    <w:rsid w:val="00C06487"/>
    <w:rsid w:val="00C064B8"/>
    <w:rsid w:val="00C065C4"/>
    <w:rsid w:val="00C06724"/>
    <w:rsid w:val="00C06C31"/>
    <w:rsid w:val="00C07158"/>
    <w:rsid w:val="00C10048"/>
    <w:rsid w:val="00C1049E"/>
    <w:rsid w:val="00C1065E"/>
    <w:rsid w:val="00C109F7"/>
    <w:rsid w:val="00C11FEF"/>
    <w:rsid w:val="00C127B6"/>
    <w:rsid w:val="00C133EE"/>
    <w:rsid w:val="00C13555"/>
    <w:rsid w:val="00C14663"/>
    <w:rsid w:val="00C14D79"/>
    <w:rsid w:val="00C1575F"/>
    <w:rsid w:val="00C158EF"/>
    <w:rsid w:val="00C15C8D"/>
    <w:rsid w:val="00C1790E"/>
    <w:rsid w:val="00C17C27"/>
    <w:rsid w:val="00C21C47"/>
    <w:rsid w:val="00C21FF2"/>
    <w:rsid w:val="00C23C07"/>
    <w:rsid w:val="00C23DBE"/>
    <w:rsid w:val="00C23DE5"/>
    <w:rsid w:val="00C242C0"/>
    <w:rsid w:val="00C24315"/>
    <w:rsid w:val="00C252E0"/>
    <w:rsid w:val="00C25905"/>
    <w:rsid w:val="00C261AC"/>
    <w:rsid w:val="00C264E0"/>
    <w:rsid w:val="00C26574"/>
    <w:rsid w:val="00C30503"/>
    <w:rsid w:val="00C307D0"/>
    <w:rsid w:val="00C30E5B"/>
    <w:rsid w:val="00C31063"/>
    <w:rsid w:val="00C31BF8"/>
    <w:rsid w:val="00C324CA"/>
    <w:rsid w:val="00C3257B"/>
    <w:rsid w:val="00C33179"/>
    <w:rsid w:val="00C33EAD"/>
    <w:rsid w:val="00C3424A"/>
    <w:rsid w:val="00C34DB4"/>
    <w:rsid w:val="00C35E34"/>
    <w:rsid w:val="00C36895"/>
    <w:rsid w:val="00C36C50"/>
    <w:rsid w:val="00C375E4"/>
    <w:rsid w:val="00C378D0"/>
    <w:rsid w:val="00C37912"/>
    <w:rsid w:val="00C37A17"/>
    <w:rsid w:val="00C37B05"/>
    <w:rsid w:val="00C403DC"/>
    <w:rsid w:val="00C409FB"/>
    <w:rsid w:val="00C41034"/>
    <w:rsid w:val="00C41097"/>
    <w:rsid w:val="00C415AC"/>
    <w:rsid w:val="00C41C23"/>
    <w:rsid w:val="00C41E5D"/>
    <w:rsid w:val="00C44B30"/>
    <w:rsid w:val="00C458A8"/>
    <w:rsid w:val="00C45D71"/>
    <w:rsid w:val="00C45F93"/>
    <w:rsid w:val="00C46826"/>
    <w:rsid w:val="00C47769"/>
    <w:rsid w:val="00C4786F"/>
    <w:rsid w:val="00C4789F"/>
    <w:rsid w:val="00C5031E"/>
    <w:rsid w:val="00C51BBD"/>
    <w:rsid w:val="00C51D4F"/>
    <w:rsid w:val="00C52C87"/>
    <w:rsid w:val="00C53E33"/>
    <w:rsid w:val="00C54A67"/>
    <w:rsid w:val="00C54AFB"/>
    <w:rsid w:val="00C54DD5"/>
    <w:rsid w:val="00C550DE"/>
    <w:rsid w:val="00C55738"/>
    <w:rsid w:val="00C6022F"/>
    <w:rsid w:val="00C6213E"/>
    <w:rsid w:val="00C6229D"/>
    <w:rsid w:val="00C635CA"/>
    <w:rsid w:val="00C64377"/>
    <w:rsid w:val="00C64CF9"/>
    <w:rsid w:val="00C65779"/>
    <w:rsid w:val="00C65B7F"/>
    <w:rsid w:val="00C662DF"/>
    <w:rsid w:val="00C66C38"/>
    <w:rsid w:val="00C67479"/>
    <w:rsid w:val="00C675B2"/>
    <w:rsid w:val="00C702B7"/>
    <w:rsid w:val="00C7071C"/>
    <w:rsid w:val="00C70E83"/>
    <w:rsid w:val="00C72574"/>
    <w:rsid w:val="00C7334E"/>
    <w:rsid w:val="00C73403"/>
    <w:rsid w:val="00C73CC9"/>
    <w:rsid w:val="00C75E99"/>
    <w:rsid w:val="00C76248"/>
    <w:rsid w:val="00C7710B"/>
    <w:rsid w:val="00C77F59"/>
    <w:rsid w:val="00C77FDB"/>
    <w:rsid w:val="00C80A89"/>
    <w:rsid w:val="00C80C66"/>
    <w:rsid w:val="00C81EB4"/>
    <w:rsid w:val="00C832B7"/>
    <w:rsid w:val="00C83723"/>
    <w:rsid w:val="00C838F4"/>
    <w:rsid w:val="00C844E5"/>
    <w:rsid w:val="00C85A76"/>
    <w:rsid w:val="00C85AAE"/>
    <w:rsid w:val="00C85B94"/>
    <w:rsid w:val="00C86161"/>
    <w:rsid w:val="00C866B0"/>
    <w:rsid w:val="00C86830"/>
    <w:rsid w:val="00C9086B"/>
    <w:rsid w:val="00C90C72"/>
    <w:rsid w:val="00C90FFC"/>
    <w:rsid w:val="00C917B1"/>
    <w:rsid w:val="00C91B04"/>
    <w:rsid w:val="00C926B3"/>
    <w:rsid w:val="00C934A5"/>
    <w:rsid w:val="00C93C2B"/>
    <w:rsid w:val="00C94506"/>
    <w:rsid w:val="00C94831"/>
    <w:rsid w:val="00C95A23"/>
    <w:rsid w:val="00C95A2D"/>
    <w:rsid w:val="00C95F3D"/>
    <w:rsid w:val="00C962FE"/>
    <w:rsid w:val="00C972FE"/>
    <w:rsid w:val="00C9798B"/>
    <w:rsid w:val="00C97DD6"/>
    <w:rsid w:val="00C97EF6"/>
    <w:rsid w:val="00CA0C14"/>
    <w:rsid w:val="00CA0F2D"/>
    <w:rsid w:val="00CA1AB2"/>
    <w:rsid w:val="00CA1EE8"/>
    <w:rsid w:val="00CA202C"/>
    <w:rsid w:val="00CA2040"/>
    <w:rsid w:val="00CA21B7"/>
    <w:rsid w:val="00CA3A7D"/>
    <w:rsid w:val="00CA3AD4"/>
    <w:rsid w:val="00CA3EC9"/>
    <w:rsid w:val="00CA4AE3"/>
    <w:rsid w:val="00CA65FC"/>
    <w:rsid w:val="00CA662A"/>
    <w:rsid w:val="00CA6D05"/>
    <w:rsid w:val="00CA71DF"/>
    <w:rsid w:val="00CB098B"/>
    <w:rsid w:val="00CB0DE0"/>
    <w:rsid w:val="00CB1127"/>
    <w:rsid w:val="00CB2B8F"/>
    <w:rsid w:val="00CB365C"/>
    <w:rsid w:val="00CB4BB9"/>
    <w:rsid w:val="00CB5159"/>
    <w:rsid w:val="00CB56C5"/>
    <w:rsid w:val="00CB5CE4"/>
    <w:rsid w:val="00CB5D1F"/>
    <w:rsid w:val="00CB5E03"/>
    <w:rsid w:val="00CB6EDD"/>
    <w:rsid w:val="00CB6EF2"/>
    <w:rsid w:val="00CB7A41"/>
    <w:rsid w:val="00CB7D48"/>
    <w:rsid w:val="00CC005A"/>
    <w:rsid w:val="00CC01B4"/>
    <w:rsid w:val="00CC03E7"/>
    <w:rsid w:val="00CC06D2"/>
    <w:rsid w:val="00CC1D29"/>
    <w:rsid w:val="00CC1F22"/>
    <w:rsid w:val="00CC23A6"/>
    <w:rsid w:val="00CC3631"/>
    <w:rsid w:val="00CC385F"/>
    <w:rsid w:val="00CC3BF2"/>
    <w:rsid w:val="00CC5AB7"/>
    <w:rsid w:val="00CC5CDF"/>
    <w:rsid w:val="00CC6D8F"/>
    <w:rsid w:val="00CC7218"/>
    <w:rsid w:val="00CD0297"/>
    <w:rsid w:val="00CD06C3"/>
    <w:rsid w:val="00CD06E7"/>
    <w:rsid w:val="00CD17F2"/>
    <w:rsid w:val="00CD22DE"/>
    <w:rsid w:val="00CD29F4"/>
    <w:rsid w:val="00CD61C5"/>
    <w:rsid w:val="00CD6995"/>
    <w:rsid w:val="00CD6EBE"/>
    <w:rsid w:val="00CD7691"/>
    <w:rsid w:val="00CE0215"/>
    <w:rsid w:val="00CE04C7"/>
    <w:rsid w:val="00CE0680"/>
    <w:rsid w:val="00CE0810"/>
    <w:rsid w:val="00CE1242"/>
    <w:rsid w:val="00CE1270"/>
    <w:rsid w:val="00CE19B4"/>
    <w:rsid w:val="00CE26C6"/>
    <w:rsid w:val="00CE3A66"/>
    <w:rsid w:val="00CE467F"/>
    <w:rsid w:val="00CE582D"/>
    <w:rsid w:val="00CE67E3"/>
    <w:rsid w:val="00CE6D46"/>
    <w:rsid w:val="00CE78C7"/>
    <w:rsid w:val="00CE7AF7"/>
    <w:rsid w:val="00CE7CC4"/>
    <w:rsid w:val="00CF0664"/>
    <w:rsid w:val="00CF0B8A"/>
    <w:rsid w:val="00CF0C62"/>
    <w:rsid w:val="00CF0ED6"/>
    <w:rsid w:val="00CF11E9"/>
    <w:rsid w:val="00CF1D5D"/>
    <w:rsid w:val="00CF2789"/>
    <w:rsid w:val="00CF3695"/>
    <w:rsid w:val="00CF4704"/>
    <w:rsid w:val="00CF4A53"/>
    <w:rsid w:val="00CF4E21"/>
    <w:rsid w:val="00CF5362"/>
    <w:rsid w:val="00CF589D"/>
    <w:rsid w:val="00CF5E10"/>
    <w:rsid w:val="00CF5F9B"/>
    <w:rsid w:val="00CF6293"/>
    <w:rsid w:val="00CF62C1"/>
    <w:rsid w:val="00CF6A5B"/>
    <w:rsid w:val="00CF6E35"/>
    <w:rsid w:val="00CF726C"/>
    <w:rsid w:val="00D00577"/>
    <w:rsid w:val="00D01284"/>
    <w:rsid w:val="00D01518"/>
    <w:rsid w:val="00D01D4F"/>
    <w:rsid w:val="00D01F38"/>
    <w:rsid w:val="00D0200B"/>
    <w:rsid w:val="00D026A8"/>
    <w:rsid w:val="00D03019"/>
    <w:rsid w:val="00D04151"/>
    <w:rsid w:val="00D053E9"/>
    <w:rsid w:val="00D064F2"/>
    <w:rsid w:val="00D06FFD"/>
    <w:rsid w:val="00D10170"/>
    <w:rsid w:val="00D10BB9"/>
    <w:rsid w:val="00D10ED1"/>
    <w:rsid w:val="00D11635"/>
    <w:rsid w:val="00D1226B"/>
    <w:rsid w:val="00D12282"/>
    <w:rsid w:val="00D126DA"/>
    <w:rsid w:val="00D126F5"/>
    <w:rsid w:val="00D12B6E"/>
    <w:rsid w:val="00D131C0"/>
    <w:rsid w:val="00D1351A"/>
    <w:rsid w:val="00D14C02"/>
    <w:rsid w:val="00D15C52"/>
    <w:rsid w:val="00D163AF"/>
    <w:rsid w:val="00D17267"/>
    <w:rsid w:val="00D17297"/>
    <w:rsid w:val="00D176B4"/>
    <w:rsid w:val="00D20211"/>
    <w:rsid w:val="00D20F1C"/>
    <w:rsid w:val="00D216EE"/>
    <w:rsid w:val="00D2235B"/>
    <w:rsid w:val="00D22B0F"/>
    <w:rsid w:val="00D22ED0"/>
    <w:rsid w:val="00D2545E"/>
    <w:rsid w:val="00D25615"/>
    <w:rsid w:val="00D26938"/>
    <w:rsid w:val="00D26B17"/>
    <w:rsid w:val="00D278B8"/>
    <w:rsid w:val="00D304CE"/>
    <w:rsid w:val="00D311F4"/>
    <w:rsid w:val="00D314B4"/>
    <w:rsid w:val="00D31DC4"/>
    <w:rsid w:val="00D32027"/>
    <w:rsid w:val="00D322C5"/>
    <w:rsid w:val="00D3245E"/>
    <w:rsid w:val="00D32BB8"/>
    <w:rsid w:val="00D337A1"/>
    <w:rsid w:val="00D33A28"/>
    <w:rsid w:val="00D3410F"/>
    <w:rsid w:val="00D3459E"/>
    <w:rsid w:val="00D34C70"/>
    <w:rsid w:val="00D35762"/>
    <w:rsid w:val="00D35EA9"/>
    <w:rsid w:val="00D36A53"/>
    <w:rsid w:val="00D37314"/>
    <w:rsid w:val="00D37689"/>
    <w:rsid w:val="00D37DA1"/>
    <w:rsid w:val="00D4073A"/>
    <w:rsid w:val="00D40A72"/>
    <w:rsid w:val="00D41EEA"/>
    <w:rsid w:val="00D43160"/>
    <w:rsid w:val="00D43FBB"/>
    <w:rsid w:val="00D44184"/>
    <w:rsid w:val="00D44539"/>
    <w:rsid w:val="00D445DB"/>
    <w:rsid w:val="00D44FD2"/>
    <w:rsid w:val="00D46017"/>
    <w:rsid w:val="00D46467"/>
    <w:rsid w:val="00D4685A"/>
    <w:rsid w:val="00D46DBF"/>
    <w:rsid w:val="00D512E8"/>
    <w:rsid w:val="00D51569"/>
    <w:rsid w:val="00D52C0A"/>
    <w:rsid w:val="00D52C27"/>
    <w:rsid w:val="00D53B03"/>
    <w:rsid w:val="00D53FC2"/>
    <w:rsid w:val="00D5434F"/>
    <w:rsid w:val="00D554E9"/>
    <w:rsid w:val="00D5598A"/>
    <w:rsid w:val="00D56008"/>
    <w:rsid w:val="00D562F6"/>
    <w:rsid w:val="00D56C96"/>
    <w:rsid w:val="00D56E2C"/>
    <w:rsid w:val="00D57D01"/>
    <w:rsid w:val="00D60858"/>
    <w:rsid w:val="00D60983"/>
    <w:rsid w:val="00D621EB"/>
    <w:rsid w:val="00D624E3"/>
    <w:rsid w:val="00D62C88"/>
    <w:rsid w:val="00D63DF5"/>
    <w:rsid w:val="00D6513A"/>
    <w:rsid w:val="00D65EBB"/>
    <w:rsid w:val="00D65F95"/>
    <w:rsid w:val="00D66E0D"/>
    <w:rsid w:val="00D6742C"/>
    <w:rsid w:val="00D67B38"/>
    <w:rsid w:val="00D7012E"/>
    <w:rsid w:val="00D70BC1"/>
    <w:rsid w:val="00D70F9E"/>
    <w:rsid w:val="00D71380"/>
    <w:rsid w:val="00D729C9"/>
    <w:rsid w:val="00D72BF1"/>
    <w:rsid w:val="00D731B2"/>
    <w:rsid w:val="00D732A6"/>
    <w:rsid w:val="00D73424"/>
    <w:rsid w:val="00D73747"/>
    <w:rsid w:val="00D73E8A"/>
    <w:rsid w:val="00D74567"/>
    <w:rsid w:val="00D74C55"/>
    <w:rsid w:val="00D74F03"/>
    <w:rsid w:val="00D7515E"/>
    <w:rsid w:val="00D7588B"/>
    <w:rsid w:val="00D760C9"/>
    <w:rsid w:val="00D80461"/>
    <w:rsid w:val="00D80560"/>
    <w:rsid w:val="00D81FF2"/>
    <w:rsid w:val="00D82B63"/>
    <w:rsid w:val="00D836E0"/>
    <w:rsid w:val="00D83E48"/>
    <w:rsid w:val="00D840B6"/>
    <w:rsid w:val="00D8444F"/>
    <w:rsid w:val="00D845E7"/>
    <w:rsid w:val="00D85237"/>
    <w:rsid w:val="00D853B6"/>
    <w:rsid w:val="00D8612E"/>
    <w:rsid w:val="00D87452"/>
    <w:rsid w:val="00D8754D"/>
    <w:rsid w:val="00D879CB"/>
    <w:rsid w:val="00D87D83"/>
    <w:rsid w:val="00D903CF"/>
    <w:rsid w:val="00D90B1B"/>
    <w:rsid w:val="00D920AF"/>
    <w:rsid w:val="00D92884"/>
    <w:rsid w:val="00D9295C"/>
    <w:rsid w:val="00D92EDA"/>
    <w:rsid w:val="00D92F86"/>
    <w:rsid w:val="00D9355C"/>
    <w:rsid w:val="00D93BD3"/>
    <w:rsid w:val="00D94955"/>
    <w:rsid w:val="00DA03A5"/>
    <w:rsid w:val="00DA078E"/>
    <w:rsid w:val="00DA08BA"/>
    <w:rsid w:val="00DA0EED"/>
    <w:rsid w:val="00DA1058"/>
    <w:rsid w:val="00DA1131"/>
    <w:rsid w:val="00DA125D"/>
    <w:rsid w:val="00DA15E3"/>
    <w:rsid w:val="00DA1A83"/>
    <w:rsid w:val="00DA23F1"/>
    <w:rsid w:val="00DA2C36"/>
    <w:rsid w:val="00DA2D82"/>
    <w:rsid w:val="00DA306E"/>
    <w:rsid w:val="00DA314C"/>
    <w:rsid w:val="00DA3471"/>
    <w:rsid w:val="00DA3740"/>
    <w:rsid w:val="00DA43CE"/>
    <w:rsid w:val="00DA44F7"/>
    <w:rsid w:val="00DA484E"/>
    <w:rsid w:val="00DA5662"/>
    <w:rsid w:val="00DA5A32"/>
    <w:rsid w:val="00DA66A2"/>
    <w:rsid w:val="00DA74D2"/>
    <w:rsid w:val="00DA7A67"/>
    <w:rsid w:val="00DB0775"/>
    <w:rsid w:val="00DB0E2E"/>
    <w:rsid w:val="00DB1091"/>
    <w:rsid w:val="00DB147D"/>
    <w:rsid w:val="00DB1549"/>
    <w:rsid w:val="00DB1DCA"/>
    <w:rsid w:val="00DB2021"/>
    <w:rsid w:val="00DB209A"/>
    <w:rsid w:val="00DB2F8C"/>
    <w:rsid w:val="00DB3A70"/>
    <w:rsid w:val="00DB3C9E"/>
    <w:rsid w:val="00DB4081"/>
    <w:rsid w:val="00DB4347"/>
    <w:rsid w:val="00DB57C9"/>
    <w:rsid w:val="00DB5EA2"/>
    <w:rsid w:val="00DB70BC"/>
    <w:rsid w:val="00DB7181"/>
    <w:rsid w:val="00DB7745"/>
    <w:rsid w:val="00DB7786"/>
    <w:rsid w:val="00DC04D4"/>
    <w:rsid w:val="00DC07F1"/>
    <w:rsid w:val="00DC0F66"/>
    <w:rsid w:val="00DC11EE"/>
    <w:rsid w:val="00DC15D0"/>
    <w:rsid w:val="00DC1AD3"/>
    <w:rsid w:val="00DC3C0A"/>
    <w:rsid w:val="00DC416E"/>
    <w:rsid w:val="00DC43BF"/>
    <w:rsid w:val="00DC541C"/>
    <w:rsid w:val="00DC597B"/>
    <w:rsid w:val="00DC5AC9"/>
    <w:rsid w:val="00DC60C7"/>
    <w:rsid w:val="00DC62EC"/>
    <w:rsid w:val="00DC64E0"/>
    <w:rsid w:val="00DC6D5E"/>
    <w:rsid w:val="00DC6F9F"/>
    <w:rsid w:val="00DC7294"/>
    <w:rsid w:val="00DC78F1"/>
    <w:rsid w:val="00DC7A8C"/>
    <w:rsid w:val="00DC7CE1"/>
    <w:rsid w:val="00DC7E33"/>
    <w:rsid w:val="00DD00C9"/>
    <w:rsid w:val="00DD077C"/>
    <w:rsid w:val="00DD134E"/>
    <w:rsid w:val="00DD1868"/>
    <w:rsid w:val="00DD1C32"/>
    <w:rsid w:val="00DD2002"/>
    <w:rsid w:val="00DD28AB"/>
    <w:rsid w:val="00DD31CA"/>
    <w:rsid w:val="00DD32DA"/>
    <w:rsid w:val="00DD3586"/>
    <w:rsid w:val="00DD3776"/>
    <w:rsid w:val="00DD3980"/>
    <w:rsid w:val="00DD4740"/>
    <w:rsid w:val="00DD4B6B"/>
    <w:rsid w:val="00DD4CBF"/>
    <w:rsid w:val="00DD5445"/>
    <w:rsid w:val="00DD555B"/>
    <w:rsid w:val="00DD6E83"/>
    <w:rsid w:val="00DD798B"/>
    <w:rsid w:val="00DD7CB3"/>
    <w:rsid w:val="00DD7DFD"/>
    <w:rsid w:val="00DE032E"/>
    <w:rsid w:val="00DE0397"/>
    <w:rsid w:val="00DE044A"/>
    <w:rsid w:val="00DE1188"/>
    <w:rsid w:val="00DE16C0"/>
    <w:rsid w:val="00DE1B4E"/>
    <w:rsid w:val="00DE200F"/>
    <w:rsid w:val="00DE229D"/>
    <w:rsid w:val="00DE3109"/>
    <w:rsid w:val="00DE31F6"/>
    <w:rsid w:val="00DE35C1"/>
    <w:rsid w:val="00DE3FFF"/>
    <w:rsid w:val="00DE4756"/>
    <w:rsid w:val="00DE60D2"/>
    <w:rsid w:val="00DE61EC"/>
    <w:rsid w:val="00DE6625"/>
    <w:rsid w:val="00DE6BA1"/>
    <w:rsid w:val="00DE71E4"/>
    <w:rsid w:val="00DE7313"/>
    <w:rsid w:val="00DF0EEB"/>
    <w:rsid w:val="00DF1F1D"/>
    <w:rsid w:val="00DF2222"/>
    <w:rsid w:val="00DF24DD"/>
    <w:rsid w:val="00DF2887"/>
    <w:rsid w:val="00DF3CE2"/>
    <w:rsid w:val="00DF4A75"/>
    <w:rsid w:val="00DF4CA0"/>
    <w:rsid w:val="00DF4EB1"/>
    <w:rsid w:val="00DF4FC1"/>
    <w:rsid w:val="00DF524D"/>
    <w:rsid w:val="00DF671D"/>
    <w:rsid w:val="00E0197A"/>
    <w:rsid w:val="00E01DBA"/>
    <w:rsid w:val="00E01E26"/>
    <w:rsid w:val="00E0223B"/>
    <w:rsid w:val="00E031FB"/>
    <w:rsid w:val="00E03D16"/>
    <w:rsid w:val="00E0403C"/>
    <w:rsid w:val="00E045AB"/>
    <w:rsid w:val="00E04FC2"/>
    <w:rsid w:val="00E0600B"/>
    <w:rsid w:val="00E06C11"/>
    <w:rsid w:val="00E079DE"/>
    <w:rsid w:val="00E10B9D"/>
    <w:rsid w:val="00E111BB"/>
    <w:rsid w:val="00E13814"/>
    <w:rsid w:val="00E13998"/>
    <w:rsid w:val="00E14744"/>
    <w:rsid w:val="00E14BFF"/>
    <w:rsid w:val="00E15486"/>
    <w:rsid w:val="00E154A7"/>
    <w:rsid w:val="00E15575"/>
    <w:rsid w:val="00E16336"/>
    <w:rsid w:val="00E17C5A"/>
    <w:rsid w:val="00E20116"/>
    <w:rsid w:val="00E2049B"/>
    <w:rsid w:val="00E210EF"/>
    <w:rsid w:val="00E21814"/>
    <w:rsid w:val="00E22586"/>
    <w:rsid w:val="00E22FD0"/>
    <w:rsid w:val="00E23644"/>
    <w:rsid w:val="00E23A32"/>
    <w:rsid w:val="00E248E2"/>
    <w:rsid w:val="00E249A2"/>
    <w:rsid w:val="00E249DD"/>
    <w:rsid w:val="00E24A38"/>
    <w:rsid w:val="00E250B4"/>
    <w:rsid w:val="00E25468"/>
    <w:rsid w:val="00E258C2"/>
    <w:rsid w:val="00E25DF3"/>
    <w:rsid w:val="00E25EE2"/>
    <w:rsid w:val="00E2634E"/>
    <w:rsid w:val="00E26ADD"/>
    <w:rsid w:val="00E27075"/>
    <w:rsid w:val="00E2721A"/>
    <w:rsid w:val="00E273BB"/>
    <w:rsid w:val="00E27525"/>
    <w:rsid w:val="00E275ED"/>
    <w:rsid w:val="00E2768E"/>
    <w:rsid w:val="00E27746"/>
    <w:rsid w:val="00E3053B"/>
    <w:rsid w:val="00E30696"/>
    <w:rsid w:val="00E31505"/>
    <w:rsid w:val="00E32F9B"/>
    <w:rsid w:val="00E332C4"/>
    <w:rsid w:val="00E33801"/>
    <w:rsid w:val="00E33EBD"/>
    <w:rsid w:val="00E34077"/>
    <w:rsid w:val="00E3465D"/>
    <w:rsid w:val="00E34D20"/>
    <w:rsid w:val="00E35C78"/>
    <w:rsid w:val="00E362C2"/>
    <w:rsid w:val="00E36930"/>
    <w:rsid w:val="00E3743D"/>
    <w:rsid w:val="00E37BF3"/>
    <w:rsid w:val="00E37E3F"/>
    <w:rsid w:val="00E37F62"/>
    <w:rsid w:val="00E40913"/>
    <w:rsid w:val="00E409E9"/>
    <w:rsid w:val="00E40C08"/>
    <w:rsid w:val="00E40DBA"/>
    <w:rsid w:val="00E41412"/>
    <w:rsid w:val="00E42705"/>
    <w:rsid w:val="00E43663"/>
    <w:rsid w:val="00E43CD4"/>
    <w:rsid w:val="00E44366"/>
    <w:rsid w:val="00E4439F"/>
    <w:rsid w:val="00E44886"/>
    <w:rsid w:val="00E44E5D"/>
    <w:rsid w:val="00E455D6"/>
    <w:rsid w:val="00E4564F"/>
    <w:rsid w:val="00E46628"/>
    <w:rsid w:val="00E46A0B"/>
    <w:rsid w:val="00E46EAD"/>
    <w:rsid w:val="00E4705F"/>
    <w:rsid w:val="00E471AB"/>
    <w:rsid w:val="00E4799C"/>
    <w:rsid w:val="00E5083A"/>
    <w:rsid w:val="00E517A2"/>
    <w:rsid w:val="00E51E61"/>
    <w:rsid w:val="00E522FF"/>
    <w:rsid w:val="00E523A4"/>
    <w:rsid w:val="00E5296D"/>
    <w:rsid w:val="00E5333C"/>
    <w:rsid w:val="00E53511"/>
    <w:rsid w:val="00E53B83"/>
    <w:rsid w:val="00E53C9C"/>
    <w:rsid w:val="00E55E0B"/>
    <w:rsid w:val="00E56B49"/>
    <w:rsid w:val="00E5764B"/>
    <w:rsid w:val="00E57BFA"/>
    <w:rsid w:val="00E60381"/>
    <w:rsid w:val="00E603AC"/>
    <w:rsid w:val="00E622E9"/>
    <w:rsid w:val="00E6270E"/>
    <w:rsid w:val="00E62B47"/>
    <w:rsid w:val="00E63094"/>
    <w:rsid w:val="00E6319A"/>
    <w:rsid w:val="00E634AC"/>
    <w:rsid w:val="00E637E2"/>
    <w:rsid w:val="00E641C7"/>
    <w:rsid w:val="00E64277"/>
    <w:rsid w:val="00E64C3B"/>
    <w:rsid w:val="00E657F9"/>
    <w:rsid w:val="00E659AF"/>
    <w:rsid w:val="00E65CD3"/>
    <w:rsid w:val="00E65E0B"/>
    <w:rsid w:val="00E662B0"/>
    <w:rsid w:val="00E665E5"/>
    <w:rsid w:val="00E66CCE"/>
    <w:rsid w:val="00E67B70"/>
    <w:rsid w:val="00E67EA7"/>
    <w:rsid w:val="00E70BD2"/>
    <w:rsid w:val="00E70E07"/>
    <w:rsid w:val="00E70FCF"/>
    <w:rsid w:val="00E71278"/>
    <w:rsid w:val="00E71C84"/>
    <w:rsid w:val="00E72614"/>
    <w:rsid w:val="00E72D54"/>
    <w:rsid w:val="00E72F15"/>
    <w:rsid w:val="00E730AD"/>
    <w:rsid w:val="00E76D23"/>
    <w:rsid w:val="00E772FE"/>
    <w:rsid w:val="00E77DA3"/>
    <w:rsid w:val="00E80F7C"/>
    <w:rsid w:val="00E8114B"/>
    <w:rsid w:val="00E81BE9"/>
    <w:rsid w:val="00E82FED"/>
    <w:rsid w:val="00E83D38"/>
    <w:rsid w:val="00E84234"/>
    <w:rsid w:val="00E84280"/>
    <w:rsid w:val="00E84309"/>
    <w:rsid w:val="00E8449A"/>
    <w:rsid w:val="00E84C2C"/>
    <w:rsid w:val="00E84EAD"/>
    <w:rsid w:val="00E8708D"/>
    <w:rsid w:val="00E9010C"/>
    <w:rsid w:val="00E90340"/>
    <w:rsid w:val="00E908DD"/>
    <w:rsid w:val="00E9162F"/>
    <w:rsid w:val="00E92111"/>
    <w:rsid w:val="00E92479"/>
    <w:rsid w:val="00E92CB4"/>
    <w:rsid w:val="00E93AA2"/>
    <w:rsid w:val="00E93E02"/>
    <w:rsid w:val="00E9404E"/>
    <w:rsid w:val="00E943A7"/>
    <w:rsid w:val="00E94499"/>
    <w:rsid w:val="00E94666"/>
    <w:rsid w:val="00E94D30"/>
    <w:rsid w:val="00E94F2F"/>
    <w:rsid w:val="00E95C59"/>
    <w:rsid w:val="00E9764E"/>
    <w:rsid w:val="00E97FCA"/>
    <w:rsid w:val="00EA199B"/>
    <w:rsid w:val="00EA1C14"/>
    <w:rsid w:val="00EA1D12"/>
    <w:rsid w:val="00EA21CA"/>
    <w:rsid w:val="00EA33AA"/>
    <w:rsid w:val="00EA3806"/>
    <w:rsid w:val="00EA42EB"/>
    <w:rsid w:val="00EA4450"/>
    <w:rsid w:val="00EA521D"/>
    <w:rsid w:val="00EA5724"/>
    <w:rsid w:val="00EA5EAB"/>
    <w:rsid w:val="00EA62E8"/>
    <w:rsid w:val="00EA68C4"/>
    <w:rsid w:val="00EB0305"/>
    <w:rsid w:val="00EB132B"/>
    <w:rsid w:val="00EB1E8D"/>
    <w:rsid w:val="00EB206F"/>
    <w:rsid w:val="00EB3103"/>
    <w:rsid w:val="00EB3142"/>
    <w:rsid w:val="00EB3F80"/>
    <w:rsid w:val="00EB4BDD"/>
    <w:rsid w:val="00EB4C85"/>
    <w:rsid w:val="00EB55F5"/>
    <w:rsid w:val="00EB5837"/>
    <w:rsid w:val="00EB5BA4"/>
    <w:rsid w:val="00EB5E24"/>
    <w:rsid w:val="00EB5EDB"/>
    <w:rsid w:val="00EB61C8"/>
    <w:rsid w:val="00EB6A4A"/>
    <w:rsid w:val="00EB6BA1"/>
    <w:rsid w:val="00EB716F"/>
    <w:rsid w:val="00EB7376"/>
    <w:rsid w:val="00EB79C5"/>
    <w:rsid w:val="00EC0296"/>
    <w:rsid w:val="00EC0301"/>
    <w:rsid w:val="00EC0450"/>
    <w:rsid w:val="00EC0534"/>
    <w:rsid w:val="00EC0F38"/>
    <w:rsid w:val="00EC264E"/>
    <w:rsid w:val="00EC2D23"/>
    <w:rsid w:val="00EC306F"/>
    <w:rsid w:val="00EC33FC"/>
    <w:rsid w:val="00EC3890"/>
    <w:rsid w:val="00EC47E7"/>
    <w:rsid w:val="00EC4AC2"/>
    <w:rsid w:val="00EC5503"/>
    <w:rsid w:val="00EC5D0B"/>
    <w:rsid w:val="00EC616D"/>
    <w:rsid w:val="00EC6313"/>
    <w:rsid w:val="00EC73C6"/>
    <w:rsid w:val="00EC748B"/>
    <w:rsid w:val="00EC7E90"/>
    <w:rsid w:val="00ED022C"/>
    <w:rsid w:val="00ED2805"/>
    <w:rsid w:val="00ED2928"/>
    <w:rsid w:val="00ED2B65"/>
    <w:rsid w:val="00ED421B"/>
    <w:rsid w:val="00ED4374"/>
    <w:rsid w:val="00ED492B"/>
    <w:rsid w:val="00ED4B26"/>
    <w:rsid w:val="00ED703B"/>
    <w:rsid w:val="00ED782D"/>
    <w:rsid w:val="00EE0C0D"/>
    <w:rsid w:val="00EE128B"/>
    <w:rsid w:val="00EE1C87"/>
    <w:rsid w:val="00EE25B3"/>
    <w:rsid w:val="00EE25F2"/>
    <w:rsid w:val="00EE2630"/>
    <w:rsid w:val="00EE2BF5"/>
    <w:rsid w:val="00EE2C43"/>
    <w:rsid w:val="00EE2CD4"/>
    <w:rsid w:val="00EE31D7"/>
    <w:rsid w:val="00EE45AC"/>
    <w:rsid w:val="00EE47A4"/>
    <w:rsid w:val="00EE4A8B"/>
    <w:rsid w:val="00EE5570"/>
    <w:rsid w:val="00EE67C7"/>
    <w:rsid w:val="00EE69B2"/>
    <w:rsid w:val="00EF01AB"/>
    <w:rsid w:val="00EF05D7"/>
    <w:rsid w:val="00EF11A4"/>
    <w:rsid w:val="00EF1744"/>
    <w:rsid w:val="00EF1891"/>
    <w:rsid w:val="00EF19D5"/>
    <w:rsid w:val="00EF27E1"/>
    <w:rsid w:val="00EF316D"/>
    <w:rsid w:val="00EF3B32"/>
    <w:rsid w:val="00EF5B47"/>
    <w:rsid w:val="00EF5CF6"/>
    <w:rsid w:val="00EF5EB9"/>
    <w:rsid w:val="00EF5F40"/>
    <w:rsid w:val="00EF6950"/>
    <w:rsid w:val="00EF70E9"/>
    <w:rsid w:val="00EF75F1"/>
    <w:rsid w:val="00EF7A4C"/>
    <w:rsid w:val="00F00AC6"/>
    <w:rsid w:val="00F00C90"/>
    <w:rsid w:val="00F00D0B"/>
    <w:rsid w:val="00F01B7D"/>
    <w:rsid w:val="00F02145"/>
    <w:rsid w:val="00F02A96"/>
    <w:rsid w:val="00F03BBA"/>
    <w:rsid w:val="00F03C25"/>
    <w:rsid w:val="00F044A3"/>
    <w:rsid w:val="00F04F93"/>
    <w:rsid w:val="00F05B45"/>
    <w:rsid w:val="00F06B9F"/>
    <w:rsid w:val="00F07AEB"/>
    <w:rsid w:val="00F11B5C"/>
    <w:rsid w:val="00F1272E"/>
    <w:rsid w:val="00F12E0F"/>
    <w:rsid w:val="00F12FC9"/>
    <w:rsid w:val="00F1315B"/>
    <w:rsid w:val="00F1403F"/>
    <w:rsid w:val="00F148FE"/>
    <w:rsid w:val="00F159AC"/>
    <w:rsid w:val="00F15F34"/>
    <w:rsid w:val="00F16AC7"/>
    <w:rsid w:val="00F16F9E"/>
    <w:rsid w:val="00F22889"/>
    <w:rsid w:val="00F22F64"/>
    <w:rsid w:val="00F232C6"/>
    <w:rsid w:val="00F234B8"/>
    <w:rsid w:val="00F23614"/>
    <w:rsid w:val="00F2397F"/>
    <w:rsid w:val="00F23F2F"/>
    <w:rsid w:val="00F25400"/>
    <w:rsid w:val="00F25685"/>
    <w:rsid w:val="00F25E02"/>
    <w:rsid w:val="00F260B9"/>
    <w:rsid w:val="00F26558"/>
    <w:rsid w:val="00F267C6"/>
    <w:rsid w:val="00F27191"/>
    <w:rsid w:val="00F274B9"/>
    <w:rsid w:val="00F27879"/>
    <w:rsid w:val="00F302E9"/>
    <w:rsid w:val="00F303E8"/>
    <w:rsid w:val="00F30D35"/>
    <w:rsid w:val="00F311A7"/>
    <w:rsid w:val="00F311FA"/>
    <w:rsid w:val="00F318DE"/>
    <w:rsid w:val="00F319BA"/>
    <w:rsid w:val="00F31B35"/>
    <w:rsid w:val="00F3325D"/>
    <w:rsid w:val="00F349EB"/>
    <w:rsid w:val="00F35E65"/>
    <w:rsid w:val="00F35FF4"/>
    <w:rsid w:val="00F36957"/>
    <w:rsid w:val="00F376CF"/>
    <w:rsid w:val="00F377FE"/>
    <w:rsid w:val="00F40FAA"/>
    <w:rsid w:val="00F41964"/>
    <w:rsid w:val="00F41F17"/>
    <w:rsid w:val="00F42861"/>
    <w:rsid w:val="00F42F16"/>
    <w:rsid w:val="00F436F1"/>
    <w:rsid w:val="00F43B94"/>
    <w:rsid w:val="00F443AB"/>
    <w:rsid w:val="00F4467C"/>
    <w:rsid w:val="00F458FB"/>
    <w:rsid w:val="00F468A4"/>
    <w:rsid w:val="00F468D2"/>
    <w:rsid w:val="00F46AF2"/>
    <w:rsid w:val="00F4794C"/>
    <w:rsid w:val="00F50981"/>
    <w:rsid w:val="00F523BB"/>
    <w:rsid w:val="00F525D1"/>
    <w:rsid w:val="00F53537"/>
    <w:rsid w:val="00F540C8"/>
    <w:rsid w:val="00F54A86"/>
    <w:rsid w:val="00F54F79"/>
    <w:rsid w:val="00F5560B"/>
    <w:rsid w:val="00F55825"/>
    <w:rsid w:val="00F558C1"/>
    <w:rsid w:val="00F55BB0"/>
    <w:rsid w:val="00F55E8E"/>
    <w:rsid w:val="00F5785A"/>
    <w:rsid w:val="00F5798B"/>
    <w:rsid w:val="00F60BBB"/>
    <w:rsid w:val="00F6130F"/>
    <w:rsid w:val="00F62290"/>
    <w:rsid w:val="00F62A4F"/>
    <w:rsid w:val="00F63BB8"/>
    <w:rsid w:val="00F64432"/>
    <w:rsid w:val="00F64AEE"/>
    <w:rsid w:val="00F659BD"/>
    <w:rsid w:val="00F66008"/>
    <w:rsid w:val="00F66BA2"/>
    <w:rsid w:val="00F66D1D"/>
    <w:rsid w:val="00F66E6D"/>
    <w:rsid w:val="00F66FB5"/>
    <w:rsid w:val="00F67285"/>
    <w:rsid w:val="00F71205"/>
    <w:rsid w:val="00F7143D"/>
    <w:rsid w:val="00F7167E"/>
    <w:rsid w:val="00F71FD7"/>
    <w:rsid w:val="00F73076"/>
    <w:rsid w:val="00F733F6"/>
    <w:rsid w:val="00F734E3"/>
    <w:rsid w:val="00F73C08"/>
    <w:rsid w:val="00F73E44"/>
    <w:rsid w:val="00F744F5"/>
    <w:rsid w:val="00F74E5C"/>
    <w:rsid w:val="00F766B7"/>
    <w:rsid w:val="00F77162"/>
    <w:rsid w:val="00F7798B"/>
    <w:rsid w:val="00F77A84"/>
    <w:rsid w:val="00F80B05"/>
    <w:rsid w:val="00F80E81"/>
    <w:rsid w:val="00F8112F"/>
    <w:rsid w:val="00F8201F"/>
    <w:rsid w:val="00F822A0"/>
    <w:rsid w:val="00F84548"/>
    <w:rsid w:val="00F84F56"/>
    <w:rsid w:val="00F85E61"/>
    <w:rsid w:val="00F85FA2"/>
    <w:rsid w:val="00F86497"/>
    <w:rsid w:val="00F86669"/>
    <w:rsid w:val="00F86D78"/>
    <w:rsid w:val="00F87420"/>
    <w:rsid w:val="00F902D4"/>
    <w:rsid w:val="00F9089D"/>
    <w:rsid w:val="00F90933"/>
    <w:rsid w:val="00F9217F"/>
    <w:rsid w:val="00F92713"/>
    <w:rsid w:val="00F92A05"/>
    <w:rsid w:val="00F9323B"/>
    <w:rsid w:val="00F9339C"/>
    <w:rsid w:val="00F93F38"/>
    <w:rsid w:val="00F944E0"/>
    <w:rsid w:val="00F94546"/>
    <w:rsid w:val="00F94975"/>
    <w:rsid w:val="00F94D38"/>
    <w:rsid w:val="00FA17AA"/>
    <w:rsid w:val="00FA1996"/>
    <w:rsid w:val="00FA19D7"/>
    <w:rsid w:val="00FA205C"/>
    <w:rsid w:val="00FA2292"/>
    <w:rsid w:val="00FA25A7"/>
    <w:rsid w:val="00FA32F6"/>
    <w:rsid w:val="00FA3BA6"/>
    <w:rsid w:val="00FA4763"/>
    <w:rsid w:val="00FA4D93"/>
    <w:rsid w:val="00FA5349"/>
    <w:rsid w:val="00FA5E2E"/>
    <w:rsid w:val="00FA5E6B"/>
    <w:rsid w:val="00FA60AA"/>
    <w:rsid w:val="00FA68F2"/>
    <w:rsid w:val="00FA6945"/>
    <w:rsid w:val="00FA73C6"/>
    <w:rsid w:val="00FA77C3"/>
    <w:rsid w:val="00FB0021"/>
    <w:rsid w:val="00FB04BD"/>
    <w:rsid w:val="00FB0705"/>
    <w:rsid w:val="00FB0CC3"/>
    <w:rsid w:val="00FB1F02"/>
    <w:rsid w:val="00FB2543"/>
    <w:rsid w:val="00FB2B2F"/>
    <w:rsid w:val="00FB40F6"/>
    <w:rsid w:val="00FB4440"/>
    <w:rsid w:val="00FB45C6"/>
    <w:rsid w:val="00FB58B8"/>
    <w:rsid w:val="00FB5F6F"/>
    <w:rsid w:val="00FB65A6"/>
    <w:rsid w:val="00FB7303"/>
    <w:rsid w:val="00FC0365"/>
    <w:rsid w:val="00FC0D08"/>
    <w:rsid w:val="00FC1073"/>
    <w:rsid w:val="00FC1559"/>
    <w:rsid w:val="00FC2134"/>
    <w:rsid w:val="00FC282D"/>
    <w:rsid w:val="00FC30EB"/>
    <w:rsid w:val="00FC3D5E"/>
    <w:rsid w:val="00FC4571"/>
    <w:rsid w:val="00FC5416"/>
    <w:rsid w:val="00FC5A6A"/>
    <w:rsid w:val="00FC679E"/>
    <w:rsid w:val="00FC6A96"/>
    <w:rsid w:val="00FC6D3A"/>
    <w:rsid w:val="00FC7FE5"/>
    <w:rsid w:val="00FD0063"/>
    <w:rsid w:val="00FD0B5B"/>
    <w:rsid w:val="00FD0F5B"/>
    <w:rsid w:val="00FD146C"/>
    <w:rsid w:val="00FD16E3"/>
    <w:rsid w:val="00FD18E6"/>
    <w:rsid w:val="00FD1B8F"/>
    <w:rsid w:val="00FD1BCC"/>
    <w:rsid w:val="00FD1E67"/>
    <w:rsid w:val="00FD1EE1"/>
    <w:rsid w:val="00FD21FD"/>
    <w:rsid w:val="00FD3628"/>
    <w:rsid w:val="00FD390F"/>
    <w:rsid w:val="00FD4884"/>
    <w:rsid w:val="00FD4E34"/>
    <w:rsid w:val="00FD5149"/>
    <w:rsid w:val="00FD5752"/>
    <w:rsid w:val="00FD5920"/>
    <w:rsid w:val="00FD5E29"/>
    <w:rsid w:val="00FD62F1"/>
    <w:rsid w:val="00FD75E4"/>
    <w:rsid w:val="00FE2917"/>
    <w:rsid w:val="00FE2D7C"/>
    <w:rsid w:val="00FE4DB2"/>
    <w:rsid w:val="00FE4FA1"/>
    <w:rsid w:val="00FE526F"/>
    <w:rsid w:val="00FE56AE"/>
    <w:rsid w:val="00FE5848"/>
    <w:rsid w:val="00FE6774"/>
    <w:rsid w:val="00FE685C"/>
    <w:rsid w:val="00FF000A"/>
    <w:rsid w:val="00FF2007"/>
    <w:rsid w:val="00FF216D"/>
    <w:rsid w:val="00FF2EE9"/>
    <w:rsid w:val="00FF3ABE"/>
    <w:rsid w:val="00FF3BDD"/>
    <w:rsid w:val="00FF4048"/>
    <w:rsid w:val="00FF51E1"/>
    <w:rsid w:val="00FF5C98"/>
    <w:rsid w:val="00FF5FFC"/>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80C38DD"/>
  <w15:chartTrackingRefBased/>
  <w15:docId w15:val="{53328C26-03C2-4A28-8C71-664C177EC7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9D02AC"/>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246FDB"/>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9D02AC"/>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9D02AC"/>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unhideWhenUsed/>
    <w:qFormat/>
    <w:rsid w:val="00114476"/>
    <w:pPr>
      <w:keepNext/>
      <w:keepLines/>
      <w:spacing w:before="40" w:after="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4664E0"/>
    <w:pPr>
      <w:keepNext/>
      <w:keepLines/>
      <w:spacing w:before="40" w:after="0"/>
      <w:outlineLvl w:val="5"/>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D02AC"/>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246FDB"/>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9D02AC"/>
    <w:rPr>
      <w:rFonts w:asciiTheme="majorHAnsi" w:eastAsiaTheme="majorEastAsia" w:hAnsiTheme="majorHAnsi" w:cstheme="majorBidi"/>
      <w:color w:val="1F3763" w:themeColor="accent1" w:themeShade="7F"/>
      <w:sz w:val="24"/>
      <w:szCs w:val="24"/>
    </w:rPr>
  </w:style>
  <w:style w:type="character" w:customStyle="1" w:styleId="Heading4Char">
    <w:name w:val="Heading 4 Char"/>
    <w:basedOn w:val="DefaultParagraphFont"/>
    <w:link w:val="Heading4"/>
    <w:uiPriority w:val="9"/>
    <w:rsid w:val="009D02AC"/>
    <w:rPr>
      <w:rFonts w:asciiTheme="majorHAnsi" w:eastAsiaTheme="majorEastAsia" w:hAnsiTheme="majorHAnsi" w:cstheme="majorBidi"/>
      <w:i/>
      <w:iCs/>
      <w:color w:val="2F5496" w:themeColor="accent1" w:themeShade="BF"/>
    </w:rPr>
  </w:style>
  <w:style w:type="character" w:customStyle="1" w:styleId="Heading5Char">
    <w:name w:val="Heading 5 Char"/>
    <w:basedOn w:val="DefaultParagraphFont"/>
    <w:link w:val="Heading5"/>
    <w:uiPriority w:val="9"/>
    <w:rsid w:val="00114476"/>
    <w:rPr>
      <w:rFonts w:asciiTheme="majorHAnsi" w:eastAsiaTheme="majorEastAsia" w:hAnsiTheme="majorHAnsi" w:cstheme="majorBidi"/>
      <w:color w:val="2F5496" w:themeColor="accent1" w:themeShade="BF"/>
    </w:rPr>
  </w:style>
  <w:style w:type="paragraph" w:styleId="Title">
    <w:name w:val="Title"/>
    <w:basedOn w:val="Normal"/>
    <w:next w:val="Normal"/>
    <w:link w:val="TitleChar"/>
    <w:uiPriority w:val="10"/>
    <w:qFormat/>
    <w:rsid w:val="00CA1EE8"/>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CA1EE8"/>
    <w:rPr>
      <w:rFonts w:asciiTheme="majorHAnsi" w:eastAsiaTheme="majorEastAsia" w:hAnsiTheme="majorHAnsi" w:cstheme="majorBidi"/>
      <w:spacing w:val="-10"/>
      <w:kern w:val="28"/>
      <w:sz w:val="56"/>
      <w:szCs w:val="56"/>
    </w:rPr>
  </w:style>
  <w:style w:type="character" w:styleId="SubtleEmphasis">
    <w:name w:val="Subtle Emphasis"/>
    <w:basedOn w:val="DefaultParagraphFont"/>
    <w:uiPriority w:val="19"/>
    <w:qFormat/>
    <w:rsid w:val="007325CD"/>
    <w:rPr>
      <w:i/>
      <w:iCs/>
      <w:color w:val="808080" w:themeColor="text1" w:themeTint="7F"/>
    </w:rPr>
  </w:style>
  <w:style w:type="paragraph" w:styleId="ListParagraph">
    <w:name w:val="List Paragraph"/>
    <w:basedOn w:val="Normal"/>
    <w:uiPriority w:val="34"/>
    <w:qFormat/>
    <w:rsid w:val="0051776F"/>
    <w:pPr>
      <w:ind w:left="720"/>
      <w:contextualSpacing/>
    </w:pPr>
  </w:style>
  <w:style w:type="paragraph" w:styleId="TOC1">
    <w:name w:val="toc 1"/>
    <w:basedOn w:val="Normal"/>
    <w:next w:val="Normal"/>
    <w:autoRedefine/>
    <w:uiPriority w:val="39"/>
    <w:unhideWhenUsed/>
    <w:rsid w:val="009E5F80"/>
    <w:pPr>
      <w:tabs>
        <w:tab w:val="right" w:leader="dot" w:pos="9016"/>
      </w:tabs>
      <w:spacing w:after="100"/>
    </w:pPr>
    <w:rPr>
      <w:b/>
      <w:bCs/>
      <w:noProof/>
    </w:rPr>
  </w:style>
  <w:style w:type="character" w:styleId="Hyperlink">
    <w:name w:val="Hyperlink"/>
    <w:basedOn w:val="DefaultParagraphFont"/>
    <w:uiPriority w:val="99"/>
    <w:unhideWhenUsed/>
    <w:rsid w:val="00246FDB"/>
    <w:rPr>
      <w:color w:val="0563C1" w:themeColor="hyperlink"/>
      <w:u w:val="single"/>
    </w:rPr>
  </w:style>
  <w:style w:type="paragraph" w:styleId="TOCHeading">
    <w:name w:val="TOC Heading"/>
    <w:basedOn w:val="Heading1"/>
    <w:next w:val="Normal"/>
    <w:uiPriority w:val="39"/>
    <w:unhideWhenUsed/>
    <w:qFormat/>
    <w:rsid w:val="009D02AC"/>
    <w:pPr>
      <w:outlineLvl w:val="9"/>
    </w:pPr>
    <w:rPr>
      <w:lang w:val="en-US"/>
    </w:rPr>
  </w:style>
  <w:style w:type="paragraph" w:styleId="TOC2">
    <w:name w:val="toc 2"/>
    <w:basedOn w:val="Normal"/>
    <w:next w:val="Normal"/>
    <w:autoRedefine/>
    <w:uiPriority w:val="39"/>
    <w:unhideWhenUsed/>
    <w:rsid w:val="009D02AC"/>
    <w:pPr>
      <w:spacing w:after="100"/>
      <w:ind w:left="220"/>
    </w:pPr>
  </w:style>
  <w:style w:type="paragraph" w:styleId="TOC3">
    <w:name w:val="toc 3"/>
    <w:basedOn w:val="Normal"/>
    <w:next w:val="Normal"/>
    <w:autoRedefine/>
    <w:uiPriority w:val="39"/>
    <w:unhideWhenUsed/>
    <w:rsid w:val="009D02AC"/>
    <w:pPr>
      <w:spacing w:after="100"/>
      <w:ind w:left="440"/>
    </w:pPr>
  </w:style>
  <w:style w:type="character" w:styleId="CommentReference">
    <w:name w:val="annotation reference"/>
    <w:basedOn w:val="DefaultParagraphFont"/>
    <w:uiPriority w:val="99"/>
    <w:semiHidden/>
    <w:unhideWhenUsed/>
    <w:rsid w:val="00E46628"/>
    <w:rPr>
      <w:sz w:val="16"/>
      <w:szCs w:val="16"/>
    </w:rPr>
  </w:style>
  <w:style w:type="paragraph" w:styleId="CommentText">
    <w:name w:val="annotation text"/>
    <w:basedOn w:val="Normal"/>
    <w:link w:val="CommentTextChar"/>
    <w:uiPriority w:val="99"/>
    <w:semiHidden/>
    <w:unhideWhenUsed/>
    <w:rsid w:val="00E46628"/>
    <w:pPr>
      <w:spacing w:line="240" w:lineRule="auto"/>
    </w:pPr>
    <w:rPr>
      <w:sz w:val="20"/>
      <w:szCs w:val="20"/>
    </w:rPr>
  </w:style>
  <w:style w:type="character" w:customStyle="1" w:styleId="CommentTextChar">
    <w:name w:val="Comment Text Char"/>
    <w:basedOn w:val="DefaultParagraphFont"/>
    <w:link w:val="CommentText"/>
    <w:uiPriority w:val="99"/>
    <w:semiHidden/>
    <w:rsid w:val="00E46628"/>
    <w:rPr>
      <w:sz w:val="20"/>
      <w:szCs w:val="20"/>
    </w:rPr>
  </w:style>
  <w:style w:type="paragraph" w:styleId="CommentSubject">
    <w:name w:val="annotation subject"/>
    <w:basedOn w:val="CommentText"/>
    <w:next w:val="CommentText"/>
    <w:link w:val="CommentSubjectChar"/>
    <w:uiPriority w:val="99"/>
    <w:semiHidden/>
    <w:unhideWhenUsed/>
    <w:rsid w:val="00E46628"/>
    <w:rPr>
      <w:b/>
      <w:bCs/>
    </w:rPr>
  </w:style>
  <w:style w:type="character" w:customStyle="1" w:styleId="CommentSubjectChar">
    <w:name w:val="Comment Subject Char"/>
    <w:basedOn w:val="CommentTextChar"/>
    <w:link w:val="CommentSubject"/>
    <w:uiPriority w:val="99"/>
    <w:semiHidden/>
    <w:rsid w:val="00E46628"/>
    <w:rPr>
      <w:b/>
      <w:bCs/>
      <w:sz w:val="20"/>
      <w:szCs w:val="20"/>
    </w:rPr>
  </w:style>
  <w:style w:type="paragraph" w:styleId="BalloonText">
    <w:name w:val="Balloon Text"/>
    <w:basedOn w:val="Normal"/>
    <w:link w:val="BalloonTextChar"/>
    <w:uiPriority w:val="99"/>
    <w:semiHidden/>
    <w:unhideWhenUsed/>
    <w:rsid w:val="00E46628"/>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46628"/>
    <w:rPr>
      <w:rFonts w:ascii="Segoe UI" w:hAnsi="Segoe UI" w:cs="Segoe UI"/>
      <w:sz w:val="18"/>
      <w:szCs w:val="18"/>
    </w:rPr>
  </w:style>
  <w:style w:type="character" w:customStyle="1" w:styleId="UnresolvedMention1">
    <w:name w:val="Unresolved Mention1"/>
    <w:basedOn w:val="DefaultParagraphFont"/>
    <w:uiPriority w:val="99"/>
    <w:semiHidden/>
    <w:unhideWhenUsed/>
    <w:rsid w:val="0044452D"/>
    <w:rPr>
      <w:color w:val="605E5C"/>
      <w:shd w:val="clear" w:color="auto" w:fill="E1DFDD"/>
    </w:rPr>
  </w:style>
  <w:style w:type="paragraph" w:styleId="NormalWeb">
    <w:name w:val="Normal (Web)"/>
    <w:basedOn w:val="Normal"/>
    <w:uiPriority w:val="99"/>
    <w:unhideWhenUsed/>
    <w:rsid w:val="0085189A"/>
    <w:rPr>
      <w:rFonts w:ascii="Times New Roman" w:hAnsi="Times New Roman" w:cs="Times New Roman"/>
      <w:sz w:val="24"/>
      <w:szCs w:val="24"/>
    </w:rPr>
  </w:style>
  <w:style w:type="paragraph" w:styleId="TOC4">
    <w:name w:val="toc 4"/>
    <w:basedOn w:val="Normal"/>
    <w:next w:val="Normal"/>
    <w:autoRedefine/>
    <w:uiPriority w:val="39"/>
    <w:unhideWhenUsed/>
    <w:rsid w:val="005758B2"/>
    <w:pPr>
      <w:spacing w:after="100"/>
      <w:ind w:left="660"/>
    </w:pPr>
  </w:style>
  <w:style w:type="paragraph" w:styleId="TOC5">
    <w:name w:val="toc 5"/>
    <w:basedOn w:val="Normal"/>
    <w:next w:val="Normal"/>
    <w:autoRedefine/>
    <w:uiPriority w:val="39"/>
    <w:unhideWhenUsed/>
    <w:rsid w:val="008828E2"/>
    <w:pPr>
      <w:tabs>
        <w:tab w:val="right" w:leader="dot" w:pos="9016"/>
      </w:tabs>
      <w:spacing w:after="100"/>
      <w:ind w:left="880"/>
      <w:jc w:val="both"/>
    </w:pPr>
  </w:style>
  <w:style w:type="table" w:styleId="GridTable4-Accent3">
    <w:name w:val="Grid Table 4 Accent 3"/>
    <w:basedOn w:val="TableNormal"/>
    <w:uiPriority w:val="49"/>
    <w:rsid w:val="00103876"/>
    <w:pPr>
      <w:spacing w:after="0" w:line="240" w:lineRule="auto"/>
    </w:pPr>
    <w:rPr>
      <w:rFonts w:eastAsiaTheme="minorEastAsia"/>
      <w:lang w:eastAsia="zh-CN"/>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character" w:customStyle="1" w:styleId="booktitle">
    <w:name w:val="booktitle"/>
    <w:basedOn w:val="DefaultParagraphFont"/>
    <w:rsid w:val="00A65909"/>
  </w:style>
  <w:style w:type="character" w:customStyle="1" w:styleId="page-numbers-info">
    <w:name w:val="page-numbers-info"/>
    <w:basedOn w:val="DefaultParagraphFont"/>
    <w:rsid w:val="00A65909"/>
  </w:style>
  <w:style w:type="paragraph" w:styleId="Header">
    <w:name w:val="header"/>
    <w:basedOn w:val="Normal"/>
    <w:link w:val="HeaderChar"/>
    <w:uiPriority w:val="99"/>
    <w:unhideWhenUsed/>
    <w:rsid w:val="001F1C63"/>
    <w:pPr>
      <w:tabs>
        <w:tab w:val="center" w:pos="4513"/>
        <w:tab w:val="right" w:pos="9026"/>
      </w:tabs>
      <w:spacing w:after="0" w:line="240" w:lineRule="auto"/>
    </w:pPr>
  </w:style>
  <w:style w:type="character" w:customStyle="1" w:styleId="HeaderChar">
    <w:name w:val="Header Char"/>
    <w:basedOn w:val="DefaultParagraphFont"/>
    <w:link w:val="Header"/>
    <w:uiPriority w:val="99"/>
    <w:rsid w:val="001F1C63"/>
  </w:style>
  <w:style w:type="paragraph" w:styleId="Footer">
    <w:name w:val="footer"/>
    <w:basedOn w:val="Normal"/>
    <w:link w:val="FooterChar"/>
    <w:uiPriority w:val="99"/>
    <w:unhideWhenUsed/>
    <w:rsid w:val="001F1C63"/>
    <w:pPr>
      <w:tabs>
        <w:tab w:val="center" w:pos="4513"/>
        <w:tab w:val="right" w:pos="9026"/>
      </w:tabs>
      <w:spacing w:after="0" w:line="240" w:lineRule="auto"/>
    </w:pPr>
  </w:style>
  <w:style w:type="character" w:customStyle="1" w:styleId="FooterChar">
    <w:name w:val="Footer Char"/>
    <w:basedOn w:val="DefaultParagraphFont"/>
    <w:link w:val="Footer"/>
    <w:uiPriority w:val="99"/>
    <w:rsid w:val="001F1C63"/>
  </w:style>
  <w:style w:type="paragraph" w:styleId="BodyText">
    <w:name w:val="Body Text"/>
    <w:basedOn w:val="Normal"/>
    <w:link w:val="BodyTextChar"/>
    <w:uiPriority w:val="99"/>
    <w:semiHidden/>
    <w:unhideWhenUsed/>
    <w:rsid w:val="009310BF"/>
    <w:pPr>
      <w:spacing w:after="120"/>
    </w:pPr>
  </w:style>
  <w:style w:type="character" w:customStyle="1" w:styleId="BodyTextChar">
    <w:name w:val="Body Text Char"/>
    <w:basedOn w:val="DefaultParagraphFont"/>
    <w:link w:val="BodyText"/>
    <w:uiPriority w:val="99"/>
    <w:semiHidden/>
    <w:rsid w:val="009310BF"/>
  </w:style>
  <w:style w:type="table" w:styleId="LightShading-Accent3">
    <w:name w:val="Light Shading Accent 3"/>
    <w:basedOn w:val="TableNormal"/>
    <w:uiPriority w:val="60"/>
    <w:rsid w:val="0054039C"/>
    <w:pPr>
      <w:spacing w:after="0" w:line="240" w:lineRule="auto"/>
    </w:pPr>
    <w:rPr>
      <w:rFonts w:eastAsiaTheme="minorEastAsia"/>
      <w:color w:val="7B7B7B" w:themeColor="accent3" w:themeShade="BF"/>
      <w:lang w:eastAsia="zh-CN"/>
    </w:rPr>
    <w:tblPr>
      <w:tblStyleRowBandSize w:val="1"/>
      <w:tblStyleColBandSize w:val="1"/>
      <w:tblBorders>
        <w:top w:val="single" w:sz="8" w:space="0" w:color="A5A5A5" w:themeColor="accent3"/>
        <w:bottom w:val="single" w:sz="8" w:space="0" w:color="A5A5A5" w:themeColor="accent3"/>
      </w:tblBorders>
    </w:tblPr>
    <w:tblStylePr w:type="fir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la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left w:val="nil"/>
          <w:right w:val="nil"/>
          <w:insideH w:val="nil"/>
          <w:insideV w:val="nil"/>
        </w:tcBorders>
        <w:shd w:val="clear" w:color="auto" w:fill="E8E8E8" w:themeFill="accent3" w:themeFillTint="3F"/>
      </w:tcPr>
    </w:tblStylePr>
  </w:style>
  <w:style w:type="table" w:styleId="ListTable3-Accent3">
    <w:name w:val="List Table 3 Accent 3"/>
    <w:basedOn w:val="TableNormal"/>
    <w:uiPriority w:val="48"/>
    <w:rsid w:val="0054039C"/>
    <w:pPr>
      <w:spacing w:after="0" w:line="240" w:lineRule="auto"/>
    </w:pPr>
    <w:rPr>
      <w:lang w:val="en-US"/>
    </w:rPr>
    <w:tblPr>
      <w:tblStyleRowBandSize w:val="1"/>
      <w:tblStyleColBandSize w:val="1"/>
      <w:tblBorders>
        <w:top w:val="single" w:sz="4" w:space="0" w:color="A5A5A5" w:themeColor="accent3"/>
        <w:left w:val="single" w:sz="4" w:space="0" w:color="A5A5A5" w:themeColor="accent3"/>
        <w:bottom w:val="single" w:sz="4" w:space="0" w:color="A5A5A5" w:themeColor="accent3"/>
        <w:right w:val="single" w:sz="4" w:space="0" w:color="A5A5A5" w:themeColor="accent3"/>
      </w:tblBorders>
    </w:tblPr>
    <w:tblStylePr w:type="firstRow">
      <w:rPr>
        <w:b/>
        <w:bCs/>
        <w:color w:val="FFFFFF" w:themeColor="background1"/>
      </w:rPr>
      <w:tblPr/>
      <w:tcPr>
        <w:shd w:val="clear" w:color="auto" w:fill="A5A5A5" w:themeFill="accent3"/>
      </w:tcPr>
    </w:tblStylePr>
    <w:tblStylePr w:type="lastRow">
      <w:rPr>
        <w:b/>
        <w:bCs/>
      </w:rPr>
      <w:tblPr/>
      <w:tcPr>
        <w:tcBorders>
          <w:top w:val="double" w:sz="4" w:space="0" w:color="A5A5A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A5A5" w:themeColor="accent3"/>
          <w:right w:val="single" w:sz="4" w:space="0" w:color="A5A5A5" w:themeColor="accent3"/>
        </w:tcBorders>
      </w:tcPr>
    </w:tblStylePr>
    <w:tblStylePr w:type="band1Horz">
      <w:tblPr/>
      <w:tcPr>
        <w:tcBorders>
          <w:top w:val="single" w:sz="4" w:space="0" w:color="A5A5A5" w:themeColor="accent3"/>
          <w:bottom w:val="single" w:sz="4" w:space="0" w:color="A5A5A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3"/>
          <w:left w:val="nil"/>
        </w:tcBorders>
      </w:tcPr>
    </w:tblStylePr>
    <w:tblStylePr w:type="swCell">
      <w:tblPr/>
      <w:tcPr>
        <w:tcBorders>
          <w:top w:val="double" w:sz="4" w:space="0" w:color="A5A5A5" w:themeColor="accent3"/>
          <w:right w:val="nil"/>
        </w:tcBorders>
      </w:tcPr>
    </w:tblStylePr>
  </w:style>
  <w:style w:type="table" w:customStyle="1" w:styleId="GridTable4-Accent31">
    <w:name w:val="Grid Table 4 - Accent 31"/>
    <w:basedOn w:val="TableNormal"/>
    <w:next w:val="GridTable4-Accent3"/>
    <w:uiPriority w:val="49"/>
    <w:rsid w:val="0054039C"/>
    <w:pPr>
      <w:spacing w:after="0" w:line="240" w:lineRule="auto"/>
    </w:pPr>
    <w:rPr>
      <w:lang w:val="en-US"/>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character" w:customStyle="1" w:styleId="UnresolvedMention10">
    <w:name w:val="Unresolved Mention1"/>
    <w:basedOn w:val="DefaultParagraphFont"/>
    <w:uiPriority w:val="99"/>
    <w:semiHidden/>
    <w:unhideWhenUsed/>
    <w:rsid w:val="0054039C"/>
    <w:rPr>
      <w:color w:val="808080"/>
      <w:shd w:val="clear" w:color="auto" w:fill="E6E6E6"/>
    </w:rPr>
  </w:style>
  <w:style w:type="character" w:styleId="Strong">
    <w:name w:val="Strong"/>
    <w:basedOn w:val="DefaultParagraphFont"/>
    <w:uiPriority w:val="22"/>
    <w:qFormat/>
    <w:rsid w:val="0054039C"/>
    <w:rPr>
      <w:b/>
      <w:bCs/>
    </w:rPr>
  </w:style>
  <w:style w:type="paragraph" w:styleId="Caption">
    <w:name w:val="caption"/>
    <w:basedOn w:val="Normal"/>
    <w:next w:val="Normal"/>
    <w:uiPriority w:val="35"/>
    <w:unhideWhenUsed/>
    <w:qFormat/>
    <w:rsid w:val="0054039C"/>
    <w:pPr>
      <w:spacing w:after="200" w:line="240" w:lineRule="auto"/>
    </w:pPr>
    <w:rPr>
      <w:i/>
      <w:iCs/>
      <w:color w:val="44546A" w:themeColor="text2"/>
      <w:sz w:val="18"/>
      <w:szCs w:val="18"/>
      <w:lang w:val="en-US"/>
    </w:rPr>
  </w:style>
  <w:style w:type="paragraph" w:styleId="TableofFigures">
    <w:name w:val="table of figures"/>
    <w:basedOn w:val="Normal"/>
    <w:next w:val="Normal"/>
    <w:uiPriority w:val="99"/>
    <w:unhideWhenUsed/>
    <w:rsid w:val="0054039C"/>
    <w:pPr>
      <w:spacing w:after="0"/>
    </w:pPr>
    <w:rPr>
      <w:lang w:val="en-US"/>
    </w:rPr>
  </w:style>
  <w:style w:type="table" w:styleId="TableGridLight">
    <w:name w:val="Grid Table Light"/>
    <w:basedOn w:val="TableNormal"/>
    <w:uiPriority w:val="40"/>
    <w:rsid w:val="0054039C"/>
    <w:pPr>
      <w:spacing w:after="0" w:line="240" w:lineRule="auto"/>
    </w:pPr>
    <w:rPr>
      <w:lang w:val="en-U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normaltextrun">
    <w:name w:val="normaltextrun"/>
    <w:basedOn w:val="DefaultParagraphFont"/>
    <w:rsid w:val="0054039C"/>
  </w:style>
  <w:style w:type="paragraph" w:styleId="NoSpacing">
    <w:name w:val="No Spacing"/>
    <w:uiPriority w:val="1"/>
    <w:qFormat/>
    <w:rsid w:val="0054039C"/>
    <w:pPr>
      <w:spacing w:after="0" w:line="240" w:lineRule="auto"/>
    </w:pPr>
    <w:rPr>
      <w:rFonts w:eastAsiaTheme="minorEastAsia"/>
      <w:lang w:eastAsia="zh-CN"/>
    </w:rPr>
  </w:style>
  <w:style w:type="table" w:styleId="TableGrid">
    <w:name w:val="Table Grid"/>
    <w:basedOn w:val="TableNormal"/>
    <w:uiPriority w:val="39"/>
    <w:rsid w:val="008C21B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8C21BF"/>
    <w:pPr>
      <w:spacing w:after="0" w:line="240" w:lineRule="auto"/>
    </w:pPr>
  </w:style>
  <w:style w:type="character" w:customStyle="1" w:styleId="frontelement">
    <w:name w:val="frontelement"/>
    <w:basedOn w:val="DefaultParagraphFont"/>
    <w:rsid w:val="008C21BF"/>
  </w:style>
  <w:style w:type="numbering" w:customStyle="1" w:styleId="NoList1">
    <w:name w:val="No List1"/>
    <w:next w:val="NoList"/>
    <w:uiPriority w:val="99"/>
    <w:semiHidden/>
    <w:unhideWhenUsed/>
    <w:rsid w:val="004E06B5"/>
  </w:style>
  <w:style w:type="character" w:styleId="FollowedHyperlink">
    <w:name w:val="FollowedHyperlink"/>
    <w:basedOn w:val="DefaultParagraphFont"/>
    <w:uiPriority w:val="99"/>
    <w:semiHidden/>
    <w:unhideWhenUsed/>
    <w:rsid w:val="005D40F4"/>
    <w:rPr>
      <w:color w:val="954F72" w:themeColor="followedHyperlink"/>
      <w:u w:val="single"/>
    </w:rPr>
  </w:style>
  <w:style w:type="character" w:styleId="UnresolvedMention">
    <w:name w:val="Unresolved Mention"/>
    <w:basedOn w:val="DefaultParagraphFont"/>
    <w:uiPriority w:val="99"/>
    <w:semiHidden/>
    <w:unhideWhenUsed/>
    <w:rsid w:val="00F311FA"/>
    <w:rPr>
      <w:color w:val="605E5C"/>
      <w:shd w:val="clear" w:color="auto" w:fill="E1DFDD"/>
    </w:rPr>
  </w:style>
  <w:style w:type="paragraph" w:styleId="Subtitle">
    <w:name w:val="Subtitle"/>
    <w:basedOn w:val="Normal"/>
    <w:next w:val="Normal"/>
    <w:link w:val="SubtitleChar"/>
    <w:uiPriority w:val="11"/>
    <w:qFormat/>
    <w:rsid w:val="00396EB2"/>
    <w:pPr>
      <w:numPr>
        <w:ilvl w:val="1"/>
      </w:numPr>
      <w:spacing w:after="200" w:line="276" w:lineRule="auto"/>
    </w:pPr>
    <w:rPr>
      <w:rFonts w:asciiTheme="majorHAnsi" w:eastAsiaTheme="majorEastAsia" w:hAnsiTheme="majorHAnsi" w:cstheme="majorBidi"/>
      <w:i/>
      <w:iCs/>
      <w:color w:val="4472C4" w:themeColor="accent1"/>
      <w:spacing w:val="15"/>
      <w:sz w:val="24"/>
      <w:szCs w:val="24"/>
      <w:lang w:eastAsia="zh-CN"/>
    </w:rPr>
  </w:style>
  <w:style w:type="character" w:customStyle="1" w:styleId="SubtitleChar">
    <w:name w:val="Subtitle Char"/>
    <w:basedOn w:val="DefaultParagraphFont"/>
    <w:link w:val="Subtitle"/>
    <w:uiPriority w:val="11"/>
    <w:rsid w:val="00396EB2"/>
    <w:rPr>
      <w:rFonts w:asciiTheme="majorHAnsi" w:eastAsiaTheme="majorEastAsia" w:hAnsiTheme="majorHAnsi" w:cstheme="majorBidi"/>
      <w:i/>
      <w:iCs/>
      <w:color w:val="4472C4" w:themeColor="accent1"/>
      <w:spacing w:val="15"/>
      <w:sz w:val="24"/>
      <w:szCs w:val="24"/>
      <w:lang w:eastAsia="zh-CN"/>
    </w:rPr>
  </w:style>
  <w:style w:type="character" w:styleId="IntenseEmphasis">
    <w:name w:val="Intense Emphasis"/>
    <w:basedOn w:val="DefaultParagraphFont"/>
    <w:uiPriority w:val="21"/>
    <w:qFormat/>
    <w:rsid w:val="00396EB2"/>
    <w:rPr>
      <w:b/>
      <w:bCs/>
      <w:i/>
      <w:iCs/>
      <w:color w:val="4472C4" w:themeColor="accent1"/>
    </w:rPr>
  </w:style>
  <w:style w:type="table" w:styleId="MediumShading1-Accent1">
    <w:name w:val="Medium Shading 1 Accent 1"/>
    <w:basedOn w:val="TableNormal"/>
    <w:uiPriority w:val="63"/>
    <w:rsid w:val="00396EB2"/>
    <w:pPr>
      <w:spacing w:after="0" w:line="240" w:lineRule="auto"/>
    </w:pPr>
    <w:tblPr>
      <w:tblStyleRowBandSize w:val="1"/>
      <w:tblStyleColBandSize w:val="1"/>
      <w:tblBorders>
        <w:top w:val="single" w:sz="8"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single" w:sz="8" w:space="0" w:color="7295D2" w:themeColor="accent1" w:themeTint="BF"/>
      </w:tblBorders>
    </w:tblPr>
    <w:tblStylePr w:type="firstRow">
      <w:pPr>
        <w:spacing w:before="0" w:after="0" w:line="240" w:lineRule="auto"/>
      </w:pPr>
      <w:rPr>
        <w:b/>
        <w:bCs/>
        <w:color w:val="FFFFFF" w:themeColor="background1"/>
      </w:rPr>
      <w:tblPr/>
      <w:tcPr>
        <w:tcBorders>
          <w:top w:val="single" w:sz="8"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nil"/>
          <w:insideV w:val="nil"/>
        </w:tcBorders>
        <w:shd w:val="clear" w:color="auto" w:fill="4472C4" w:themeFill="accent1"/>
      </w:tcPr>
    </w:tblStylePr>
    <w:tblStylePr w:type="lastRow">
      <w:pPr>
        <w:spacing w:before="0" w:after="0" w:line="240" w:lineRule="auto"/>
      </w:pPr>
      <w:rPr>
        <w:b/>
        <w:bCs/>
      </w:rPr>
      <w:tblPr/>
      <w:tcPr>
        <w:tcBorders>
          <w:top w:val="double" w:sz="6"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nil"/>
          <w:insideV w:val="nil"/>
        </w:tcBorders>
      </w:tcPr>
    </w:tblStylePr>
    <w:tblStylePr w:type="firstCol">
      <w:rPr>
        <w:b/>
        <w:bCs/>
      </w:rPr>
    </w:tblStylePr>
    <w:tblStylePr w:type="lastCol">
      <w:rPr>
        <w:b/>
        <w:bCs/>
      </w:rPr>
    </w:tblStylePr>
    <w:tblStylePr w:type="band1Vert">
      <w:tblPr/>
      <w:tcPr>
        <w:shd w:val="clear" w:color="auto" w:fill="D0DBF0" w:themeFill="accent1" w:themeFillTint="3F"/>
      </w:tcPr>
    </w:tblStylePr>
    <w:tblStylePr w:type="band1Horz">
      <w:tblPr/>
      <w:tcPr>
        <w:tcBorders>
          <w:insideH w:val="nil"/>
          <w:insideV w:val="nil"/>
        </w:tcBorders>
        <w:shd w:val="clear" w:color="auto" w:fill="D0DBF0" w:themeFill="accent1" w:themeFillTint="3F"/>
      </w:tcPr>
    </w:tblStylePr>
    <w:tblStylePr w:type="band2Horz">
      <w:tblPr/>
      <w:tcPr>
        <w:tcBorders>
          <w:insideH w:val="nil"/>
          <w:insideV w:val="nil"/>
        </w:tcBorders>
      </w:tcPr>
    </w:tblStylePr>
  </w:style>
  <w:style w:type="table" w:styleId="MediumShading2-Accent1">
    <w:name w:val="Medium Shading 2 Accent 1"/>
    <w:basedOn w:val="TableNormal"/>
    <w:uiPriority w:val="64"/>
    <w:rsid w:val="00396EB2"/>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472C4"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472C4" w:themeFill="accent1"/>
      </w:tcPr>
    </w:tblStylePr>
    <w:tblStylePr w:type="lastCol">
      <w:rPr>
        <w:b/>
        <w:bCs/>
        <w:color w:val="FFFFFF" w:themeColor="background1"/>
      </w:rPr>
      <w:tblPr/>
      <w:tcPr>
        <w:tcBorders>
          <w:left w:val="nil"/>
          <w:right w:val="nil"/>
          <w:insideH w:val="nil"/>
          <w:insideV w:val="nil"/>
        </w:tcBorders>
        <w:shd w:val="clear" w:color="auto" w:fill="4472C4"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character" w:customStyle="1" w:styleId="apple-converted-space">
    <w:name w:val="apple-converted-space"/>
    <w:basedOn w:val="DefaultParagraphFont"/>
    <w:rsid w:val="00396EB2"/>
  </w:style>
  <w:style w:type="table" w:styleId="MediumShading2-Accent5">
    <w:name w:val="Medium Shading 2 Accent 5"/>
    <w:basedOn w:val="TableNormal"/>
    <w:uiPriority w:val="64"/>
    <w:rsid w:val="00396EB2"/>
    <w:pPr>
      <w:spacing w:after="0" w:line="240" w:lineRule="auto"/>
    </w:pPr>
    <w:rPr>
      <w:rFonts w:eastAsiaTheme="minorEastAsia"/>
      <w:lang w:eastAsia="zh-CN"/>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B9BD5"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5B9BD5" w:themeFill="accent5"/>
      </w:tcPr>
    </w:tblStylePr>
    <w:tblStylePr w:type="lastCol">
      <w:rPr>
        <w:b/>
        <w:bCs/>
        <w:color w:val="FFFFFF" w:themeColor="background1"/>
      </w:rPr>
      <w:tblPr/>
      <w:tcPr>
        <w:tcBorders>
          <w:left w:val="nil"/>
          <w:right w:val="nil"/>
          <w:insideH w:val="nil"/>
          <w:insideV w:val="nil"/>
        </w:tcBorders>
        <w:shd w:val="clear" w:color="auto" w:fill="5B9BD5"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character" w:styleId="PlaceholderText">
    <w:name w:val="Placeholder Text"/>
    <w:basedOn w:val="DefaultParagraphFont"/>
    <w:uiPriority w:val="99"/>
    <w:semiHidden/>
    <w:rsid w:val="00396EB2"/>
    <w:rPr>
      <w:color w:val="808080"/>
    </w:rPr>
  </w:style>
  <w:style w:type="table" w:styleId="MediumShading2-Accent3">
    <w:name w:val="Medium Shading 2 Accent 3"/>
    <w:basedOn w:val="TableNormal"/>
    <w:uiPriority w:val="64"/>
    <w:rsid w:val="00396EB2"/>
    <w:pPr>
      <w:spacing w:after="0" w:line="240" w:lineRule="auto"/>
    </w:pPr>
    <w:rPr>
      <w:rFonts w:eastAsiaTheme="minorEastAsia"/>
      <w:lang w:eastAsia="zh-CN"/>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A5A5A5"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A5A5A5" w:themeFill="accent3"/>
      </w:tcPr>
    </w:tblStylePr>
    <w:tblStylePr w:type="lastCol">
      <w:rPr>
        <w:b/>
        <w:bCs/>
        <w:color w:val="FFFFFF" w:themeColor="background1"/>
      </w:rPr>
      <w:tblPr/>
      <w:tcPr>
        <w:tcBorders>
          <w:left w:val="nil"/>
          <w:right w:val="nil"/>
          <w:insideH w:val="nil"/>
          <w:insideV w:val="nil"/>
        </w:tcBorders>
        <w:shd w:val="clear" w:color="auto" w:fill="A5A5A5"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LightList-Accent3">
    <w:name w:val="Light List Accent 3"/>
    <w:basedOn w:val="TableNormal"/>
    <w:uiPriority w:val="61"/>
    <w:rsid w:val="00396EB2"/>
    <w:pPr>
      <w:spacing w:after="0" w:line="240" w:lineRule="auto"/>
    </w:pPr>
    <w:rPr>
      <w:rFonts w:eastAsiaTheme="minorEastAsia"/>
      <w:lang w:eastAsia="zh-CN"/>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character" w:customStyle="1" w:styleId="ref-title">
    <w:name w:val="ref-title"/>
    <w:basedOn w:val="DefaultParagraphFont"/>
    <w:rsid w:val="00396EB2"/>
  </w:style>
  <w:style w:type="character" w:customStyle="1" w:styleId="ref-journal">
    <w:name w:val="ref-journal"/>
    <w:basedOn w:val="DefaultParagraphFont"/>
    <w:rsid w:val="00396EB2"/>
  </w:style>
  <w:style w:type="character" w:customStyle="1" w:styleId="ref-vol">
    <w:name w:val="ref-vol"/>
    <w:basedOn w:val="DefaultParagraphFont"/>
    <w:rsid w:val="00396EB2"/>
  </w:style>
  <w:style w:type="paragraph" w:styleId="IntenseQuote">
    <w:name w:val="Intense Quote"/>
    <w:basedOn w:val="Normal"/>
    <w:next w:val="Normal"/>
    <w:link w:val="IntenseQuoteChar"/>
    <w:uiPriority w:val="30"/>
    <w:qFormat/>
    <w:rsid w:val="00396EB2"/>
    <w:pPr>
      <w:pBdr>
        <w:top w:val="single" w:sz="4" w:space="10" w:color="4472C4" w:themeColor="accent1"/>
        <w:bottom w:val="single" w:sz="4" w:space="10" w:color="4472C4" w:themeColor="accent1"/>
      </w:pBdr>
      <w:spacing w:before="360" w:after="360" w:line="276" w:lineRule="auto"/>
      <w:ind w:left="864" w:right="864"/>
      <w:jc w:val="center"/>
    </w:pPr>
    <w:rPr>
      <w:rFonts w:eastAsiaTheme="minorEastAsia"/>
      <w:i/>
      <w:iCs/>
      <w:color w:val="4472C4" w:themeColor="accent1"/>
      <w:lang w:eastAsia="zh-CN"/>
    </w:rPr>
  </w:style>
  <w:style w:type="character" w:customStyle="1" w:styleId="IntenseQuoteChar">
    <w:name w:val="Intense Quote Char"/>
    <w:basedOn w:val="DefaultParagraphFont"/>
    <w:link w:val="IntenseQuote"/>
    <w:uiPriority w:val="30"/>
    <w:rsid w:val="00396EB2"/>
    <w:rPr>
      <w:rFonts w:eastAsiaTheme="minorEastAsia"/>
      <w:i/>
      <w:iCs/>
      <w:color w:val="4472C4" w:themeColor="accent1"/>
      <w:lang w:eastAsia="zh-CN"/>
    </w:rPr>
  </w:style>
  <w:style w:type="table" w:customStyle="1" w:styleId="GridTable3-Accent31">
    <w:name w:val="Grid Table 3 - Accent 31"/>
    <w:basedOn w:val="TableNormal"/>
    <w:uiPriority w:val="48"/>
    <w:rsid w:val="00396EB2"/>
    <w:pPr>
      <w:spacing w:after="0" w:line="240" w:lineRule="auto"/>
    </w:pPr>
    <w:rPr>
      <w:rFonts w:eastAsiaTheme="minorEastAsia"/>
      <w:lang w:eastAsia="zh-CN"/>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customStyle="1" w:styleId="GridTable2-Accent31">
    <w:name w:val="Grid Table 2 - Accent 31"/>
    <w:basedOn w:val="TableNormal"/>
    <w:uiPriority w:val="47"/>
    <w:rsid w:val="00396EB2"/>
    <w:pPr>
      <w:spacing w:after="0" w:line="240" w:lineRule="auto"/>
    </w:pPr>
    <w:rPr>
      <w:rFonts w:eastAsiaTheme="minorEastAsia"/>
      <w:lang w:eastAsia="zh-CN"/>
    </w:r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1Light-Accent31">
    <w:name w:val="Grid Table 1 Light - Accent 31"/>
    <w:basedOn w:val="TableNormal"/>
    <w:uiPriority w:val="46"/>
    <w:rsid w:val="00396EB2"/>
    <w:pPr>
      <w:spacing w:after="0" w:line="240" w:lineRule="auto"/>
    </w:pPr>
    <w:rPr>
      <w:rFonts w:eastAsiaTheme="minorEastAsia"/>
      <w:lang w:eastAsia="zh-CN"/>
    </w:r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GridTable1Light-Accent32">
    <w:name w:val="Grid Table 1 Light - Accent 32"/>
    <w:basedOn w:val="TableNormal"/>
    <w:uiPriority w:val="46"/>
    <w:rsid w:val="00396EB2"/>
    <w:pPr>
      <w:spacing w:after="0" w:line="240" w:lineRule="auto"/>
    </w:pPr>
    <w:rPr>
      <w:rFonts w:eastAsiaTheme="minorEastAsia"/>
      <w:lang w:eastAsia="zh-CN"/>
    </w:r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paragraph" w:styleId="TOC6">
    <w:name w:val="toc 6"/>
    <w:basedOn w:val="Normal"/>
    <w:next w:val="Normal"/>
    <w:autoRedefine/>
    <w:uiPriority w:val="39"/>
    <w:unhideWhenUsed/>
    <w:rsid w:val="00787A26"/>
    <w:pPr>
      <w:spacing w:after="100"/>
      <w:ind w:left="1100"/>
    </w:pPr>
    <w:rPr>
      <w:rFonts w:eastAsiaTheme="minorEastAsia"/>
      <w:lang w:eastAsia="en-GB"/>
    </w:rPr>
  </w:style>
  <w:style w:type="paragraph" w:styleId="TOC7">
    <w:name w:val="toc 7"/>
    <w:basedOn w:val="Normal"/>
    <w:next w:val="Normal"/>
    <w:autoRedefine/>
    <w:uiPriority w:val="39"/>
    <w:unhideWhenUsed/>
    <w:rsid w:val="00787A26"/>
    <w:pPr>
      <w:spacing w:after="100"/>
      <w:ind w:left="1320"/>
    </w:pPr>
    <w:rPr>
      <w:rFonts w:eastAsiaTheme="minorEastAsia"/>
      <w:lang w:eastAsia="en-GB"/>
    </w:rPr>
  </w:style>
  <w:style w:type="paragraph" w:styleId="TOC8">
    <w:name w:val="toc 8"/>
    <w:basedOn w:val="Normal"/>
    <w:next w:val="Normal"/>
    <w:autoRedefine/>
    <w:uiPriority w:val="39"/>
    <w:unhideWhenUsed/>
    <w:rsid w:val="00787A26"/>
    <w:pPr>
      <w:spacing w:after="100"/>
      <w:ind w:left="1540"/>
    </w:pPr>
    <w:rPr>
      <w:rFonts w:eastAsiaTheme="minorEastAsia"/>
      <w:lang w:eastAsia="en-GB"/>
    </w:rPr>
  </w:style>
  <w:style w:type="paragraph" w:styleId="TOC9">
    <w:name w:val="toc 9"/>
    <w:basedOn w:val="Normal"/>
    <w:next w:val="Normal"/>
    <w:autoRedefine/>
    <w:uiPriority w:val="39"/>
    <w:unhideWhenUsed/>
    <w:rsid w:val="00787A26"/>
    <w:pPr>
      <w:spacing w:after="100"/>
      <w:ind w:left="1760"/>
    </w:pPr>
    <w:rPr>
      <w:rFonts w:eastAsiaTheme="minorEastAsia"/>
      <w:lang w:eastAsia="en-GB"/>
    </w:rPr>
  </w:style>
  <w:style w:type="character" w:customStyle="1" w:styleId="Heading6Char">
    <w:name w:val="Heading 6 Char"/>
    <w:basedOn w:val="DefaultParagraphFont"/>
    <w:link w:val="Heading6"/>
    <w:uiPriority w:val="9"/>
    <w:semiHidden/>
    <w:rsid w:val="004664E0"/>
    <w:rPr>
      <w:rFonts w:asciiTheme="majorHAnsi" w:eastAsiaTheme="majorEastAsia" w:hAnsiTheme="majorHAnsi" w:cstheme="majorBidi"/>
      <w:color w:val="1F3763" w:themeColor="accent1" w:themeShade="7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674615">
      <w:bodyDiv w:val="1"/>
      <w:marLeft w:val="0"/>
      <w:marRight w:val="0"/>
      <w:marTop w:val="0"/>
      <w:marBottom w:val="0"/>
      <w:divBdr>
        <w:top w:val="none" w:sz="0" w:space="0" w:color="auto"/>
        <w:left w:val="none" w:sz="0" w:space="0" w:color="auto"/>
        <w:bottom w:val="none" w:sz="0" w:space="0" w:color="auto"/>
        <w:right w:val="none" w:sz="0" w:space="0" w:color="auto"/>
      </w:divBdr>
    </w:div>
    <w:div w:id="105080257">
      <w:bodyDiv w:val="1"/>
      <w:marLeft w:val="0"/>
      <w:marRight w:val="0"/>
      <w:marTop w:val="0"/>
      <w:marBottom w:val="0"/>
      <w:divBdr>
        <w:top w:val="none" w:sz="0" w:space="0" w:color="auto"/>
        <w:left w:val="none" w:sz="0" w:space="0" w:color="auto"/>
        <w:bottom w:val="none" w:sz="0" w:space="0" w:color="auto"/>
        <w:right w:val="none" w:sz="0" w:space="0" w:color="auto"/>
      </w:divBdr>
    </w:div>
    <w:div w:id="293950735">
      <w:bodyDiv w:val="1"/>
      <w:marLeft w:val="0"/>
      <w:marRight w:val="0"/>
      <w:marTop w:val="0"/>
      <w:marBottom w:val="0"/>
      <w:divBdr>
        <w:top w:val="none" w:sz="0" w:space="0" w:color="auto"/>
        <w:left w:val="none" w:sz="0" w:space="0" w:color="auto"/>
        <w:bottom w:val="none" w:sz="0" w:space="0" w:color="auto"/>
        <w:right w:val="none" w:sz="0" w:space="0" w:color="auto"/>
      </w:divBdr>
    </w:div>
    <w:div w:id="372997465">
      <w:bodyDiv w:val="1"/>
      <w:marLeft w:val="0"/>
      <w:marRight w:val="0"/>
      <w:marTop w:val="0"/>
      <w:marBottom w:val="0"/>
      <w:divBdr>
        <w:top w:val="none" w:sz="0" w:space="0" w:color="auto"/>
        <w:left w:val="none" w:sz="0" w:space="0" w:color="auto"/>
        <w:bottom w:val="none" w:sz="0" w:space="0" w:color="auto"/>
        <w:right w:val="none" w:sz="0" w:space="0" w:color="auto"/>
      </w:divBdr>
      <w:divsChild>
        <w:div w:id="1779835316">
          <w:marLeft w:val="300"/>
          <w:marRight w:val="0"/>
          <w:marTop w:val="0"/>
          <w:marBottom w:val="0"/>
          <w:divBdr>
            <w:top w:val="none" w:sz="0" w:space="0" w:color="auto"/>
            <w:left w:val="none" w:sz="0" w:space="0" w:color="auto"/>
            <w:bottom w:val="none" w:sz="0" w:space="0" w:color="auto"/>
            <w:right w:val="none" w:sz="0" w:space="0" w:color="auto"/>
          </w:divBdr>
        </w:div>
      </w:divsChild>
    </w:div>
    <w:div w:id="555942255">
      <w:bodyDiv w:val="1"/>
      <w:marLeft w:val="0"/>
      <w:marRight w:val="0"/>
      <w:marTop w:val="0"/>
      <w:marBottom w:val="0"/>
      <w:divBdr>
        <w:top w:val="none" w:sz="0" w:space="0" w:color="auto"/>
        <w:left w:val="none" w:sz="0" w:space="0" w:color="auto"/>
        <w:bottom w:val="none" w:sz="0" w:space="0" w:color="auto"/>
        <w:right w:val="none" w:sz="0" w:space="0" w:color="auto"/>
      </w:divBdr>
    </w:div>
    <w:div w:id="964776010">
      <w:bodyDiv w:val="1"/>
      <w:marLeft w:val="0"/>
      <w:marRight w:val="0"/>
      <w:marTop w:val="0"/>
      <w:marBottom w:val="0"/>
      <w:divBdr>
        <w:top w:val="none" w:sz="0" w:space="0" w:color="auto"/>
        <w:left w:val="none" w:sz="0" w:space="0" w:color="auto"/>
        <w:bottom w:val="none" w:sz="0" w:space="0" w:color="auto"/>
        <w:right w:val="none" w:sz="0" w:space="0" w:color="auto"/>
      </w:divBdr>
    </w:div>
    <w:div w:id="1029454462">
      <w:bodyDiv w:val="1"/>
      <w:marLeft w:val="0"/>
      <w:marRight w:val="0"/>
      <w:marTop w:val="0"/>
      <w:marBottom w:val="0"/>
      <w:divBdr>
        <w:top w:val="none" w:sz="0" w:space="0" w:color="auto"/>
        <w:left w:val="none" w:sz="0" w:space="0" w:color="auto"/>
        <w:bottom w:val="none" w:sz="0" w:space="0" w:color="auto"/>
        <w:right w:val="none" w:sz="0" w:space="0" w:color="auto"/>
      </w:divBdr>
    </w:div>
    <w:div w:id="1140339735">
      <w:bodyDiv w:val="1"/>
      <w:marLeft w:val="0"/>
      <w:marRight w:val="0"/>
      <w:marTop w:val="0"/>
      <w:marBottom w:val="0"/>
      <w:divBdr>
        <w:top w:val="none" w:sz="0" w:space="0" w:color="auto"/>
        <w:left w:val="none" w:sz="0" w:space="0" w:color="auto"/>
        <w:bottom w:val="none" w:sz="0" w:space="0" w:color="auto"/>
        <w:right w:val="none" w:sz="0" w:space="0" w:color="auto"/>
      </w:divBdr>
    </w:div>
    <w:div w:id="1190146529">
      <w:bodyDiv w:val="1"/>
      <w:marLeft w:val="0"/>
      <w:marRight w:val="0"/>
      <w:marTop w:val="0"/>
      <w:marBottom w:val="0"/>
      <w:divBdr>
        <w:top w:val="none" w:sz="0" w:space="0" w:color="auto"/>
        <w:left w:val="none" w:sz="0" w:space="0" w:color="auto"/>
        <w:bottom w:val="none" w:sz="0" w:space="0" w:color="auto"/>
        <w:right w:val="none" w:sz="0" w:space="0" w:color="auto"/>
      </w:divBdr>
    </w:div>
    <w:div w:id="1236937012">
      <w:bodyDiv w:val="1"/>
      <w:marLeft w:val="0"/>
      <w:marRight w:val="0"/>
      <w:marTop w:val="0"/>
      <w:marBottom w:val="0"/>
      <w:divBdr>
        <w:top w:val="none" w:sz="0" w:space="0" w:color="auto"/>
        <w:left w:val="none" w:sz="0" w:space="0" w:color="auto"/>
        <w:bottom w:val="none" w:sz="0" w:space="0" w:color="auto"/>
        <w:right w:val="none" w:sz="0" w:space="0" w:color="auto"/>
      </w:divBdr>
      <w:divsChild>
        <w:div w:id="96756131">
          <w:marLeft w:val="300"/>
          <w:marRight w:val="0"/>
          <w:marTop w:val="0"/>
          <w:marBottom w:val="0"/>
          <w:divBdr>
            <w:top w:val="none" w:sz="0" w:space="0" w:color="auto"/>
            <w:left w:val="none" w:sz="0" w:space="0" w:color="auto"/>
            <w:bottom w:val="none" w:sz="0" w:space="0" w:color="auto"/>
            <w:right w:val="none" w:sz="0" w:space="0" w:color="auto"/>
          </w:divBdr>
        </w:div>
      </w:divsChild>
    </w:div>
    <w:div w:id="1411394013">
      <w:bodyDiv w:val="1"/>
      <w:marLeft w:val="0"/>
      <w:marRight w:val="0"/>
      <w:marTop w:val="0"/>
      <w:marBottom w:val="0"/>
      <w:divBdr>
        <w:top w:val="none" w:sz="0" w:space="0" w:color="auto"/>
        <w:left w:val="none" w:sz="0" w:space="0" w:color="auto"/>
        <w:bottom w:val="none" w:sz="0" w:space="0" w:color="auto"/>
        <w:right w:val="none" w:sz="0" w:space="0" w:color="auto"/>
      </w:divBdr>
    </w:div>
    <w:div w:id="1948002595">
      <w:bodyDiv w:val="1"/>
      <w:marLeft w:val="0"/>
      <w:marRight w:val="0"/>
      <w:marTop w:val="0"/>
      <w:marBottom w:val="0"/>
      <w:divBdr>
        <w:top w:val="none" w:sz="0" w:space="0" w:color="auto"/>
        <w:left w:val="none" w:sz="0" w:space="0" w:color="auto"/>
        <w:bottom w:val="none" w:sz="0" w:space="0" w:color="auto"/>
        <w:right w:val="none" w:sz="0" w:space="0" w:color="auto"/>
      </w:divBdr>
    </w:div>
    <w:div w:id="20989412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9.png"/><Relationship Id="rId21" Type="http://schemas.openxmlformats.org/officeDocument/2006/relationships/image" Target="media/image10.png"/><Relationship Id="rId42" Type="http://schemas.openxmlformats.org/officeDocument/2006/relationships/image" Target="media/image16.png"/><Relationship Id="rId63" Type="http://schemas.openxmlformats.org/officeDocument/2006/relationships/image" Target="media/image37.png"/><Relationship Id="rId84" Type="http://schemas.openxmlformats.org/officeDocument/2006/relationships/image" Target="media/image58.emf"/><Relationship Id="rId138" Type="http://schemas.openxmlformats.org/officeDocument/2006/relationships/image" Target="media/image109.png"/><Relationship Id="rId159" Type="http://schemas.openxmlformats.org/officeDocument/2006/relationships/image" Target="media/image128.png"/><Relationship Id="rId170" Type="http://schemas.openxmlformats.org/officeDocument/2006/relationships/hyperlink" Target="https://www.nature.com/articles/bjc2011403" TargetMode="External"/><Relationship Id="rId191" Type="http://schemas.openxmlformats.org/officeDocument/2006/relationships/hyperlink" Target="http://loci.wisc.edu/software/curvealign" TargetMode="External"/><Relationship Id="rId205" Type="http://schemas.openxmlformats.org/officeDocument/2006/relationships/hyperlink" Target="https://www.ncbi.nlm.nih.gov/pubmed/?term=Ben-Porath%20I%5BAuthor%5D&amp;cauthor=true&amp;cauthor_uid=21041659" TargetMode="External"/><Relationship Id="rId226" Type="http://schemas.openxmlformats.org/officeDocument/2006/relationships/hyperlink" Target="https://www.ncbi.nlm.nih.gov/pubmed/?term=Venturi%20G%5BAuthor%5D&amp;cauthor=true&amp;cauthor_uid=27992856" TargetMode="External"/><Relationship Id="rId247" Type="http://schemas.openxmlformats.org/officeDocument/2006/relationships/hyperlink" Target="https://www.ncbi.nlm.nih.gov/pubmed/?term=Gosselin%20P%5BAuthor%5D&amp;cauthor=true&amp;cauthor_uid=20064378" TargetMode="External"/><Relationship Id="rId107" Type="http://schemas.openxmlformats.org/officeDocument/2006/relationships/image" Target="media/image81.jpeg"/><Relationship Id="rId268" Type="http://schemas.openxmlformats.org/officeDocument/2006/relationships/footer" Target="footer4.xml"/><Relationship Id="rId11" Type="http://schemas.openxmlformats.org/officeDocument/2006/relationships/footer" Target="footer2.xml"/><Relationship Id="rId32" Type="http://schemas.openxmlformats.org/officeDocument/2006/relationships/hyperlink" Target="http://www.gbo.com" TargetMode="External"/><Relationship Id="rId53" Type="http://schemas.openxmlformats.org/officeDocument/2006/relationships/image" Target="media/image27.emf"/><Relationship Id="rId74" Type="http://schemas.openxmlformats.org/officeDocument/2006/relationships/image" Target="media/image48.png"/><Relationship Id="rId128" Type="http://schemas.openxmlformats.org/officeDocument/2006/relationships/image" Target="media/image96.png"/><Relationship Id="rId149" Type="http://schemas.openxmlformats.org/officeDocument/2006/relationships/image" Target="media/image120.png"/><Relationship Id="rId5" Type="http://schemas.openxmlformats.org/officeDocument/2006/relationships/webSettings" Target="webSettings.xml"/><Relationship Id="rId95" Type="http://schemas.openxmlformats.org/officeDocument/2006/relationships/image" Target="media/image68.png"/><Relationship Id="rId160" Type="http://schemas.openxmlformats.org/officeDocument/2006/relationships/image" Target="media/image129.png"/><Relationship Id="rId181" Type="http://schemas.openxmlformats.org/officeDocument/2006/relationships/image" Target="media/image145.png"/><Relationship Id="rId216" Type="http://schemas.openxmlformats.org/officeDocument/2006/relationships/hyperlink" Target="https://www.ncbi.nlm.nih.gov/pubmed/?term=Thirdborough%20S%5BAuthor%5D&amp;cauthor=true&amp;cauthor_uid=27992856" TargetMode="External"/><Relationship Id="rId237" Type="http://schemas.openxmlformats.org/officeDocument/2006/relationships/hyperlink" Target="https://www.ncbi.nlm.nih.gov/pubmed/?term=Thomas%20GJ%5BAuthor%5D&amp;cauthor=true&amp;cauthor_uid=27992856" TargetMode="External"/><Relationship Id="rId258" Type="http://schemas.openxmlformats.org/officeDocument/2006/relationships/hyperlink" Target="http://www.sciencedirect.com/science/article/pii/S1535610803000588" TargetMode="External"/><Relationship Id="rId22" Type="http://schemas.openxmlformats.org/officeDocument/2006/relationships/image" Target="media/image8.png"/><Relationship Id="rId43" Type="http://schemas.openxmlformats.org/officeDocument/2006/relationships/image" Target="media/image17.png"/><Relationship Id="rId64" Type="http://schemas.openxmlformats.org/officeDocument/2006/relationships/image" Target="media/image38.png"/><Relationship Id="rId118" Type="http://schemas.openxmlformats.org/officeDocument/2006/relationships/image" Target="media/image90.png"/><Relationship Id="rId139" Type="http://schemas.openxmlformats.org/officeDocument/2006/relationships/image" Target="media/image110.png"/><Relationship Id="rId85" Type="http://schemas.openxmlformats.org/officeDocument/2006/relationships/image" Target="media/image58.png"/><Relationship Id="rId150" Type="http://schemas.openxmlformats.org/officeDocument/2006/relationships/image" Target="media/image121.png"/><Relationship Id="rId171" Type="http://schemas.openxmlformats.org/officeDocument/2006/relationships/hyperlink" Target="https://www.physiology.org/doi/full/10.1152/ajpcell.00557.2001?url_ver=Z39.88-2003&amp;rfr_id=ori%3Arid%3Acrossref.org&amp;rfr_dat=cr_pub%3Dpubmed" TargetMode="External"/><Relationship Id="rId192" Type="http://schemas.openxmlformats.org/officeDocument/2006/relationships/hyperlink" Target="https://www.ncbi.nlm.nih.gov/pubmed/?term=Discher%20DE%5BAuthor%5D&amp;cauthor=true&amp;cauthor_uid=16293750" TargetMode="External"/><Relationship Id="rId206" Type="http://schemas.openxmlformats.org/officeDocument/2006/relationships/hyperlink" Target="https://www.ncbi.nlm.nih.gov/pubmed/?term=Onder%20TT%5BAuthor%5D&amp;cauthor=true&amp;cauthor_uid=21041659" TargetMode="External"/><Relationship Id="rId227" Type="http://schemas.openxmlformats.org/officeDocument/2006/relationships/hyperlink" Target="https://www.ncbi.nlm.nih.gov/pubmed/?term=Herranz%20N%5BAuthor%5D&amp;cauthor=true&amp;cauthor_uid=27992856" TargetMode="External"/><Relationship Id="rId248" Type="http://schemas.openxmlformats.org/officeDocument/2006/relationships/hyperlink" Target="https://www.ncbi.nlm.nih.gov/pubmed/?term=Cromer%20A%5BAuthor%5D&amp;cauthor=true&amp;cauthor_uid=20064378" TargetMode="External"/><Relationship Id="rId269" Type="http://schemas.openxmlformats.org/officeDocument/2006/relationships/fontTable" Target="fontTable.xml"/><Relationship Id="rId12" Type="http://schemas.openxmlformats.org/officeDocument/2006/relationships/hyperlink" Target="https://www.ncbi.nlm.nih.gov/pubmed/30864745" TargetMode="External"/><Relationship Id="rId33" Type="http://schemas.openxmlformats.org/officeDocument/2006/relationships/hyperlink" Target="http://www.thermofischer.com" TargetMode="External"/><Relationship Id="rId108" Type="http://schemas.openxmlformats.org/officeDocument/2006/relationships/image" Target="media/image82.png"/><Relationship Id="rId129" Type="http://schemas.openxmlformats.org/officeDocument/2006/relationships/image" Target="media/image100.png"/><Relationship Id="rId54" Type="http://schemas.openxmlformats.org/officeDocument/2006/relationships/image" Target="media/image28.emf"/><Relationship Id="rId75" Type="http://schemas.openxmlformats.org/officeDocument/2006/relationships/image" Target="media/image49.emf"/><Relationship Id="rId96" Type="http://schemas.openxmlformats.org/officeDocument/2006/relationships/image" Target="media/image69.png"/><Relationship Id="rId140" Type="http://schemas.openxmlformats.org/officeDocument/2006/relationships/image" Target="media/image111.png"/><Relationship Id="rId161" Type="http://schemas.openxmlformats.org/officeDocument/2006/relationships/image" Target="media/image130.png"/><Relationship Id="rId182" Type="http://schemas.openxmlformats.org/officeDocument/2006/relationships/hyperlink" Target="https://www.ncbi.nlm.nih.gov/pubmed/?term=McGoohan%20S%5BAuthor%5D&amp;cauthor=true&amp;cauthor_uid=20418885" TargetMode="External"/><Relationship Id="rId217" Type="http://schemas.openxmlformats.org/officeDocument/2006/relationships/hyperlink" Target="https://www.ncbi.nlm.nih.gov/pubmed/?term=Mellows%20T%5BAuthor%5D&amp;cauthor=true&amp;cauthor_uid=27992856" TargetMode="External"/><Relationship Id="rId6" Type="http://schemas.openxmlformats.org/officeDocument/2006/relationships/footnotes" Target="footnotes.xml"/><Relationship Id="rId238" Type="http://schemas.openxmlformats.org/officeDocument/2006/relationships/hyperlink" Target="https://find.shef.ac.uk/primo-explore/fulldisplay?docid=TN_sage_s10_1177_154405910708600203&amp;context=PC&amp;vid=44SFD_VU2&amp;lang=en_US&amp;search_scope=SCOP_EVERYTHING&amp;adaptor=primo_central_multiple_fe&amp;tab=everything&amp;query=any,contains,Tissue-engineered%20Oral%20Mucosa:%20a%20Review%20of%20the%20Scientific%20Literature&amp;offset=0" TargetMode="External"/><Relationship Id="rId259" Type="http://schemas.openxmlformats.org/officeDocument/2006/relationships/hyperlink" Target="http://www.sciencedirect.com/science/article/pii/S1535610803000588" TargetMode="External"/><Relationship Id="rId23" Type="http://schemas.openxmlformats.org/officeDocument/2006/relationships/image" Target="media/image11.png"/><Relationship Id="rId28" Type="http://schemas.openxmlformats.org/officeDocument/2006/relationships/image" Target="media/image13.png"/><Relationship Id="rId49" Type="http://schemas.openxmlformats.org/officeDocument/2006/relationships/image" Target="media/image23.emf"/><Relationship Id="rId114" Type="http://schemas.openxmlformats.org/officeDocument/2006/relationships/image" Target="media/image86.png"/><Relationship Id="rId119" Type="http://schemas.openxmlformats.org/officeDocument/2006/relationships/image" Target="media/image91.png"/><Relationship Id="rId270" Type="http://schemas.openxmlformats.org/officeDocument/2006/relationships/theme" Target="theme/theme1.xml"/><Relationship Id="rId44" Type="http://schemas.openxmlformats.org/officeDocument/2006/relationships/image" Target="media/image18.png"/><Relationship Id="rId60" Type="http://schemas.openxmlformats.org/officeDocument/2006/relationships/image" Target="media/image34.png"/><Relationship Id="rId65" Type="http://schemas.openxmlformats.org/officeDocument/2006/relationships/image" Target="media/image39.png"/><Relationship Id="rId81" Type="http://schemas.openxmlformats.org/officeDocument/2006/relationships/image" Target="media/image55.emf"/><Relationship Id="rId86" Type="http://schemas.openxmlformats.org/officeDocument/2006/relationships/image" Target="media/image59.png"/><Relationship Id="rId130" Type="http://schemas.openxmlformats.org/officeDocument/2006/relationships/image" Target="media/image101.png"/><Relationship Id="rId135" Type="http://schemas.openxmlformats.org/officeDocument/2006/relationships/image" Target="media/image106.png"/><Relationship Id="rId151" Type="http://schemas.openxmlformats.org/officeDocument/2006/relationships/image" Target="media/image122.png"/><Relationship Id="rId156" Type="http://schemas.openxmlformats.org/officeDocument/2006/relationships/image" Target="media/image125.png"/><Relationship Id="rId177" Type="http://schemas.openxmlformats.org/officeDocument/2006/relationships/image" Target="media/image141.png"/><Relationship Id="rId198" Type="http://schemas.openxmlformats.org/officeDocument/2006/relationships/hyperlink" Target="https://www.ncbi.nlm.nih.gov/pubmed/?term=Cukierman%20E%5BAuthor%5D&amp;cauthor=true&amp;cauthor_uid=27245425" TargetMode="External"/><Relationship Id="rId172" Type="http://schemas.openxmlformats.org/officeDocument/2006/relationships/image" Target="media/image139.jpeg"/><Relationship Id="rId193" Type="http://schemas.openxmlformats.org/officeDocument/2006/relationships/hyperlink" Target="https://www.ncbi.nlm.nih.gov/pubmed/?term=Janmey%20P%5BAuthor%5D&amp;cauthor=true&amp;cauthor_uid=16293750" TargetMode="External"/><Relationship Id="rId202" Type="http://schemas.openxmlformats.org/officeDocument/2006/relationships/hyperlink" Target="https://www.ncbi.nlm.nih.gov/pubmed/?term=Eaton%20EN%5BAuthor%5D&amp;cauthor=true&amp;cauthor_uid=21041659" TargetMode="External"/><Relationship Id="rId207" Type="http://schemas.openxmlformats.org/officeDocument/2006/relationships/hyperlink" Target="https://www.ncbi.nlm.nih.gov/pubmed/?term=Wang%20ZC%5BAuthor%5D&amp;cauthor=true&amp;cauthor_uid=21041659" TargetMode="External"/><Relationship Id="rId223" Type="http://schemas.openxmlformats.org/officeDocument/2006/relationships/hyperlink" Target="https://www.ncbi.nlm.nih.gov/pubmed/?term=Moutasim%20KA%5BAuthor%5D&amp;cauthor=true&amp;cauthor_uid=27992856" TargetMode="External"/><Relationship Id="rId228" Type="http://schemas.openxmlformats.org/officeDocument/2006/relationships/hyperlink" Target="https://www.ncbi.nlm.nih.gov/pubmed/?term=Clarke%20J%5BAuthor%5D&amp;cauthor=true&amp;cauthor_uid=27992856" TargetMode="External"/><Relationship Id="rId244" Type="http://schemas.openxmlformats.org/officeDocument/2006/relationships/hyperlink" Target="https://www.ncbi.nlm.nih.gov/pubmed/?term=Lukashchuk%20N%5BAuthor%5D&amp;cauthor=true&amp;cauthor_uid=20064378" TargetMode="External"/><Relationship Id="rId249" Type="http://schemas.openxmlformats.org/officeDocument/2006/relationships/hyperlink" Target="https://www.ncbi.nlm.nih.gov/pubmed/?term=Brugge%20JS%5BAuthor%5D&amp;cauthor=true&amp;cauthor_uid=20064378" TargetMode="External"/><Relationship Id="rId13" Type="http://schemas.openxmlformats.org/officeDocument/2006/relationships/footer" Target="footer3.xml"/><Relationship Id="rId18" Type="http://schemas.openxmlformats.org/officeDocument/2006/relationships/image" Target="media/image7.png"/><Relationship Id="rId39" Type="http://schemas.openxmlformats.org/officeDocument/2006/relationships/hyperlink" Target="http://www.bdbiosciences.com" TargetMode="External"/><Relationship Id="rId109" Type="http://schemas.openxmlformats.org/officeDocument/2006/relationships/image" Target="media/image83.png"/><Relationship Id="rId260" Type="http://schemas.openxmlformats.org/officeDocument/2006/relationships/hyperlink" Target="http://www.sciencedirect.com/science/article/pii/S1535610803000588" TargetMode="External"/><Relationship Id="rId265" Type="http://schemas.openxmlformats.org/officeDocument/2006/relationships/hyperlink" Target="https://www.ncbi.nlm.nih.gov/pubmed/?term=Kieran%20MW%5BAuthor%5D&amp;cauthor=true&amp;cauthor_uid=17106243" TargetMode="External"/><Relationship Id="rId34" Type="http://schemas.openxmlformats.org/officeDocument/2006/relationships/hyperlink" Target="http://www.corning.com" TargetMode="External"/><Relationship Id="rId50" Type="http://schemas.openxmlformats.org/officeDocument/2006/relationships/image" Target="media/image24.emf"/><Relationship Id="rId55" Type="http://schemas.openxmlformats.org/officeDocument/2006/relationships/image" Target="media/image29.emf"/><Relationship Id="rId76" Type="http://schemas.openxmlformats.org/officeDocument/2006/relationships/image" Target="media/image50.png"/><Relationship Id="rId97" Type="http://schemas.openxmlformats.org/officeDocument/2006/relationships/image" Target="media/image70.png"/><Relationship Id="rId104" Type="http://schemas.openxmlformats.org/officeDocument/2006/relationships/image" Target="media/image77.png"/><Relationship Id="rId120" Type="http://schemas.openxmlformats.org/officeDocument/2006/relationships/image" Target="media/image92.png"/><Relationship Id="rId125" Type="http://schemas.openxmlformats.org/officeDocument/2006/relationships/image" Target="media/image99.png"/><Relationship Id="rId141" Type="http://schemas.openxmlformats.org/officeDocument/2006/relationships/image" Target="media/image112.png"/><Relationship Id="rId146" Type="http://schemas.openxmlformats.org/officeDocument/2006/relationships/image" Target="media/image117.png"/><Relationship Id="rId167" Type="http://schemas.openxmlformats.org/officeDocument/2006/relationships/image" Target="media/image136.png"/><Relationship Id="rId188" Type="http://schemas.openxmlformats.org/officeDocument/2006/relationships/hyperlink" Target="https://www.ncbi.nlm.nih.gov/pubmed/?term=Kalluri%20R%5BAuthor%5D&amp;cauthor=true&amp;cauthor_uid=20418885" TargetMode="External"/><Relationship Id="rId7" Type="http://schemas.openxmlformats.org/officeDocument/2006/relationships/endnotes" Target="endnotes.xml"/><Relationship Id="rId71" Type="http://schemas.openxmlformats.org/officeDocument/2006/relationships/image" Target="media/image45.png"/><Relationship Id="rId92" Type="http://schemas.openxmlformats.org/officeDocument/2006/relationships/image" Target="media/image65.jpg"/><Relationship Id="rId162" Type="http://schemas.openxmlformats.org/officeDocument/2006/relationships/image" Target="media/image131.png"/><Relationship Id="rId183" Type="http://schemas.openxmlformats.org/officeDocument/2006/relationships/hyperlink" Target="https://www.ncbi.nlm.nih.gov/pubmed/?term=Zeisberg%20EM%5BAuthor%5D&amp;cauthor=true&amp;cauthor_uid=20418885" TargetMode="External"/><Relationship Id="rId213" Type="http://schemas.openxmlformats.org/officeDocument/2006/relationships/hyperlink" Target="https://www.sciencedirect.com/science/journal/01429612/31/32" TargetMode="External"/><Relationship Id="rId218" Type="http://schemas.openxmlformats.org/officeDocument/2006/relationships/hyperlink" Target="https://www.ncbi.nlm.nih.gov/pubmed/?term=Garcia%20E%5BAuthor%5D&amp;cauthor=true&amp;cauthor_uid=27992856" TargetMode="External"/><Relationship Id="rId234" Type="http://schemas.openxmlformats.org/officeDocument/2006/relationships/hyperlink" Target="https://www.ncbi.nlm.nih.gov/pubmed/?term=Woelk%20C%5BAuthor%5D&amp;cauthor=true&amp;cauthor_uid=27992856" TargetMode="External"/><Relationship Id="rId239" Type="http://schemas.openxmlformats.org/officeDocument/2006/relationships/hyperlink" Target="https://www.ncbi.nlm.nih.gov/pubmed/?term=Caswell%20PT%5BAuthor%5D&amp;cauthor=true&amp;cauthor_uid=20064378" TargetMode="External"/><Relationship Id="rId2" Type="http://schemas.openxmlformats.org/officeDocument/2006/relationships/numbering" Target="numbering.xml"/><Relationship Id="rId29" Type="http://schemas.openxmlformats.org/officeDocument/2006/relationships/hyperlink" Target="http://www.aligent.com" TargetMode="External"/><Relationship Id="rId250" Type="http://schemas.openxmlformats.org/officeDocument/2006/relationships/hyperlink" Target="https://www.ncbi.nlm.nih.gov/pubmed/?term=Sansom%20OJ%5BAuthor%5D&amp;cauthor=true&amp;cauthor_uid=20064378" TargetMode="External"/><Relationship Id="rId255" Type="http://schemas.openxmlformats.org/officeDocument/2006/relationships/hyperlink" Target="http://www.sciencedirect.com/science/article/pii/S1535610803000588" TargetMode="External"/><Relationship Id="rId24" Type="http://schemas.openxmlformats.org/officeDocument/2006/relationships/hyperlink" Target="http://jem.rupress.org/content/215/12/2967?utm_source=TrendMD&amp;utm_medium=cpc&amp;utm_campaign=JEM_TrendMD-0" TargetMode="External"/><Relationship Id="rId40" Type="http://schemas.openxmlformats.org/officeDocument/2006/relationships/image" Target="media/image14.png"/><Relationship Id="rId45" Type="http://schemas.openxmlformats.org/officeDocument/2006/relationships/image" Target="media/image19.png"/><Relationship Id="rId66" Type="http://schemas.openxmlformats.org/officeDocument/2006/relationships/image" Target="media/image40.png"/><Relationship Id="rId87" Type="http://schemas.openxmlformats.org/officeDocument/2006/relationships/image" Target="media/image60.png"/><Relationship Id="rId110" Type="http://schemas.openxmlformats.org/officeDocument/2006/relationships/image" Target="media/image84.png"/><Relationship Id="rId115" Type="http://schemas.openxmlformats.org/officeDocument/2006/relationships/image" Target="media/image87.png"/><Relationship Id="rId131" Type="http://schemas.openxmlformats.org/officeDocument/2006/relationships/image" Target="media/image102.png"/><Relationship Id="rId136" Type="http://schemas.openxmlformats.org/officeDocument/2006/relationships/image" Target="media/image107.png"/><Relationship Id="rId157" Type="http://schemas.openxmlformats.org/officeDocument/2006/relationships/image" Target="media/image126.png"/><Relationship Id="rId178" Type="http://schemas.openxmlformats.org/officeDocument/2006/relationships/image" Target="media/image142.png"/><Relationship Id="rId61" Type="http://schemas.openxmlformats.org/officeDocument/2006/relationships/image" Target="media/image35.emf"/><Relationship Id="rId82" Type="http://schemas.openxmlformats.org/officeDocument/2006/relationships/image" Target="media/image56.png"/><Relationship Id="rId152" Type="http://schemas.openxmlformats.org/officeDocument/2006/relationships/image" Target="NULL"/><Relationship Id="rId173" Type="http://schemas.openxmlformats.org/officeDocument/2006/relationships/hyperlink" Target="https://www.nature.com/articles/bjc2011403" TargetMode="External"/><Relationship Id="rId194" Type="http://schemas.openxmlformats.org/officeDocument/2006/relationships/hyperlink" Target="https://www.ncbi.nlm.nih.gov/pubmed/?term=Wang%20YL%5BAuthor%5D&amp;cauthor=true&amp;cauthor_uid=16293750" TargetMode="External"/><Relationship Id="rId199" Type="http://schemas.openxmlformats.org/officeDocument/2006/relationships/hyperlink" Target="https://www.ncbi.nlm.nih.gov/entrez/eutils/elink.fcgi?dbfrom=pubmed&amp;retmode=ref&amp;cmd=prlinks&amp;id=27245425" TargetMode="External"/><Relationship Id="rId203" Type="http://schemas.openxmlformats.org/officeDocument/2006/relationships/hyperlink" Target="https://www.ncbi.nlm.nih.gov/pubmed/?term=Mellody%20KT%5BAuthor%5D&amp;cauthor=true&amp;cauthor_uid=21041659" TargetMode="External"/><Relationship Id="rId208" Type="http://schemas.openxmlformats.org/officeDocument/2006/relationships/hyperlink" Target="https://www.ncbi.nlm.nih.gov/pubmed/?term=Richardson%20AL%5BAuthor%5D&amp;cauthor=true&amp;cauthor_uid=21041659" TargetMode="External"/><Relationship Id="rId229" Type="http://schemas.openxmlformats.org/officeDocument/2006/relationships/hyperlink" Target="https://www.ncbi.nlm.nih.gov/pubmed/?term=Lambert%20DW%5BAuthor%5D&amp;cauthor=true&amp;cauthor_uid=27992856" TargetMode="External"/><Relationship Id="rId224" Type="http://schemas.openxmlformats.org/officeDocument/2006/relationships/hyperlink" Target="https://www.ncbi.nlm.nih.gov/pubmed/?term=Kabir%20TD%5BAuthor%5D&amp;cauthor=true&amp;cauthor_uid=27992856" TargetMode="External"/><Relationship Id="rId240" Type="http://schemas.openxmlformats.org/officeDocument/2006/relationships/hyperlink" Target="https://www.ncbi.nlm.nih.gov/pubmed/?term=Doyle%20B%5BAuthor%5D&amp;cauthor=true&amp;cauthor_uid=20064378" TargetMode="External"/><Relationship Id="rId245" Type="http://schemas.openxmlformats.org/officeDocument/2006/relationships/hyperlink" Target="https://www.ncbi.nlm.nih.gov/pubmed/?term=Gillespie%20DA%5BAuthor%5D&amp;cauthor=true&amp;cauthor_uid=20064378" TargetMode="External"/><Relationship Id="rId261" Type="http://schemas.openxmlformats.org/officeDocument/2006/relationships/hyperlink" Target="https://www.ncbi.nlm.nih.gov/pubmed/?term=Leung%20HC%5BAuthor%5D&amp;cauthor=true&amp;cauthor_uid=22459127" TargetMode="External"/><Relationship Id="rId266" Type="http://schemas.openxmlformats.org/officeDocument/2006/relationships/hyperlink" Target="https://www.ncbi.nlm.nih.gov/pubmed/?term=Kalluri%20R%5BAuthor%5D&amp;cauthor=true&amp;cauthor_uid=17106243" TargetMode="External"/><Relationship Id="rId14" Type="http://schemas.openxmlformats.org/officeDocument/2006/relationships/image" Target="media/image3.png"/><Relationship Id="rId30" Type="http://schemas.openxmlformats.org/officeDocument/2006/relationships/hyperlink" Target="http://www.sigmaaldrich.com" TargetMode="External"/><Relationship Id="rId35" Type="http://schemas.openxmlformats.org/officeDocument/2006/relationships/hyperlink" Target="http://www.gentamedical.co.uk" TargetMode="External"/><Relationship Id="rId56" Type="http://schemas.openxmlformats.org/officeDocument/2006/relationships/image" Target="media/image30.emf"/><Relationship Id="rId77" Type="http://schemas.openxmlformats.org/officeDocument/2006/relationships/image" Target="media/image51.png"/><Relationship Id="rId100" Type="http://schemas.openxmlformats.org/officeDocument/2006/relationships/image" Target="media/image73.png"/><Relationship Id="rId105" Type="http://schemas.openxmlformats.org/officeDocument/2006/relationships/image" Target="media/image78.png"/><Relationship Id="rId126" Type="http://schemas.openxmlformats.org/officeDocument/2006/relationships/image" Target="media/image95.emf"/><Relationship Id="rId147" Type="http://schemas.openxmlformats.org/officeDocument/2006/relationships/image" Target="media/image118.png"/><Relationship Id="rId168" Type="http://schemas.openxmlformats.org/officeDocument/2006/relationships/image" Target="media/image137.png"/><Relationship Id="rId8" Type="http://schemas.openxmlformats.org/officeDocument/2006/relationships/image" Target="media/image2.png"/><Relationship Id="rId51" Type="http://schemas.openxmlformats.org/officeDocument/2006/relationships/image" Target="media/image25.emf"/><Relationship Id="rId72" Type="http://schemas.openxmlformats.org/officeDocument/2006/relationships/image" Target="media/image46.png"/><Relationship Id="rId93" Type="http://schemas.openxmlformats.org/officeDocument/2006/relationships/image" Target="media/image66.png"/><Relationship Id="rId98" Type="http://schemas.openxmlformats.org/officeDocument/2006/relationships/image" Target="media/image71.png"/><Relationship Id="rId121" Type="http://schemas.openxmlformats.org/officeDocument/2006/relationships/image" Target="media/image93.png"/><Relationship Id="rId142" Type="http://schemas.openxmlformats.org/officeDocument/2006/relationships/image" Target="media/image113.png"/><Relationship Id="rId163" Type="http://schemas.openxmlformats.org/officeDocument/2006/relationships/image" Target="media/image132.png"/><Relationship Id="rId184" Type="http://schemas.openxmlformats.org/officeDocument/2006/relationships/hyperlink" Target="https://www.ncbi.nlm.nih.gov/pubmed/?term=M%C3%BCller%20GA%5BAuthor%5D&amp;cauthor=true&amp;cauthor_uid=20418885" TargetMode="External"/><Relationship Id="rId189" Type="http://schemas.openxmlformats.org/officeDocument/2006/relationships/hyperlink" Target="https://www.ncbi.nlm.nih.gov/pubmed/?term=Zeisberg%20M%5BAuthor%5D&amp;cauthor=true&amp;cauthor_uid=20418885" TargetMode="External"/><Relationship Id="rId219" Type="http://schemas.openxmlformats.org/officeDocument/2006/relationships/hyperlink" Target="https://www.ncbi.nlm.nih.gov/pubmed/?term=Woo%20J%5BAuthor%5D&amp;cauthor=true&amp;cauthor_uid=27992856" TargetMode="External"/><Relationship Id="rId3" Type="http://schemas.openxmlformats.org/officeDocument/2006/relationships/styles" Target="styles.xml"/><Relationship Id="rId214" Type="http://schemas.openxmlformats.org/officeDocument/2006/relationships/hyperlink" Target="https://www.ncbi.nlm.nih.gov/pubmed/?term=Mellone%20M%5BAuthor%5D&amp;cauthor=true&amp;cauthor_uid=27992856" TargetMode="External"/><Relationship Id="rId230" Type="http://schemas.openxmlformats.org/officeDocument/2006/relationships/hyperlink" Target="https://www.ncbi.nlm.nih.gov/pubmed/?term=Prime%20SS%5BAuthor%5D&amp;cauthor=true&amp;cauthor_uid=27992856" TargetMode="External"/><Relationship Id="rId235" Type="http://schemas.openxmlformats.org/officeDocument/2006/relationships/hyperlink" Target="https://www.ncbi.nlm.nih.gov/pubmed/?term=Gil%20J%5BAuthor%5D&amp;cauthor=true&amp;cauthor_uid=27992856" TargetMode="External"/><Relationship Id="rId251" Type="http://schemas.openxmlformats.org/officeDocument/2006/relationships/hyperlink" Target="https://www.ncbi.nlm.nih.gov/pubmed/?term=Norman%20JC%5BAuthor%5D&amp;cauthor=true&amp;cauthor_uid=20064378" TargetMode="External"/><Relationship Id="rId256" Type="http://schemas.openxmlformats.org/officeDocument/2006/relationships/hyperlink" Target="http://www.sciencedirect.com/science/article/pii/S1535610803000588" TargetMode="External"/><Relationship Id="rId25" Type="http://schemas.openxmlformats.org/officeDocument/2006/relationships/hyperlink" Target="http://jem.rupress.org/content/215/12/2967?utm_source=TrendMD&amp;utm_medium=cpc&amp;utm_campaign=JEM_TrendMD-0" TargetMode="External"/><Relationship Id="rId46" Type="http://schemas.openxmlformats.org/officeDocument/2006/relationships/image" Target="media/image20.png"/><Relationship Id="rId67" Type="http://schemas.openxmlformats.org/officeDocument/2006/relationships/image" Target="media/image41.png"/><Relationship Id="rId116" Type="http://schemas.openxmlformats.org/officeDocument/2006/relationships/image" Target="media/image88.png"/><Relationship Id="rId137" Type="http://schemas.openxmlformats.org/officeDocument/2006/relationships/image" Target="media/image108.png"/><Relationship Id="rId158" Type="http://schemas.openxmlformats.org/officeDocument/2006/relationships/image" Target="media/image127.png"/><Relationship Id="rId20" Type="http://schemas.openxmlformats.org/officeDocument/2006/relationships/image" Target="media/image9.png"/><Relationship Id="rId41" Type="http://schemas.openxmlformats.org/officeDocument/2006/relationships/image" Target="media/image15.png"/><Relationship Id="rId62" Type="http://schemas.openxmlformats.org/officeDocument/2006/relationships/image" Target="media/image36.png"/><Relationship Id="rId83" Type="http://schemas.openxmlformats.org/officeDocument/2006/relationships/image" Target="media/image57.png"/><Relationship Id="rId88" Type="http://schemas.openxmlformats.org/officeDocument/2006/relationships/image" Target="media/image61.png"/><Relationship Id="rId111" Type="http://schemas.openxmlformats.org/officeDocument/2006/relationships/image" Target="media/image79.png"/><Relationship Id="rId132" Type="http://schemas.openxmlformats.org/officeDocument/2006/relationships/image" Target="media/image103.png"/><Relationship Id="rId153" Type="http://schemas.openxmlformats.org/officeDocument/2006/relationships/image" Target="NULL"/><Relationship Id="rId174" Type="http://schemas.openxmlformats.org/officeDocument/2006/relationships/hyperlink" Target="https://www.nature.com/articles/bjc2011403" TargetMode="External"/><Relationship Id="rId179" Type="http://schemas.openxmlformats.org/officeDocument/2006/relationships/image" Target="media/image143.png"/><Relationship Id="rId195" Type="http://schemas.openxmlformats.org/officeDocument/2006/relationships/hyperlink" Target="https://www.ncbi.nlm.nih.gov/pubmed/16293750" TargetMode="External"/><Relationship Id="rId209" Type="http://schemas.openxmlformats.org/officeDocument/2006/relationships/hyperlink" Target="https://www.ncbi.nlm.nih.gov/pubmed/?term=Weinberg%20RA%5BAuthor%5D&amp;cauthor=true&amp;cauthor_uid=21041659" TargetMode="External"/><Relationship Id="rId190" Type="http://schemas.openxmlformats.org/officeDocument/2006/relationships/hyperlink" Target="http://loci.wisc.edu/software/ctfire" TargetMode="External"/><Relationship Id="rId204" Type="http://schemas.openxmlformats.org/officeDocument/2006/relationships/hyperlink" Target="https://www.ncbi.nlm.nih.gov/pubmed/?term=Scheel%20C%5BAuthor%5D&amp;cauthor=true&amp;cauthor_uid=21041659" TargetMode="External"/><Relationship Id="rId220" Type="http://schemas.openxmlformats.org/officeDocument/2006/relationships/hyperlink" Target="https://www.ncbi.nlm.nih.gov/pubmed/?term=Tod%20J%5BAuthor%5D&amp;cauthor=true&amp;cauthor_uid=27992856" TargetMode="External"/><Relationship Id="rId225" Type="http://schemas.openxmlformats.org/officeDocument/2006/relationships/hyperlink" Target="https://www.ncbi.nlm.nih.gov/pubmed/?term=Brennan%20PA%5BAuthor%5D&amp;cauthor=true&amp;cauthor_uid=27992856" TargetMode="External"/><Relationship Id="rId241" Type="http://schemas.openxmlformats.org/officeDocument/2006/relationships/hyperlink" Target="https://www.ncbi.nlm.nih.gov/pubmed/?term=Iwanicki%20MP%5BAuthor%5D&amp;cauthor=true&amp;cauthor_uid=20064378" TargetMode="External"/><Relationship Id="rId246" Type="http://schemas.openxmlformats.org/officeDocument/2006/relationships/hyperlink" Target="https://www.ncbi.nlm.nih.gov/pubmed/?term=Ludwig%20RL%5BAuthor%5D&amp;cauthor=true&amp;cauthor_uid=20064378" TargetMode="External"/><Relationship Id="rId267" Type="http://schemas.openxmlformats.org/officeDocument/2006/relationships/hyperlink" Target="https://www.ncbi.nlm.nih.gov/pubmed/17106243" TargetMode="External"/><Relationship Id="rId15" Type="http://schemas.openxmlformats.org/officeDocument/2006/relationships/image" Target="media/image4.png"/><Relationship Id="rId36" Type="http://schemas.openxmlformats.org/officeDocument/2006/relationships/hyperlink" Target="http://www.qiagen.com" TargetMode="External"/><Relationship Id="rId57" Type="http://schemas.openxmlformats.org/officeDocument/2006/relationships/image" Target="media/image31.emf"/><Relationship Id="rId106" Type="http://schemas.openxmlformats.org/officeDocument/2006/relationships/image" Target="media/image80.png"/><Relationship Id="rId127" Type="http://schemas.openxmlformats.org/officeDocument/2006/relationships/image" Target="media/image100.emf"/><Relationship Id="rId262" Type="http://schemas.openxmlformats.org/officeDocument/2006/relationships/hyperlink" Target="https://www.ncbi.nlm.nih.gov/pubmed/?term=Li%20XN%5BAuthor%5D&amp;cauthor=true&amp;cauthor_uid=22459127" TargetMode="External"/><Relationship Id="rId10" Type="http://schemas.openxmlformats.org/officeDocument/2006/relationships/footer" Target="footer1.xml"/><Relationship Id="rId31" Type="http://schemas.openxmlformats.org/officeDocument/2006/relationships/hyperlink" Target="http://www.merckmillipore.com" TargetMode="External"/><Relationship Id="rId52" Type="http://schemas.openxmlformats.org/officeDocument/2006/relationships/image" Target="media/image26.emf"/><Relationship Id="rId73" Type="http://schemas.openxmlformats.org/officeDocument/2006/relationships/image" Target="media/image47.png"/><Relationship Id="rId78" Type="http://schemas.openxmlformats.org/officeDocument/2006/relationships/image" Target="media/image52.png"/><Relationship Id="rId94" Type="http://schemas.openxmlformats.org/officeDocument/2006/relationships/image" Target="media/image67.png"/><Relationship Id="rId99" Type="http://schemas.openxmlformats.org/officeDocument/2006/relationships/image" Target="media/image72.png"/><Relationship Id="rId101" Type="http://schemas.openxmlformats.org/officeDocument/2006/relationships/image" Target="media/image74.tiff"/><Relationship Id="rId122" Type="http://schemas.openxmlformats.org/officeDocument/2006/relationships/image" Target="media/image94.png"/><Relationship Id="rId143" Type="http://schemas.openxmlformats.org/officeDocument/2006/relationships/image" Target="media/image114.png"/><Relationship Id="rId148" Type="http://schemas.openxmlformats.org/officeDocument/2006/relationships/image" Target="media/image119.png"/><Relationship Id="rId164" Type="http://schemas.openxmlformats.org/officeDocument/2006/relationships/image" Target="media/image133.png"/><Relationship Id="rId169" Type="http://schemas.openxmlformats.org/officeDocument/2006/relationships/image" Target="media/image138.jpeg"/><Relationship Id="rId185" Type="http://schemas.openxmlformats.org/officeDocument/2006/relationships/hyperlink" Target="https://www.ncbi.nlm.nih.gov/pubmed/?term=Kalbacher%20H%5BAuthor%5D&amp;cauthor=true&amp;cauthor_uid=20418885" TargetMode="External"/><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image" Target="media/image144.png"/><Relationship Id="rId210" Type="http://schemas.openxmlformats.org/officeDocument/2006/relationships/hyperlink" Target="https://www.ncbi.nlm.nih.gov/pubmed/?term=Orimo%20A%5BAuthor%5D&amp;cauthor=true&amp;cauthor_uid=21041659" TargetMode="External"/><Relationship Id="rId215" Type="http://schemas.openxmlformats.org/officeDocument/2006/relationships/hyperlink" Target="https://www.ncbi.nlm.nih.gov/pubmed/?term=Hanley%20CJ%5BAuthor%5D&amp;cauthor=true&amp;cauthor_uid=27992856" TargetMode="External"/><Relationship Id="rId236" Type="http://schemas.openxmlformats.org/officeDocument/2006/relationships/hyperlink" Target="https://www.ncbi.nlm.nih.gov/pubmed/?term=Ottensmeier%20CH%5BAuthor%5D&amp;cauthor=true&amp;cauthor_uid=27992856" TargetMode="External"/><Relationship Id="rId257" Type="http://schemas.openxmlformats.org/officeDocument/2006/relationships/hyperlink" Target="http://www.sciencedirect.com/science/article/pii/S1535610803000588" TargetMode="External"/><Relationship Id="rId26" Type="http://schemas.openxmlformats.org/officeDocument/2006/relationships/hyperlink" Target="http://jem.rupress.org/content/215/12/2967?utm_source=TrendMD&amp;utm_medium=cpc&amp;utm_campaign=JEM_TrendMD-0" TargetMode="External"/><Relationship Id="rId231" Type="http://schemas.openxmlformats.org/officeDocument/2006/relationships/hyperlink" Target="https://www.ncbi.nlm.nih.gov/pubmed/?term=Underwood%20TJ%5BAuthor%5D&amp;cauthor=true&amp;cauthor_uid=27992856" TargetMode="External"/><Relationship Id="rId252" Type="http://schemas.openxmlformats.org/officeDocument/2006/relationships/hyperlink" Target="https://www.ncbi.nlm.nih.gov/pubmed/?term=Vousden%20KH%5BAuthor%5D&amp;cauthor=true&amp;cauthor_uid=20064378" TargetMode="External"/><Relationship Id="rId47" Type="http://schemas.openxmlformats.org/officeDocument/2006/relationships/image" Target="media/image21.png"/><Relationship Id="rId68" Type="http://schemas.openxmlformats.org/officeDocument/2006/relationships/image" Target="media/image42.png"/><Relationship Id="rId89" Type="http://schemas.openxmlformats.org/officeDocument/2006/relationships/image" Target="media/image62.png"/><Relationship Id="rId112" Type="http://schemas.openxmlformats.org/officeDocument/2006/relationships/image" Target="media/image81.png"/><Relationship Id="rId133" Type="http://schemas.openxmlformats.org/officeDocument/2006/relationships/image" Target="media/image104.png"/><Relationship Id="rId154" Type="http://schemas.openxmlformats.org/officeDocument/2006/relationships/image" Target="media/image123.png"/><Relationship Id="rId175" Type="http://schemas.openxmlformats.org/officeDocument/2006/relationships/hyperlink" Target="https://www.nature.com/articles/bjc2011403" TargetMode="External"/><Relationship Id="rId196" Type="http://schemas.openxmlformats.org/officeDocument/2006/relationships/hyperlink" Target="https://www.ncbi.nlm.nih.gov/pubmed/?term=Beacham%20DA%5BAuthor%5D&amp;cauthor=true&amp;cauthor_uid=27245425" TargetMode="External"/><Relationship Id="rId200" Type="http://schemas.openxmlformats.org/officeDocument/2006/relationships/hyperlink" Target="https://www.ncbi.nlm.nih.gov/pubmed/?term=Kojima%20Y%5BAuthor%5D&amp;cauthor=true&amp;cauthor_uid=21041659" TargetMode="External"/><Relationship Id="rId16" Type="http://schemas.openxmlformats.org/officeDocument/2006/relationships/image" Target="media/image5.png"/><Relationship Id="rId221" Type="http://schemas.openxmlformats.org/officeDocument/2006/relationships/hyperlink" Target="https://www.ncbi.nlm.nih.gov/pubmed/?term=Frampton%20S%5BAuthor%5D&amp;cauthor=true&amp;cauthor_uid=27992856" TargetMode="External"/><Relationship Id="rId242" Type="http://schemas.openxmlformats.org/officeDocument/2006/relationships/hyperlink" Target="https://www.ncbi.nlm.nih.gov/pubmed/?term=Tan%20EH%5BAuthor%5D&amp;cauthor=true&amp;cauthor_uid=20064378" TargetMode="External"/><Relationship Id="rId263" Type="http://schemas.openxmlformats.org/officeDocument/2006/relationships/hyperlink" Target="https://www.ncbi.nlm.nih.gov/pubmed/?term=Sugimoto%20H%5BAuthor%5D&amp;cauthor=true&amp;cauthor_uid=17106243" TargetMode="External"/><Relationship Id="rId37" Type="http://schemas.openxmlformats.org/officeDocument/2006/relationships/hyperlink" Target="http://www.vectorlabs.com" TargetMode="External"/><Relationship Id="rId58" Type="http://schemas.openxmlformats.org/officeDocument/2006/relationships/image" Target="media/image32.png"/><Relationship Id="rId79" Type="http://schemas.openxmlformats.org/officeDocument/2006/relationships/image" Target="media/image53.tif"/><Relationship Id="rId102" Type="http://schemas.openxmlformats.org/officeDocument/2006/relationships/image" Target="media/image75.jpeg"/><Relationship Id="rId123" Type="http://schemas.openxmlformats.org/officeDocument/2006/relationships/image" Target="media/image97.png"/><Relationship Id="rId144" Type="http://schemas.openxmlformats.org/officeDocument/2006/relationships/image" Target="media/image115.png"/><Relationship Id="rId90" Type="http://schemas.openxmlformats.org/officeDocument/2006/relationships/image" Target="media/image63.png"/><Relationship Id="rId165" Type="http://schemas.openxmlformats.org/officeDocument/2006/relationships/image" Target="media/image134.png"/><Relationship Id="rId186" Type="http://schemas.openxmlformats.org/officeDocument/2006/relationships/hyperlink" Target="https://www.ncbi.nlm.nih.gov/pubmed/?term=Salant%20DJ%5BAuthor%5D&amp;cauthor=true&amp;cauthor_uid=20418885" TargetMode="External"/><Relationship Id="rId211" Type="http://schemas.openxmlformats.org/officeDocument/2006/relationships/hyperlink" Target="https://www.ncbi.nlm.nih.gov/pubmed/21041659" TargetMode="External"/><Relationship Id="rId232" Type="http://schemas.openxmlformats.org/officeDocument/2006/relationships/hyperlink" Target="https://www.ncbi.nlm.nih.gov/pubmed/?term=Vijayanand%20P%5BAuthor%5D&amp;cauthor=true&amp;cauthor_uid=27992856" TargetMode="External"/><Relationship Id="rId253" Type="http://schemas.openxmlformats.org/officeDocument/2006/relationships/hyperlink" Target="https://www.ncbi.nlm.nih.gov/entrez/eutils/elink.fcgi?dbfrom=pubmed&amp;retmode=ref&amp;cmd=prlinks&amp;id=18411046" TargetMode="External"/><Relationship Id="rId27" Type="http://schemas.openxmlformats.org/officeDocument/2006/relationships/image" Target="media/image12.png"/><Relationship Id="rId48" Type="http://schemas.openxmlformats.org/officeDocument/2006/relationships/image" Target="media/image22.emf"/><Relationship Id="rId69" Type="http://schemas.openxmlformats.org/officeDocument/2006/relationships/image" Target="media/image43.png"/><Relationship Id="rId113" Type="http://schemas.openxmlformats.org/officeDocument/2006/relationships/image" Target="media/image85.png"/><Relationship Id="rId134" Type="http://schemas.openxmlformats.org/officeDocument/2006/relationships/image" Target="media/image105.png"/><Relationship Id="rId80" Type="http://schemas.openxmlformats.org/officeDocument/2006/relationships/image" Target="media/image54.tif"/><Relationship Id="rId155" Type="http://schemas.openxmlformats.org/officeDocument/2006/relationships/image" Target="media/image124.png"/><Relationship Id="rId176" Type="http://schemas.openxmlformats.org/officeDocument/2006/relationships/image" Target="media/image140.png"/><Relationship Id="rId197" Type="http://schemas.openxmlformats.org/officeDocument/2006/relationships/hyperlink" Target="https://www.ncbi.nlm.nih.gov/pubmed/?term=Amatangelo%20MD%5BAuthor%5D&amp;cauthor=true&amp;cauthor_uid=27245425" TargetMode="External"/><Relationship Id="rId201" Type="http://schemas.openxmlformats.org/officeDocument/2006/relationships/hyperlink" Target="https://www.ncbi.nlm.nih.gov/pubmed/?term=Acar%20A%5BAuthor%5D&amp;cauthor=true&amp;cauthor_uid=21041659" TargetMode="External"/><Relationship Id="rId222" Type="http://schemas.openxmlformats.org/officeDocument/2006/relationships/hyperlink" Target="https://www.ncbi.nlm.nih.gov/pubmed/?term=Jenei%20V%5BAuthor%5D&amp;cauthor=true&amp;cauthor_uid=27992856" TargetMode="External"/><Relationship Id="rId243" Type="http://schemas.openxmlformats.org/officeDocument/2006/relationships/hyperlink" Target="https://www.ncbi.nlm.nih.gov/pubmed/?term=Karim%20S%5BAuthor%5D&amp;cauthor=true&amp;cauthor_uid=20064378" TargetMode="External"/><Relationship Id="rId264" Type="http://schemas.openxmlformats.org/officeDocument/2006/relationships/hyperlink" Target="https://www.ncbi.nlm.nih.gov/pubmed/?term=Mundel%20TM%5BAuthor%5D&amp;cauthor=true&amp;cauthor_uid=17106243" TargetMode="External"/><Relationship Id="rId17" Type="http://schemas.openxmlformats.org/officeDocument/2006/relationships/image" Target="media/image6.png"/><Relationship Id="rId38" Type="http://schemas.openxmlformats.org/officeDocument/2006/relationships/hyperlink" Target="http://www.starlabgroup.com" TargetMode="External"/><Relationship Id="rId59" Type="http://schemas.openxmlformats.org/officeDocument/2006/relationships/image" Target="media/image33.png"/><Relationship Id="rId103" Type="http://schemas.openxmlformats.org/officeDocument/2006/relationships/image" Target="media/image76.tiff"/><Relationship Id="rId124" Type="http://schemas.openxmlformats.org/officeDocument/2006/relationships/image" Target="media/image98.png"/><Relationship Id="rId70" Type="http://schemas.openxmlformats.org/officeDocument/2006/relationships/image" Target="media/image44.png"/><Relationship Id="rId91" Type="http://schemas.openxmlformats.org/officeDocument/2006/relationships/image" Target="media/image64.jpg"/><Relationship Id="rId145" Type="http://schemas.openxmlformats.org/officeDocument/2006/relationships/image" Target="media/image116.png"/><Relationship Id="rId166" Type="http://schemas.openxmlformats.org/officeDocument/2006/relationships/image" Target="media/image135.png"/><Relationship Id="rId187" Type="http://schemas.openxmlformats.org/officeDocument/2006/relationships/hyperlink" Target="https://www.ncbi.nlm.nih.gov/pubmed/?term=M%C3%BCller%20CA%5BAuthor%5D&amp;cauthor=true&amp;cauthor_uid=20418885" TargetMode="External"/><Relationship Id="rId1" Type="http://schemas.openxmlformats.org/officeDocument/2006/relationships/customXml" Target="../customXml/item1.xml"/><Relationship Id="rId212" Type="http://schemas.openxmlformats.org/officeDocument/2006/relationships/hyperlink" Target="https://www.sciencedirect.com/science/journal/01429612" TargetMode="External"/><Relationship Id="rId233" Type="http://schemas.openxmlformats.org/officeDocument/2006/relationships/hyperlink" Target="https://www.ncbi.nlm.nih.gov/pubmed/?term=Eliceiri%20KW%5BAuthor%5D&amp;cauthor=true&amp;cauthor_uid=27992856" TargetMode="External"/><Relationship Id="rId254" Type="http://schemas.openxmlformats.org/officeDocument/2006/relationships/hyperlink" Target="http://www.sciencedirect.com/science/article/pii/S1535610803000588"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8815CF1-0EC7-4BB6-BDF2-C9D67F99575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3233</TotalTime>
  <Pages>237</Pages>
  <Words>58538</Words>
  <Characters>333670</Characters>
  <Application>Microsoft Office Word</Application>
  <DocSecurity>0</DocSecurity>
  <Lines>2780</Lines>
  <Paragraphs>782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391426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Amy Harding</dc:creator>
  <cp:keywords/>
  <dc:description/>
  <cp:lastModifiedBy>Amy Harding</cp:lastModifiedBy>
  <cp:revision>1810</cp:revision>
  <cp:lastPrinted>2020-05-12T18:34:00Z</cp:lastPrinted>
  <dcterms:created xsi:type="dcterms:W3CDTF">2019-09-28T08:35:00Z</dcterms:created>
  <dcterms:modified xsi:type="dcterms:W3CDTF">2020-05-12T18:34:00Z</dcterms:modified>
</cp:coreProperties>
</file>